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FFD8F" w14:textId="77777777" w:rsidR="00980FAA" w:rsidRPr="002D2123" w:rsidRDefault="00980FAA">
      <w:pPr>
        <w:rPr>
          <w:rFonts w:ascii="Times New Roman" w:hAnsi="Times New Roman" w:cs="Times New Roman"/>
        </w:rPr>
      </w:pPr>
    </w:p>
    <w:p w14:paraId="6C4F192F" w14:textId="77777777" w:rsidR="00980FAA" w:rsidRPr="002D2123" w:rsidRDefault="00980FAA">
      <w:pPr>
        <w:rPr>
          <w:rFonts w:ascii="Times New Roman" w:hAnsi="Times New Roman" w:cs="Times New Roman"/>
        </w:rPr>
      </w:pPr>
    </w:p>
    <w:p w14:paraId="31860FCB" w14:textId="77777777" w:rsidR="00980FAA" w:rsidRPr="002D2123" w:rsidRDefault="00980FAA">
      <w:pPr>
        <w:rPr>
          <w:rFonts w:ascii="Times New Roman" w:hAnsi="Times New Roman" w:cs="Times New Roman"/>
        </w:rPr>
      </w:pPr>
    </w:p>
    <w:p w14:paraId="7F18B1FD" w14:textId="77777777" w:rsidR="00980FAA" w:rsidRPr="002D2123" w:rsidRDefault="00980FAA">
      <w:pPr>
        <w:rPr>
          <w:rFonts w:ascii="Times New Roman" w:hAnsi="Times New Roman" w:cs="Times New Roman"/>
        </w:rPr>
      </w:pPr>
    </w:p>
    <w:p w14:paraId="71712F8B" w14:textId="77777777" w:rsidR="00980FAA" w:rsidRPr="002D2123" w:rsidRDefault="00980FAA">
      <w:pPr>
        <w:rPr>
          <w:rFonts w:ascii="Times New Roman" w:hAnsi="Times New Roman" w:cs="Times New Roman"/>
        </w:rPr>
      </w:pPr>
    </w:p>
    <w:p w14:paraId="1E39D26C" w14:textId="77777777" w:rsidR="00980FAA" w:rsidRPr="002D2123" w:rsidRDefault="00980FAA" w:rsidP="00C35ADC">
      <w:pPr>
        <w:jc w:val="right"/>
        <w:rPr>
          <w:rFonts w:ascii="Times New Roman" w:hAnsi="Times New Roman" w:cs="Times New Roman"/>
        </w:rPr>
      </w:pPr>
    </w:p>
    <w:p w14:paraId="2B4A3481" w14:textId="77777777" w:rsidR="00980FAA" w:rsidRPr="002D2123" w:rsidRDefault="00980FAA">
      <w:pPr>
        <w:rPr>
          <w:rFonts w:ascii="Times New Roman" w:hAnsi="Times New Roman" w:cs="Times New Roman"/>
        </w:rPr>
      </w:pPr>
    </w:p>
    <w:p w14:paraId="58CD0657" w14:textId="77777777" w:rsidR="00980FAA" w:rsidRPr="002D2123" w:rsidRDefault="00980FAA">
      <w:pPr>
        <w:rPr>
          <w:rFonts w:ascii="Times New Roman" w:hAnsi="Times New Roman" w:cs="Times New Roman"/>
        </w:rPr>
      </w:pPr>
    </w:p>
    <w:p w14:paraId="4C790A67" w14:textId="77777777" w:rsidR="00980FAA" w:rsidRPr="002D2123" w:rsidRDefault="00980FAA">
      <w:pPr>
        <w:rPr>
          <w:rFonts w:ascii="Times New Roman" w:hAnsi="Times New Roman" w:cs="Times New Roman"/>
        </w:rPr>
      </w:pPr>
    </w:p>
    <w:p w14:paraId="5A90E03E" w14:textId="77777777" w:rsidR="00980FAA" w:rsidRPr="002D2123" w:rsidRDefault="00980FAA">
      <w:pPr>
        <w:rPr>
          <w:rFonts w:ascii="Times New Roman" w:hAnsi="Times New Roman" w:cs="Times New Roman"/>
        </w:rPr>
      </w:pPr>
    </w:p>
    <w:p w14:paraId="02F787AA" w14:textId="77777777" w:rsidR="00980FAA" w:rsidRPr="002D2123" w:rsidRDefault="00980FAA">
      <w:pPr>
        <w:rPr>
          <w:rFonts w:ascii="Times New Roman" w:hAnsi="Times New Roman" w:cs="Times New Roman"/>
        </w:rPr>
      </w:pPr>
    </w:p>
    <w:p w14:paraId="6D1C2FC4" w14:textId="77777777" w:rsidR="00980FAA" w:rsidRPr="002D2123" w:rsidRDefault="00980FAA">
      <w:pPr>
        <w:rPr>
          <w:rFonts w:ascii="Times New Roman" w:hAnsi="Times New Roman" w:cs="Times New Roman"/>
        </w:rPr>
      </w:pPr>
    </w:p>
    <w:tbl>
      <w:tblPr>
        <w:tblpPr w:leftFromText="187" w:rightFromText="187" w:vertAnchor="page" w:horzAnchor="margin" w:tblpY="7781"/>
        <w:tblW w:w="3988" w:type="pct"/>
        <w:tblBorders>
          <w:left w:val="single" w:sz="12" w:space="0" w:color="5B9BD5" w:themeColor="accent1"/>
        </w:tblBorders>
        <w:tblCellMar>
          <w:left w:w="144" w:type="dxa"/>
          <w:right w:w="115" w:type="dxa"/>
        </w:tblCellMar>
        <w:tblLook w:val="04A0" w:firstRow="1" w:lastRow="0" w:firstColumn="1" w:lastColumn="0" w:noHBand="0" w:noVBand="1"/>
      </w:tblPr>
      <w:tblGrid>
        <w:gridCol w:w="7442"/>
      </w:tblGrid>
      <w:tr w:rsidR="00950770" w:rsidRPr="002D2123" w14:paraId="4A305957" w14:textId="77777777" w:rsidTr="00B15ECB">
        <w:tc>
          <w:tcPr>
            <w:tcW w:w="7442" w:type="dxa"/>
          </w:tcPr>
          <w:p w14:paraId="6D615615" w14:textId="77777777" w:rsidR="00950770" w:rsidRPr="002D2123" w:rsidRDefault="00A85779" w:rsidP="00B15ECB">
            <w:pPr>
              <w:pStyle w:val="Bezmezer"/>
              <w:spacing w:line="216" w:lineRule="auto"/>
              <w:rPr>
                <w:rFonts w:ascii="Times New Roman" w:eastAsiaTheme="majorEastAsia" w:hAnsi="Times New Roman" w:cs="Times New Roman"/>
                <w:color w:val="5B9BD5" w:themeColor="accent1"/>
                <w:sz w:val="88"/>
                <w:szCs w:val="88"/>
              </w:rPr>
            </w:pPr>
            <w:sdt>
              <w:sdtPr>
                <w:rPr>
                  <w:rFonts w:ascii="Times New Roman" w:eastAsia="Arial Unicode MS" w:hAnsi="Times New Roman" w:cs="Times New Roman"/>
                  <w:b/>
                  <w:sz w:val="34"/>
                  <w:szCs w:val="34"/>
                </w:rPr>
                <w:alias w:val="Název"/>
                <w:id w:val="13406919"/>
                <w:placeholder>
                  <w:docPart w:val="A95F2C64CE144BA0BF2D846CF1F0C98A"/>
                </w:placeholder>
                <w:dataBinding w:prefixMappings="xmlns:ns0='http://schemas.openxmlformats.org/package/2006/metadata/core-properties' xmlns:ns1='http://purl.org/dc/elements/1.1/'" w:xpath="/ns0:coreProperties[1]/ns1:title[1]" w:storeItemID="{6C3C8BC8-F283-45AE-878A-BAB7291924A1}"/>
                <w:text/>
              </w:sdtPr>
              <w:sdtEndPr/>
              <w:sdtContent>
                <w:r w:rsidR="004D585D" w:rsidRPr="002D2123">
                  <w:rPr>
                    <w:rFonts w:ascii="Times New Roman" w:eastAsia="Arial Unicode MS" w:hAnsi="Times New Roman" w:cs="Times New Roman"/>
                    <w:b/>
                    <w:sz w:val="34"/>
                    <w:szCs w:val="34"/>
                  </w:rPr>
                  <w:t>Národní koncepce realizace politiky soudržnosti v ČR po roce 2020 -</w:t>
                </w:r>
              </w:sdtContent>
            </w:sdt>
          </w:p>
        </w:tc>
      </w:tr>
      <w:tr w:rsidR="00950770" w:rsidRPr="002D2123" w14:paraId="25F3274B" w14:textId="77777777" w:rsidTr="00B15ECB">
        <w:tc>
          <w:tcPr>
            <w:tcW w:w="7442" w:type="dxa"/>
            <w:tcMar>
              <w:top w:w="216" w:type="dxa"/>
              <w:left w:w="115" w:type="dxa"/>
              <w:bottom w:w="216" w:type="dxa"/>
              <w:right w:w="115" w:type="dxa"/>
            </w:tcMar>
          </w:tcPr>
          <w:p w14:paraId="3BE0463B" w14:textId="7C2B61CA" w:rsidR="00950770" w:rsidRPr="002D2123" w:rsidRDefault="00A85779" w:rsidP="00B15ECB">
            <w:pPr>
              <w:pStyle w:val="Bezmezer"/>
              <w:rPr>
                <w:rFonts w:ascii="Times New Roman" w:hAnsi="Times New Roman" w:cs="Times New Roman"/>
                <w:color w:val="2E74B5" w:themeColor="accent1" w:themeShade="BF"/>
                <w:sz w:val="24"/>
              </w:rPr>
            </w:pPr>
            <w:sdt>
              <w:sdtPr>
                <w:rPr>
                  <w:rFonts w:ascii="Times New Roman" w:hAnsi="Times New Roman" w:cs="Times New Roman"/>
                  <w:b/>
                  <w:noProof/>
                  <w:sz w:val="42"/>
                  <w:szCs w:val="42"/>
                </w:rPr>
                <w:alias w:val="Podtitul"/>
                <w:id w:val="13406923"/>
                <w:placeholder>
                  <w:docPart w:val="C5BEAF161C804C2F9DE7C3FFBDE06A45"/>
                </w:placeholder>
                <w:dataBinding w:prefixMappings="xmlns:ns0='http://schemas.openxmlformats.org/package/2006/metadata/core-properties' xmlns:ns1='http://purl.org/dc/elements/1.1/'" w:xpath="/ns0:coreProperties[1]/ns1:subject[1]" w:storeItemID="{6C3C8BC8-F283-45AE-878A-BAB7291924A1}"/>
                <w:text/>
              </w:sdtPr>
              <w:sdtEndPr/>
              <w:sdtContent>
                <w:r w:rsidR="000707FB" w:rsidRPr="002D2123">
                  <w:rPr>
                    <w:rFonts w:ascii="Times New Roman" w:hAnsi="Times New Roman" w:cs="Times New Roman"/>
                    <w:b/>
                    <w:noProof/>
                    <w:sz w:val="42"/>
                    <w:szCs w:val="42"/>
                  </w:rPr>
                  <w:t xml:space="preserve">Příloha č. 1 </w:t>
                </w:r>
                <w:r w:rsidR="00C840BA" w:rsidRPr="002D2123">
                  <w:rPr>
                    <w:rFonts w:ascii="Times New Roman" w:hAnsi="Times New Roman" w:cs="Times New Roman"/>
                    <w:b/>
                    <w:noProof/>
                    <w:sz w:val="42"/>
                    <w:szCs w:val="42"/>
                  </w:rPr>
                  <w:t xml:space="preserve">                                 </w:t>
                </w:r>
                <w:r w:rsidR="002D2123">
                  <w:rPr>
                    <w:rFonts w:ascii="Times New Roman" w:hAnsi="Times New Roman" w:cs="Times New Roman"/>
                    <w:b/>
                    <w:noProof/>
                    <w:sz w:val="42"/>
                    <w:szCs w:val="42"/>
                  </w:rPr>
                  <w:t xml:space="preserve">      </w:t>
                </w:r>
                <w:r w:rsidR="000707FB" w:rsidRPr="002D2123">
                  <w:rPr>
                    <w:rFonts w:ascii="Times New Roman" w:hAnsi="Times New Roman" w:cs="Times New Roman"/>
                    <w:b/>
                    <w:noProof/>
                    <w:sz w:val="42"/>
                    <w:szCs w:val="42"/>
                  </w:rPr>
                  <w:t>Karty specifických cílů NKR – podklad pro prioritizaci</w:t>
                </w:r>
              </w:sdtContent>
            </w:sdt>
          </w:p>
        </w:tc>
      </w:tr>
    </w:tbl>
    <w:p w14:paraId="7C372443" w14:textId="77777777" w:rsidR="00980FAA" w:rsidRPr="002D2123" w:rsidRDefault="00980FAA">
      <w:pPr>
        <w:rPr>
          <w:rFonts w:ascii="Times New Roman" w:hAnsi="Times New Roman" w:cs="Times New Roman"/>
        </w:rPr>
      </w:pPr>
    </w:p>
    <w:p w14:paraId="6A770B22" w14:textId="77777777" w:rsidR="00950770" w:rsidRPr="002D2123" w:rsidRDefault="00950770">
      <w:pPr>
        <w:rPr>
          <w:rFonts w:ascii="Times New Roman" w:hAnsi="Times New Roman" w:cs="Times New Roman"/>
        </w:rPr>
      </w:pPr>
    </w:p>
    <w:p w14:paraId="73F30DA9" w14:textId="77777777" w:rsidR="00950770" w:rsidRPr="002D2123" w:rsidRDefault="00950770">
      <w:pPr>
        <w:rPr>
          <w:rFonts w:ascii="Times New Roman" w:hAnsi="Times New Roman" w:cs="Times New Roman"/>
        </w:rPr>
      </w:pPr>
    </w:p>
    <w:p w14:paraId="4E600554" w14:textId="77777777" w:rsidR="00980FAA" w:rsidRPr="002D2123" w:rsidRDefault="00980FAA">
      <w:pPr>
        <w:rPr>
          <w:rFonts w:ascii="Times New Roman" w:hAnsi="Times New Roman" w:cs="Times New Roman"/>
        </w:rPr>
      </w:pPr>
    </w:p>
    <w:p w14:paraId="54B947F3" w14:textId="77777777" w:rsidR="00980FAA" w:rsidRPr="002D2123" w:rsidRDefault="00980FAA">
      <w:pPr>
        <w:rPr>
          <w:rFonts w:ascii="Times New Roman" w:hAnsi="Times New Roman" w:cs="Times New Roman"/>
        </w:rPr>
      </w:pPr>
    </w:p>
    <w:p w14:paraId="630A0659" w14:textId="77777777" w:rsidR="00980FAA" w:rsidRPr="002D2123" w:rsidRDefault="00980FAA">
      <w:pPr>
        <w:rPr>
          <w:rFonts w:ascii="Times New Roman" w:hAnsi="Times New Roman" w:cs="Times New Roman"/>
        </w:rPr>
      </w:pPr>
    </w:p>
    <w:p w14:paraId="12A272B4" w14:textId="77777777" w:rsidR="00980FAA" w:rsidRPr="002D2123" w:rsidRDefault="00980FAA">
      <w:pPr>
        <w:rPr>
          <w:rFonts w:ascii="Times New Roman" w:hAnsi="Times New Roman" w:cs="Times New Roman"/>
        </w:rPr>
      </w:pPr>
    </w:p>
    <w:p w14:paraId="7D172C38" w14:textId="77777777" w:rsidR="00980FAA" w:rsidRPr="002D2123" w:rsidRDefault="00980FAA">
      <w:pPr>
        <w:rPr>
          <w:rFonts w:ascii="Times New Roman" w:hAnsi="Times New Roman" w:cs="Times New Roman"/>
        </w:rPr>
      </w:pPr>
    </w:p>
    <w:p w14:paraId="7D084F76" w14:textId="77777777" w:rsidR="00980FAA" w:rsidRPr="002D2123" w:rsidRDefault="00980FAA">
      <w:pPr>
        <w:rPr>
          <w:rFonts w:ascii="Times New Roman" w:hAnsi="Times New Roman" w:cs="Times New Roman"/>
        </w:rPr>
      </w:pPr>
    </w:p>
    <w:p w14:paraId="42DD4A18" w14:textId="77777777" w:rsidR="00980FAA" w:rsidRPr="002D2123" w:rsidRDefault="00980FAA">
      <w:pPr>
        <w:rPr>
          <w:rFonts w:ascii="Times New Roman" w:hAnsi="Times New Roman" w:cs="Times New Roman"/>
        </w:rPr>
      </w:pPr>
    </w:p>
    <w:p w14:paraId="3E7047AC" w14:textId="77777777" w:rsidR="00980FAA" w:rsidRPr="002D2123" w:rsidRDefault="00980FAA">
      <w:pPr>
        <w:rPr>
          <w:rFonts w:ascii="Times New Roman" w:hAnsi="Times New Roman" w:cs="Times New Roman"/>
        </w:rPr>
      </w:pPr>
    </w:p>
    <w:p w14:paraId="747A59DD" w14:textId="77777777" w:rsidR="00980FAA" w:rsidRPr="002D2123" w:rsidRDefault="00980FAA">
      <w:pPr>
        <w:rPr>
          <w:rFonts w:ascii="Times New Roman" w:hAnsi="Times New Roman" w:cs="Times New Roman"/>
        </w:rPr>
      </w:pPr>
    </w:p>
    <w:p w14:paraId="14D65EF6" w14:textId="77777777" w:rsidR="00980FAA" w:rsidRPr="002D2123" w:rsidRDefault="00980FAA">
      <w:pPr>
        <w:rPr>
          <w:rFonts w:ascii="Times New Roman" w:hAnsi="Times New Roman" w:cs="Times New Roman"/>
        </w:rPr>
      </w:pPr>
    </w:p>
    <w:p w14:paraId="7F05B797" w14:textId="77777777" w:rsidR="00980FAA" w:rsidRPr="002D2123" w:rsidRDefault="00980FAA">
      <w:pPr>
        <w:rPr>
          <w:rFonts w:ascii="Times New Roman" w:hAnsi="Times New Roman" w:cs="Times New Roman"/>
        </w:rPr>
      </w:pPr>
    </w:p>
    <w:p w14:paraId="19610CDA" w14:textId="77777777" w:rsidR="00980FAA" w:rsidRPr="002D2123" w:rsidRDefault="00980FAA">
      <w:pPr>
        <w:rPr>
          <w:rFonts w:ascii="Times New Roman" w:hAnsi="Times New Roman" w:cs="Times New Roman"/>
        </w:rPr>
      </w:pPr>
    </w:p>
    <w:p w14:paraId="3B36B760" w14:textId="77777777" w:rsidR="00980FAA" w:rsidRPr="002D2123" w:rsidRDefault="00980FAA">
      <w:pPr>
        <w:rPr>
          <w:rFonts w:ascii="Times New Roman" w:hAnsi="Times New Roman" w:cs="Times New Roman"/>
        </w:rPr>
      </w:pPr>
    </w:p>
    <w:p w14:paraId="1ABB780A" w14:textId="77777777" w:rsidR="00C35ADC" w:rsidRPr="002D2123" w:rsidRDefault="00C35ADC">
      <w:pPr>
        <w:rPr>
          <w:rFonts w:ascii="Times New Roman" w:hAnsi="Times New Roman" w:cs="Times New Roman"/>
        </w:rPr>
        <w:sectPr w:rsidR="00C35ADC" w:rsidRPr="002D2123">
          <w:headerReference w:type="default" r:id="rId12"/>
          <w:footerReference w:type="default" r:id="rId13"/>
          <w:pgSz w:w="11906" w:h="16838"/>
          <w:pgMar w:top="1417" w:right="1417" w:bottom="1417" w:left="1417" w:header="708" w:footer="708" w:gutter="0"/>
          <w:cols w:space="708"/>
          <w:docGrid w:linePitch="360"/>
        </w:sectPr>
      </w:pPr>
    </w:p>
    <w:sdt>
      <w:sdtPr>
        <w:rPr>
          <w:rFonts w:ascii="Times New Roman" w:eastAsiaTheme="minorHAnsi" w:hAnsi="Times New Roman" w:cs="Times New Roman"/>
          <w:color w:val="auto"/>
          <w:sz w:val="22"/>
          <w:szCs w:val="22"/>
          <w:lang w:eastAsia="en-US"/>
        </w:rPr>
        <w:id w:val="1706911353"/>
        <w:docPartObj>
          <w:docPartGallery w:val="Table of Contents"/>
          <w:docPartUnique/>
        </w:docPartObj>
      </w:sdtPr>
      <w:sdtEndPr>
        <w:rPr>
          <w:b/>
          <w:bCs/>
        </w:rPr>
      </w:sdtEndPr>
      <w:sdtContent>
        <w:p w14:paraId="24F8E4E3" w14:textId="77777777" w:rsidR="00D762E9" w:rsidRPr="002D2123" w:rsidRDefault="00D762E9">
          <w:pPr>
            <w:pStyle w:val="Nadpisobsahu"/>
            <w:rPr>
              <w:rFonts w:ascii="Times New Roman" w:hAnsi="Times New Roman" w:cs="Times New Roman"/>
            </w:rPr>
          </w:pPr>
          <w:r w:rsidRPr="002D2123">
            <w:rPr>
              <w:rFonts w:ascii="Times New Roman" w:hAnsi="Times New Roman" w:cs="Times New Roman"/>
            </w:rPr>
            <w:t>Obsah</w:t>
          </w:r>
        </w:p>
        <w:p w14:paraId="7B71965A" w14:textId="3FB3E9B4" w:rsidR="00D762E9" w:rsidRPr="002D2123" w:rsidRDefault="00D762E9">
          <w:pPr>
            <w:pStyle w:val="Obsah1"/>
            <w:tabs>
              <w:tab w:val="left" w:pos="440"/>
              <w:tab w:val="right" w:leader="dot" w:pos="9062"/>
            </w:tabs>
            <w:rPr>
              <w:rStyle w:val="Hypertextovodkaz"/>
              <w:rFonts w:ascii="Times New Roman" w:hAnsi="Times New Roman" w:cs="Times New Roman"/>
              <w:noProof/>
            </w:rPr>
          </w:pPr>
          <w:r w:rsidRPr="002D2123">
            <w:rPr>
              <w:rStyle w:val="Hypertextovodkaz"/>
              <w:rFonts w:ascii="Times New Roman" w:hAnsi="Times New Roman" w:cs="Times New Roman"/>
              <w:noProof/>
            </w:rPr>
            <w:fldChar w:fldCharType="begin"/>
          </w:r>
          <w:r w:rsidRPr="002D2123">
            <w:rPr>
              <w:rStyle w:val="Hypertextovodkaz"/>
              <w:rFonts w:ascii="Times New Roman" w:hAnsi="Times New Roman" w:cs="Times New Roman"/>
              <w:noProof/>
            </w:rPr>
            <w:instrText xml:space="preserve"> TOC \o "1-3" \h \z \u </w:instrText>
          </w:r>
          <w:r w:rsidRPr="002D2123">
            <w:rPr>
              <w:rStyle w:val="Hypertextovodkaz"/>
              <w:rFonts w:ascii="Times New Roman" w:hAnsi="Times New Roman" w:cs="Times New Roman"/>
              <w:noProof/>
            </w:rPr>
            <w:fldChar w:fldCharType="separate"/>
          </w:r>
          <w:hyperlink w:anchor="_Toc9511880" w:history="1">
            <w:r w:rsidRPr="002D2123">
              <w:rPr>
                <w:rStyle w:val="Hypertextovodkaz"/>
                <w:rFonts w:ascii="Times New Roman" w:hAnsi="Times New Roman" w:cs="Times New Roman"/>
                <w:noProof/>
              </w:rPr>
              <w:t>1.</w:t>
            </w:r>
            <w:r w:rsidRPr="002D2123">
              <w:rPr>
                <w:rStyle w:val="Hypertextovodkaz"/>
                <w:rFonts w:ascii="Times New Roman" w:hAnsi="Times New Roman" w:cs="Times New Roman"/>
                <w:noProof/>
              </w:rPr>
              <w:tab/>
              <w:t>Trh prá</w:t>
            </w:r>
            <w:r w:rsidRPr="002D2123">
              <w:rPr>
                <w:rStyle w:val="Hypertextovodkaz"/>
                <w:rFonts w:ascii="Times New Roman" w:hAnsi="Times New Roman" w:cs="Times New Roman"/>
                <w:noProof/>
              </w:rPr>
              <w:t>c</w:t>
            </w:r>
            <w:r w:rsidRPr="002D2123">
              <w:rPr>
                <w:rStyle w:val="Hypertextovodkaz"/>
                <w:rFonts w:ascii="Times New Roman" w:hAnsi="Times New Roman" w:cs="Times New Roman"/>
                <w:noProof/>
              </w:rPr>
              <w:t xml:space="preserve">e </w:t>
            </w:r>
            <w:r w:rsidRPr="002D2123">
              <w:rPr>
                <w:rStyle w:val="Hypertextovodkaz"/>
                <w:rFonts w:ascii="Times New Roman" w:hAnsi="Times New Roman" w:cs="Times New Roman"/>
                <w:noProof/>
              </w:rPr>
              <w:t>a</w:t>
            </w:r>
            <w:r w:rsidRPr="002D2123">
              <w:rPr>
                <w:rStyle w:val="Hypertextovodkaz"/>
                <w:rFonts w:ascii="Times New Roman" w:hAnsi="Times New Roman" w:cs="Times New Roman"/>
                <w:noProof/>
              </w:rPr>
              <w:t xml:space="preserve"> zaměstnanost</w:t>
            </w:r>
            <w:r w:rsidRPr="002D2123">
              <w:rPr>
                <w:rStyle w:val="Hypertextovodkaz"/>
                <w:rFonts w:ascii="Times New Roman" w:hAnsi="Times New Roman" w:cs="Times New Roman"/>
                <w:noProof/>
                <w:webHidden/>
              </w:rPr>
              <w:tab/>
            </w:r>
            <w:r w:rsidRPr="002D2123">
              <w:rPr>
                <w:rStyle w:val="Hypertextovodkaz"/>
                <w:rFonts w:ascii="Times New Roman" w:hAnsi="Times New Roman" w:cs="Times New Roman"/>
                <w:noProof/>
                <w:webHidden/>
              </w:rPr>
              <w:fldChar w:fldCharType="begin"/>
            </w:r>
            <w:r w:rsidRPr="002D2123">
              <w:rPr>
                <w:rStyle w:val="Hypertextovodkaz"/>
                <w:rFonts w:ascii="Times New Roman" w:hAnsi="Times New Roman" w:cs="Times New Roman"/>
                <w:noProof/>
                <w:webHidden/>
              </w:rPr>
              <w:instrText xml:space="preserve"> PAGEREF _Toc9511880 \h </w:instrText>
            </w:r>
            <w:r w:rsidRPr="002D2123">
              <w:rPr>
                <w:rStyle w:val="Hypertextovodkaz"/>
                <w:rFonts w:ascii="Times New Roman" w:hAnsi="Times New Roman" w:cs="Times New Roman"/>
                <w:noProof/>
                <w:webHidden/>
              </w:rPr>
            </w:r>
            <w:r w:rsidRPr="002D2123">
              <w:rPr>
                <w:rStyle w:val="Hypertextovodkaz"/>
                <w:rFonts w:ascii="Times New Roman" w:hAnsi="Times New Roman" w:cs="Times New Roman"/>
                <w:noProof/>
                <w:webHidden/>
              </w:rPr>
              <w:fldChar w:fldCharType="separate"/>
            </w:r>
            <w:r w:rsidR="00A85779">
              <w:rPr>
                <w:rStyle w:val="Hypertextovodkaz"/>
                <w:rFonts w:ascii="Times New Roman" w:hAnsi="Times New Roman" w:cs="Times New Roman"/>
                <w:noProof/>
                <w:webHidden/>
              </w:rPr>
              <w:t>3</w:t>
            </w:r>
            <w:r w:rsidRPr="002D2123">
              <w:rPr>
                <w:rStyle w:val="Hypertextovodkaz"/>
                <w:rFonts w:ascii="Times New Roman" w:hAnsi="Times New Roman" w:cs="Times New Roman"/>
                <w:noProof/>
                <w:webHidden/>
              </w:rPr>
              <w:fldChar w:fldCharType="end"/>
            </w:r>
          </w:hyperlink>
        </w:p>
        <w:p w14:paraId="4FA1FC3F" w14:textId="11F7EC28"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1" w:history="1">
            <w:r w:rsidR="00D762E9" w:rsidRPr="002D2123">
              <w:rPr>
                <w:rStyle w:val="Hypertextovodkaz"/>
                <w:rFonts w:ascii="Times New Roman" w:hAnsi="Times New Roman" w:cs="Times New Roman"/>
                <w:noProof/>
              </w:rPr>
              <w:t>2.</w:t>
            </w:r>
            <w:r w:rsidR="00D762E9" w:rsidRPr="002D2123">
              <w:rPr>
                <w:rStyle w:val="Hypertextovodkaz"/>
                <w:rFonts w:ascii="Times New Roman" w:hAnsi="Times New Roman" w:cs="Times New Roman"/>
                <w:noProof/>
              </w:rPr>
              <w:tab/>
              <w:t>Vzděláv</w:t>
            </w:r>
            <w:r w:rsidR="00D762E9" w:rsidRPr="002D2123">
              <w:rPr>
                <w:rStyle w:val="Hypertextovodkaz"/>
                <w:rFonts w:ascii="Times New Roman" w:hAnsi="Times New Roman" w:cs="Times New Roman"/>
                <w:noProof/>
              </w:rPr>
              <w:t>á</w:t>
            </w:r>
            <w:r w:rsidR="00D762E9" w:rsidRPr="002D2123">
              <w:rPr>
                <w:rStyle w:val="Hypertextovodkaz"/>
                <w:rFonts w:ascii="Times New Roman" w:hAnsi="Times New Roman" w:cs="Times New Roman"/>
                <w:noProof/>
              </w:rPr>
              <w:t>ní</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_Toc9511881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42</w:t>
            </w:r>
            <w:r w:rsidR="00D762E9" w:rsidRPr="002D2123">
              <w:rPr>
                <w:rStyle w:val="Hypertextovodkaz"/>
                <w:rFonts w:ascii="Times New Roman" w:hAnsi="Times New Roman" w:cs="Times New Roman"/>
                <w:noProof/>
                <w:webHidden/>
              </w:rPr>
              <w:fldChar w:fldCharType="end"/>
            </w:r>
          </w:hyperlink>
        </w:p>
        <w:p w14:paraId="1456D8FA" w14:textId="73866D99"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2" w:history="1">
            <w:r w:rsidR="00D762E9" w:rsidRPr="002D2123">
              <w:rPr>
                <w:rStyle w:val="Hypertextovodkaz"/>
                <w:rFonts w:ascii="Times New Roman" w:hAnsi="Times New Roman" w:cs="Times New Roman"/>
                <w:noProof/>
              </w:rPr>
              <w:t>3.</w:t>
            </w:r>
            <w:r w:rsidR="00D762E9" w:rsidRPr="002D2123">
              <w:rPr>
                <w:rStyle w:val="Hypertextovodkaz"/>
                <w:rFonts w:ascii="Times New Roman" w:hAnsi="Times New Roman" w:cs="Times New Roman"/>
                <w:noProof/>
              </w:rPr>
              <w:tab/>
              <w:t>Sociáln</w:t>
            </w:r>
            <w:r w:rsidR="00D762E9" w:rsidRPr="002D2123">
              <w:rPr>
                <w:rStyle w:val="Hypertextovodkaz"/>
                <w:rFonts w:ascii="Times New Roman" w:hAnsi="Times New Roman" w:cs="Times New Roman"/>
                <w:noProof/>
              </w:rPr>
              <w:t>í</w:t>
            </w:r>
            <w:r w:rsidR="00D762E9" w:rsidRPr="002D2123">
              <w:rPr>
                <w:rStyle w:val="Hypertextovodkaz"/>
                <w:rFonts w:ascii="Times New Roman" w:hAnsi="Times New Roman" w:cs="Times New Roman"/>
                <w:noProof/>
              </w:rPr>
              <w:t xml:space="preserve"> z</w:t>
            </w:r>
            <w:r w:rsidR="00D762E9" w:rsidRPr="002D2123">
              <w:rPr>
                <w:rStyle w:val="Hypertextovodkaz"/>
                <w:rFonts w:ascii="Times New Roman" w:hAnsi="Times New Roman" w:cs="Times New Roman"/>
                <w:noProof/>
              </w:rPr>
              <w:t>a</w:t>
            </w:r>
            <w:r w:rsidR="00D762E9" w:rsidRPr="002D2123">
              <w:rPr>
                <w:rStyle w:val="Hypertextovodkaz"/>
                <w:rFonts w:ascii="Times New Roman" w:hAnsi="Times New Roman" w:cs="Times New Roman"/>
                <w:noProof/>
              </w:rPr>
              <w:t>čleňování, boj s chudobou a péče o zdraví</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_Toc9511882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86</w:t>
            </w:r>
            <w:r w:rsidR="00D762E9" w:rsidRPr="002D2123">
              <w:rPr>
                <w:rStyle w:val="Hypertextovodkaz"/>
                <w:rFonts w:ascii="Times New Roman" w:hAnsi="Times New Roman" w:cs="Times New Roman"/>
                <w:noProof/>
                <w:webHidden/>
              </w:rPr>
              <w:fldChar w:fldCharType="end"/>
            </w:r>
          </w:hyperlink>
        </w:p>
        <w:p w14:paraId="62CEAB5C" w14:textId="1111AE4A"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3" w:history="1">
            <w:r w:rsidR="00D762E9" w:rsidRPr="002D2123">
              <w:rPr>
                <w:rStyle w:val="Hypertextovodkaz"/>
                <w:rFonts w:ascii="Times New Roman" w:hAnsi="Times New Roman" w:cs="Times New Roman"/>
                <w:noProof/>
              </w:rPr>
              <w:t>4.</w:t>
            </w:r>
            <w:r w:rsidR="00D762E9" w:rsidRPr="002D2123">
              <w:rPr>
                <w:rStyle w:val="Hypertextovodkaz"/>
                <w:rFonts w:ascii="Times New Roman" w:hAnsi="Times New Roman" w:cs="Times New Roman"/>
                <w:noProof/>
              </w:rPr>
              <w:tab/>
              <w:t>Veřejná s</w:t>
            </w:r>
            <w:r w:rsidR="00D762E9" w:rsidRPr="002D2123">
              <w:rPr>
                <w:rStyle w:val="Hypertextovodkaz"/>
                <w:rFonts w:ascii="Times New Roman" w:hAnsi="Times New Roman" w:cs="Times New Roman"/>
                <w:noProof/>
              </w:rPr>
              <w:t>p</w:t>
            </w:r>
            <w:r w:rsidR="00D762E9" w:rsidRPr="002D2123">
              <w:rPr>
                <w:rStyle w:val="Hypertextovodkaz"/>
                <w:rFonts w:ascii="Times New Roman" w:hAnsi="Times New Roman" w:cs="Times New Roman"/>
                <w:noProof/>
              </w:rPr>
              <w:t>rá</w:t>
            </w:r>
            <w:r w:rsidR="00D762E9" w:rsidRPr="002D2123">
              <w:rPr>
                <w:rStyle w:val="Hypertextovodkaz"/>
                <w:rFonts w:ascii="Times New Roman" w:hAnsi="Times New Roman" w:cs="Times New Roman"/>
                <w:noProof/>
              </w:rPr>
              <w:t>v</w:t>
            </w:r>
            <w:r w:rsidR="00D762E9" w:rsidRPr="002D2123">
              <w:rPr>
                <w:rStyle w:val="Hypertextovodkaz"/>
                <w:rFonts w:ascii="Times New Roman" w:hAnsi="Times New Roman" w:cs="Times New Roman"/>
                <w:noProof/>
              </w:rPr>
              <w:t>a a be</w:t>
            </w:r>
            <w:r w:rsidR="00D762E9" w:rsidRPr="002D2123">
              <w:rPr>
                <w:rStyle w:val="Hypertextovodkaz"/>
                <w:rFonts w:ascii="Times New Roman" w:hAnsi="Times New Roman" w:cs="Times New Roman"/>
                <w:noProof/>
              </w:rPr>
              <w:t>z</w:t>
            </w:r>
            <w:r w:rsidR="00D762E9" w:rsidRPr="002D2123">
              <w:rPr>
                <w:rStyle w:val="Hypertextovodkaz"/>
                <w:rFonts w:ascii="Times New Roman" w:hAnsi="Times New Roman" w:cs="Times New Roman"/>
                <w:noProof/>
              </w:rPr>
              <w:t>pečnost</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_Toc9511883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151</w:t>
            </w:r>
            <w:r w:rsidR="00D762E9" w:rsidRPr="002D2123">
              <w:rPr>
                <w:rStyle w:val="Hypertextovodkaz"/>
                <w:rFonts w:ascii="Times New Roman" w:hAnsi="Times New Roman" w:cs="Times New Roman"/>
                <w:noProof/>
                <w:webHidden/>
              </w:rPr>
              <w:fldChar w:fldCharType="end"/>
            </w:r>
          </w:hyperlink>
        </w:p>
        <w:p w14:paraId="2D90DFA2" w14:textId="416BB716"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4" w:history="1">
            <w:r w:rsidR="00D762E9" w:rsidRPr="002D2123">
              <w:rPr>
                <w:rStyle w:val="Hypertextovodkaz"/>
                <w:rFonts w:ascii="Times New Roman" w:hAnsi="Times New Roman" w:cs="Times New Roman"/>
                <w:noProof/>
              </w:rPr>
              <w:t>5.</w:t>
            </w:r>
            <w:r w:rsidR="00D762E9" w:rsidRPr="002D2123">
              <w:rPr>
                <w:rStyle w:val="Hypertextovodkaz"/>
                <w:rFonts w:ascii="Times New Roman" w:hAnsi="Times New Roman" w:cs="Times New Roman"/>
                <w:noProof/>
              </w:rPr>
              <w:tab/>
              <w:t>Výzkumn</w:t>
            </w:r>
            <w:r w:rsidR="00D762E9" w:rsidRPr="002D2123">
              <w:rPr>
                <w:rStyle w:val="Hypertextovodkaz"/>
                <w:rFonts w:ascii="Times New Roman" w:hAnsi="Times New Roman" w:cs="Times New Roman"/>
                <w:noProof/>
              </w:rPr>
              <w:t>ý</w:t>
            </w:r>
            <w:r w:rsidR="00D762E9" w:rsidRPr="002D2123">
              <w:rPr>
                <w:rStyle w:val="Hypertextovodkaz"/>
                <w:rFonts w:ascii="Times New Roman" w:hAnsi="Times New Roman" w:cs="Times New Roman"/>
                <w:noProof/>
              </w:rPr>
              <w:t xml:space="preserve"> a inovační systém</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_Toc9511884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211</w:t>
            </w:r>
            <w:r w:rsidR="00D762E9" w:rsidRPr="002D2123">
              <w:rPr>
                <w:rStyle w:val="Hypertextovodkaz"/>
                <w:rFonts w:ascii="Times New Roman" w:hAnsi="Times New Roman" w:cs="Times New Roman"/>
                <w:noProof/>
                <w:webHidden/>
              </w:rPr>
              <w:fldChar w:fldCharType="end"/>
            </w:r>
          </w:hyperlink>
        </w:p>
        <w:p w14:paraId="29E02351" w14:textId="4041B38E"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5" w:history="1">
            <w:r w:rsidR="00D762E9" w:rsidRPr="002D2123">
              <w:rPr>
                <w:rStyle w:val="Hypertextovodkaz"/>
                <w:rFonts w:ascii="Times New Roman" w:hAnsi="Times New Roman" w:cs="Times New Roman"/>
                <w:noProof/>
              </w:rPr>
              <w:t>6.</w:t>
            </w:r>
            <w:r w:rsidR="00D762E9" w:rsidRPr="002D2123">
              <w:rPr>
                <w:rStyle w:val="Hypertextovodkaz"/>
                <w:rFonts w:ascii="Times New Roman" w:hAnsi="Times New Roman" w:cs="Times New Roman"/>
                <w:noProof/>
              </w:rPr>
              <w:tab/>
              <w:t>Podpora p</w:t>
            </w:r>
            <w:r w:rsidR="00D762E9" w:rsidRPr="002D2123">
              <w:rPr>
                <w:rStyle w:val="Hypertextovodkaz"/>
                <w:rFonts w:ascii="Times New Roman" w:hAnsi="Times New Roman" w:cs="Times New Roman"/>
                <w:noProof/>
              </w:rPr>
              <w:t>o</w:t>
            </w:r>
            <w:r w:rsidR="00D762E9" w:rsidRPr="002D2123">
              <w:rPr>
                <w:rStyle w:val="Hypertextovodkaz"/>
                <w:rFonts w:ascii="Times New Roman" w:hAnsi="Times New Roman" w:cs="Times New Roman"/>
                <w:noProof/>
              </w:rPr>
              <w:t>dnikání a průmyslu</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_Toc9511885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265</w:t>
            </w:r>
            <w:r w:rsidR="00D762E9" w:rsidRPr="002D2123">
              <w:rPr>
                <w:rStyle w:val="Hypertextovodkaz"/>
                <w:rFonts w:ascii="Times New Roman" w:hAnsi="Times New Roman" w:cs="Times New Roman"/>
                <w:noProof/>
                <w:webHidden/>
              </w:rPr>
              <w:fldChar w:fldCharType="end"/>
            </w:r>
          </w:hyperlink>
        </w:p>
        <w:p w14:paraId="16B7AF9F" w14:textId="074E447C"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6" w:history="1">
            <w:r w:rsidR="00D762E9" w:rsidRPr="002D2123">
              <w:rPr>
                <w:rStyle w:val="Hypertextovodkaz"/>
                <w:rFonts w:ascii="Times New Roman" w:hAnsi="Times New Roman" w:cs="Times New Roman"/>
                <w:noProof/>
              </w:rPr>
              <w:t>7.</w:t>
            </w:r>
            <w:r w:rsidR="00D762E9" w:rsidRPr="002D2123">
              <w:rPr>
                <w:rStyle w:val="Hypertextovodkaz"/>
                <w:rFonts w:ascii="Times New Roman" w:hAnsi="Times New Roman" w:cs="Times New Roman"/>
                <w:noProof/>
              </w:rPr>
              <w:tab/>
              <w:t>Dopra</w:t>
            </w:r>
            <w:r w:rsidR="00D762E9" w:rsidRPr="002D2123">
              <w:rPr>
                <w:rStyle w:val="Hypertextovodkaz"/>
                <w:rFonts w:ascii="Times New Roman" w:hAnsi="Times New Roman" w:cs="Times New Roman"/>
                <w:noProof/>
              </w:rPr>
              <w:t>v</w:t>
            </w:r>
            <w:r w:rsidR="00D762E9" w:rsidRPr="002D2123">
              <w:rPr>
                <w:rStyle w:val="Hypertextovodkaz"/>
                <w:rFonts w:ascii="Times New Roman" w:hAnsi="Times New Roman" w:cs="Times New Roman"/>
                <w:noProof/>
              </w:rPr>
              <w:t>a</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_Toc9511886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315</w:t>
            </w:r>
            <w:r w:rsidR="00D762E9" w:rsidRPr="002D2123">
              <w:rPr>
                <w:rStyle w:val="Hypertextovodkaz"/>
                <w:rFonts w:ascii="Times New Roman" w:hAnsi="Times New Roman" w:cs="Times New Roman"/>
                <w:noProof/>
                <w:webHidden/>
              </w:rPr>
              <w:fldChar w:fldCharType="end"/>
            </w:r>
          </w:hyperlink>
        </w:p>
        <w:p w14:paraId="1FD92E65" w14:textId="5890CC79"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7" w:history="1">
            <w:r w:rsidR="00D762E9" w:rsidRPr="002D2123">
              <w:rPr>
                <w:rStyle w:val="Hypertextovodkaz"/>
                <w:rFonts w:ascii="Times New Roman" w:hAnsi="Times New Roman" w:cs="Times New Roman"/>
                <w:noProof/>
              </w:rPr>
              <w:t>8.</w:t>
            </w:r>
            <w:r w:rsidR="00D762E9" w:rsidRPr="002D2123">
              <w:rPr>
                <w:rStyle w:val="Hypertextovodkaz"/>
                <w:rFonts w:ascii="Times New Roman" w:hAnsi="Times New Roman" w:cs="Times New Roman"/>
                <w:noProof/>
              </w:rPr>
              <w:tab/>
              <w:t>Posun k nízkouhlíko</w:t>
            </w:r>
            <w:r w:rsidR="00D762E9" w:rsidRPr="002D2123">
              <w:rPr>
                <w:rStyle w:val="Hypertextovodkaz"/>
                <w:rFonts w:ascii="Times New Roman" w:hAnsi="Times New Roman" w:cs="Times New Roman"/>
                <w:noProof/>
              </w:rPr>
              <w:t>v</w:t>
            </w:r>
            <w:r w:rsidR="00D762E9" w:rsidRPr="002D2123">
              <w:rPr>
                <w:rStyle w:val="Hypertextovodkaz"/>
                <w:rFonts w:ascii="Times New Roman" w:hAnsi="Times New Roman" w:cs="Times New Roman"/>
                <w:noProof/>
              </w:rPr>
              <w:t>ému hospodářství</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_Toc9511887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370</w:t>
            </w:r>
            <w:r w:rsidR="00D762E9" w:rsidRPr="002D2123">
              <w:rPr>
                <w:rStyle w:val="Hypertextovodkaz"/>
                <w:rFonts w:ascii="Times New Roman" w:hAnsi="Times New Roman" w:cs="Times New Roman"/>
                <w:noProof/>
                <w:webHidden/>
              </w:rPr>
              <w:fldChar w:fldCharType="end"/>
            </w:r>
          </w:hyperlink>
        </w:p>
        <w:p w14:paraId="69D5A50B" w14:textId="36EE9142" w:rsidR="00D762E9" w:rsidRPr="002D2123" w:rsidRDefault="00A85779">
          <w:pPr>
            <w:pStyle w:val="Obsah1"/>
            <w:tabs>
              <w:tab w:val="left" w:pos="440"/>
              <w:tab w:val="right" w:leader="dot" w:pos="9062"/>
            </w:tabs>
            <w:rPr>
              <w:rStyle w:val="Hypertextovodkaz"/>
              <w:rFonts w:ascii="Times New Roman" w:hAnsi="Times New Roman" w:cs="Times New Roman"/>
              <w:noProof/>
            </w:rPr>
          </w:pPr>
          <w:hyperlink w:anchor="_Toc9511888" w:history="1">
            <w:r w:rsidR="00D762E9" w:rsidRPr="002D2123">
              <w:rPr>
                <w:rStyle w:val="Hypertextovodkaz"/>
                <w:rFonts w:ascii="Times New Roman" w:hAnsi="Times New Roman" w:cs="Times New Roman"/>
                <w:noProof/>
              </w:rPr>
              <w:t>9.</w:t>
            </w:r>
            <w:r w:rsidR="00D762E9" w:rsidRPr="002D2123">
              <w:rPr>
                <w:rStyle w:val="Hypertextovodkaz"/>
                <w:rFonts w:ascii="Times New Roman" w:hAnsi="Times New Roman" w:cs="Times New Roman"/>
                <w:noProof/>
              </w:rPr>
              <w:tab/>
              <w:t>Ochrana ž</w:t>
            </w:r>
            <w:r w:rsidR="00D762E9" w:rsidRPr="002D2123">
              <w:rPr>
                <w:rStyle w:val="Hypertextovodkaz"/>
                <w:rFonts w:ascii="Times New Roman" w:hAnsi="Times New Roman" w:cs="Times New Roman"/>
                <w:noProof/>
              </w:rPr>
              <w:t>i</w:t>
            </w:r>
            <w:r w:rsidR="00D762E9" w:rsidRPr="002D2123">
              <w:rPr>
                <w:rStyle w:val="Hypertextovodkaz"/>
                <w:rFonts w:ascii="Times New Roman" w:hAnsi="Times New Roman" w:cs="Times New Roman"/>
                <w:noProof/>
              </w:rPr>
              <w:t>votního prostředí a oběhové hospodářství</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_Toc9511888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414</w:t>
            </w:r>
            <w:r w:rsidR="00D762E9" w:rsidRPr="002D2123">
              <w:rPr>
                <w:rStyle w:val="Hypertextovodkaz"/>
                <w:rFonts w:ascii="Times New Roman" w:hAnsi="Times New Roman" w:cs="Times New Roman"/>
                <w:noProof/>
                <w:webHidden/>
              </w:rPr>
              <w:fldChar w:fldCharType="end"/>
            </w:r>
          </w:hyperlink>
        </w:p>
        <w:p w14:paraId="4429745B" w14:textId="44DC59F5" w:rsidR="00D762E9" w:rsidRPr="002D2123" w:rsidRDefault="00A85779" w:rsidP="0080096E">
          <w:pPr>
            <w:pStyle w:val="Obsah1"/>
            <w:tabs>
              <w:tab w:val="left" w:pos="440"/>
              <w:tab w:val="right" w:leader="dot" w:pos="9062"/>
            </w:tabs>
            <w:rPr>
              <w:rStyle w:val="Hypertextovodkaz"/>
              <w:rFonts w:ascii="Times New Roman" w:hAnsi="Times New Roman" w:cs="Times New Roman"/>
              <w:noProof/>
            </w:rPr>
          </w:pPr>
          <w:hyperlink w:anchor="_Toc9511889" w:history="1">
            <w:r w:rsidR="00D762E9" w:rsidRPr="002D2123">
              <w:rPr>
                <w:rStyle w:val="Hypertextovodkaz"/>
                <w:rFonts w:ascii="Times New Roman" w:hAnsi="Times New Roman" w:cs="Times New Roman"/>
                <w:noProof/>
              </w:rPr>
              <w:t>10.</w:t>
            </w:r>
            <w:r w:rsidR="0080096E" w:rsidRPr="002D2123">
              <w:rPr>
                <w:rStyle w:val="Hypertextovodkaz"/>
                <w:rFonts w:ascii="Times New Roman" w:hAnsi="Times New Roman" w:cs="Times New Roman"/>
                <w:noProof/>
              </w:rPr>
              <w:tab/>
            </w:r>
            <w:r w:rsidR="00D762E9" w:rsidRPr="002D2123">
              <w:rPr>
                <w:rStyle w:val="Hypertextovodkaz"/>
                <w:rFonts w:ascii="Times New Roman" w:hAnsi="Times New Roman" w:cs="Times New Roman"/>
                <w:noProof/>
              </w:rPr>
              <w:t>Zkva</w:t>
            </w:r>
            <w:r w:rsidR="00D762E9" w:rsidRPr="002D2123">
              <w:rPr>
                <w:rStyle w:val="Hypertextovodkaz"/>
                <w:rFonts w:ascii="Times New Roman" w:hAnsi="Times New Roman" w:cs="Times New Roman"/>
                <w:noProof/>
              </w:rPr>
              <w:t>l</w:t>
            </w:r>
            <w:r w:rsidR="00D762E9" w:rsidRPr="002D2123">
              <w:rPr>
                <w:rStyle w:val="Hypertextovodkaz"/>
                <w:rFonts w:ascii="Times New Roman" w:hAnsi="Times New Roman" w:cs="Times New Roman"/>
                <w:noProof/>
              </w:rPr>
              <w:t>i</w:t>
            </w:r>
            <w:r w:rsidR="00D762E9" w:rsidRPr="002D2123">
              <w:rPr>
                <w:rStyle w:val="Hypertextovodkaz"/>
                <w:rFonts w:ascii="Times New Roman" w:hAnsi="Times New Roman" w:cs="Times New Roman"/>
                <w:noProof/>
              </w:rPr>
              <w:t>t</w:t>
            </w:r>
            <w:r w:rsidR="00D762E9" w:rsidRPr="002D2123">
              <w:rPr>
                <w:rStyle w:val="Hypertextovodkaz"/>
                <w:rFonts w:ascii="Times New Roman" w:hAnsi="Times New Roman" w:cs="Times New Roman"/>
                <w:noProof/>
              </w:rPr>
              <w:t>ň</w:t>
            </w:r>
            <w:r w:rsidR="00D762E9" w:rsidRPr="002D2123">
              <w:rPr>
                <w:rStyle w:val="Hypertextovodkaz"/>
                <w:rFonts w:ascii="Times New Roman" w:hAnsi="Times New Roman" w:cs="Times New Roman"/>
                <w:noProof/>
              </w:rPr>
              <w:t>ová</w:t>
            </w:r>
            <w:r w:rsidR="00D762E9" w:rsidRPr="002D2123">
              <w:rPr>
                <w:rStyle w:val="Hypertextovodkaz"/>
                <w:rFonts w:ascii="Times New Roman" w:hAnsi="Times New Roman" w:cs="Times New Roman"/>
                <w:noProof/>
              </w:rPr>
              <w:t>n</w:t>
            </w:r>
            <w:r w:rsidR="00D762E9" w:rsidRPr="002D2123">
              <w:rPr>
                <w:rStyle w:val="Hypertextovodkaz"/>
                <w:rFonts w:ascii="Times New Roman" w:hAnsi="Times New Roman" w:cs="Times New Roman"/>
                <w:noProof/>
              </w:rPr>
              <w:t>í veřejných prostranství a rozvoj zelené infrastruktury</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_Toc9511889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489</w:t>
            </w:r>
            <w:r w:rsidR="00D762E9" w:rsidRPr="002D2123">
              <w:rPr>
                <w:rStyle w:val="Hypertextovodkaz"/>
                <w:rFonts w:ascii="Times New Roman" w:hAnsi="Times New Roman" w:cs="Times New Roman"/>
                <w:noProof/>
                <w:webHidden/>
              </w:rPr>
              <w:fldChar w:fldCharType="end"/>
            </w:r>
          </w:hyperlink>
        </w:p>
        <w:p w14:paraId="0561AD57" w14:textId="7F1CCBED" w:rsidR="00D762E9" w:rsidRPr="002D2123" w:rsidRDefault="00A85779" w:rsidP="0080096E">
          <w:pPr>
            <w:pStyle w:val="Obsah1"/>
            <w:tabs>
              <w:tab w:val="left" w:pos="440"/>
              <w:tab w:val="right" w:leader="dot" w:pos="9062"/>
            </w:tabs>
            <w:rPr>
              <w:rStyle w:val="Hypertextovodkaz"/>
              <w:rFonts w:ascii="Times New Roman" w:hAnsi="Times New Roman" w:cs="Times New Roman"/>
              <w:noProof/>
            </w:rPr>
          </w:pPr>
          <w:hyperlink w:anchor="_Toc9511890" w:history="1">
            <w:r w:rsidR="00D762E9" w:rsidRPr="002D2123">
              <w:rPr>
                <w:rStyle w:val="Hypertextovodkaz"/>
                <w:rFonts w:ascii="Times New Roman" w:hAnsi="Times New Roman" w:cs="Times New Roman"/>
                <w:noProof/>
              </w:rPr>
              <w:t>11.</w:t>
            </w:r>
            <w:r w:rsidR="00D762E9" w:rsidRPr="002D2123">
              <w:rPr>
                <w:rStyle w:val="Hypertextovodkaz"/>
                <w:rFonts w:ascii="Times New Roman" w:hAnsi="Times New Roman" w:cs="Times New Roman"/>
                <w:noProof/>
              </w:rPr>
              <w:tab/>
              <w:t>Kul</w:t>
            </w:r>
            <w:r w:rsidR="00D762E9" w:rsidRPr="002D2123">
              <w:rPr>
                <w:rStyle w:val="Hypertextovodkaz"/>
                <w:rFonts w:ascii="Times New Roman" w:hAnsi="Times New Roman" w:cs="Times New Roman"/>
                <w:noProof/>
              </w:rPr>
              <w:t>t</w:t>
            </w:r>
            <w:r w:rsidR="00D762E9" w:rsidRPr="002D2123">
              <w:rPr>
                <w:rStyle w:val="Hypertextovodkaz"/>
                <w:rFonts w:ascii="Times New Roman" w:hAnsi="Times New Roman" w:cs="Times New Roman"/>
                <w:noProof/>
              </w:rPr>
              <w:t>ura</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_Toc9511890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508</w:t>
            </w:r>
            <w:r w:rsidR="00D762E9" w:rsidRPr="002D2123">
              <w:rPr>
                <w:rStyle w:val="Hypertextovodkaz"/>
                <w:rFonts w:ascii="Times New Roman" w:hAnsi="Times New Roman" w:cs="Times New Roman"/>
                <w:noProof/>
                <w:webHidden/>
              </w:rPr>
              <w:fldChar w:fldCharType="end"/>
            </w:r>
          </w:hyperlink>
        </w:p>
        <w:p w14:paraId="0F4393C3" w14:textId="35ECDA26" w:rsidR="00D762E9" w:rsidRPr="002D2123" w:rsidRDefault="00A85779" w:rsidP="0080096E">
          <w:pPr>
            <w:pStyle w:val="Obsah1"/>
            <w:tabs>
              <w:tab w:val="left" w:pos="440"/>
              <w:tab w:val="right" w:leader="dot" w:pos="9062"/>
            </w:tabs>
            <w:rPr>
              <w:rStyle w:val="Hypertextovodkaz"/>
              <w:rFonts w:ascii="Times New Roman" w:hAnsi="Times New Roman" w:cs="Times New Roman"/>
              <w:noProof/>
            </w:rPr>
          </w:pPr>
          <w:hyperlink w:anchor="_Toc9511891" w:history="1">
            <w:r w:rsidR="00D762E9" w:rsidRPr="002D2123">
              <w:rPr>
                <w:rStyle w:val="Hypertextovodkaz"/>
                <w:rFonts w:ascii="Times New Roman" w:hAnsi="Times New Roman" w:cs="Times New Roman"/>
                <w:noProof/>
              </w:rPr>
              <w:t>12.</w:t>
            </w:r>
            <w:r w:rsidR="00D762E9" w:rsidRPr="002D2123">
              <w:rPr>
                <w:rStyle w:val="Hypertextovodkaz"/>
                <w:rFonts w:ascii="Times New Roman" w:hAnsi="Times New Roman" w:cs="Times New Roman"/>
                <w:noProof/>
              </w:rPr>
              <w:tab/>
              <w:t>Cest</w:t>
            </w:r>
            <w:r w:rsidR="00D762E9" w:rsidRPr="002D2123">
              <w:rPr>
                <w:rStyle w:val="Hypertextovodkaz"/>
                <w:rFonts w:ascii="Times New Roman" w:hAnsi="Times New Roman" w:cs="Times New Roman"/>
                <w:noProof/>
              </w:rPr>
              <w:t>o</w:t>
            </w:r>
            <w:r w:rsidR="00D762E9" w:rsidRPr="002D2123">
              <w:rPr>
                <w:rStyle w:val="Hypertextovodkaz"/>
                <w:rFonts w:ascii="Times New Roman" w:hAnsi="Times New Roman" w:cs="Times New Roman"/>
                <w:noProof/>
              </w:rPr>
              <w:t>v</w:t>
            </w:r>
            <w:r w:rsidR="00D762E9" w:rsidRPr="002D2123">
              <w:rPr>
                <w:rStyle w:val="Hypertextovodkaz"/>
                <w:rFonts w:ascii="Times New Roman" w:hAnsi="Times New Roman" w:cs="Times New Roman"/>
                <w:noProof/>
              </w:rPr>
              <w:t>n</w:t>
            </w:r>
            <w:r w:rsidR="00D762E9" w:rsidRPr="002D2123">
              <w:rPr>
                <w:rStyle w:val="Hypertextovodkaz"/>
                <w:rFonts w:ascii="Times New Roman" w:hAnsi="Times New Roman" w:cs="Times New Roman"/>
                <w:noProof/>
              </w:rPr>
              <w:t>í r</w:t>
            </w:r>
            <w:r w:rsidR="00D762E9" w:rsidRPr="002D2123">
              <w:rPr>
                <w:rStyle w:val="Hypertextovodkaz"/>
                <w:rFonts w:ascii="Times New Roman" w:hAnsi="Times New Roman" w:cs="Times New Roman"/>
                <w:noProof/>
              </w:rPr>
              <w:t>u</w:t>
            </w:r>
            <w:r w:rsidR="00D762E9" w:rsidRPr="002D2123">
              <w:rPr>
                <w:rStyle w:val="Hypertextovodkaz"/>
                <w:rFonts w:ascii="Times New Roman" w:hAnsi="Times New Roman" w:cs="Times New Roman"/>
                <w:noProof/>
              </w:rPr>
              <w:t>ch</w:t>
            </w:r>
            <w:r w:rsidR="00D762E9" w:rsidRPr="002D2123">
              <w:rPr>
                <w:rStyle w:val="Hypertextovodkaz"/>
                <w:rFonts w:ascii="Times New Roman" w:hAnsi="Times New Roman" w:cs="Times New Roman"/>
                <w:noProof/>
                <w:webHidden/>
              </w:rPr>
              <w:tab/>
            </w:r>
            <w:r w:rsidR="00D762E9" w:rsidRPr="002D2123">
              <w:rPr>
                <w:rStyle w:val="Hypertextovodkaz"/>
                <w:rFonts w:ascii="Times New Roman" w:hAnsi="Times New Roman" w:cs="Times New Roman"/>
                <w:noProof/>
                <w:webHidden/>
              </w:rPr>
              <w:fldChar w:fldCharType="begin"/>
            </w:r>
            <w:r w:rsidR="00D762E9" w:rsidRPr="002D2123">
              <w:rPr>
                <w:rStyle w:val="Hypertextovodkaz"/>
                <w:rFonts w:ascii="Times New Roman" w:hAnsi="Times New Roman" w:cs="Times New Roman"/>
                <w:noProof/>
                <w:webHidden/>
              </w:rPr>
              <w:instrText xml:space="preserve"> PAGEREF _Toc9511891 \h </w:instrText>
            </w:r>
            <w:r w:rsidR="00D762E9" w:rsidRPr="002D2123">
              <w:rPr>
                <w:rStyle w:val="Hypertextovodkaz"/>
                <w:rFonts w:ascii="Times New Roman" w:hAnsi="Times New Roman" w:cs="Times New Roman"/>
                <w:noProof/>
                <w:webHidden/>
              </w:rPr>
            </w:r>
            <w:r w:rsidR="00D762E9" w:rsidRPr="002D2123">
              <w:rPr>
                <w:rStyle w:val="Hypertextovodkaz"/>
                <w:rFonts w:ascii="Times New Roman" w:hAnsi="Times New Roman" w:cs="Times New Roman"/>
                <w:noProof/>
                <w:webHidden/>
              </w:rPr>
              <w:fldChar w:fldCharType="separate"/>
            </w:r>
            <w:r>
              <w:rPr>
                <w:rStyle w:val="Hypertextovodkaz"/>
                <w:rFonts w:ascii="Times New Roman" w:hAnsi="Times New Roman" w:cs="Times New Roman"/>
                <w:noProof/>
                <w:webHidden/>
              </w:rPr>
              <w:t>529</w:t>
            </w:r>
            <w:r w:rsidR="00D762E9" w:rsidRPr="002D2123">
              <w:rPr>
                <w:rStyle w:val="Hypertextovodkaz"/>
                <w:rFonts w:ascii="Times New Roman" w:hAnsi="Times New Roman" w:cs="Times New Roman"/>
                <w:noProof/>
                <w:webHidden/>
              </w:rPr>
              <w:fldChar w:fldCharType="end"/>
            </w:r>
          </w:hyperlink>
        </w:p>
        <w:p w14:paraId="2E885950" w14:textId="630663A4" w:rsidR="00D762E9" w:rsidRPr="002D2123" w:rsidRDefault="00D762E9" w:rsidP="0080096E">
          <w:pPr>
            <w:pStyle w:val="Obsah1"/>
            <w:tabs>
              <w:tab w:val="left" w:pos="440"/>
              <w:tab w:val="right" w:leader="dot" w:pos="9062"/>
            </w:tabs>
            <w:rPr>
              <w:rFonts w:ascii="Times New Roman" w:hAnsi="Times New Roman" w:cs="Times New Roman"/>
            </w:rPr>
          </w:pPr>
          <w:r w:rsidRPr="002D2123">
            <w:rPr>
              <w:rStyle w:val="Hypertextovodkaz"/>
              <w:rFonts w:ascii="Times New Roman" w:hAnsi="Times New Roman" w:cs="Times New Roman"/>
              <w:noProof/>
            </w:rPr>
            <w:fldChar w:fldCharType="end"/>
          </w:r>
        </w:p>
      </w:sdtContent>
    </w:sdt>
    <w:p w14:paraId="3FD711C0" w14:textId="77777777" w:rsidR="00D762E9" w:rsidRPr="002D2123" w:rsidRDefault="00D762E9">
      <w:pPr>
        <w:rPr>
          <w:rFonts w:ascii="Times New Roman" w:hAnsi="Times New Roman" w:cs="Times New Roman"/>
        </w:rPr>
      </w:pPr>
    </w:p>
    <w:p w14:paraId="38D0DBBA" w14:textId="34B212BF" w:rsidR="00D762E9" w:rsidRPr="002D2123" w:rsidRDefault="00D762E9">
      <w:pPr>
        <w:rPr>
          <w:rFonts w:ascii="Times New Roman" w:hAnsi="Times New Roman" w:cs="Times New Roman"/>
        </w:rPr>
      </w:pPr>
    </w:p>
    <w:p w14:paraId="2E860985" w14:textId="6728ECC3" w:rsidR="0080096E" w:rsidRPr="002D2123" w:rsidRDefault="0080096E">
      <w:pPr>
        <w:rPr>
          <w:rFonts w:ascii="Times New Roman" w:hAnsi="Times New Roman" w:cs="Times New Roman"/>
        </w:rPr>
      </w:pPr>
    </w:p>
    <w:p w14:paraId="34956FEE" w14:textId="77777777" w:rsidR="0080096E" w:rsidRPr="002D2123" w:rsidRDefault="0080096E">
      <w:pPr>
        <w:rPr>
          <w:rFonts w:ascii="Times New Roman" w:hAnsi="Times New Roman" w:cs="Times New Roman"/>
        </w:rPr>
      </w:pPr>
      <w:r w:rsidRPr="002D2123">
        <w:rPr>
          <w:rFonts w:ascii="Times New Roman" w:hAnsi="Times New Roman" w:cs="Times New Roman"/>
        </w:rPr>
        <w:br w:type="page"/>
      </w:r>
      <w:bookmarkStart w:id="0" w:name="_GoBack"/>
      <w:bookmarkEnd w:id="0"/>
    </w:p>
    <w:p w14:paraId="6EC4C9D9" w14:textId="0BAE5845" w:rsidR="00B15ECB" w:rsidRPr="002D2123" w:rsidRDefault="00B15ECB" w:rsidP="00B15ECB">
      <w:pPr>
        <w:pStyle w:val="Nadpis1"/>
        <w:ind w:firstLine="360"/>
        <w:rPr>
          <w:rFonts w:ascii="Times New Roman" w:hAnsi="Times New Roman" w:cs="Times New Roman"/>
        </w:rPr>
      </w:pPr>
      <w:bookmarkStart w:id="1" w:name="_Toc9511880"/>
      <w:r w:rsidRPr="002D2123">
        <w:rPr>
          <w:rFonts w:ascii="Times New Roman" w:hAnsi="Times New Roman" w:cs="Times New Roman"/>
        </w:rPr>
        <w:t>Úvod</w:t>
      </w:r>
      <w:r w:rsidR="0080096E" w:rsidRPr="002D2123">
        <w:rPr>
          <w:rFonts w:ascii="Times New Roman" w:hAnsi="Times New Roman" w:cs="Times New Roman"/>
        </w:rPr>
        <w:t>ní informace</w:t>
      </w:r>
    </w:p>
    <w:p w14:paraId="5BD85BE9" w14:textId="77777777" w:rsidR="00B15ECB" w:rsidRPr="002D2123" w:rsidRDefault="00B15ECB" w:rsidP="00B15ECB">
      <w:pPr>
        <w:rPr>
          <w:rFonts w:ascii="Times New Roman" w:hAnsi="Times New Roman" w:cs="Times New Roman"/>
          <w:color w:val="1F497D"/>
          <w:sz w:val="20"/>
        </w:rPr>
      </w:pPr>
    </w:p>
    <w:p w14:paraId="07AC9357" w14:textId="77777777" w:rsidR="00F202DF" w:rsidRPr="002D2123" w:rsidRDefault="00F202DF" w:rsidP="00F202DF">
      <w:pPr>
        <w:spacing w:line="276" w:lineRule="auto"/>
        <w:jc w:val="both"/>
        <w:rPr>
          <w:rFonts w:ascii="Times New Roman" w:hAnsi="Times New Roman" w:cs="Times New Roman"/>
          <w:bCs/>
        </w:rPr>
      </w:pPr>
      <w:r w:rsidRPr="002D2123">
        <w:rPr>
          <w:rFonts w:ascii="Times New Roman" w:hAnsi="Times New Roman" w:cs="Times New Roman"/>
          <w:bCs/>
        </w:rPr>
        <w:t xml:space="preserve">Tematické karty NKR byly v období od ledna 2018 do března 2019 připravovány v úzké spolupráci s příslušnými věcnými útvary resortů odpovědnými za danou tematickou oblast. Celkem je zde zpracováno 43 specifických cílů ve 12 tematických oblastech. </w:t>
      </w:r>
    </w:p>
    <w:p w14:paraId="3920A03E" w14:textId="0745809A" w:rsidR="00B15ECB" w:rsidRPr="002D2123" w:rsidRDefault="00F202DF" w:rsidP="00F202DF">
      <w:pPr>
        <w:spacing w:line="276" w:lineRule="auto"/>
        <w:jc w:val="both"/>
        <w:rPr>
          <w:rFonts w:ascii="Times New Roman" w:hAnsi="Times New Roman" w:cs="Times New Roman"/>
          <w:bCs/>
        </w:rPr>
      </w:pPr>
      <w:r w:rsidRPr="002D2123">
        <w:rPr>
          <w:rFonts w:ascii="Times New Roman" w:hAnsi="Times New Roman" w:cs="Times New Roman"/>
          <w:bCs/>
        </w:rPr>
        <w:t>Hlavním účelem karet bylo sloužit jako podklad pro prioritizaci, která ve druhé fázi přípravy NKR probíhala v období březen – duben 2019. Informace v kartách obsažené, zejména pokud jde o absorpční kapacitu a čerpání finančních prostředků v nynějším období, byly průběžně zpřesňovány a upravovány. V současné době v některých oblastech dochází průběžně k posunu v čerpání, přičemž tato informace již není v kartách po proběhlé prioritizaci dále zohledněna.</w:t>
      </w:r>
    </w:p>
    <w:p w14:paraId="54E4E93B" w14:textId="77777777" w:rsidR="0080096E" w:rsidRPr="002D2123" w:rsidRDefault="0080096E">
      <w:pPr>
        <w:rPr>
          <w:rFonts w:ascii="Times New Roman" w:hAnsi="Times New Roman" w:cs="Times New Roman"/>
          <w:bCs/>
        </w:rPr>
      </w:pPr>
      <w:r w:rsidRPr="002D2123">
        <w:rPr>
          <w:rFonts w:ascii="Times New Roman" w:hAnsi="Times New Roman" w:cs="Times New Roman"/>
          <w:bCs/>
        </w:rPr>
        <w:br w:type="page"/>
      </w:r>
    </w:p>
    <w:p w14:paraId="164B4091" w14:textId="6E167649" w:rsidR="00D762E9" w:rsidRPr="002D2123" w:rsidRDefault="00D762E9" w:rsidP="00391907">
      <w:pPr>
        <w:pStyle w:val="Nadpis1"/>
        <w:numPr>
          <w:ilvl w:val="0"/>
          <w:numId w:val="1"/>
        </w:numPr>
        <w:rPr>
          <w:rFonts w:ascii="Times New Roman" w:hAnsi="Times New Roman" w:cs="Times New Roman"/>
        </w:rPr>
      </w:pPr>
      <w:r w:rsidRPr="002D2123">
        <w:rPr>
          <w:rFonts w:ascii="Times New Roman" w:hAnsi="Times New Roman" w:cs="Times New Roman"/>
        </w:rPr>
        <w:t>Trh práce a zaměstnanost</w:t>
      </w:r>
      <w:bookmarkEnd w:id="1"/>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2D2123" w14:paraId="776A76D2" w14:textId="77777777" w:rsidTr="00B15ECB">
        <w:trPr>
          <w:trHeight w:val="180"/>
        </w:trPr>
        <w:tc>
          <w:tcPr>
            <w:tcW w:w="249" w:type="dxa"/>
            <w:tcBorders>
              <w:bottom w:val="nil"/>
              <w:right w:val="nil"/>
            </w:tcBorders>
            <w:shd w:val="clear" w:color="auto" w:fill="66CCFF"/>
          </w:tcPr>
          <w:p w14:paraId="5FF8B0D9" w14:textId="77777777" w:rsidR="00DD3EFA" w:rsidRPr="002D2123" w:rsidRDefault="00DD3EFA" w:rsidP="00B15ECB">
            <w:pPr>
              <w:rPr>
                <w:b/>
                <w:sz w:val="10"/>
                <w:szCs w:val="10"/>
              </w:rPr>
            </w:pPr>
          </w:p>
        </w:tc>
        <w:tc>
          <w:tcPr>
            <w:tcW w:w="2548" w:type="dxa"/>
            <w:tcBorders>
              <w:left w:val="nil"/>
              <w:right w:val="nil"/>
            </w:tcBorders>
            <w:shd w:val="clear" w:color="auto" w:fill="66CCFF"/>
          </w:tcPr>
          <w:p w14:paraId="62A55B2F" w14:textId="77777777" w:rsidR="00DD3EFA" w:rsidRPr="002D2123" w:rsidRDefault="00DD3EFA" w:rsidP="00B15ECB">
            <w:pPr>
              <w:rPr>
                <w:b/>
                <w:sz w:val="10"/>
                <w:szCs w:val="10"/>
              </w:rPr>
            </w:pPr>
          </w:p>
        </w:tc>
        <w:tc>
          <w:tcPr>
            <w:tcW w:w="5978" w:type="dxa"/>
            <w:tcBorders>
              <w:left w:val="nil"/>
              <w:right w:val="nil"/>
            </w:tcBorders>
            <w:shd w:val="clear" w:color="auto" w:fill="66CCFF"/>
          </w:tcPr>
          <w:p w14:paraId="7CA7F88E" w14:textId="77777777" w:rsidR="00DD3EFA" w:rsidRPr="002D2123" w:rsidRDefault="00DD3EFA" w:rsidP="00B15ECB">
            <w:pPr>
              <w:rPr>
                <w:b/>
              </w:rPr>
            </w:pPr>
          </w:p>
        </w:tc>
        <w:tc>
          <w:tcPr>
            <w:tcW w:w="249" w:type="dxa"/>
            <w:tcBorders>
              <w:left w:val="nil"/>
              <w:bottom w:val="nil"/>
            </w:tcBorders>
            <w:shd w:val="clear" w:color="auto" w:fill="66CCFF"/>
          </w:tcPr>
          <w:p w14:paraId="52F761A9" w14:textId="77777777" w:rsidR="00DD3EFA" w:rsidRPr="002D2123" w:rsidRDefault="00DD3EFA" w:rsidP="00B15ECB">
            <w:pPr>
              <w:rPr>
                <w:b/>
                <w:sz w:val="10"/>
                <w:szCs w:val="10"/>
              </w:rPr>
            </w:pPr>
          </w:p>
        </w:tc>
      </w:tr>
      <w:tr w:rsidR="00DD3EFA" w:rsidRPr="005A0E7C" w14:paraId="74E5E37F" w14:textId="77777777" w:rsidTr="00B15ECB">
        <w:trPr>
          <w:trHeight w:val="561"/>
        </w:trPr>
        <w:tc>
          <w:tcPr>
            <w:tcW w:w="249" w:type="dxa"/>
            <w:tcBorders>
              <w:top w:val="nil"/>
              <w:bottom w:val="nil"/>
            </w:tcBorders>
            <w:shd w:val="clear" w:color="auto" w:fill="66CCFF"/>
          </w:tcPr>
          <w:p w14:paraId="4A5D3BBE" w14:textId="77777777" w:rsidR="00DD3EFA" w:rsidRPr="005A0E7C" w:rsidRDefault="00DD3EFA" w:rsidP="00B15ECB">
            <w:pPr>
              <w:rPr>
                <w:b/>
              </w:rPr>
            </w:pPr>
          </w:p>
        </w:tc>
        <w:tc>
          <w:tcPr>
            <w:tcW w:w="2548" w:type="dxa"/>
            <w:shd w:val="clear" w:color="auto" w:fill="0070C0"/>
          </w:tcPr>
          <w:p w14:paraId="75C9BFC3" w14:textId="77777777" w:rsidR="00DD3EFA" w:rsidRPr="005A0E7C" w:rsidRDefault="00DD3EFA" w:rsidP="00B15ECB">
            <w:pPr>
              <w:spacing w:before="60" w:after="60"/>
              <w:rPr>
                <w:rFonts w:eastAsiaTheme="majorEastAsia"/>
                <w:b/>
              </w:rPr>
            </w:pPr>
            <w:r w:rsidRPr="005A0E7C">
              <w:rPr>
                <w:rFonts w:eastAsiaTheme="majorEastAsia"/>
                <w:b/>
              </w:rPr>
              <w:t>Strategický cíl NKR:</w:t>
            </w:r>
          </w:p>
          <w:p w14:paraId="57CE9094" w14:textId="77777777" w:rsidR="00DD3EFA" w:rsidRPr="005A0E7C" w:rsidRDefault="00DD3EFA" w:rsidP="00B15ECB">
            <w:pPr>
              <w:spacing w:before="60" w:after="60"/>
              <w:rPr>
                <w:rFonts w:eastAsiaTheme="majorEastAsia"/>
                <w:b/>
              </w:rPr>
            </w:pPr>
            <w:r w:rsidRPr="005A0E7C">
              <w:rPr>
                <w:rFonts w:eastAsiaTheme="majorEastAsia"/>
                <w:b/>
              </w:rPr>
              <w:t>Konkurenceschopná a soudržná společnost</w:t>
            </w:r>
          </w:p>
        </w:tc>
        <w:tc>
          <w:tcPr>
            <w:tcW w:w="5978" w:type="dxa"/>
            <w:shd w:val="clear" w:color="auto" w:fill="0070C0"/>
          </w:tcPr>
          <w:p w14:paraId="2A8D579B" w14:textId="77777777" w:rsidR="00DD3EFA" w:rsidRPr="005A0E7C" w:rsidRDefault="00DD3EFA" w:rsidP="00B15ECB">
            <w:pPr>
              <w:spacing w:before="60" w:after="60"/>
              <w:rPr>
                <w:rFonts w:eastAsiaTheme="majorEastAsia"/>
                <w:b/>
                <w:u w:val="single"/>
              </w:rPr>
            </w:pPr>
            <w:r w:rsidRPr="005A0E7C">
              <w:rPr>
                <w:rFonts w:eastAsiaTheme="majorEastAsia"/>
                <w:b/>
                <w:u w:val="single"/>
              </w:rPr>
              <w:t>Specifický cíl NKR</w:t>
            </w:r>
            <w:r w:rsidRPr="005A0E7C">
              <w:rPr>
                <w:rStyle w:val="Znakapoznpodarou"/>
                <w:rFonts w:eastAsiaTheme="majorEastAsia"/>
                <w:u w:val="single"/>
              </w:rPr>
              <w:footnoteReference w:id="1"/>
            </w:r>
            <w:r w:rsidRPr="005A0E7C">
              <w:rPr>
                <w:rFonts w:eastAsiaTheme="majorEastAsia"/>
                <w:b/>
                <w:u w:val="single"/>
              </w:rPr>
              <w:t>:</w:t>
            </w:r>
          </w:p>
          <w:p w14:paraId="102209A1" w14:textId="77777777" w:rsidR="00DD3EFA" w:rsidRPr="005A0E7C" w:rsidRDefault="00DD3EFA" w:rsidP="00B15ECB">
            <w:pPr>
              <w:spacing w:before="60" w:after="60"/>
              <w:rPr>
                <w:rFonts w:eastAsiaTheme="majorEastAsia"/>
                <w:b/>
                <w:u w:val="single"/>
              </w:rPr>
            </w:pPr>
            <w:r w:rsidRPr="005A0E7C">
              <w:rPr>
                <w:rFonts w:eastAsiaTheme="majorEastAsia"/>
                <w:b/>
              </w:rPr>
              <w:t xml:space="preserve">Zvýšení účasti znevýhodněných skupin na trhu práce </w:t>
            </w:r>
          </w:p>
        </w:tc>
        <w:tc>
          <w:tcPr>
            <w:tcW w:w="249" w:type="dxa"/>
            <w:tcBorders>
              <w:top w:val="nil"/>
              <w:bottom w:val="nil"/>
            </w:tcBorders>
            <w:shd w:val="clear" w:color="auto" w:fill="66CCFF"/>
          </w:tcPr>
          <w:p w14:paraId="04D8313F" w14:textId="77777777" w:rsidR="00DD3EFA" w:rsidRPr="005A0E7C" w:rsidRDefault="00DD3EFA" w:rsidP="00B15ECB">
            <w:pPr>
              <w:rPr>
                <w:b/>
              </w:rPr>
            </w:pPr>
          </w:p>
        </w:tc>
      </w:tr>
      <w:tr w:rsidR="00DD3EFA" w:rsidRPr="005A0E7C" w14:paraId="4F18AA9D" w14:textId="77777777" w:rsidTr="00B15ECB">
        <w:trPr>
          <w:trHeight w:val="180"/>
        </w:trPr>
        <w:tc>
          <w:tcPr>
            <w:tcW w:w="249" w:type="dxa"/>
            <w:tcBorders>
              <w:top w:val="nil"/>
              <w:bottom w:val="nil"/>
              <w:right w:val="nil"/>
            </w:tcBorders>
            <w:shd w:val="clear" w:color="auto" w:fill="66CCFF"/>
          </w:tcPr>
          <w:p w14:paraId="32558662" w14:textId="77777777" w:rsidR="00DD3EFA" w:rsidRPr="005A0E7C" w:rsidRDefault="00DD3EFA" w:rsidP="00B15ECB">
            <w:pPr>
              <w:rPr>
                <w:b/>
              </w:rPr>
            </w:pPr>
          </w:p>
        </w:tc>
        <w:tc>
          <w:tcPr>
            <w:tcW w:w="2548" w:type="dxa"/>
            <w:tcBorders>
              <w:left w:val="nil"/>
              <w:right w:val="nil"/>
            </w:tcBorders>
            <w:shd w:val="clear" w:color="auto" w:fill="66CCFF"/>
          </w:tcPr>
          <w:p w14:paraId="16113233" w14:textId="77777777" w:rsidR="00DD3EFA" w:rsidRPr="005A0E7C" w:rsidRDefault="00DD3EFA" w:rsidP="00B15ECB">
            <w:pPr>
              <w:rPr>
                <w:b/>
              </w:rPr>
            </w:pPr>
          </w:p>
        </w:tc>
        <w:tc>
          <w:tcPr>
            <w:tcW w:w="5978" w:type="dxa"/>
            <w:tcBorders>
              <w:left w:val="nil"/>
              <w:right w:val="nil"/>
            </w:tcBorders>
            <w:shd w:val="clear" w:color="auto" w:fill="66CCFF"/>
          </w:tcPr>
          <w:p w14:paraId="2CBF84C7" w14:textId="77777777" w:rsidR="00DD3EFA" w:rsidRPr="005A0E7C" w:rsidRDefault="00DD3EFA" w:rsidP="00B15ECB">
            <w:pPr>
              <w:rPr>
                <w:b/>
              </w:rPr>
            </w:pPr>
          </w:p>
        </w:tc>
        <w:tc>
          <w:tcPr>
            <w:tcW w:w="249" w:type="dxa"/>
            <w:tcBorders>
              <w:top w:val="nil"/>
              <w:left w:val="nil"/>
              <w:bottom w:val="nil"/>
            </w:tcBorders>
            <w:shd w:val="clear" w:color="auto" w:fill="66CCFF"/>
          </w:tcPr>
          <w:p w14:paraId="4A558D40" w14:textId="77777777" w:rsidR="00DD3EFA" w:rsidRPr="005A0E7C" w:rsidRDefault="00DD3EFA" w:rsidP="00B15ECB">
            <w:pPr>
              <w:rPr>
                <w:b/>
              </w:rPr>
            </w:pPr>
          </w:p>
        </w:tc>
      </w:tr>
      <w:tr w:rsidR="00DD3EFA" w:rsidRPr="005A0E7C" w14:paraId="1D67A1AF" w14:textId="77777777" w:rsidTr="00B15ECB">
        <w:trPr>
          <w:trHeight w:val="892"/>
        </w:trPr>
        <w:tc>
          <w:tcPr>
            <w:tcW w:w="249" w:type="dxa"/>
            <w:tcBorders>
              <w:top w:val="nil"/>
              <w:bottom w:val="nil"/>
            </w:tcBorders>
            <w:shd w:val="clear" w:color="auto" w:fill="66CCFF"/>
          </w:tcPr>
          <w:p w14:paraId="00562520" w14:textId="77777777" w:rsidR="00DD3EFA" w:rsidRPr="005A0E7C" w:rsidRDefault="00DD3EFA" w:rsidP="00B15ECB">
            <w:pPr>
              <w:rPr>
                <w:b/>
              </w:rPr>
            </w:pPr>
          </w:p>
        </w:tc>
        <w:tc>
          <w:tcPr>
            <w:tcW w:w="2548" w:type="dxa"/>
            <w:shd w:val="clear" w:color="auto" w:fill="FFFFFF" w:themeFill="background1"/>
          </w:tcPr>
          <w:p w14:paraId="03DAF92C"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0295B77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Jedná se o intervence a opatření s cílem zvýšit participaci níže uvedených znevýhodněných skupin na trhu práce, přičemž výčet těchto skupin je demonstrativní, nikoliv taxativní. Může se jednat o osoby, které jsou v evidenci ÚP ČR, ale i osoby, které stojí mimo evidenci. Na realizaci opatření mají vliv jednak služby zaměstnanosti a to jak veřejné, tak soukromé (agentury práce), tak také jiní stakeholdeři a zainteresované subjekty, mezi něž patří zejména poskytovatelé sociálních služeb, neziskové organizace, kraje, obce a zástupci sociálních partnerů, zástupci osob se zdravotním postižením a další. Partneři se navzájem síťují a vytvářejí partnerství. Jedná se o opatření na různých úrovních, zahrnující individuální práci šitou na míru konkrétním potřebám znevýhodněných osob a zároveň zaměstnavatelům, kteří vytvářejí a nabízejí pracovní místa. Intervence obsahují např. aktivní politiku zaměstnanosti a jiné služby dle zákona o zaměstnanosti, zprostředkování, zaměstnání, poradenství, sociální a pracovní aktivizaci, poskytování souvisejících sociálních a jiných služeb, a rovněž zavádění a realizaci inovativních přístupů při práci s definovanými skupinami.</w:t>
            </w:r>
          </w:p>
          <w:p w14:paraId="44AC5E6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Intervence v této podoblasti se zaměří na:</w:t>
            </w:r>
          </w:p>
          <w:p w14:paraId="23AF81D7" w14:textId="6A708A9C" w:rsidR="00DD3EFA" w:rsidRPr="005A0E7C" w:rsidRDefault="00DD3EFA" w:rsidP="00391907">
            <w:pPr>
              <w:pStyle w:val="slovanodstavec"/>
              <w:numPr>
                <w:ilvl w:val="0"/>
                <w:numId w:val="6"/>
              </w:numPr>
              <w:spacing w:after="0"/>
              <w:ind w:left="357" w:hanging="357"/>
              <w:rPr>
                <w:rFonts w:ascii="Times New Roman" w:hAnsi="Times New Roman"/>
              </w:rPr>
            </w:pPr>
            <w:r w:rsidRPr="005A0E7C">
              <w:rPr>
                <w:rFonts w:ascii="Times New Roman" w:hAnsi="Times New Roman"/>
              </w:rPr>
              <w:t>dlouhodobě nezaměstnané, absolventy a mladé lidi bez praxe, osoby ve věku 50+, zdravotně postižené, osoby s nízkou kvalifikací, osoby pečující o děti a závislé osoby, etnické menšiny, cizince</w:t>
            </w:r>
            <w:r w:rsidRPr="005A0E7C">
              <w:rPr>
                <w:rStyle w:val="Znakapoznpodarou"/>
                <w:rFonts w:ascii="Times New Roman" w:hAnsi="Times New Roman"/>
              </w:rPr>
              <w:footnoteReference w:id="2"/>
            </w:r>
            <w:r w:rsidRPr="005A0E7C">
              <w:rPr>
                <w:rFonts w:ascii="Times New Roman" w:hAnsi="Times New Roman"/>
              </w:rPr>
              <w:t>, osoby propuštěné z výkonu trestu odnětí svobody a osoby se záznamem v Rejstříku trestů, osoby s jinými znevýhodněními na tr</w:t>
            </w:r>
            <w:r w:rsidR="00A373D4" w:rsidRPr="005A0E7C">
              <w:rPr>
                <w:rFonts w:ascii="Times New Roman" w:hAnsi="Times New Roman"/>
              </w:rPr>
              <w:t>hu práce (osoby v hmotné nouzi,</w:t>
            </w:r>
            <w:r w:rsidRPr="005A0E7C">
              <w:rPr>
                <w:rFonts w:ascii="Times New Roman" w:hAnsi="Times New Roman"/>
              </w:rPr>
              <w:t xml:space="preserve"> s dluhy a exekucemi, apod.)</w:t>
            </w:r>
          </w:p>
          <w:p w14:paraId="7F705EFB" w14:textId="77777777" w:rsidR="00DD3EFA" w:rsidRPr="005A0E7C" w:rsidRDefault="00DD3EFA" w:rsidP="00391907">
            <w:pPr>
              <w:pStyle w:val="slovanodstavec"/>
              <w:numPr>
                <w:ilvl w:val="0"/>
                <w:numId w:val="6"/>
              </w:numPr>
              <w:spacing w:after="0"/>
              <w:ind w:left="357" w:hanging="357"/>
              <w:rPr>
                <w:rFonts w:ascii="Times New Roman" w:hAnsi="Times New Roman"/>
              </w:rPr>
            </w:pPr>
            <w:r w:rsidRPr="005A0E7C">
              <w:rPr>
                <w:rFonts w:ascii="Times New Roman" w:hAnsi="Times New Roman"/>
              </w:rPr>
              <w:t>cílení a propojování nástrojů a opatření politiky zaměstnanosti, zejména APZ, včetně propojování s dalšími službami/politikami v oblasti sociálního začleňování (např. sociální bydlení, nepojistné sociální dávky, dluhová problematika, zdravotní stav, rodinná situace, závislosti aj.).</w:t>
            </w:r>
          </w:p>
          <w:p w14:paraId="14F8C749" w14:textId="77777777" w:rsidR="00DD3EFA" w:rsidRPr="005A0E7C" w:rsidRDefault="00DD3EFA" w:rsidP="00391907">
            <w:pPr>
              <w:pStyle w:val="slovanodstavec"/>
              <w:numPr>
                <w:ilvl w:val="0"/>
                <w:numId w:val="6"/>
              </w:numPr>
              <w:spacing w:after="0"/>
              <w:ind w:left="357" w:hanging="357"/>
              <w:rPr>
                <w:rFonts w:ascii="Times New Roman" w:hAnsi="Times New Roman"/>
              </w:rPr>
            </w:pPr>
            <w:r w:rsidRPr="005A0E7C">
              <w:rPr>
                <w:rFonts w:ascii="Times New Roman" w:hAnsi="Times New Roman"/>
              </w:rPr>
              <w:t xml:space="preserve">individuální a komplexní přístup ke znevýhodněným skupinám na trhu práce (individuální poradenství, case management) </w:t>
            </w:r>
          </w:p>
          <w:p w14:paraId="2701F7FD" w14:textId="77777777" w:rsidR="00DD3EFA" w:rsidRPr="005A0E7C" w:rsidRDefault="00DD3EFA" w:rsidP="00391907">
            <w:pPr>
              <w:pStyle w:val="slovanodstavec"/>
              <w:numPr>
                <w:ilvl w:val="0"/>
                <w:numId w:val="6"/>
              </w:numPr>
              <w:spacing w:after="0"/>
              <w:ind w:left="357" w:hanging="357"/>
              <w:rPr>
                <w:rFonts w:ascii="Times New Roman" w:hAnsi="Times New Roman"/>
              </w:rPr>
            </w:pPr>
            <w:r w:rsidRPr="005A0E7C">
              <w:rPr>
                <w:rFonts w:ascii="Times New Roman" w:hAnsi="Times New Roman"/>
              </w:rPr>
              <w:t>podporu uplatnění znevýhodněných osob směrem k volnému trhu práce (např. prostřednictvím prostupného systému zaměstnanosti)</w:t>
            </w:r>
          </w:p>
          <w:p w14:paraId="11936ECB" w14:textId="77777777" w:rsidR="00DD3EFA" w:rsidRPr="005A0E7C" w:rsidRDefault="00DD3EFA" w:rsidP="00391907">
            <w:pPr>
              <w:pStyle w:val="slovanodstavec"/>
              <w:numPr>
                <w:ilvl w:val="0"/>
                <w:numId w:val="6"/>
              </w:numPr>
              <w:spacing w:after="0"/>
              <w:ind w:left="357" w:hanging="357"/>
              <w:rPr>
                <w:rFonts w:ascii="Times New Roman" w:hAnsi="Times New Roman"/>
              </w:rPr>
            </w:pPr>
            <w:r w:rsidRPr="005A0E7C">
              <w:rPr>
                <w:rFonts w:ascii="Times New Roman" w:hAnsi="Times New Roman"/>
              </w:rPr>
              <w:t>podporu sociálního podnikání a pracovního uplatnění znevýhodněných osob v integračních sociálních podnicích</w:t>
            </w:r>
          </w:p>
          <w:p w14:paraId="600E18F7" w14:textId="77777777" w:rsidR="00DD3EFA" w:rsidRPr="005A0E7C" w:rsidRDefault="00DD3EFA" w:rsidP="00391907">
            <w:pPr>
              <w:pStyle w:val="slovanodstavec"/>
              <w:numPr>
                <w:ilvl w:val="0"/>
                <w:numId w:val="6"/>
              </w:numPr>
              <w:spacing w:after="0"/>
              <w:ind w:left="357" w:hanging="357"/>
              <w:rPr>
                <w:rFonts w:ascii="Times New Roman" w:hAnsi="Times New Roman"/>
              </w:rPr>
            </w:pPr>
            <w:r w:rsidRPr="005A0E7C">
              <w:rPr>
                <w:rFonts w:ascii="Times New Roman" w:hAnsi="Times New Roman"/>
              </w:rPr>
              <w:t>úzké propojení s dalšími partnery, zejména se sociálními službami (např. při řešení dalších překážek v zaměstnání, dluhové problematiky, problematiky bydlení, rodinné situace, závislostí, finanční a funkční gramotnosti, zdravotní situace aj.)</w:t>
            </w:r>
          </w:p>
          <w:p w14:paraId="17E0B6EA" w14:textId="77777777" w:rsidR="00DD3EFA" w:rsidRPr="005A0E7C" w:rsidRDefault="00DD3EFA" w:rsidP="00391907">
            <w:pPr>
              <w:pStyle w:val="slovanodstavec"/>
              <w:numPr>
                <w:ilvl w:val="0"/>
                <w:numId w:val="6"/>
              </w:numPr>
              <w:spacing w:after="0"/>
              <w:ind w:left="357" w:hanging="357"/>
              <w:rPr>
                <w:rFonts w:ascii="Times New Roman" w:hAnsi="Times New Roman"/>
              </w:rPr>
            </w:pPr>
            <w:r w:rsidRPr="005A0E7C">
              <w:rPr>
                <w:rFonts w:ascii="Times New Roman" w:hAnsi="Times New Roman"/>
              </w:rPr>
              <w:t>podpora vzniku a udržení pracovních míst v nejmenších sídlech, zejména tam, kde je velká vyjížďka za prací</w:t>
            </w:r>
          </w:p>
          <w:p w14:paraId="22D5FA2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u w:val="single"/>
              </w:rPr>
            </w:pPr>
          </w:p>
        </w:tc>
        <w:tc>
          <w:tcPr>
            <w:tcW w:w="249" w:type="dxa"/>
            <w:tcBorders>
              <w:top w:val="nil"/>
              <w:bottom w:val="nil"/>
            </w:tcBorders>
            <w:shd w:val="clear" w:color="auto" w:fill="66CCFF"/>
          </w:tcPr>
          <w:p w14:paraId="05EAD7DB" w14:textId="77777777" w:rsidR="00DD3EFA" w:rsidRPr="005A0E7C" w:rsidRDefault="00DD3EFA" w:rsidP="00B15ECB">
            <w:pPr>
              <w:rPr>
                <w:b/>
              </w:rPr>
            </w:pPr>
          </w:p>
        </w:tc>
      </w:tr>
      <w:tr w:rsidR="00DD3EFA" w:rsidRPr="005A0E7C" w14:paraId="77BF3917" w14:textId="77777777" w:rsidTr="00B15ECB">
        <w:trPr>
          <w:trHeight w:val="46"/>
        </w:trPr>
        <w:tc>
          <w:tcPr>
            <w:tcW w:w="249" w:type="dxa"/>
            <w:tcBorders>
              <w:top w:val="nil"/>
              <w:bottom w:val="nil"/>
              <w:right w:val="nil"/>
            </w:tcBorders>
            <w:shd w:val="clear" w:color="auto" w:fill="66CCFF"/>
          </w:tcPr>
          <w:p w14:paraId="2BB28819"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7B1BF288"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A34483C" w14:textId="77777777" w:rsidR="00DD3EFA" w:rsidRPr="005A0E7C" w:rsidRDefault="00DD3EFA" w:rsidP="00B15ECB">
            <w:pPr>
              <w:rPr>
                <w:b/>
              </w:rPr>
            </w:pPr>
          </w:p>
        </w:tc>
        <w:tc>
          <w:tcPr>
            <w:tcW w:w="249" w:type="dxa"/>
            <w:tcBorders>
              <w:top w:val="nil"/>
              <w:left w:val="nil"/>
              <w:bottom w:val="nil"/>
            </w:tcBorders>
            <w:shd w:val="clear" w:color="auto" w:fill="66CCFF"/>
          </w:tcPr>
          <w:p w14:paraId="42C41750" w14:textId="77777777" w:rsidR="00DD3EFA" w:rsidRPr="005A0E7C" w:rsidRDefault="00DD3EFA" w:rsidP="00B15ECB">
            <w:pPr>
              <w:rPr>
                <w:b/>
              </w:rPr>
            </w:pPr>
          </w:p>
        </w:tc>
      </w:tr>
      <w:tr w:rsidR="00DD3EFA" w:rsidRPr="005A0E7C" w14:paraId="38B0E2B9" w14:textId="77777777" w:rsidTr="00B15ECB">
        <w:trPr>
          <w:trHeight w:val="1274"/>
        </w:trPr>
        <w:tc>
          <w:tcPr>
            <w:tcW w:w="249" w:type="dxa"/>
            <w:tcBorders>
              <w:top w:val="nil"/>
              <w:bottom w:val="nil"/>
            </w:tcBorders>
            <w:shd w:val="clear" w:color="auto" w:fill="66CCFF"/>
          </w:tcPr>
          <w:p w14:paraId="7DFE302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B8AFBE7"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DEE8065" w14:textId="77777777" w:rsidR="00DD3EFA" w:rsidRPr="005A0E7C" w:rsidRDefault="00DD3EFA" w:rsidP="00B15ECB">
            <w:pPr>
              <w:rPr>
                <w:lang w:eastAsia="cs-CZ"/>
              </w:rPr>
            </w:pPr>
            <w:r w:rsidRPr="005A0E7C">
              <w:rPr>
                <w:rFonts w:eastAsiaTheme="majorEastAsia"/>
              </w:rPr>
              <w:t xml:space="preserve">Intervence v dané podoblasti zvýší zaměstnanost (nebo minimálně potenciál na získání zaměstnání) osob znevýhodněných na trhu práce, obnoví jejich pracovní návyky a nabídne jim pracovní místo s ohledem na jejich specifické potřeby nebo změněný sociální či zdravotní status. Výrazně pozitivní vliv má podoblast na kvalitu života a sociální situaci jedinců ze jmenovaných skupin, mírný, i když rovněž příznivý vliv má na veřejné finance a ekonomiku (viz např. Jan Čadil, Eva Kaňková, Jan Vorlíček, Odhad nákladů nezaměstnanosti z pohledu veřejných rozpočtů, VŠE). Při velmi nízké nezaměstnanosti je možné aktivizací těchto skupin získat nové pracovní síly pro řadu firem. </w:t>
            </w:r>
          </w:p>
          <w:p w14:paraId="01C0745E" w14:textId="77777777" w:rsidR="00DD3EFA" w:rsidRPr="005A0E7C" w:rsidRDefault="00DD3EFA" w:rsidP="00B15ECB">
            <w:pPr>
              <w:pStyle w:val="Odrky"/>
              <w:ind w:left="0" w:firstLine="0"/>
              <w:rPr>
                <w:rFonts w:ascii="Times New Roman" w:eastAsiaTheme="majorEastAsia" w:hAnsi="Times New Roman"/>
                <w:szCs w:val="20"/>
                <w:lang w:eastAsia="en-US"/>
              </w:rPr>
            </w:pPr>
            <w:r w:rsidRPr="005A0E7C">
              <w:rPr>
                <w:rFonts w:ascii="Times New Roman" w:eastAsiaTheme="majorEastAsia" w:hAnsi="Times New Roman"/>
                <w:szCs w:val="20"/>
                <w:lang w:eastAsia="en-US"/>
              </w:rPr>
              <w:t xml:space="preserve">Rozvoj sociálního podnikání je možné v omezeném rozsahu podporovat rovněž v rámci komunitárního programu EaSI, osy 3 Mikrofinancování a sociální podnikání. </w:t>
            </w:r>
          </w:p>
          <w:p w14:paraId="4F3CED2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Přes pozitivní vývoj v posledních letech se problematika integrace znevýhodněných osob (menšin, žen pečujících o dítě, starších osob, dlouhodobě nezaměstnaných osob a osob s nízkou kvalifikací) v různých obměnách objevuje ve Specifických doporučeních Rady pro ČR.</w:t>
            </w:r>
          </w:p>
          <w:p w14:paraId="6F63A59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Potřeba integrovat dlouhodobě nezaměstnané na trh práce (včetně prevence vzniku dlouhodobé nezaměstnanosti) se odráží rovněž v Doporučení (Rady EU) ze dne 15. února 2016 o integraci dlouhodobě nezaměstnaných osob na trh práce, dále pak v případě mládeže v Doporučení (Rady EU) ze dne 22. dubna 2013 o zavedení záruk pro mladé lidi. Potřeby věnovat pozornost integraci znevýhodněných osob na trh práce je vyjádřena rovněž v Doporučení Komise ze dne 3. října 2008 o aktivním začleňování osob vyloučených z trhu práce.</w:t>
            </w:r>
          </w:p>
          <w:p w14:paraId="5CD3DB28" w14:textId="77777777" w:rsidR="00DD3EFA" w:rsidRPr="005A0E7C" w:rsidRDefault="00DD3EFA" w:rsidP="00B15ECB">
            <w:pPr>
              <w:spacing w:before="60" w:after="60"/>
              <w:rPr>
                <w:rFonts w:eastAsiaTheme="majorEastAsia"/>
                <w:i/>
              </w:rPr>
            </w:pPr>
            <w:r w:rsidRPr="005A0E7C">
              <w:t>V případě OZP se k zajištění podpory rovného přístupu k zaměstnání ČR zavázala přijetím Úmluvy OSN o právech osob se zdravotním postižením (10/2010 Sb.m.s.)</w:t>
            </w:r>
          </w:p>
          <w:p w14:paraId="468B76F5"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6F5F5E48" w14:textId="77777777" w:rsidR="00DD3EFA" w:rsidRPr="005A0E7C" w:rsidRDefault="00DD3EFA" w:rsidP="00B15ECB">
            <w:pPr>
              <w:rPr>
                <w:b/>
              </w:rPr>
            </w:pPr>
          </w:p>
        </w:tc>
      </w:tr>
      <w:tr w:rsidR="00DD3EFA" w:rsidRPr="005A0E7C" w14:paraId="46C52370" w14:textId="77777777" w:rsidTr="00B15ECB">
        <w:trPr>
          <w:trHeight w:val="1274"/>
        </w:trPr>
        <w:tc>
          <w:tcPr>
            <w:tcW w:w="249" w:type="dxa"/>
            <w:tcBorders>
              <w:top w:val="nil"/>
              <w:bottom w:val="nil"/>
            </w:tcBorders>
            <w:shd w:val="clear" w:color="auto" w:fill="66CCFF"/>
          </w:tcPr>
          <w:p w14:paraId="74F6A2B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4CCC8E1"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2F433263" w14:textId="77777777" w:rsidR="00DD3EFA" w:rsidRPr="005A0E7C" w:rsidRDefault="00DD3EFA" w:rsidP="00B15ECB">
            <w:pPr>
              <w:spacing w:before="60" w:after="60"/>
            </w:pPr>
            <w:r w:rsidRPr="005A0E7C">
              <w:t xml:space="preserve">I když ekonomika funguje dobře a nezaměstnanost je minimální, je třeba uvažovat i v kontextu hospodářského cyklu. Navíc nezaměstnanost některých skupin zůstává stále vysoká – např. OZP, osoby se základním vzděláváním - a patří k nejvyšším v EU. Na tyto osoby je třeba se zaměřit i v dobách, kdy trh práce vykazuje dobré výsledky, neboť mají vždy problémy s hledáním zaměstnání a je třeba předcházet sociálnímu vyloučení těchto osob a vzniku dlouhodobé nezaměstnanosti. V některých případech, kdy se osoby již nacházejí v obtížné životní situaci, např. exekuce, je třeba jim poskytnout komplexní pomoc a zajistit úzké propojení služeb zaměstnanosti se sociálními a dalšími službami. </w:t>
            </w:r>
          </w:p>
          <w:p w14:paraId="3FF0C0DA" w14:textId="77777777" w:rsidR="00DD3EFA" w:rsidRPr="005A0E7C" w:rsidRDefault="00DD3EFA" w:rsidP="00B15ECB">
            <w:pPr>
              <w:spacing w:before="60" w:after="60"/>
            </w:pPr>
          </w:p>
          <w:p w14:paraId="12235094" w14:textId="77777777" w:rsidR="00DD3EFA" w:rsidRPr="005A0E7C" w:rsidRDefault="00DD3EFA" w:rsidP="00B15ECB">
            <w:pPr>
              <w:spacing w:before="60" w:after="60"/>
              <w:rPr>
                <w:rFonts w:eastAsiaTheme="majorEastAsia"/>
              </w:rPr>
            </w:pPr>
            <w:r w:rsidRPr="005A0E7C">
              <w:t>Cílení a propojování nástrojů a opatření APZ – APZ není často cílena na osoby, které jí skutečně potřebují. V některých případech jsou nástroji APZ podporovány rovněž osoby, které by si práci našly i samy bez intervence státu.</w:t>
            </w:r>
            <w:r w:rsidRPr="005A0E7C">
              <w:rPr>
                <w:rFonts w:eastAsia="Calibri"/>
              </w:rPr>
              <w:t xml:space="preserve"> Je potřeba eliminovat některé negativní jevy doprovázející APZ jako je „creaming off efekt“, efekt uzamčení apod., a které mohou vést k neefektivnímu vynakládání prostředků.  Zároveň je třeba poskytovat v relevantních případech podpořeným osobám nástroje a opatření APZ v celém rozsahu potřebné pomoci.</w:t>
            </w:r>
            <w:r w:rsidRPr="005A0E7C">
              <w:t xml:space="preserve"> </w:t>
            </w:r>
          </w:p>
          <w:p w14:paraId="6FD6E806" w14:textId="77777777" w:rsidR="00DD3EFA" w:rsidRPr="005A0E7C" w:rsidRDefault="00DD3EFA" w:rsidP="00B15ECB">
            <w:pPr>
              <w:spacing w:before="60" w:after="60"/>
            </w:pPr>
          </w:p>
          <w:p w14:paraId="2290191B" w14:textId="77777777" w:rsidR="00DD3EFA" w:rsidRPr="005A0E7C" w:rsidRDefault="00DD3EFA" w:rsidP="00B15ECB">
            <w:pPr>
              <w:spacing w:before="60" w:after="60"/>
            </w:pPr>
            <w:r w:rsidRPr="005A0E7C">
              <w:t xml:space="preserve">Je nutné klást důraz na zintenzivnění individuálního poradenství pro znevýhodněné skupiny na trhu práce – jednou z cest je zavedení případového managementu (case managementu) jako služby, která je šitá na míru potřebám daného klienta, moderními způsoby posuzuje a diagnostikuje jeho situaci a koordinuje a prosazuje různá následná řešení. Pro řešení situace klienta je často zapotřebí spolupráce několika </w:t>
            </w:r>
            <w:r w:rsidRPr="005A0E7C">
              <w:rPr>
                <w:rFonts w:eastAsia="Calibri"/>
              </w:rPr>
              <w:t>útvarů služeb zaměstnanosti (ÚP ČR) a</w:t>
            </w:r>
            <w:r w:rsidRPr="005A0E7C">
              <w:t xml:space="preserve"> institucí (organizací), jejichž služby je třeba koordinovat a síťovat. Obdobný přístup je již znám v sociálních službách a je třeba ho prosadit i ve službách zaměstnanosti. Nastavení systému individualizovaných služeb spadá do podoblasti „Modernizace trhu práce a jeho institucí“, tato podoblast však podporuje realizaci těchto služeb.</w:t>
            </w:r>
          </w:p>
          <w:p w14:paraId="0D1FDC15" w14:textId="77777777" w:rsidR="00DD3EFA" w:rsidRPr="005A0E7C" w:rsidRDefault="00DD3EFA" w:rsidP="00B15ECB">
            <w:pPr>
              <w:spacing w:before="60" w:after="60"/>
              <w:rPr>
                <w:rFonts w:eastAsiaTheme="majorEastAsia"/>
              </w:rPr>
            </w:pPr>
            <w:r w:rsidRPr="005A0E7C">
              <w:rPr>
                <w:rFonts w:eastAsiaTheme="majorEastAsia"/>
              </w:rPr>
              <w:t xml:space="preserve">V rámci individuálního přístupu se pro některé osoby dlouhodobě nezaměstnané, nízkokvalifikované (případně v kumulaci s dalšími znevýhodněními) jeví jako efektivní využití systému prostupného zaměstnávání, tedy vícestupňové intervence </w:t>
            </w:r>
            <w:r w:rsidRPr="005A0E7C">
              <w:t>využívající před vstupem na volný trh práce prvky asistovaného zaměstnání (např. mentoring, využití dotace, příspěvek na chráněné pracovní místo) či práce na zkoušku, někdy kombinované s poradenstvím či rekvalifikací ještě před fází zaměstnání</w:t>
            </w:r>
            <w:r w:rsidRPr="005A0E7C">
              <w:rPr>
                <w:rFonts w:eastAsiaTheme="majorEastAsia"/>
              </w:rPr>
              <w:t xml:space="preserve">.  </w:t>
            </w:r>
          </w:p>
          <w:p w14:paraId="1A4AB8BE" w14:textId="77777777" w:rsidR="00DD3EFA" w:rsidRPr="005A0E7C" w:rsidRDefault="00DD3EFA" w:rsidP="00B15ECB">
            <w:pPr>
              <w:spacing w:before="60" w:after="60"/>
              <w:rPr>
                <w:rFonts w:eastAsiaTheme="majorEastAsia"/>
              </w:rPr>
            </w:pPr>
          </w:p>
          <w:p w14:paraId="3F9E23D2" w14:textId="77777777" w:rsidR="00DD3EFA" w:rsidRPr="005A0E7C" w:rsidRDefault="00DD3EFA" w:rsidP="00B15ECB">
            <w:pPr>
              <w:spacing w:before="60" w:after="60"/>
              <w:rPr>
                <w:rFonts w:eastAsiaTheme="majorEastAsia"/>
              </w:rPr>
            </w:pPr>
            <w:r w:rsidRPr="005A0E7C">
              <w:rPr>
                <w:rFonts w:eastAsiaTheme="majorEastAsia"/>
              </w:rPr>
              <w:t>Je nezbytné precizovat a legislativně uchopit koncept sociálního podnikání kvůli efektivnímu zacílení podpory sociálních podniků, zajištění jejich stability a rozvoje.</w:t>
            </w:r>
          </w:p>
          <w:p w14:paraId="30D0FE1D" w14:textId="77777777" w:rsidR="00DD3EFA" w:rsidRPr="005A0E7C" w:rsidRDefault="00DD3EFA" w:rsidP="00B15ECB">
            <w:pPr>
              <w:spacing w:before="60" w:after="60"/>
              <w:rPr>
                <w:rFonts w:eastAsiaTheme="majorEastAsia"/>
              </w:rPr>
            </w:pPr>
          </w:p>
          <w:p w14:paraId="5CB17BAB" w14:textId="77777777" w:rsidR="00DD3EFA" w:rsidRPr="005A0E7C" w:rsidRDefault="00DD3EFA" w:rsidP="00B15ECB">
            <w:pPr>
              <w:spacing w:before="60" w:after="60"/>
              <w:rPr>
                <w:i/>
              </w:rPr>
            </w:pPr>
            <w:r w:rsidRPr="005A0E7C">
              <w:rPr>
                <w:rFonts w:eastAsiaTheme="majorEastAsia"/>
              </w:rPr>
              <w:t xml:space="preserve">Zaměstnávání osob ve výkonu trestu odnětí svobody je dlouhodobě problematická oblast. Bez systematické podpory bude velmi obtížné dosáhnout vysokého procenta zaměstnaných odsouzených a osob se záznamem v Rejstříku trestů. </w:t>
            </w:r>
          </w:p>
        </w:tc>
        <w:tc>
          <w:tcPr>
            <w:tcW w:w="249" w:type="dxa"/>
            <w:tcBorders>
              <w:top w:val="nil"/>
              <w:bottom w:val="nil"/>
            </w:tcBorders>
            <w:shd w:val="clear" w:color="auto" w:fill="66CCFF"/>
          </w:tcPr>
          <w:p w14:paraId="1FE246DC" w14:textId="77777777" w:rsidR="00DD3EFA" w:rsidRPr="005A0E7C" w:rsidRDefault="00DD3EFA" w:rsidP="00B15ECB">
            <w:pPr>
              <w:rPr>
                <w:b/>
              </w:rPr>
            </w:pPr>
          </w:p>
        </w:tc>
      </w:tr>
      <w:tr w:rsidR="00DD3EFA" w:rsidRPr="005A0E7C" w14:paraId="625F532F" w14:textId="77777777" w:rsidTr="00B15ECB">
        <w:trPr>
          <w:trHeight w:val="1274"/>
        </w:trPr>
        <w:tc>
          <w:tcPr>
            <w:tcW w:w="249" w:type="dxa"/>
            <w:tcBorders>
              <w:top w:val="nil"/>
              <w:bottom w:val="nil"/>
            </w:tcBorders>
            <w:shd w:val="clear" w:color="auto" w:fill="66CCFF"/>
          </w:tcPr>
          <w:p w14:paraId="13ED5E6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44B3950"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24E265C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C66D06B" w14:textId="77777777" w:rsidR="00DD3EFA" w:rsidRPr="005A0E7C" w:rsidRDefault="00DD3EFA" w:rsidP="00B15ECB">
            <w:pPr>
              <w:spacing w:before="60" w:after="60"/>
              <w:rPr>
                <w:rFonts w:eastAsiaTheme="majorEastAsia"/>
              </w:rPr>
            </w:pPr>
            <w:r w:rsidRPr="005A0E7C">
              <w:rPr>
                <w:rFonts w:eastAsiaTheme="majorEastAsia"/>
              </w:rPr>
              <w:t>Uvedeny relevantní cíle, resp. pilíře, ze Strategického rámce politiky zaměstnanosti do roku 2030 (SR PZ 2030):</w:t>
            </w:r>
          </w:p>
          <w:p w14:paraId="2F5665E6" w14:textId="77777777" w:rsidR="00DD3EFA" w:rsidRPr="005A0E7C" w:rsidRDefault="00DD3EFA" w:rsidP="00391907">
            <w:pPr>
              <w:pStyle w:val="Odstavecseseznamem"/>
              <w:numPr>
                <w:ilvl w:val="0"/>
                <w:numId w:val="12"/>
              </w:numPr>
              <w:spacing w:before="60" w:after="60"/>
              <w:jc w:val="both"/>
              <w:rPr>
                <w:rFonts w:eastAsiaTheme="majorEastAsia"/>
                <w:u w:val="single"/>
              </w:rPr>
            </w:pPr>
            <w:r w:rsidRPr="005A0E7C">
              <w:rPr>
                <w:rFonts w:eastAsiaTheme="majorEastAsia"/>
                <w:u w:val="single"/>
              </w:rPr>
              <w:t>Individualizace</w:t>
            </w:r>
            <w:r w:rsidRPr="005A0E7C">
              <w:rPr>
                <w:rFonts w:eastAsiaTheme="majorEastAsia"/>
              </w:rPr>
              <w:t xml:space="preserve"> - opatření politiky zaměstnanosti budou více individualizované a šité na míru, a to jak ve vztahu k jednotlivcům (fyzickým osobám), tak zaměstnavatelům i regionům.</w:t>
            </w:r>
          </w:p>
          <w:p w14:paraId="208FF7E8" w14:textId="77777777" w:rsidR="00DD3EFA" w:rsidRPr="005A0E7C" w:rsidRDefault="00DD3EFA" w:rsidP="00391907">
            <w:pPr>
              <w:pStyle w:val="Odstavecseseznamem"/>
              <w:numPr>
                <w:ilvl w:val="0"/>
                <w:numId w:val="12"/>
              </w:numPr>
              <w:spacing w:before="60" w:after="60"/>
              <w:jc w:val="both"/>
              <w:rPr>
                <w:rFonts w:eastAsiaTheme="majorEastAsia"/>
                <w:u w:val="single"/>
              </w:rPr>
            </w:pPr>
            <w:r w:rsidRPr="005A0E7C">
              <w:rPr>
                <w:rFonts w:eastAsiaTheme="majorEastAsia"/>
                <w:u w:val="single"/>
              </w:rPr>
              <w:t>Adaptace</w:t>
            </w:r>
            <w:r w:rsidRPr="005A0E7C">
              <w:rPr>
                <w:rFonts w:eastAsiaTheme="majorEastAsia"/>
              </w:rPr>
              <w:t xml:space="preserve"> – politika zaměstnanosti bude podporovat adaptaci všech aktérů trhu práce na měnící se podmínky, zejména na dopady 4. průmyslové revoluce, zaměstnavatelé, zaměstnanci i veřejná správa (včetně právního prostředí) bude adaptována na tyto změny.</w:t>
            </w:r>
          </w:p>
          <w:p w14:paraId="4E264078"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2C84167C" w14:textId="77777777" w:rsidR="00DD3EFA" w:rsidRPr="005A0E7C" w:rsidRDefault="00DD3EFA" w:rsidP="00B15ECB">
            <w:pPr>
              <w:rPr>
                <w:b/>
              </w:rPr>
            </w:pPr>
          </w:p>
        </w:tc>
      </w:tr>
      <w:tr w:rsidR="00DD3EFA" w:rsidRPr="005A0E7C" w14:paraId="296B7758" w14:textId="77777777" w:rsidTr="00B15ECB">
        <w:trPr>
          <w:trHeight w:val="1274"/>
        </w:trPr>
        <w:tc>
          <w:tcPr>
            <w:tcW w:w="249" w:type="dxa"/>
            <w:tcBorders>
              <w:top w:val="nil"/>
              <w:bottom w:val="nil"/>
            </w:tcBorders>
            <w:shd w:val="clear" w:color="auto" w:fill="66CCFF"/>
          </w:tcPr>
          <w:p w14:paraId="7E071E7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229C19B"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46F53EA2" w14:textId="77777777" w:rsidR="00DD3EFA" w:rsidRPr="005A0E7C" w:rsidRDefault="00DD3EFA" w:rsidP="00B15ECB">
            <w:pPr>
              <w:spacing w:before="60" w:after="60"/>
              <w:rPr>
                <w:rFonts w:eastAsiaTheme="majorEastAsia"/>
              </w:rPr>
            </w:pPr>
            <w:r w:rsidRPr="005A0E7C">
              <w:rPr>
                <w:rFonts w:eastAsiaTheme="majorEastAsia"/>
              </w:rPr>
              <w:t>Český trh práce bude, opíraje se o kooperující a efektivní služby zaměstnanosti, schopen reakce na globální trendy, bude zabezpečovat jak rovný přístup k důstojnému zaměstnání pro všechny skupiny osob, tak dostatek vhodné pracovní síly pro národní hospodářství.</w:t>
            </w:r>
          </w:p>
          <w:p w14:paraId="4970B946" w14:textId="77777777" w:rsidR="00DD3EFA" w:rsidRPr="005A0E7C" w:rsidRDefault="00DD3EFA" w:rsidP="00B15ECB">
            <w:pPr>
              <w:spacing w:before="60" w:after="60"/>
              <w:rPr>
                <w:rFonts w:eastAsiaTheme="majorEastAsia"/>
              </w:rPr>
            </w:pPr>
          </w:p>
          <w:p w14:paraId="048085E7" w14:textId="72BD74AB" w:rsidR="00DD3EFA" w:rsidRPr="005A0E7C" w:rsidRDefault="00DD3EFA" w:rsidP="00B15ECB">
            <w:pPr>
              <w:spacing w:before="60" w:after="60"/>
              <w:rPr>
                <w:rFonts w:eastAsiaTheme="majorEastAsia"/>
                <w:i/>
                <w:u w:val="single"/>
              </w:rPr>
            </w:pPr>
            <w:r w:rsidRPr="005A0E7C">
              <w:rPr>
                <w:rFonts w:eastAsiaTheme="majorEastAsia"/>
              </w:rPr>
              <w:t xml:space="preserve">Tedy v provazbě na definované cíle bude existovat systém vytváření predikcí, bude zachována stávající míra participace </w:t>
            </w:r>
            <w:r w:rsidR="00A373D4" w:rsidRPr="005A0E7C">
              <w:rPr>
                <w:rFonts w:eastAsiaTheme="majorEastAsia"/>
              </w:rPr>
              <w:t>produktivního</w:t>
            </w:r>
            <w:r w:rsidRPr="005A0E7C">
              <w:rPr>
                <w:rFonts w:eastAsiaTheme="majorEastAsia"/>
              </w:rPr>
              <w:t xml:space="preserve"> obyvatelstva na trhu práce a nízká míra prekarizace práce, posílena participace znevýhodněných skupin osob, zajištěn dostatek vhodně kvalifikované pracovní síly a to ve </w:t>
            </w:r>
            <w:r w:rsidR="00A373D4" w:rsidRPr="005A0E7C">
              <w:rPr>
                <w:rFonts w:eastAsiaTheme="majorEastAsia"/>
              </w:rPr>
              <w:t>struktuře</w:t>
            </w:r>
            <w:r w:rsidRPr="005A0E7C">
              <w:rPr>
                <w:rFonts w:eastAsiaTheme="majorEastAsia"/>
              </w:rPr>
              <w:t xml:space="preserve"> (vzdělanostní/kompetenční), kterou budoucí trh práce bude vyžadovat.</w:t>
            </w:r>
          </w:p>
        </w:tc>
        <w:tc>
          <w:tcPr>
            <w:tcW w:w="249" w:type="dxa"/>
            <w:tcBorders>
              <w:top w:val="nil"/>
              <w:bottom w:val="nil"/>
            </w:tcBorders>
            <w:shd w:val="clear" w:color="auto" w:fill="66CCFF"/>
          </w:tcPr>
          <w:p w14:paraId="519DAFBB" w14:textId="77777777" w:rsidR="00DD3EFA" w:rsidRPr="005A0E7C" w:rsidRDefault="00DD3EFA" w:rsidP="00B15ECB">
            <w:pPr>
              <w:rPr>
                <w:b/>
              </w:rPr>
            </w:pPr>
          </w:p>
        </w:tc>
      </w:tr>
      <w:tr w:rsidR="00DD3EFA" w:rsidRPr="005A0E7C" w14:paraId="27136F7A" w14:textId="77777777" w:rsidTr="00B15ECB">
        <w:trPr>
          <w:trHeight w:val="1274"/>
        </w:trPr>
        <w:tc>
          <w:tcPr>
            <w:tcW w:w="249" w:type="dxa"/>
            <w:tcBorders>
              <w:top w:val="nil"/>
              <w:bottom w:val="nil"/>
            </w:tcBorders>
            <w:shd w:val="clear" w:color="auto" w:fill="66CCFF"/>
          </w:tcPr>
          <w:p w14:paraId="1ACE3FB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56F13AA"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15245D6" w14:textId="77777777" w:rsidR="00DD3EFA" w:rsidRPr="005A0E7C" w:rsidRDefault="00DD3EFA" w:rsidP="00B15ECB">
            <w:pPr>
              <w:spacing w:before="60" w:after="60"/>
              <w:rPr>
                <w:rFonts w:eastAsiaTheme="majorEastAsia"/>
              </w:rPr>
            </w:pPr>
            <w:r w:rsidRPr="005A0E7C">
              <w:rPr>
                <w:rFonts w:eastAsiaTheme="majorEastAsia"/>
              </w:rPr>
              <w:t xml:space="preserve">Odhadovaný podíl ESIF na plnění tohoto specifického cíle předpokládáme v rozsahu cca 70 – 100 %. </w:t>
            </w:r>
          </w:p>
        </w:tc>
        <w:tc>
          <w:tcPr>
            <w:tcW w:w="249" w:type="dxa"/>
            <w:tcBorders>
              <w:top w:val="nil"/>
              <w:bottom w:val="nil"/>
            </w:tcBorders>
            <w:shd w:val="clear" w:color="auto" w:fill="66CCFF"/>
          </w:tcPr>
          <w:p w14:paraId="0C4DFDEF" w14:textId="77777777" w:rsidR="00DD3EFA" w:rsidRPr="005A0E7C" w:rsidRDefault="00DD3EFA" w:rsidP="00B15ECB">
            <w:pPr>
              <w:rPr>
                <w:b/>
              </w:rPr>
            </w:pPr>
          </w:p>
        </w:tc>
      </w:tr>
      <w:tr w:rsidR="00DD3EFA" w:rsidRPr="005A0E7C" w14:paraId="5BE2093E" w14:textId="77777777" w:rsidTr="00B15ECB">
        <w:trPr>
          <w:trHeight w:val="1274"/>
        </w:trPr>
        <w:tc>
          <w:tcPr>
            <w:tcW w:w="249" w:type="dxa"/>
            <w:tcBorders>
              <w:top w:val="nil"/>
              <w:bottom w:val="nil"/>
            </w:tcBorders>
            <w:shd w:val="clear" w:color="auto" w:fill="66CCFF"/>
          </w:tcPr>
          <w:p w14:paraId="2FA850E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7343628"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590E9BF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Vyšší důraz bude kladen na provázání opatření a nástrojů politiky zaměstnanosti, a to tak, aby podpora byla klientům, a to jak fyzickým osobám pohybujícím se či vstupujícím na trh práce, tak zaměstnavatelům a dalším partnerům, poskytována individuálně dle skutečných potřeb, přičemž budou významně zohledňovány regionální rozdíly.</w:t>
            </w:r>
          </w:p>
          <w:p w14:paraId="2082EB44" w14:textId="77777777" w:rsidR="00DD3EFA" w:rsidRPr="005A0E7C" w:rsidRDefault="00DD3EFA" w:rsidP="00B15ECB">
            <w:pPr>
              <w:spacing w:before="60" w:after="60"/>
              <w:rPr>
                <w:i/>
              </w:rPr>
            </w:pPr>
            <w:r w:rsidRPr="005A0E7C">
              <w:t>Oproti stávajícímu období bude rovněž vyšší důraz kladen na nástroje a opatření sloužící k prevenci, ale zejména k adaptaci na očekávané změny, tzn. např. další vzdělávání a podobná opatření cílící na podporu získávání kompetencí.</w:t>
            </w:r>
          </w:p>
        </w:tc>
        <w:tc>
          <w:tcPr>
            <w:tcW w:w="249" w:type="dxa"/>
            <w:tcBorders>
              <w:top w:val="nil"/>
              <w:bottom w:val="nil"/>
            </w:tcBorders>
            <w:shd w:val="clear" w:color="auto" w:fill="66CCFF"/>
          </w:tcPr>
          <w:p w14:paraId="59884593" w14:textId="77777777" w:rsidR="00DD3EFA" w:rsidRPr="005A0E7C" w:rsidRDefault="00DD3EFA" w:rsidP="00B15ECB">
            <w:pPr>
              <w:rPr>
                <w:b/>
              </w:rPr>
            </w:pPr>
          </w:p>
        </w:tc>
      </w:tr>
      <w:tr w:rsidR="00DD3EFA" w:rsidRPr="005A0E7C" w14:paraId="1237DC8E" w14:textId="77777777" w:rsidTr="00B15ECB">
        <w:trPr>
          <w:trHeight w:val="272"/>
        </w:trPr>
        <w:tc>
          <w:tcPr>
            <w:tcW w:w="249" w:type="dxa"/>
            <w:tcBorders>
              <w:top w:val="nil"/>
              <w:bottom w:val="nil"/>
              <w:right w:val="nil"/>
            </w:tcBorders>
            <w:shd w:val="clear" w:color="auto" w:fill="66CCFF"/>
          </w:tcPr>
          <w:p w14:paraId="09897E7F"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AC681F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C759510"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35E44BAC" w14:textId="77777777" w:rsidR="00DD3EFA" w:rsidRPr="005A0E7C" w:rsidRDefault="00DD3EFA" w:rsidP="00B15ECB">
            <w:pPr>
              <w:rPr>
                <w:b/>
              </w:rPr>
            </w:pPr>
          </w:p>
        </w:tc>
      </w:tr>
      <w:tr w:rsidR="00DD3EFA" w:rsidRPr="005A0E7C" w14:paraId="078F7168" w14:textId="77777777" w:rsidTr="00B15ECB">
        <w:trPr>
          <w:trHeight w:val="835"/>
        </w:trPr>
        <w:tc>
          <w:tcPr>
            <w:tcW w:w="249" w:type="dxa"/>
            <w:tcBorders>
              <w:top w:val="nil"/>
              <w:bottom w:val="nil"/>
            </w:tcBorders>
            <w:shd w:val="clear" w:color="auto" w:fill="66CCFF"/>
          </w:tcPr>
          <w:p w14:paraId="0414E99D"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3152DE17"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531ED8B8"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616CE5CE" w14:textId="77777777" w:rsidR="00DD3EFA" w:rsidRPr="005A0E7C" w:rsidRDefault="00DD3EFA" w:rsidP="00B15ECB">
            <w:pPr>
              <w:spacing w:before="60" w:after="60"/>
              <w:rPr>
                <w:i/>
                <w:u w:val="single"/>
              </w:rPr>
            </w:pPr>
            <w:r w:rsidRPr="005A0E7C">
              <w:rPr>
                <w:i/>
                <w:u w:val="single"/>
              </w:rPr>
              <w:t>Hypoteticky lze převzít z předchozí karty, často však bude nutné podstatně doplnit.</w:t>
            </w:r>
          </w:p>
          <w:p w14:paraId="29B8FD4F" w14:textId="77777777" w:rsidR="00DD3EFA" w:rsidRPr="005A0E7C" w:rsidRDefault="00DD3EFA" w:rsidP="00391907">
            <w:pPr>
              <w:pStyle w:val="Odstavecseseznamem"/>
              <w:numPr>
                <w:ilvl w:val="0"/>
                <w:numId w:val="13"/>
              </w:numPr>
              <w:spacing w:before="60" w:after="60"/>
              <w:rPr>
                <w:rFonts w:eastAsiaTheme="majorEastAsia"/>
              </w:rPr>
            </w:pPr>
            <w:r w:rsidRPr="005A0E7C">
              <w:rPr>
                <w:rFonts w:eastAsiaTheme="majorEastAsia"/>
              </w:rPr>
              <w:t>Individualizace</w:t>
            </w:r>
          </w:p>
          <w:p w14:paraId="38DA81A3" w14:textId="77777777" w:rsidR="00DD3EFA" w:rsidRPr="005A0E7C" w:rsidRDefault="00DD3EFA" w:rsidP="00391907">
            <w:pPr>
              <w:pStyle w:val="Odstavecseseznamem"/>
              <w:numPr>
                <w:ilvl w:val="1"/>
                <w:numId w:val="13"/>
              </w:numPr>
              <w:spacing w:before="60" w:after="60"/>
              <w:rPr>
                <w:rFonts w:eastAsiaTheme="majorEastAsia"/>
              </w:rPr>
            </w:pPr>
            <w:r w:rsidRPr="005A0E7C">
              <w:rPr>
                <w:rFonts w:eastAsiaTheme="majorEastAsia"/>
              </w:rPr>
              <w:t>Individuální přístup k jednotlivcům</w:t>
            </w:r>
          </w:p>
          <w:p w14:paraId="31AC1E10" w14:textId="77777777" w:rsidR="00DD3EFA" w:rsidRPr="005A0E7C" w:rsidRDefault="00DD3EFA" w:rsidP="00391907">
            <w:pPr>
              <w:pStyle w:val="Odstavecseseznamem"/>
              <w:numPr>
                <w:ilvl w:val="1"/>
                <w:numId w:val="13"/>
              </w:numPr>
              <w:spacing w:before="60" w:after="60"/>
              <w:rPr>
                <w:rFonts w:eastAsiaTheme="majorEastAsia"/>
              </w:rPr>
            </w:pPr>
            <w:r w:rsidRPr="005A0E7C">
              <w:rPr>
                <w:rFonts w:eastAsiaTheme="majorEastAsia"/>
              </w:rPr>
              <w:t>Individuální přístup k zaměstnavatelům</w:t>
            </w:r>
          </w:p>
          <w:p w14:paraId="330A091B" w14:textId="77777777" w:rsidR="00DD3EFA" w:rsidRPr="005A0E7C" w:rsidRDefault="00DD3EFA" w:rsidP="00391907">
            <w:pPr>
              <w:pStyle w:val="Odstavecseseznamem"/>
              <w:numPr>
                <w:ilvl w:val="1"/>
                <w:numId w:val="13"/>
              </w:numPr>
              <w:spacing w:before="60" w:after="60"/>
              <w:rPr>
                <w:rFonts w:eastAsiaTheme="majorEastAsia"/>
              </w:rPr>
            </w:pPr>
            <w:r w:rsidRPr="005A0E7C">
              <w:rPr>
                <w:rFonts w:eastAsiaTheme="majorEastAsia"/>
              </w:rPr>
              <w:t>Individuální přístup k regionům</w:t>
            </w:r>
          </w:p>
          <w:p w14:paraId="230C1A9D" w14:textId="77777777" w:rsidR="00DD3EFA" w:rsidRPr="005A0E7C" w:rsidRDefault="00DD3EFA" w:rsidP="00391907">
            <w:pPr>
              <w:pStyle w:val="Odstavecseseznamem"/>
              <w:numPr>
                <w:ilvl w:val="0"/>
                <w:numId w:val="13"/>
              </w:numPr>
              <w:spacing w:before="60" w:after="60"/>
              <w:rPr>
                <w:rFonts w:eastAsiaTheme="majorEastAsia"/>
              </w:rPr>
            </w:pPr>
            <w:r w:rsidRPr="005A0E7C">
              <w:rPr>
                <w:rFonts w:eastAsiaTheme="majorEastAsia"/>
              </w:rPr>
              <w:t>Adaptace</w:t>
            </w:r>
          </w:p>
          <w:p w14:paraId="2265CFA8" w14:textId="77777777" w:rsidR="00DD3EFA" w:rsidRPr="005A0E7C" w:rsidRDefault="00DD3EFA" w:rsidP="00391907">
            <w:pPr>
              <w:pStyle w:val="Odstavecseseznamem"/>
              <w:numPr>
                <w:ilvl w:val="1"/>
                <w:numId w:val="13"/>
              </w:numPr>
              <w:spacing w:before="60" w:after="60"/>
              <w:rPr>
                <w:rFonts w:eastAsiaTheme="majorEastAsia"/>
              </w:rPr>
            </w:pPr>
            <w:r w:rsidRPr="005A0E7C">
              <w:rPr>
                <w:rFonts w:eastAsiaTheme="majorEastAsia"/>
              </w:rPr>
              <w:t>Adaptace pracovní síly</w:t>
            </w:r>
          </w:p>
          <w:p w14:paraId="36DC129C" w14:textId="77777777" w:rsidR="00DD3EFA" w:rsidRPr="005A0E7C" w:rsidRDefault="00DD3EFA" w:rsidP="00391907">
            <w:pPr>
              <w:pStyle w:val="Odstavecseseznamem"/>
              <w:numPr>
                <w:ilvl w:val="1"/>
                <w:numId w:val="13"/>
              </w:numPr>
              <w:spacing w:before="60" w:after="60"/>
              <w:rPr>
                <w:rFonts w:eastAsiaTheme="majorEastAsia"/>
              </w:rPr>
            </w:pPr>
            <w:r w:rsidRPr="005A0E7C">
              <w:rPr>
                <w:rFonts w:eastAsiaTheme="majorEastAsia"/>
              </w:rPr>
              <w:t>Adaptace zaměstnavatelů</w:t>
            </w:r>
          </w:p>
          <w:p w14:paraId="33C2B574" w14:textId="77777777" w:rsidR="00DD3EFA" w:rsidRPr="005A0E7C" w:rsidRDefault="00DD3EFA" w:rsidP="00391907">
            <w:pPr>
              <w:pStyle w:val="Odstavecseseznamem"/>
              <w:numPr>
                <w:ilvl w:val="1"/>
                <w:numId w:val="13"/>
              </w:numPr>
              <w:spacing w:before="60" w:after="60"/>
              <w:rPr>
                <w:rFonts w:eastAsiaTheme="majorEastAsia"/>
              </w:rPr>
            </w:pPr>
            <w:r w:rsidRPr="005A0E7C">
              <w:rPr>
                <w:rFonts w:eastAsiaTheme="majorEastAsia"/>
              </w:rPr>
              <w:t>Adaptace prostředí</w:t>
            </w:r>
          </w:p>
          <w:p w14:paraId="4FB7E141" w14:textId="77777777" w:rsidR="00DD3EFA" w:rsidRPr="005A0E7C" w:rsidRDefault="00DD3EFA" w:rsidP="00B15ECB">
            <w:pPr>
              <w:spacing w:before="60" w:after="60"/>
              <w:rPr>
                <w:rFonts w:eastAsiaTheme="majorEastAsia"/>
                <w:b/>
              </w:rPr>
            </w:pPr>
          </w:p>
        </w:tc>
        <w:tc>
          <w:tcPr>
            <w:tcW w:w="249" w:type="dxa"/>
            <w:tcBorders>
              <w:top w:val="nil"/>
              <w:bottom w:val="nil"/>
            </w:tcBorders>
            <w:shd w:val="clear" w:color="auto" w:fill="66CCFF"/>
          </w:tcPr>
          <w:p w14:paraId="5C496AB4" w14:textId="77777777" w:rsidR="00DD3EFA" w:rsidRPr="005A0E7C" w:rsidRDefault="00DD3EFA" w:rsidP="00B15ECB">
            <w:pPr>
              <w:rPr>
                <w:b/>
              </w:rPr>
            </w:pPr>
          </w:p>
        </w:tc>
      </w:tr>
      <w:tr w:rsidR="00DD3EFA" w:rsidRPr="005A0E7C" w14:paraId="5EF17572" w14:textId="77777777" w:rsidTr="00B15ECB">
        <w:trPr>
          <w:trHeight w:val="377"/>
        </w:trPr>
        <w:tc>
          <w:tcPr>
            <w:tcW w:w="249" w:type="dxa"/>
            <w:tcBorders>
              <w:top w:val="nil"/>
              <w:bottom w:val="nil"/>
              <w:right w:val="nil"/>
            </w:tcBorders>
            <w:shd w:val="clear" w:color="auto" w:fill="66CCFF"/>
          </w:tcPr>
          <w:p w14:paraId="24FE597B"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CBB8E16"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246C9FE"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00BFF39D" w14:textId="77777777" w:rsidR="00DD3EFA" w:rsidRPr="005A0E7C" w:rsidRDefault="00DD3EFA" w:rsidP="00B15ECB">
            <w:pPr>
              <w:rPr>
                <w:b/>
              </w:rPr>
            </w:pPr>
          </w:p>
        </w:tc>
      </w:tr>
      <w:tr w:rsidR="00DD3EFA" w:rsidRPr="005A0E7C" w14:paraId="46A95442" w14:textId="77777777" w:rsidTr="00B15ECB">
        <w:trPr>
          <w:trHeight w:val="1202"/>
        </w:trPr>
        <w:tc>
          <w:tcPr>
            <w:tcW w:w="249" w:type="dxa"/>
            <w:tcBorders>
              <w:top w:val="nil"/>
              <w:bottom w:val="nil"/>
            </w:tcBorders>
            <w:shd w:val="clear" w:color="auto" w:fill="66CCFF"/>
          </w:tcPr>
          <w:p w14:paraId="70338515"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038566CD"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2FC576CD"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456B7662" w14:textId="77777777" w:rsidR="00DD3EFA" w:rsidRPr="005A0E7C" w:rsidRDefault="00DD3EFA" w:rsidP="00B15ECB">
            <w:pPr>
              <w:rPr>
                <w:b/>
              </w:rPr>
            </w:pPr>
          </w:p>
        </w:tc>
      </w:tr>
      <w:tr w:rsidR="00DD3EFA" w:rsidRPr="005A0E7C" w14:paraId="240DF99D" w14:textId="77777777" w:rsidTr="00B15ECB">
        <w:trPr>
          <w:trHeight w:val="1202"/>
        </w:trPr>
        <w:tc>
          <w:tcPr>
            <w:tcW w:w="249" w:type="dxa"/>
            <w:tcBorders>
              <w:top w:val="nil"/>
              <w:bottom w:val="nil"/>
            </w:tcBorders>
            <w:shd w:val="clear" w:color="auto" w:fill="66CCFF"/>
          </w:tcPr>
          <w:p w14:paraId="69124CD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E1A4D95"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521F54E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708DA7E" w14:textId="77777777" w:rsidR="00DD3EFA" w:rsidRPr="005A0E7C" w:rsidRDefault="00DD3EFA" w:rsidP="00B15ECB">
            <w:pPr>
              <w:rPr>
                <w:rFonts w:eastAsia="Calibri"/>
              </w:rPr>
            </w:pPr>
            <w:r w:rsidRPr="005A0E7C">
              <w:t xml:space="preserve">Z hlediska územní dimenze má v odlehlých či ekonomicky slabých venkovských oblastech význam rozvoj sociální </w:t>
            </w:r>
            <w:r w:rsidRPr="005A0E7C">
              <w:rPr>
                <w:rFonts w:eastAsia="Calibri"/>
              </w:rPr>
              <w:t xml:space="preserve">ekonomiky postavené na profesionálních a udržitelných základech spočívajících ve fungujícím obchodním modelu. </w:t>
            </w:r>
          </w:p>
          <w:p w14:paraId="49B2CC92" w14:textId="77777777" w:rsidR="00DD3EFA" w:rsidRPr="005A0E7C" w:rsidRDefault="00DD3EFA" w:rsidP="00B15ECB">
            <w:pPr>
              <w:rPr>
                <w:rFonts w:eastAsia="Calibri"/>
              </w:rPr>
            </w:pPr>
          </w:p>
          <w:p w14:paraId="6B5ECABD" w14:textId="77777777" w:rsidR="00DD3EFA" w:rsidRPr="005A0E7C" w:rsidRDefault="00DD3EFA" w:rsidP="00B15ECB">
            <w:r w:rsidRPr="005A0E7C">
              <w:rPr>
                <w:rFonts w:eastAsia="Calibri"/>
              </w:rPr>
              <w:t>Pro všechny typy sídel existuje určitý potenciál růstu zaměstnanosti ve službách cestovního ruchu, a to jak na nekvalifikovaných, tak kvalifikovaných pozicích. Největší dopad pro místní ekonomiku může mít rozvoj cestovního ruchu ve venkovských zázemích regionálních center. Důraz je ovšem nutné klást na rozvoj pokud možno stálých pracovních míst v cestovním ruchu. Zejména v oblastech s přírodním bohatstvím jsou často generována spíše sezónní pracovní místa, což po zbytek roku nezajistí ani stabilitu příjmu pracovníků, ale ani růst celoroční ekonomické základny v regionu.</w:t>
            </w:r>
          </w:p>
          <w:p w14:paraId="2E949C5D" w14:textId="77777777" w:rsidR="00DD3EFA" w:rsidRPr="005A0E7C" w:rsidRDefault="00DD3EFA" w:rsidP="00B15ECB"/>
          <w:p w14:paraId="163F5E40" w14:textId="77777777" w:rsidR="00DD3EFA" w:rsidRPr="005A0E7C" w:rsidRDefault="00DD3EFA" w:rsidP="00B15ECB">
            <w:pPr>
              <w:pStyle w:val="slovanodstavec"/>
              <w:tabs>
                <w:tab w:val="left" w:pos="284"/>
              </w:tabs>
              <w:suppressAutoHyphens/>
              <w:spacing w:line="240" w:lineRule="auto"/>
              <w:rPr>
                <w:rFonts w:ascii="Times New Roman" w:eastAsiaTheme="majorEastAsia" w:hAnsi="Times New Roman"/>
                <w:i/>
              </w:rPr>
            </w:pPr>
            <w:r w:rsidRPr="005A0E7C">
              <w:rPr>
                <w:rFonts w:ascii="Times New Roman" w:hAnsi="Times New Roman"/>
              </w:rPr>
              <w:t xml:space="preserve">Ve strukturálně postižených regionech služby zaměstnanosti často poskytují služby uzpůsobené regionálním specifikům nezaměstnanosti a potřebám místního trhu práce. Jde o cílené programy realizované podle zákona o zaměstnanosti, které se připravují s ohledem na regionální specifika a schvaluje je MPSV. </w:t>
            </w:r>
          </w:p>
        </w:tc>
        <w:tc>
          <w:tcPr>
            <w:tcW w:w="249" w:type="dxa"/>
            <w:tcBorders>
              <w:top w:val="nil"/>
              <w:bottom w:val="nil"/>
            </w:tcBorders>
            <w:shd w:val="clear" w:color="auto" w:fill="66CCFF"/>
          </w:tcPr>
          <w:p w14:paraId="180F7526" w14:textId="77777777" w:rsidR="00DD3EFA" w:rsidRPr="005A0E7C" w:rsidRDefault="00DD3EFA" w:rsidP="00B15ECB">
            <w:pPr>
              <w:rPr>
                <w:b/>
              </w:rPr>
            </w:pPr>
          </w:p>
        </w:tc>
      </w:tr>
      <w:tr w:rsidR="00DD3EFA" w:rsidRPr="005A0E7C" w14:paraId="0A9AAD22" w14:textId="77777777" w:rsidTr="00B15ECB">
        <w:trPr>
          <w:trHeight w:val="1202"/>
        </w:trPr>
        <w:tc>
          <w:tcPr>
            <w:tcW w:w="249" w:type="dxa"/>
            <w:tcBorders>
              <w:top w:val="nil"/>
              <w:bottom w:val="nil"/>
            </w:tcBorders>
            <w:shd w:val="clear" w:color="auto" w:fill="66CCFF"/>
          </w:tcPr>
          <w:p w14:paraId="472DC87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2703B32"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669BCF5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26D54AF" w14:textId="77777777" w:rsidR="00DD3EFA" w:rsidRPr="005A0E7C" w:rsidRDefault="00DD3EFA" w:rsidP="00B15ECB">
            <w:pPr>
              <w:spacing w:before="60" w:after="60"/>
              <w:rPr>
                <w:rFonts w:eastAsiaTheme="majorEastAsia"/>
                <w:i/>
              </w:rPr>
            </w:pPr>
            <w:r w:rsidRPr="005A0E7C">
              <w:t>Z hlediska lokálních ekonomik v některých obcích se může realizace aktivní politiky zaměstnanosti včetně sociálního podnikání pro některé znevýhodněné skupiny na trhu práce zaměřit také na realizaci opatření souvisejících se změnou klimatu a řešících její dopady, jako prevence eroze půdy, zřizování mezí, udržování trvalých travních porostů a extenzivní pastva, posilování retence vody, atd.</w:t>
            </w:r>
          </w:p>
        </w:tc>
        <w:tc>
          <w:tcPr>
            <w:tcW w:w="249" w:type="dxa"/>
            <w:tcBorders>
              <w:top w:val="nil"/>
              <w:bottom w:val="nil"/>
            </w:tcBorders>
            <w:shd w:val="clear" w:color="auto" w:fill="66CCFF"/>
          </w:tcPr>
          <w:p w14:paraId="37567386" w14:textId="77777777" w:rsidR="00DD3EFA" w:rsidRPr="005A0E7C" w:rsidRDefault="00DD3EFA" w:rsidP="00B15ECB">
            <w:pPr>
              <w:rPr>
                <w:b/>
              </w:rPr>
            </w:pPr>
          </w:p>
        </w:tc>
      </w:tr>
      <w:tr w:rsidR="00DD3EFA" w:rsidRPr="005A0E7C" w14:paraId="492BEFCF" w14:textId="77777777" w:rsidTr="00B15ECB">
        <w:trPr>
          <w:trHeight w:val="1202"/>
        </w:trPr>
        <w:tc>
          <w:tcPr>
            <w:tcW w:w="249" w:type="dxa"/>
            <w:tcBorders>
              <w:top w:val="nil"/>
              <w:bottom w:val="nil"/>
            </w:tcBorders>
            <w:shd w:val="clear" w:color="auto" w:fill="66CCFF"/>
          </w:tcPr>
          <w:p w14:paraId="6AF0A67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D2F67D8"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0EAF94E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0F0F835" w14:textId="77777777" w:rsidR="00DD3EFA" w:rsidRPr="005A0E7C" w:rsidRDefault="00DD3EFA" w:rsidP="00B15ECB">
            <w:pPr>
              <w:spacing w:before="60" w:after="60"/>
            </w:pPr>
            <w:r w:rsidRPr="005A0E7C">
              <w:t>Prostřednictvím mobilních aplikací se nabízí možnost komunikovat se zprostředkovatelem na ÚP ČR a dále mohou být na základě automatického párování nabídky a poptávky zasílány nabídky volných pracovních míst. Potenciálního technologického pokroku je rovněž možné vhodně využít v případě profilování uchazečů o zaměstnání a následně cílenějšího zaměření poskytované podpory. To však předpokládá celou řadu kroků ve vývoji informačních technologií aplikací a je otázkou, zda se ČR tímto směrem v budoucnu vydá. Poradenskou a zprostředkovatelskou činnost ÚP ČR a realizaci nástroje aktivní politiky je třeba dále přizpůsobit novým požadavkům a dopadům Průmyslu 4.0 a Práce 4.0 ve spolupráci se zaměstnavateli.</w:t>
            </w:r>
          </w:p>
          <w:p w14:paraId="376EADE5" w14:textId="3CD4663B" w:rsidR="00DD3EFA" w:rsidRPr="005A0E7C" w:rsidRDefault="00DD3EFA" w:rsidP="00B15ECB">
            <w:pPr>
              <w:spacing w:before="60" w:after="60"/>
              <w:rPr>
                <w:rFonts w:eastAsiaTheme="majorEastAsia"/>
                <w:i/>
              </w:rPr>
            </w:pPr>
            <w:r w:rsidRPr="005A0E7C">
              <w:rPr>
                <w:rFonts w:eastAsiaTheme="majorEastAsia"/>
              </w:rPr>
              <w:t>Adaptace na měnící se podmínky na trhu práce v důsledku dopadů 4. průmyslové revoluce, tzv. Práce 4.0, jež je součástí fenoménu Společnost 4.0, je podstatnou částí připravovaného Strategického rámce politiky zaměstnanosti do roku 2030. Politika zaměstnanosti se musí novým podmínkám přizpůsobit a dostatečně adaptovat pracovní sílu, zaměstnavatele i prostředí</w:t>
            </w:r>
            <w:r w:rsidR="00A373D4" w:rsidRPr="005A0E7C">
              <w:rPr>
                <w:rFonts w:eastAsiaTheme="majorEastAsia"/>
              </w:rPr>
              <w:t>,</w:t>
            </w:r>
            <w:r w:rsidRPr="005A0E7C">
              <w:rPr>
                <w:rFonts w:eastAsiaTheme="majorEastAsia"/>
              </w:rPr>
              <w:t xml:space="preserve"> v němž se pohybují</w:t>
            </w:r>
            <w:r w:rsidR="00A373D4" w:rsidRPr="005A0E7C">
              <w:rPr>
                <w:rFonts w:eastAsiaTheme="majorEastAsia"/>
              </w:rPr>
              <w:t>,</w:t>
            </w:r>
            <w:r w:rsidRPr="005A0E7C">
              <w:rPr>
                <w:rFonts w:eastAsiaTheme="majorEastAsia"/>
              </w:rPr>
              <w:t xml:space="preserve"> na měnící se podmínky. Adaptace na tyto podmínky je samostatným pilířem Strategického rámce politiky zaměstnanosti do roku 2030, stejně tak jako potřeba monitorování těchto změn prostřednictvím predikcí.</w:t>
            </w:r>
          </w:p>
        </w:tc>
        <w:tc>
          <w:tcPr>
            <w:tcW w:w="249" w:type="dxa"/>
            <w:tcBorders>
              <w:top w:val="nil"/>
              <w:bottom w:val="nil"/>
            </w:tcBorders>
            <w:shd w:val="clear" w:color="auto" w:fill="66CCFF"/>
          </w:tcPr>
          <w:p w14:paraId="2C11FD37" w14:textId="77777777" w:rsidR="00DD3EFA" w:rsidRPr="005A0E7C" w:rsidRDefault="00DD3EFA" w:rsidP="00B15ECB">
            <w:pPr>
              <w:rPr>
                <w:b/>
              </w:rPr>
            </w:pPr>
          </w:p>
        </w:tc>
      </w:tr>
      <w:tr w:rsidR="00DD3EFA" w:rsidRPr="005A0E7C" w14:paraId="7C9F0A92" w14:textId="77777777" w:rsidTr="00B15ECB">
        <w:trPr>
          <w:trHeight w:val="1202"/>
        </w:trPr>
        <w:tc>
          <w:tcPr>
            <w:tcW w:w="249" w:type="dxa"/>
            <w:tcBorders>
              <w:top w:val="nil"/>
              <w:bottom w:val="nil"/>
            </w:tcBorders>
            <w:shd w:val="clear" w:color="auto" w:fill="66CCFF"/>
          </w:tcPr>
          <w:p w14:paraId="359BC75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43A5694"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3D1831A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4367F61"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Demografické stárnutí</w:t>
            </w:r>
          </w:p>
          <w:p w14:paraId="19C19BA9"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Zvyšující se rychlost technologické změny</w:t>
            </w:r>
          </w:p>
          <w:p w14:paraId="337D59B1"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Virtualizace světa</w:t>
            </w:r>
          </w:p>
          <w:p w14:paraId="6AE6B716"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Rostoucí mobilita</w:t>
            </w:r>
          </w:p>
          <w:p w14:paraId="300AB464" w14:textId="77777777" w:rsidR="00DD3EFA" w:rsidRPr="005A0E7C" w:rsidRDefault="00DD3EFA" w:rsidP="00B15ECB">
            <w:pPr>
              <w:spacing w:before="60" w:after="60"/>
              <w:rPr>
                <w:rFonts w:eastAsiaTheme="majorEastAsia"/>
                <w:b/>
                <w:i/>
              </w:rPr>
            </w:pPr>
          </w:p>
        </w:tc>
        <w:tc>
          <w:tcPr>
            <w:tcW w:w="249" w:type="dxa"/>
            <w:tcBorders>
              <w:top w:val="nil"/>
              <w:bottom w:val="nil"/>
            </w:tcBorders>
            <w:shd w:val="clear" w:color="auto" w:fill="66CCFF"/>
          </w:tcPr>
          <w:p w14:paraId="25B71B4C" w14:textId="77777777" w:rsidR="00DD3EFA" w:rsidRPr="005A0E7C" w:rsidRDefault="00DD3EFA" w:rsidP="00B15ECB">
            <w:pPr>
              <w:rPr>
                <w:b/>
              </w:rPr>
            </w:pPr>
          </w:p>
        </w:tc>
      </w:tr>
      <w:tr w:rsidR="00DD3EFA" w:rsidRPr="005A0E7C" w14:paraId="46D2E70A" w14:textId="77777777" w:rsidTr="00B15ECB">
        <w:trPr>
          <w:trHeight w:val="1202"/>
        </w:trPr>
        <w:tc>
          <w:tcPr>
            <w:tcW w:w="249" w:type="dxa"/>
            <w:tcBorders>
              <w:top w:val="nil"/>
              <w:bottom w:val="nil"/>
            </w:tcBorders>
            <w:shd w:val="clear" w:color="auto" w:fill="66CCFF"/>
          </w:tcPr>
          <w:p w14:paraId="7C658CA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ED2E2F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5B5A5CB9" w14:textId="77777777" w:rsidR="00DD3EFA" w:rsidRPr="005A0E7C" w:rsidRDefault="00DD3EFA" w:rsidP="00B15ECB">
            <w:pPr>
              <w:spacing w:before="60" w:after="60"/>
            </w:pPr>
            <w:r w:rsidRPr="005A0E7C">
              <w:t>Cíl politiky 4 Sociálnější Evropa – provádění evropského pilíře sociálních práv</w:t>
            </w:r>
          </w:p>
          <w:p w14:paraId="34A3FF1F" w14:textId="77777777" w:rsidR="00DD3EFA" w:rsidRPr="005A0E7C" w:rsidRDefault="00DD3EFA" w:rsidP="00B15ECB">
            <w:pPr>
              <w:spacing w:before="60" w:after="60"/>
            </w:pPr>
            <w:r w:rsidRPr="005A0E7C">
              <w:t>Specifický cíl ESF+ i) zlepšit přístup k zaměstnání pro všechny uchazeče o zaměstnání, zejména mladé lidi a dlouhodobě nezaměstnané a neaktivní osoby, podporovat samostatně výdělečné činnosti a sociální ekonomiku;</w:t>
            </w:r>
          </w:p>
          <w:p w14:paraId="127F20E8" w14:textId="77777777" w:rsidR="00DD3EFA" w:rsidRPr="005A0E7C" w:rsidRDefault="00DD3EFA" w:rsidP="00B15ECB">
            <w:pPr>
              <w:spacing w:before="60" w:after="60"/>
              <w:rPr>
                <w:rFonts w:eastAsiaTheme="majorEastAsia"/>
                <w:i/>
              </w:rPr>
            </w:pPr>
            <w:r w:rsidRPr="005A0E7C">
              <w:rPr>
                <w:rFonts w:eastAsiaTheme="majorEastAsia"/>
                <w:i/>
              </w:rPr>
              <w:t>(pozn. znění cílů dle návrhů nařízení ze strany EK)</w:t>
            </w:r>
          </w:p>
        </w:tc>
        <w:tc>
          <w:tcPr>
            <w:tcW w:w="249" w:type="dxa"/>
            <w:tcBorders>
              <w:top w:val="nil"/>
              <w:bottom w:val="nil"/>
            </w:tcBorders>
            <w:shd w:val="clear" w:color="auto" w:fill="66CCFF"/>
          </w:tcPr>
          <w:p w14:paraId="321E1330" w14:textId="77777777" w:rsidR="00DD3EFA" w:rsidRPr="005A0E7C" w:rsidRDefault="00DD3EFA" w:rsidP="00B15ECB">
            <w:pPr>
              <w:rPr>
                <w:b/>
              </w:rPr>
            </w:pPr>
          </w:p>
        </w:tc>
      </w:tr>
      <w:tr w:rsidR="00DD3EFA" w:rsidRPr="005A0E7C" w14:paraId="4952A3C4" w14:textId="77777777" w:rsidTr="00B15ECB">
        <w:trPr>
          <w:trHeight w:val="1202"/>
        </w:trPr>
        <w:tc>
          <w:tcPr>
            <w:tcW w:w="249" w:type="dxa"/>
            <w:tcBorders>
              <w:top w:val="nil"/>
              <w:bottom w:val="nil"/>
            </w:tcBorders>
            <w:shd w:val="clear" w:color="auto" w:fill="66CCFF"/>
          </w:tcPr>
          <w:p w14:paraId="23F632D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70A260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1B617093" w14:textId="77777777" w:rsidR="00DD3EFA" w:rsidRPr="005A0E7C" w:rsidRDefault="00DD3EFA" w:rsidP="00B15ECB">
            <w:pPr>
              <w:rPr>
                <w:rFonts w:eastAsiaTheme="majorEastAsia"/>
              </w:rPr>
            </w:pPr>
            <w:r w:rsidRPr="005A0E7C">
              <w:rPr>
                <w:rFonts w:eastAsiaTheme="majorEastAsia"/>
              </w:rPr>
              <w:t xml:space="preserve">SDR 2018, Doporučení č. 2 (zvýrazněna část týkající se trhu práce a zaměstnanosti): </w:t>
            </w:r>
          </w:p>
          <w:p w14:paraId="04287A51" w14:textId="77777777" w:rsidR="00DD3EFA" w:rsidRPr="005A0E7C" w:rsidRDefault="00DD3EFA" w:rsidP="00B15ECB">
            <w:pPr>
              <w:rPr>
                <w:rFonts w:eastAsiaTheme="majorEastAsia"/>
              </w:rPr>
            </w:pPr>
          </w:p>
          <w:p w14:paraId="1FE930C5" w14:textId="77777777" w:rsidR="00DD3EFA" w:rsidRPr="005A0E7C" w:rsidRDefault="00DD3EFA" w:rsidP="00B15ECB">
            <w:pPr>
              <w:rPr>
                <w:rFonts w:eastAsiaTheme="majorEastAsia"/>
              </w:rPr>
            </w:pPr>
            <w:r w:rsidRPr="005A0E7C">
              <w:rPr>
                <w:rFonts w:eastAsiaTheme="majorEastAsia"/>
              </w:rPr>
              <w:t xml:space="preserve">„Snížit administrativní zátěž pro investice, mimo jiné zrychlením povolovacích postupů u infrastrukturních projektů. Odstranit překážky brzdící výzkum, vývoj a inovace, zejména zvýšením inovační kapacity domácích podniků. Posílit schopnost vzdělávacího systému poskytovat kvalitní inkluzivní vzdělávání, mimo jiné podporou učitelského povolání. </w:t>
            </w:r>
            <w:r w:rsidRPr="005A0E7C">
              <w:rPr>
                <w:rFonts w:eastAsiaTheme="majorEastAsia"/>
                <w:b/>
              </w:rPr>
              <w:t>Podporovat zaměstnávání žen, osob s nízkou kvalifikací a osob se zdravotním postižením, mimo jiné zvýšením účinnosti aktivních politik na trhu práce.</w:t>
            </w:r>
            <w:r w:rsidRPr="005A0E7C">
              <w:rPr>
                <w:rFonts w:eastAsiaTheme="majorEastAsia"/>
              </w:rPr>
              <w:t>“</w:t>
            </w:r>
          </w:p>
        </w:tc>
        <w:tc>
          <w:tcPr>
            <w:tcW w:w="249" w:type="dxa"/>
            <w:tcBorders>
              <w:top w:val="nil"/>
              <w:bottom w:val="nil"/>
            </w:tcBorders>
            <w:shd w:val="clear" w:color="auto" w:fill="66CCFF"/>
          </w:tcPr>
          <w:p w14:paraId="5000CA03" w14:textId="77777777" w:rsidR="00DD3EFA" w:rsidRPr="005A0E7C" w:rsidRDefault="00DD3EFA" w:rsidP="00B15ECB">
            <w:pPr>
              <w:rPr>
                <w:b/>
              </w:rPr>
            </w:pPr>
          </w:p>
        </w:tc>
      </w:tr>
      <w:tr w:rsidR="00DD3EFA" w:rsidRPr="005A0E7C" w14:paraId="2B103694" w14:textId="77777777" w:rsidTr="00B15ECB">
        <w:trPr>
          <w:trHeight w:val="180"/>
        </w:trPr>
        <w:tc>
          <w:tcPr>
            <w:tcW w:w="249" w:type="dxa"/>
            <w:tcBorders>
              <w:top w:val="nil"/>
              <w:bottom w:val="nil"/>
              <w:right w:val="nil"/>
            </w:tcBorders>
            <w:shd w:val="clear" w:color="auto" w:fill="66CCFF"/>
          </w:tcPr>
          <w:p w14:paraId="02616568" w14:textId="77777777" w:rsidR="00DD3EFA" w:rsidRPr="005A0E7C" w:rsidRDefault="00DD3EFA" w:rsidP="00B15ECB">
            <w:pPr>
              <w:rPr>
                <w:b/>
              </w:rPr>
            </w:pPr>
          </w:p>
        </w:tc>
        <w:tc>
          <w:tcPr>
            <w:tcW w:w="2548" w:type="dxa"/>
            <w:tcBorders>
              <w:left w:val="nil"/>
              <w:right w:val="nil"/>
            </w:tcBorders>
            <w:shd w:val="clear" w:color="auto" w:fill="66CCFF"/>
          </w:tcPr>
          <w:p w14:paraId="6D7BFA08" w14:textId="77777777" w:rsidR="00DD3EFA" w:rsidRPr="005A0E7C" w:rsidRDefault="00DD3EFA" w:rsidP="00B15ECB">
            <w:pPr>
              <w:rPr>
                <w:b/>
              </w:rPr>
            </w:pPr>
          </w:p>
        </w:tc>
        <w:tc>
          <w:tcPr>
            <w:tcW w:w="5978" w:type="dxa"/>
            <w:tcBorders>
              <w:left w:val="nil"/>
              <w:right w:val="nil"/>
            </w:tcBorders>
            <w:shd w:val="clear" w:color="auto" w:fill="66CCFF"/>
          </w:tcPr>
          <w:p w14:paraId="4833E80A" w14:textId="77777777" w:rsidR="00DD3EFA" w:rsidRPr="005A0E7C" w:rsidRDefault="00DD3EFA" w:rsidP="00B15ECB">
            <w:pPr>
              <w:rPr>
                <w:b/>
              </w:rPr>
            </w:pPr>
          </w:p>
        </w:tc>
        <w:tc>
          <w:tcPr>
            <w:tcW w:w="249" w:type="dxa"/>
            <w:tcBorders>
              <w:top w:val="nil"/>
              <w:left w:val="nil"/>
              <w:bottom w:val="nil"/>
            </w:tcBorders>
            <w:shd w:val="clear" w:color="auto" w:fill="66CCFF"/>
          </w:tcPr>
          <w:p w14:paraId="0A599E07" w14:textId="77777777" w:rsidR="00DD3EFA" w:rsidRPr="005A0E7C" w:rsidRDefault="00DD3EFA" w:rsidP="00B15ECB">
            <w:pPr>
              <w:rPr>
                <w:b/>
              </w:rPr>
            </w:pPr>
          </w:p>
        </w:tc>
      </w:tr>
      <w:tr w:rsidR="00DD3EFA" w:rsidRPr="005A0E7C" w14:paraId="5B764268" w14:textId="77777777" w:rsidTr="00B15ECB">
        <w:trPr>
          <w:trHeight w:val="938"/>
        </w:trPr>
        <w:tc>
          <w:tcPr>
            <w:tcW w:w="249" w:type="dxa"/>
            <w:tcBorders>
              <w:top w:val="nil"/>
              <w:bottom w:val="nil"/>
            </w:tcBorders>
            <w:shd w:val="clear" w:color="auto" w:fill="66CCFF"/>
          </w:tcPr>
          <w:p w14:paraId="280AA2E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B1881A3"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36321E83"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3BC94854"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Evropský pilíř sociálních práv</w:t>
            </w:r>
          </w:p>
          <w:p w14:paraId="33E895F5"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Evropa 2020 : strategie Evropské unie pro růst a zaměstnanost</w:t>
            </w:r>
          </w:p>
          <w:p w14:paraId="7CCDB0DE"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Strategický rámec Česká republika 2030</w:t>
            </w:r>
          </w:p>
          <w:p w14:paraId="7A071ED2"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politiky zaměstnanosti do roku 2020 (2015), aktualizace 2017</w:t>
            </w:r>
          </w:p>
          <w:p w14:paraId="7E3646F6"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Národní program reforem</w:t>
            </w:r>
          </w:p>
          <w:p w14:paraId="034D4222"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Koncepce politiky zaměstnanosti 2013 – 2020</w:t>
            </w:r>
          </w:p>
          <w:p w14:paraId="45EEC215"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Akční plán Společnost 4.0, resp. akční plán Práce 4.0</w:t>
            </w:r>
          </w:p>
          <w:p w14:paraId="73986E27"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digitální gramotnosti ČR na období 2015-2020</w:t>
            </w:r>
          </w:p>
          <w:p w14:paraId="39C6CCCC"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Akční plán Strategie boje proti sociálnímu vyloučení na období 2016 až 2020</w:t>
            </w:r>
          </w:p>
          <w:p w14:paraId="1AAB870D"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politiky zaměstnanosti do roku 2020 (2015), aktualizace 2017</w:t>
            </w:r>
          </w:p>
          <w:p w14:paraId="4168C880"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Koncepce vězeňství do roku 2025</w:t>
            </w:r>
          </w:p>
          <w:p w14:paraId="6BE0BAFA"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Koncepce rozvoje probace a mediace do roku 2025</w:t>
            </w:r>
          </w:p>
          <w:p w14:paraId="2771F8EA"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b/>
              </w:rPr>
              <w:t>Strategický rámec politiky zaměstnanosti do roku 2030 (připravovaný dokument,</w:t>
            </w:r>
            <w:r w:rsidRPr="005A0E7C">
              <w:rPr>
                <w:rFonts w:ascii="Times New Roman" w:hAnsi="Times New Roman"/>
              </w:rPr>
              <w:t xml:space="preserve"> dále jen SR PZ 2030)</w:t>
            </w:r>
          </w:p>
          <w:p w14:paraId="5A66F8A8"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p>
          <w:p w14:paraId="254EBD20"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u w:val="single"/>
              </w:rPr>
              <w:t>Analýzy:</w:t>
            </w:r>
          </w:p>
          <w:p w14:paraId="58BA3643" w14:textId="77777777" w:rsidR="00DD3EFA" w:rsidRPr="005A0E7C" w:rsidRDefault="00DD3EFA" w:rsidP="00391907">
            <w:pPr>
              <w:pStyle w:val="slovanodstavec"/>
              <w:numPr>
                <w:ilvl w:val="0"/>
                <w:numId w:val="6"/>
              </w:numPr>
              <w:tabs>
                <w:tab w:val="clear" w:pos="567"/>
                <w:tab w:val="left" w:pos="284"/>
              </w:tabs>
              <w:suppressAutoHyphens/>
              <w:spacing w:after="0" w:line="240" w:lineRule="auto"/>
              <w:ind w:left="357" w:hanging="357"/>
              <w:rPr>
                <w:rFonts w:ascii="Times New Roman" w:hAnsi="Times New Roman"/>
              </w:rPr>
            </w:pPr>
            <w:r w:rsidRPr="005A0E7C">
              <w:rPr>
                <w:rFonts w:ascii="Times New Roman" w:hAnsi="Times New Roman"/>
              </w:rPr>
              <w:t>Analýza nabídky a poptávky na trhu práce</w:t>
            </w:r>
          </w:p>
          <w:p w14:paraId="7AC086AC" w14:textId="77777777" w:rsidR="00DD3EFA" w:rsidRPr="005A0E7C" w:rsidRDefault="00DD3EFA" w:rsidP="00391907">
            <w:pPr>
              <w:pStyle w:val="slovanodstavec"/>
              <w:numPr>
                <w:ilvl w:val="0"/>
                <w:numId w:val="6"/>
              </w:numPr>
              <w:tabs>
                <w:tab w:val="clear" w:pos="567"/>
                <w:tab w:val="left" w:pos="284"/>
              </w:tabs>
              <w:suppressAutoHyphens/>
              <w:spacing w:after="0" w:line="240" w:lineRule="auto"/>
              <w:ind w:left="357" w:hanging="357"/>
              <w:rPr>
                <w:rFonts w:ascii="Times New Roman" w:hAnsi="Times New Roman"/>
              </w:rPr>
            </w:pPr>
            <w:r w:rsidRPr="005A0E7C">
              <w:rPr>
                <w:rFonts w:ascii="Times New Roman" w:hAnsi="Times New Roman"/>
              </w:rPr>
              <w:t>Analýza vývoje zaměstnanosti a nezaměstnanosti</w:t>
            </w:r>
          </w:p>
          <w:p w14:paraId="46FB68A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výstupy projektu „Vyhodnocování účinnosti a efektivity realizace APZ“ (studie, aktuálně se vypracovávají)</w:t>
            </w:r>
          </w:p>
        </w:tc>
        <w:tc>
          <w:tcPr>
            <w:tcW w:w="249" w:type="dxa"/>
            <w:tcBorders>
              <w:top w:val="nil"/>
              <w:bottom w:val="nil"/>
            </w:tcBorders>
            <w:shd w:val="clear" w:color="auto" w:fill="66CCFF"/>
          </w:tcPr>
          <w:p w14:paraId="35E98A95" w14:textId="77777777" w:rsidR="00DD3EFA" w:rsidRPr="005A0E7C" w:rsidRDefault="00DD3EFA" w:rsidP="00B15ECB">
            <w:pPr>
              <w:rPr>
                <w:b/>
              </w:rPr>
            </w:pPr>
          </w:p>
        </w:tc>
      </w:tr>
      <w:tr w:rsidR="00DD3EFA" w:rsidRPr="005A0E7C" w14:paraId="7F3FE189" w14:textId="77777777" w:rsidTr="00B15ECB">
        <w:trPr>
          <w:trHeight w:val="938"/>
        </w:trPr>
        <w:tc>
          <w:tcPr>
            <w:tcW w:w="249" w:type="dxa"/>
            <w:tcBorders>
              <w:top w:val="nil"/>
              <w:bottom w:val="nil"/>
            </w:tcBorders>
            <w:shd w:val="clear" w:color="auto" w:fill="66CCFF"/>
          </w:tcPr>
          <w:p w14:paraId="62DE662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9029063"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4269D6BE" w14:textId="77777777" w:rsidR="00DD3EFA" w:rsidRPr="005A0E7C" w:rsidRDefault="00DD3EFA" w:rsidP="00B15ECB">
            <w:pPr>
              <w:spacing w:before="60" w:after="60"/>
              <w:rPr>
                <w:rFonts w:eastAsiaTheme="majorEastAsia"/>
                <w:b/>
              </w:rPr>
            </w:pPr>
          </w:p>
        </w:tc>
        <w:tc>
          <w:tcPr>
            <w:tcW w:w="5978" w:type="dxa"/>
            <w:shd w:val="clear" w:color="auto" w:fill="FFFFFF" w:themeFill="background1"/>
          </w:tcPr>
          <w:p w14:paraId="71601A6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0EE0CF8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obsahuje část analyzující vývoj trhu práce v posledních deseti letech, a to s ohledem na nutnost popsat vývoj trhu práce v průběhu celého střednědobého hospodářského cyklu a identifikovat tak dlouhodobější trendy vývoje a proměny trhu práce. Zároveň obsahuje část „východiska“ stojící na pomezí strategické a analytické části, vycházející z již provedených analýz a predikcí očekávaného vývoje trhu práce, zejména ve vazbě na dopady 4. průmyslové revoluce.</w:t>
            </w:r>
          </w:p>
        </w:tc>
        <w:tc>
          <w:tcPr>
            <w:tcW w:w="249" w:type="dxa"/>
            <w:tcBorders>
              <w:top w:val="nil"/>
              <w:bottom w:val="nil"/>
            </w:tcBorders>
            <w:shd w:val="clear" w:color="auto" w:fill="66CCFF"/>
          </w:tcPr>
          <w:p w14:paraId="61867B95" w14:textId="77777777" w:rsidR="00DD3EFA" w:rsidRPr="005A0E7C" w:rsidRDefault="00DD3EFA" w:rsidP="00B15ECB">
            <w:pPr>
              <w:rPr>
                <w:b/>
              </w:rPr>
            </w:pPr>
          </w:p>
        </w:tc>
      </w:tr>
      <w:tr w:rsidR="00DD3EFA" w:rsidRPr="005A0E7C" w14:paraId="5E804D0A" w14:textId="77777777" w:rsidTr="00B15ECB">
        <w:trPr>
          <w:trHeight w:val="938"/>
        </w:trPr>
        <w:tc>
          <w:tcPr>
            <w:tcW w:w="249" w:type="dxa"/>
            <w:tcBorders>
              <w:top w:val="nil"/>
              <w:bottom w:val="nil"/>
            </w:tcBorders>
            <w:shd w:val="clear" w:color="auto" w:fill="66CCFF"/>
          </w:tcPr>
          <w:p w14:paraId="50BC3FE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0EB5EFF"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40A848AF" w14:textId="77777777" w:rsidR="00DD3EFA" w:rsidRPr="005A0E7C" w:rsidRDefault="00DD3EFA" w:rsidP="00B15ECB">
            <w:pPr>
              <w:spacing w:before="60" w:after="60"/>
              <w:rPr>
                <w:rFonts w:eastAsiaTheme="majorEastAsia"/>
                <w:b/>
              </w:rPr>
            </w:pPr>
          </w:p>
        </w:tc>
        <w:tc>
          <w:tcPr>
            <w:tcW w:w="5978" w:type="dxa"/>
            <w:shd w:val="clear" w:color="auto" w:fill="FFFFFF" w:themeFill="background1"/>
          </w:tcPr>
          <w:p w14:paraId="12F9389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7DFBE81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je strategickým rámcem s platností na celé období 20. let 21. století. Cíle a opatření jsou proto definována rámcově a budou pro kratší období 2 až tří let zpřesňována prostřednictvím akčních plánů.</w:t>
            </w:r>
          </w:p>
        </w:tc>
        <w:tc>
          <w:tcPr>
            <w:tcW w:w="249" w:type="dxa"/>
            <w:tcBorders>
              <w:top w:val="nil"/>
              <w:bottom w:val="nil"/>
            </w:tcBorders>
            <w:shd w:val="clear" w:color="auto" w:fill="66CCFF"/>
          </w:tcPr>
          <w:p w14:paraId="4403BD41" w14:textId="77777777" w:rsidR="00DD3EFA" w:rsidRPr="005A0E7C" w:rsidRDefault="00DD3EFA" w:rsidP="00B15ECB">
            <w:pPr>
              <w:rPr>
                <w:b/>
              </w:rPr>
            </w:pPr>
          </w:p>
        </w:tc>
      </w:tr>
      <w:tr w:rsidR="00DD3EFA" w:rsidRPr="005A0E7C" w14:paraId="488FE593" w14:textId="77777777" w:rsidTr="00B15ECB">
        <w:trPr>
          <w:trHeight w:val="938"/>
        </w:trPr>
        <w:tc>
          <w:tcPr>
            <w:tcW w:w="249" w:type="dxa"/>
            <w:tcBorders>
              <w:top w:val="nil"/>
              <w:bottom w:val="nil"/>
            </w:tcBorders>
            <w:shd w:val="clear" w:color="auto" w:fill="66CCFF"/>
          </w:tcPr>
          <w:p w14:paraId="7B185E1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0DE4995"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1AB9C002" w14:textId="77777777" w:rsidR="00DD3EFA" w:rsidRPr="005A0E7C" w:rsidRDefault="00DD3EFA" w:rsidP="00B15ECB">
            <w:pPr>
              <w:spacing w:before="60" w:after="60"/>
              <w:rPr>
                <w:rFonts w:eastAsiaTheme="majorEastAsia"/>
                <w:b/>
              </w:rPr>
            </w:pPr>
          </w:p>
        </w:tc>
        <w:tc>
          <w:tcPr>
            <w:tcW w:w="5978" w:type="dxa"/>
            <w:shd w:val="clear" w:color="auto" w:fill="FFFFFF" w:themeFill="background1"/>
          </w:tcPr>
          <w:p w14:paraId="6307CF5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3DAA027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bude implementován prováděcími akčními plány s časovým horizontem dvou až tří let. Ty budou již obsahovat konkrétní opatření s určením gestora, finančních nákladů (bude-i možné vyčíslit) i termínem plnění. Akční plány budou připraveny na období po roce 2020, do roku 2020 jsou implementovány stávající strategické materiály.</w:t>
            </w:r>
          </w:p>
        </w:tc>
        <w:tc>
          <w:tcPr>
            <w:tcW w:w="249" w:type="dxa"/>
            <w:tcBorders>
              <w:top w:val="nil"/>
              <w:bottom w:val="nil"/>
            </w:tcBorders>
            <w:shd w:val="clear" w:color="auto" w:fill="66CCFF"/>
          </w:tcPr>
          <w:p w14:paraId="3E2C679E" w14:textId="77777777" w:rsidR="00DD3EFA" w:rsidRPr="005A0E7C" w:rsidRDefault="00DD3EFA" w:rsidP="00B15ECB">
            <w:pPr>
              <w:rPr>
                <w:b/>
              </w:rPr>
            </w:pPr>
          </w:p>
        </w:tc>
      </w:tr>
      <w:tr w:rsidR="00DD3EFA" w:rsidRPr="005A0E7C" w14:paraId="6BB16619" w14:textId="77777777" w:rsidTr="00B15ECB">
        <w:trPr>
          <w:trHeight w:val="938"/>
        </w:trPr>
        <w:tc>
          <w:tcPr>
            <w:tcW w:w="249" w:type="dxa"/>
            <w:tcBorders>
              <w:top w:val="nil"/>
              <w:bottom w:val="nil"/>
            </w:tcBorders>
            <w:shd w:val="clear" w:color="auto" w:fill="66CCFF"/>
          </w:tcPr>
          <w:p w14:paraId="536715B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4B7E03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0D22AC8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0641702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bude pravidelně monitorován v rámci standardních mechanismů. MPSV pravidelně vypracovává s pololetní frekvencí Analýzu vývoje zaměstnanosti a nezaměstnanosti a pravidelně vydává veřejně dostupné statistiky, včetně časových řad, umožňující průběžné monitorování stavu trhu práce a tedy i naplňování cílů SR PZ 2030. Pravidelně budou vyhodnocovány konkrétní akční plány.</w:t>
            </w:r>
          </w:p>
        </w:tc>
        <w:tc>
          <w:tcPr>
            <w:tcW w:w="249" w:type="dxa"/>
            <w:tcBorders>
              <w:top w:val="nil"/>
              <w:bottom w:val="nil"/>
            </w:tcBorders>
            <w:shd w:val="clear" w:color="auto" w:fill="66CCFF"/>
          </w:tcPr>
          <w:p w14:paraId="1777D84B" w14:textId="77777777" w:rsidR="00DD3EFA" w:rsidRPr="005A0E7C" w:rsidRDefault="00DD3EFA" w:rsidP="00B15ECB">
            <w:pPr>
              <w:rPr>
                <w:b/>
              </w:rPr>
            </w:pPr>
          </w:p>
        </w:tc>
      </w:tr>
      <w:tr w:rsidR="00DD3EFA" w:rsidRPr="005A0E7C" w14:paraId="1D90EEC1" w14:textId="77777777" w:rsidTr="00B15ECB">
        <w:trPr>
          <w:trHeight w:val="130"/>
        </w:trPr>
        <w:tc>
          <w:tcPr>
            <w:tcW w:w="249" w:type="dxa"/>
            <w:tcBorders>
              <w:top w:val="nil"/>
              <w:bottom w:val="nil"/>
              <w:right w:val="nil"/>
            </w:tcBorders>
            <w:shd w:val="clear" w:color="auto" w:fill="66CCFF"/>
          </w:tcPr>
          <w:p w14:paraId="0FA6B769" w14:textId="77777777" w:rsidR="00DD3EFA" w:rsidRPr="005A0E7C" w:rsidRDefault="00DD3EFA" w:rsidP="00B15ECB">
            <w:pPr>
              <w:rPr>
                <w:b/>
              </w:rPr>
            </w:pPr>
          </w:p>
        </w:tc>
        <w:tc>
          <w:tcPr>
            <w:tcW w:w="2548" w:type="dxa"/>
            <w:tcBorders>
              <w:left w:val="nil"/>
              <w:right w:val="nil"/>
            </w:tcBorders>
            <w:shd w:val="clear" w:color="auto" w:fill="66CCFF"/>
          </w:tcPr>
          <w:p w14:paraId="09D6E108" w14:textId="77777777" w:rsidR="00DD3EFA" w:rsidRPr="005A0E7C" w:rsidRDefault="00DD3EFA" w:rsidP="00B15ECB">
            <w:pPr>
              <w:rPr>
                <w:b/>
              </w:rPr>
            </w:pPr>
          </w:p>
        </w:tc>
        <w:tc>
          <w:tcPr>
            <w:tcW w:w="5978" w:type="dxa"/>
            <w:tcBorders>
              <w:left w:val="nil"/>
              <w:right w:val="nil"/>
            </w:tcBorders>
            <w:shd w:val="clear" w:color="auto" w:fill="66CCFF"/>
          </w:tcPr>
          <w:p w14:paraId="1383B7F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rPr>
            </w:pPr>
          </w:p>
        </w:tc>
        <w:tc>
          <w:tcPr>
            <w:tcW w:w="249" w:type="dxa"/>
            <w:tcBorders>
              <w:top w:val="nil"/>
              <w:left w:val="nil"/>
              <w:bottom w:val="nil"/>
            </w:tcBorders>
            <w:shd w:val="clear" w:color="auto" w:fill="66CCFF"/>
          </w:tcPr>
          <w:p w14:paraId="3F3634B6" w14:textId="77777777" w:rsidR="00DD3EFA" w:rsidRPr="005A0E7C" w:rsidRDefault="00DD3EFA" w:rsidP="00B15ECB">
            <w:pPr>
              <w:rPr>
                <w:b/>
              </w:rPr>
            </w:pPr>
          </w:p>
        </w:tc>
      </w:tr>
      <w:tr w:rsidR="00DD3EFA" w:rsidRPr="005A0E7C" w14:paraId="0AD2795B" w14:textId="77777777" w:rsidTr="00B15ECB">
        <w:trPr>
          <w:trHeight w:val="1258"/>
        </w:trPr>
        <w:tc>
          <w:tcPr>
            <w:tcW w:w="249" w:type="dxa"/>
            <w:tcBorders>
              <w:top w:val="nil"/>
              <w:bottom w:val="nil"/>
              <w:right w:val="nil"/>
            </w:tcBorders>
            <w:shd w:val="clear" w:color="auto" w:fill="66CCFF"/>
          </w:tcPr>
          <w:p w14:paraId="5C242446" w14:textId="77777777" w:rsidR="00DD3EFA" w:rsidRPr="005A0E7C" w:rsidRDefault="00DD3EFA" w:rsidP="00B15ECB">
            <w:pPr>
              <w:rPr>
                <w:b/>
              </w:rPr>
            </w:pPr>
          </w:p>
        </w:tc>
        <w:tc>
          <w:tcPr>
            <w:tcW w:w="8526" w:type="dxa"/>
            <w:gridSpan w:val="2"/>
            <w:shd w:val="clear" w:color="auto" w:fill="FFFFFF" w:themeFill="background1"/>
          </w:tcPr>
          <w:p w14:paraId="71907A2D"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p w14:paraId="4EAC0E00" w14:textId="77777777" w:rsidR="00DD3EFA" w:rsidRPr="005A0E7C" w:rsidRDefault="00DD3EFA" w:rsidP="00B15ECB">
            <w:pPr>
              <w:rPr>
                <w:rFonts w:eastAsiaTheme="majorEastAsia"/>
                <w:b/>
              </w:rPr>
            </w:pPr>
          </w:p>
          <w:p w14:paraId="39A2075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1801742C" w14:textId="77777777" w:rsidR="00DD3EFA" w:rsidRPr="005A0E7C" w:rsidRDefault="00DD3EFA" w:rsidP="00B15ECB">
            <w:pPr>
              <w:rPr>
                <w:b/>
              </w:rPr>
            </w:pPr>
          </w:p>
        </w:tc>
      </w:tr>
      <w:tr w:rsidR="00DD3EFA" w:rsidRPr="005A0E7C" w14:paraId="4E965040" w14:textId="77777777" w:rsidTr="00B15ECB">
        <w:trPr>
          <w:trHeight w:val="1258"/>
        </w:trPr>
        <w:tc>
          <w:tcPr>
            <w:tcW w:w="249" w:type="dxa"/>
            <w:tcBorders>
              <w:top w:val="nil"/>
              <w:bottom w:val="nil"/>
              <w:right w:val="nil"/>
            </w:tcBorders>
            <w:shd w:val="clear" w:color="auto" w:fill="66CCFF"/>
          </w:tcPr>
          <w:p w14:paraId="47864278" w14:textId="77777777" w:rsidR="00DD3EFA" w:rsidRPr="005A0E7C" w:rsidRDefault="00DD3EFA" w:rsidP="00B15ECB">
            <w:pPr>
              <w:rPr>
                <w:b/>
              </w:rPr>
            </w:pPr>
          </w:p>
        </w:tc>
        <w:tc>
          <w:tcPr>
            <w:tcW w:w="2548" w:type="dxa"/>
            <w:shd w:val="clear" w:color="auto" w:fill="FFFFFF" w:themeFill="background1"/>
          </w:tcPr>
          <w:p w14:paraId="04B0C818" w14:textId="77777777" w:rsidR="00DD3EFA" w:rsidRPr="005A0E7C" w:rsidRDefault="00DD3EFA" w:rsidP="00B15ECB">
            <w:pPr>
              <w:rPr>
                <w:rFonts w:eastAsiaTheme="majorEastAsia"/>
                <w:b/>
              </w:rPr>
            </w:pPr>
            <w:r w:rsidRPr="005A0E7C">
              <w:rPr>
                <w:rFonts w:eastAsiaTheme="majorEastAsia"/>
                <w:b/>
              </w:rPr>
              <w:t>Věcný posun oblasti</w:t>
            </w:r>
          </w:p>
          <w:p w14:paraId="0CF8F3AC"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5A8D4B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ajorEastAsia" w:hAnsi="Times New Roman"/>
              </w:rPr>
            </w:pPr>
            <w:r w:rsidRPr="005A0E7C">
              <w:rPr>
                <w:rFonts w:ascii="Times New Roman" w:eastAsiaTheme="majorEastAsia" w:hAnsi="Times New Roman"/>
              </w:rPr>
              <w:t xml:space="preserve">Oblast aktivních politik trhu práce je podporována z fondů EU již od období 2004-2006. Intervence jsou průběžně upravovány dle aktuální situace na trhu práce resp. potřeb a početnosti cílové skupiny a při zohlednění výstupů z evaluací. </w:t>
            </w:r>
          </w:p>
          <w:p w14:paraId="78F64CE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ajorEastAsia" w:hAnsi="Times New Roman"/>
              </w:rPr>
            </w:pPr>
            <w:r w:rsidRPr="005A0E7C">
              <w:rPr>
                <w:rFonts w:ascii="Times New Roman" w:eastAsiaTheme="majorEastAsia" w:hAnsi="Times New Roman"/>
              </w:rPr>
              <w:t>Programy financované z fondů EU významně přispěly k naplnění cílů</w:t>
            </w:r>
            <w:r w:rsidRPr="005A0E7C">
              <w:rPr>
                <w:rFonts w:ascii="Times New Roman" w:hAnsi="Times New Roman"/>
              </w:rPr>
              <w:t xml:space="preserve"> politiky zaměstnanosti, ke kterým se ČR zavázala v rámci Strategie Evropa 2020 resp. </w:t>
            </w:r>
            <w:r w:rsidRPr="005A0E7C">
              <w:rPr>
                <w:rFonts w:ascii="Times New Roman" w:eastAsiaTheme="majorEastAsia" w:hAnsi="Times New Roman"/>
              </w:rPr>
              <w:t xml:space="preserve">Národního programu reforem. </w:t>
            </w:r>
            <w:r w:rsidRPr="005A0E7C">
              <w:rPr>
                <w:rFonts w:ascii="Times New Roman" w:hAnsi="Times New Roman"/>
              </w:rPr>
              <w:t>Všech cílů politiky zaměstnanosti bylo dosaženo nejpozději ve 4. čtvrtletí 2016 a od této doby jsou vytčené cílové hodnoty plněny (např. cíl zvýšit míru zaměstnanosti ve věkové skupině 20 – 64 let na 75 % dosáhl ve 2. čtvrtletí 2018 hodnoty 79,8 %).</w:t>
            </w:r>
          </w:p>
          <w:p w14:paraId="1BF0DF2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eastAsiaTheme="majorEastAsia" w:hAnsi="Times New Roman"/>
              </w:rPr>
              <w:t>Oproti minulému období je kladen více důraz na individuální a komplexní práci s ohroženými skupinami (zejm. dlouhodobě nezaměstnaní, OZP, nízkokvalifikovaní) při podrobném zohlednění jejich kvalifikace, schopností, dovedností, zdravotního stavu a současně požadavků konkrétního zaměstnavatele. Je více kladen důraz na síťování spolupracujících subjektů, které řeší životní situaci klienta komplexně, berouce v potaz různé překážky na cestě k zaměstnání (včetně bariér mimo kvalifikaci, dovednosti nebo zdravotní stav, jako např. bydlení, zadlužení nebo závislosti) a uplatňujíce různé přístupy a modely s různou úrovní komplexnosti, jejichž použití vyžaduje aktuální situace klienta (jedno opatření nebo kombinace více opatření či např. opatření typu prostupné zaměstnávání apod.). Je rovněž kladen důraz na větší cílenost nástrojů APZ. Cílenější podpora než dosud je poskytnuta na rozvoj sociální ekonomiky, která má význam pro určité obtížně umístitelné skupiny, zejména v lokálním měřítku.</w:t>
            </w:r>
          </w:p>
          <w:p w14:paraId="02ADE60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Výstupy z evaluací intervencí podporovaných v operačních programech v gesci MPSV v obdobích 2014-2020, 2007-2013 a 2004-2006 jsou k dispozici na odkaze: </w:t>
            </w:r>
            <w:hyperlink r:id="rId14" w:history="1">
              <w:r w:rsidRPr="005A0E7C">
                <w:rPr>
                  <w:rStyle w:val="Hypertextovodkaz"/>
                  <w:rFonts w:ascii="Times New Roman" w:hAnsi="Times New Roman"/>
                </w:rPr>
                <w:t>https://www.esfcr.cz/evaluace</w:t>
              </w:r>
            </w:hyperlink>
            <w:r w:rsidRPr="005A0E7C">
              <w:rPr>
                <w:rFonts w:ascii="Times New Roman" w:hAnsi="Times New Roman"/>
              </w:rPr>
              <w:t>. Zmínit lze například Vyhodnocení přínosu OP RLZ k aktivní politice zaměstnanosti, Evaluaci iniciativy na podporu zaměstnanosti mladých lidí v ČR, Průběžnou dlouhodobou evaluaci účinků podpory OP LZZ na cílové skupiny programu, nebo</w:t>
            </w:r>
            <w:r w:rsidRPr="005A0E7C">
              <w:rPr>
                <w:rFonts w:ascii="Times New Roman" w:hAnsi="Times New Roman"/>
                <w:b/>
              </w:rPr>
              <w:t xml:space="preserve"> </w:t>
            </w:r>
            <w:r w:rsidRPr="005A0E7C">
              <w:rPr>
                <w:rFonts w:ascii="Times New Roman" w:hAnsi="Times New Roman"/>
              </w:rPr>
              <w:t>Evaluaci dopadů a dobré praxe OP LZZ na základě případových studií a jejich meta-analýzy</w:t>
            </w:r>
            <w:r w:rsidRPr="005A0E7C">
              <w:rPr>
                <w:rFonts w:ascii="Times New Roman" w:hAnsi="Times New Roman"/>
                <w:b/>
              </w:rPr>
              <w:t>.</w:t>
            </w:r>
          </w:p>
          <w:p w14:paraId="645DCAD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rámci evaluací byl v této oblasti identifikován vyšší přínos intervencí, které kombinují více typů podpory dle potřeb dané cílové skupiny. Jako důležité bylo identifikováno např. provázání rekvalifikace s praxí či stáží. Součástí podpory by měly být rovněž motivační aktivity, a to buď v rámci aktivit projektu, nebo prostřednictvím spolupráce s Úřadem práce. Strategická evaluace OPZ I – relevance z 30. března 2017 konstatovala platnost intervenční logiky v dané oblasti, s ohledem na aktuálně mimořádně pozitivní situaci na trhu práce však došlo ke změně ve struktuře cílových skupin (problémem přestala být vysoká míra nezaměstnanosti a nezaměstnanost mladých do 25 let, při snížené míře nezaměstnanosti se zvýšil podíl dlouhodobě nezaměstnaných, problémy přetrvávají u uchazečů o zaměstnání 55+ a těch, u nichž se kumuluji různé hendikepy). Závěry z evaluací jsou průběžně zohledňovány v rámci podporovaných intervencí.</w:t>
            </w:r>
          </w:p>
        </w:tc>
        <w:tc>
          <w:tcPr>
            <w:tcW w:w="249" w:type="dxa"/>
            <w:tcBorders>
              <w:top w:val="nil"/>
              <w:left w:val="nil"/>
              <w:bottom w:val="nil"/>
            </w:tcBorders>
            <w:shd w:val="clear" w:color="auto" w:fill="66CCFF"/>
          </w:tcPr>
          <w:p w14:paraId="7D3AA9F0" w14:textId="77777777" w:rsidR="00DD3EFA" w:rsidRPr="005A0E7C" w:rsidRDefault="00DD3EFA" w:rsidP="00B15ECB">
            <w:pPr>
              <w:rPr>
                <w:b/>
              </w:rPr>
            </w:pPr>
          </w:p>
        </w:tc>
      </w:tr>
      <w:tr w:rsidR="00DD3EFA" w:rsidRPr="005A0E7C" w14:paraId="63F1F038" w14:textId="77777777" w:rsidTr="00B15ECB">
        <w:trPr>
          <w:trHeight w:val="3005"/>
        </w:trPr>
        <w:tc>
          <w:tcPr>
            <w:tcW w:w="249" w:type="dxa"/>
            <w:tcBorders>
              <w:top w:val="nil"/>
              <w:bottom w:val="nil"/>
              <w:right w:val="nil"/>
            </w:tcBorders>
            <w:shd w:val="clear" w:color="auto" w:fill="66CCFF"/>
          </w:tcPr>
          <w:p w14:paraId="77918F06" w14:textId="77777777" w:rsidR="00DD3EFA" w:rsidRPr="005A0E7C" w:rsidRDefault="00DD3EFA" w:rsidP="00B15ECB">
            <w:pPr>
              <w:rPr>
                <w:b/>
              </w:rPr>
            </w:pPr>
          </w:p>
        </w:tc>
        <w:tc>
          <w:tcPr>
            <w:tcW w:w="2548" w:type="dxa"/>
            <w:shd w:val="clear" w:color="auto" w:fill="FFFFFF" w:themeFill="background1"/>
          </w:tcPr>
          <w:p w14:paraId="2628C8F9" w14:textId="77777777" w:rsidR="00DD3EFA" w:rsidRPr="005A0E7C" w:rsidRDefault="00DD3EFA" w:rsidP="00B15ECB">
            <w:pPr>
              <w:rPr>
                <w:rFonts w:eastAsiaTheme="majorEastAsia"/>
                <w:b/>
              </w:rPr>
            </w:pPr>
            <w:r w:rsidRPr="005A0E7C">
              <w:rPr>
                <w:rFonts w:eastAsiaTheme="majorEastAsia"/>
                <w:b/>
              </w:rPr>
              <w:t>Synergické a multiplikační efekty</w:t>
            </w:r>
          </w:p>
          <w:p w14:paraId="05B2D29A"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3845FEC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rPr>
            </w:pPr>
            <w:r w:rsidRPr="005A0E7C">
              <w:rPr>
                <w:rFonts w:ascii="Times New Roman" w:eastAsiaTheme="minorHAnsi" w:hAnsi="Times New Roman"/>
              </w:rPr>
              <w:t xml:space="preserve">Synergická vazba nebyla v dané oblasti identifikována.  </w:t>
            </w:r>
          </w:p>
          <w:p w14:paraId="704B6E1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V období 2014-2020 je v rámci OPZ sledována v dané oblasti zejména komplementární vazba „sociální podnikání“ – pro plnění této vazby byly nastaveny dostatečné koordinační mechanismy, je zajišťována doplňkovost jednotlivých operací s relevantními aktivitami v rámci výzev  OP PPR i IROP. Určitou slabinou pro danou komplementární vazbu je skutečnost, že v případě OPZ (i IROP) je poměrně nízká úspěšnost žadatelů při hodnocení projektů. Podrobnější informace o plnění komplementárních vazeb v OPZ jsou uvedeny v Přehledu plnění synergických a komplementárních vazeb v MS2014, který je každoročně vyplňován jednotlivými ŘO podle Metodického pokynu pro monitorování implementace ESIF v ČR v programovém období 2014-2020.</w:t>
            </w:r>
            <w:r w:rsidRPr="005A0E7C">
              <w:rPr>
                <w:rFonts w:ascii="Times New Roman" w:hAnsi="Times New Roman"/>
                <w:i/>
              </w:rPr>
              <w:t xml:space="preserve"> </w:t>
            </w:r>
          </w:p>
        </w:tc>
        <w:tc>
          <w:tcPr>
            <w:tcW w:w="249" w:type="dxa"/>
            <w:tcBorders>
              <w:top w:val="nil"/>
              <w:left w:val="nil"/>
              <w:bottom w:val="nil"/>
            </w:tcBorders>
            <w:shd w:val="clear" w:color="auto" w:fill="66CCFF"/>
          </w:tcPr>
          <w:p w14:paraId="18CBF7E6" w14:textId="77777777" w:rsidR="00DD3EFA" w:rsidRPr="005A0E7C" w:rsidRDefault="00DD3EFA" w:rsidP="00B15ECB">
            <w:pPr>
              <w:rPr>
                <w:b/>
              </w:rPr>
            </w:pPr>
          </w:p>
        </w:tc>
      </w:tr>
      <w:tr w:rsidR="00DD3EFA" w:rsidRPr="005A0E7C" w14:paraId="60FF55C3" w14:textId="77777777" w:rsidTr="00B15ECB">
        <w:trPr>
          <w:trHeight w:val="180"/>
        </w:trPr>
        <w:tc>
          <w:tcPr>
            <w:tcW w:w="249" w:type="dxa"/>
            <w:tcBorders>
              <w:top w:val="nil"/>
              <w:bottom w:val="nil"/>
              <w:right w:val="nil"/>
            </w:tcBorders>
            <w:shd w:val="clear" w:color="auto" w:fill="66CCFF"/>
          </w:tcPr>
          <w:p w14:paraId="539980FD"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42F65249"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EBF9554" w14:textId="77777777" w:rsidR="00DD3EFA" w:rsidRPr="005A0E7C" w:rsidRDefault="00DD3EFA" w:rsidP="00B15ECB">
            <w:pPr>
              <w:rPr>
                <w:b/>
              </w:rPr>
            </w:pPr>
          </w:p>
        </w:tc>
        <w:tc>
          <w:tcPr>
            <w:tcW w:w="249" w:type="dxa"/>
            <w:tcBorders>
              <w:top w:val="nil"/>
              <w:left w:val="nil"/>
              <w:bottom w:val="nil"/>
            </w:tcBorders>
            <w:shd w:val="clear" w:color="auto" w:fill="66CCFF"/>
          </w:tcPr>
          <w:p w14:paraId="16D0BD6A" w14:textId="77777777" w:rsidR="00DD3EFA" w:rsidRPr="005A0E7C" w:rsidRDefault="00DD3EFA" w:rsidP="00B15ECB">
            <w:pPr>
              <w:rPr>
                <w:b/>
              </w:rPr>
            </w:pPr>
          </w:p>
        </w:tc>
      </w:tr>
      <w:tr w:rsidR="00DD3EFA" w:rsidRPr="005A0E7C" w14:paraId="60A1C7DC" w14:textId="77777777" w:rsidTr="00B15ECB">
        <w:trPr>
          <w:trHeight w:val="990"/>
        </w:trPr>
        <w:tc>
          <w:tcPr>
            <w:tcW w:w="249" w:type="dxa"/>
            <w:tcBorders>
              <w:top w:val="nil"/>
              <w:bottom w:val="nil"/>
            </w:tcBorders>
            <w:shd w:val="clear" w:color="auto" w:fill="66CCFF"/>
          </w:tcPr>
          <w:p w14:paraId="3E89F3E7"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4D5ECB7F"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48B1942A"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5F8DDE9B" w14:textId="77777777" w:rsidR="00DD3EFA" w:rsidRPr="005A0E7C" w:rsidRDefault="00DD3EFA" w:rsidP="00B15ECB">
            <w:pPr>
              <w:rPr>
                <w:b/>
              </w:rPr>
            </w:pPr>
          </w:p>
        </w:tc>
      </w:tr>
      <w:tr w:rsidR="00DD3EFA" w:rsidRPr="005A0E7C" w14:paraId="353A4B34" w14:textId="77777777" w:rsidTr="00B15ECB">
        <w:trPr>
          <w:trHeight w:val="1260"/>
        </w:trPr>
        <w:tc>
          <w:tcPr>
            <w:tcW w:w="249" w:type="dxa"/>
            <w:tcBorders>
              <w:top w:val="nil"/>
              <w:bottom w:val="nil"/>
            </w:tcBorders>
            <w:shd w:val="clear" w:color="auto" w:fill="66CCFF"/>
          </w:tcPr>
          <w:p w14:paraId="397D1DD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FED74B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23A2E373" w14:textId="77777777" w:rsidR="00DD3EFA" w:rsidRPr="005A0E7C" w:rsidRDefault="00DD3EFA" w:rsidP="00B15ECB">
            <w:pPr>
              <w:spacing w:before="60" w:after="60"/>
              <w:rPr>
                <w:rFonts w:eastAsiaTheme="majorEastAsia"/>
                <w:i/>
              </w:rPr>
            </w:pPr>
          </w:p>
          <w:p w14:paraId="3AFC8640"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OP Z</w:t>
            </w:r>
          </w:p>
          <w:p w14:paraId="04B70611"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 xml:space="preserve">Různými nástroji již bylo v investiční prioritě 1.1 </w:t>
            </w:r>
            <w:r w:rsidRPr="005A0E7C">
              <w:rPr>
                <w:rFonts w:ascii="Times New Roman" w:eastAsiaTheme="minorHAnsi" w:hAnsi="Times New Roman"/>
                <w:i/>
              </w:rPr>
              <w:t xml:space="preserve">Přístup k zaměstnání pro osoby hledající zaměstnání a neaktivní osoby, včetně dlouhodobě nezaměstnaných a osob vzdálených trhu práce, také prostřednictvím místních iniciativ na podporu zaměstnanosti a mobility pracovníků </w:t>
            </w:r>
            <w:r w:rsidRPr="005A0E7C">
              <w:rPr>
                <w:rFonts w:ascii="Times New Roman" w:eastAsiaTheme="minorHAnsi" w:hAnsi="Times New Roman"/>
              </w:rPr>
              <w:t xml:space="preserve">OPZ ke konci roku 2018 podpořeno 131 242 osob, což představuje cca 74 % cílové hodnoty. Jednalo se např. o 55 868 osob ve věku do 25 let, 20 153 osob starších 54 let či 29 844 osob nejvýše se základním vzděláním. Z těchto osob např. již 22 816 získalo doklad o kvalifikaci. </w:t>
            </w:r>
          </w:p>
          <w:p w14:paraId="7C707238"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19,63 mld. Kč</w:t>
            </w:r>
          </w:p>
          <w:p w14:paraId="00DAC97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19,1 mld. Kč (97%)</w:t>
            </w:r>
          </w:p>
          <w:p w14:paraId="646F2B66"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vyúčtovaný v ŽoP: 11,5 mld. Kč (59 %)</w:t>
            </w:r>
          </w:p>
          <w:p w14:paraId="17E0D41B"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 xml:space="preserve">IP 1.5 Trvalé začlenění mladých lidí na trh práce, mimo jiné pomocí "záruky pro mladé lidi" a to zejména těch, kteří nejsou ve vzdělávání, v zaměstnání nebo v profesní přípravě, včetně těch mladých lidí, který hrozí sociální vyloučení, a mladých lidí z marginálních komunit, tzv. YEI - Iniciativa na podporu zaměstnanosti mladých lidí. Způsobilým regionem v ČR je pouze NUTS II Severozápad. Vzhledem k tomu, že se míra nezaměstnanosti mladých do 30 let významně snížila, využil ŘO OPZ možnost flexibility YEI danou nařízením o ESF a revizí OPZ umožnil v omezeném rozsahu využití prostředků YEI v ČR na podporu zaměstnanosti mladých lidí v Moravskoslezském kraji. </w:t>
            </w:r>
          </w:p>
          <w:p w14:paraId="2735CBE7"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V rámci IP 1.5 bylo ke konci února podpořeno 4 482 osob, což představuje cca 145 % cílové hodnoty)</w:t>
            </w:r>
          </w:p>
          <w:p w14:paraId="55DC2A51"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766,7 mil. Kč</w:t>
            </w:r>
          </w:p>
          <w:p w14:paraId="7A50579D"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831 mil. Kč (108 %)</w:t>
            </w:r>
          </w:p>
          <w:p w14:paraId="773E1B57"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vyúčtovaný v ŽoP: 534 mil. Kč (70 %)</w:t>
            </w:r>
          </w:p>
          <w:p w14:paraId="24ABDBCF" w14:textId="77777777" w:rsidR="00DD3EFA" w:rsidRPr="005A0E7C" w:rsidRDefault="00DD3EFA" w:rsidP="00B15ECB">
            <w:pPr>
              <w:pStyle w:val="slovanodstavec"/>
              <w:tabs>
                <w:tab w:val="left" w:pos="284"/>
              </w:tabs>
              <w:suppressAutoHyphens/>
              <w:rPr>
                <w:rFonts w:ascii="Times New Roman" w:eastAsiaTheme="minorHAnsi" w:hAnsi="Times New Roman"/>
              </w:rPr>
            </w:pPr>
            <w:r w:rsidRPr="005A0E7C">
              <w:rPr>
                <w:rFonts w:ascii="Times New Roman" w:eastAsiaTheme="minorHAnsi" w:hAnsi="Times New Roman"/>
              </w:rPr>
              <w:t>IROP</w:t>
            </w:r>
          </w:p>
          <w:p w14:paraId="701C49C5"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V rámci SC 2.2 je možné žádat o podporu na sociální podnikání., které má za cíl aktivně začleňovat na pracovním trhu osoby sociálně vyloučené či sociálním vyloučením ohrožené. Z IROP je možné financovat výstavbu, rekonstrukci a vybavení sociálních podniků. ŘO IROP vypsal celkově 7 výzev na sociální podnikání, z toho 3 výzvy pro integrované nástroje a 4 pro individuální projekty. Zájem o všechny individuální výzvy byl vysoký a převyšoval stanovenou alokaci.  U prvního páru výzev však bylo zaznamenáno velké množství vyřazených projektů. V rámci IROP  tak došlo k výrazné podpoře vzniku nových a rozvoji existujících podnikatelských aktivit v oblasti sociálního podnikání.</w:t>
            </w:r>
          </w:p>
          <w:p w14:paraId="084705E7"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rPr>
            </w:pPr>
          </w:p>
          <w:p w14:paraId="27BA21CC"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V rámci OP PPR je SC Posílená infrastruktura pro sociální podnikání, který podporuje pracovní uplatnění jednotlivých skupin osob vyloučených či sociálním vyloučením ohrožených. Podpora se zaměřuje na vznik a rozvoj sociálních podniků a projektů poskytujících pracovní příležitosti pro znevýhodněné a obtížně zaměstnatelné skupiny obyvatel.</w:t>
            </w:r>
          </w:p>
          <w:p w14:paraId="2AAF4F66" w14:textId="77777777" w:rsidR="00DD3EFA" w:rsidRPr="005A0E7C" w:rsidRDefault="00DD3EFA" w:rsidP="00B15ECB">
            <w:pPr>
              <w:spacing w:before="60" w:after="60"/>
              <w:rPr>
                <w:rFonts w:eastAsiaTheme="majorEastAsia"/>
                <w:i/>
              </w:rPr>
            </w:pPr>
            <w:r w:rsidRPr="005A0E7C">
              <w:t xml:space="preserve">Sociální podnikání i další opatření na podporu lokální zaměstnanosti (např. prostupné zaměstnávání) lze rovněž podporovat v rámci </w:t>
            </w:r>
            <w:r w:rsidRPr="005A0E7C">
              <w:rPr>
                <w:i/>
              </w:rPr>
              <w:t xml:space="preserve">IP 2.3 Strategie komunitně vedeného místního rozvoje (CLLD). </w:t>
            </w:r>
            <w:r w:rsidRPr="005A0E7C">
              <w:t>Přístup CLLD je založen na síťování spolupracujících subjektů, komplexním řešení situace cílových skupin a místní znalosti</w:t>
            </w:r>
          </w:p>
          <w:p w14:paraId="2285D00D"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028B4DF4" w14:textId="77777777" w:rsidR="00DD3EFA" w:rsidRPr="005A0E7C" w:rsidRDefault="00DD3EFA" w:rsidP="00B15ECB">
            <w:pPr>
              <w:rPr>
                <w:b/>
              </w:rPr>
            </w:pPr>
          </w:p>
        </w:tc>
      </w:tr>
      <w:tr w:rsidR="00DD3EFA" w:rsidRPr="005A0E7C" w14:paraId="3129E270" w14:textId="77777777" w:rsidTr="00B15ECB">
        <w:trPr>
          <w:trHeight w:val="850"/>
        </w:trPr>
        <w:tc>
          <w:tcPr>
            <w:tcW w:w="249" w:type="dxa"/>
            <w:tcBorders>
              <w:top w:val="nil"/>
              <w:bottom w:val="nil"/>
            </w:tcBorders>
            <w:shd w:val="clear" w:color="auto" w:fill="66CCFF"/>
          </w:tcPr>
          <w:p w14:paraId="1863E14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AC589E0"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17473B9B" w14:textId="77777777" w:rsidR="00DD3EFA" w:rsidRPr="005A0E7C" w:rsidRDefault="00DD3EFA" w:rsidP="00B15ECB">
            <w:pPr>
              <w:spacing w:before="60" w:after="60"/>
              <w:rPr>
                <w:rFonts w:eastAsiaTheme="majorEastAsia"/>
              </w:rPr>
            </w:pPr>
            <w:r w:rsidRPr="005A0E7C">
              <w:rPr>
                <w:rFonts w:eastAsiaTheme="majorEastAsia"/>
              </w:rPr>
              <w:t xml:space="preserve">Z výše uvedených údajů o čerpání je zřejmé, že poptávka příjemců je dostatečná a odpovídá vyčleněné alokaci pro období 2024-2020. Poptávka příjemců se odvíjí mj. od početnosti cílových skupin. V okamžiku nárůstu nezaměstnanosti, který lze v delším časovém horizontu očekávat, se poptávka příjemců i absorpční kapacita výrazně navýší oproti současné situaci. Z hlediska finančního čerpání se jedná o oblast s nejrychlejším náběhem čerpání, což je klíčové pro plnění pravidla n+3 (n+2). </w:t>
            </w:r>
          </w:p>
        </w:tc>
        <w:tc>
          <w:tcPr>
            <w:tcW w:w="249" w:type="dxa"/>
            <w:tcBorders>
              <w:top w:val="nil"/>
              <w:bottom w:val="nil"/>
            </w:tcBorders>
            <w:shd w:val="clear" w:color="auto" w:fill="66CCFF"/>
          </w:tcPr>
          <w:p w14:paraId="22C66BFF" w14:textId="77777777" w:rsidR="00DD3EFA" w:rsidRPr="005A0E7C" w:rsidRDefault="00DD3EFA" w:rsidP="00B15ECB">
            <w:pPr>
              <w:rPr>
                <w:b/>
              </w:rPr>
            </w:pPr>
          </w:p>
        </w:tc>
      </w:tr>
      <w:tr w:rsidR="00DD3EFA" w:rsidRPr="005A0E7C" w14:paraId="367C870C" w14:textId="77777777" w:rsidTr="00B15ECB">
        <w:trPr>
          <w:trHeight w:val="925"/>
        </w:trPr>
        <w:tc>
          <w:tcPr>
            <w:tcW w:w="249" w:type="dxa"/>
            <w:tcBorders>
              <w:top w:val="nil"/>
              <w:bottom w:val="nil"/>
            </w:tcBorders>
            <w:shd w:val="clear" w:color="auto" w:fill="66CCFF"/>
          </w:tcPr>
          <w:p w14:paraId="2EE0C37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FB8ACA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6AC5B5B3" w14:textId="77777777" w:rsidR="00DD3EFA" w:rsidRPr="005A0E7C" w:rsidRDefault="00DD3EFA" w:rsidP="00B15ECB">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tc>
        <w:tc>
          <w:tcPr>
            <w:tcW w:w="249" w:type="dxa"/>
            <w:tcBorders>
              <w:top w:val="nil"/>
              <w:bottom w:val="nil"/>
            </w:tcBorders>
            <w:shd w:val="clear" w:color="auto" w:fill="66CCFF"/>
          </w:tcPr>
          <w:p w14:paraId="3DD8853F" w14:textId="77777777" w:rsidR="00DD3EFA" w:rsidRPr="005A0E7C" w:rsidRDefault="00DD3EFA" w:rsidP="00B15ECB">
            <w:pPr>
              <w:rPr>
                <w:b/>
              </w:rPr>
            </w:pPr>
          </w:p>
        </w:tc>
      </w:tr>
      <w:tr w:rsidR="00DD3EFA" w:rsidRPr="005A0E7C" w14:paraId="0050EAE4" w14:textId="77777777" w:rsidTr="00B15ECB">
        <w:trPr>
          <w:trHeight w:val="1001"/>
        </w:trPr>
        <w:tc>
          <w:tcPr>
            <w:tcW w:w="249" w:type="dxa"/>
            <w:tcBorders>
              <w:top w:val="nil"/>
              <w:bottom w:val="nil"/>
            </w:tcBorders>
            <w:shd w:val="clear" w:color="auto" w:fill="66CCFF"/>
          </w:tcPr>
          <w:p w14:paraId="6255A3E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A7EFA18"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444D1E45" w14:textId="5F27E0B1" w:rsidR="00DD3EFA" w:rsidRPr="005A0E7C" w:rsidRDefault="00DD3EFA" w:rsidP="00B15ECB">
            <w:pPr>
              <w:spacing w:before="60" w:after="60"/>
              <w:rPr>
                <w:rFonts w:eastAsiaTheme="majorEastAsia"/>
              </w:rPr>
            </w:pPr>
            <w:r w:rsidRPr="005A0E7C">
              <w:rPr>
                <w:rFonts w:eastAsiaTheme="majorEastAsia"/>
              </w:rPr>
              <w:t>Nepříznivá ekonomická situace – jedná se o externí vliv, který lze ovlivnit je těžko, nicméně systém predikcí by měl umožnit alespoň částečně identifikovat případné problémy a včasně na ně re</w:t>
            </w:r>
            <w:r w:rsidR="00A373D4" w:rsidRPr="005A0E7C">
              <w:rPr>
                <w:rFonts w:eastAsiaTheme="majorEastAsia"/>
              </w:rPr>
              <w:t>a</w:t>
            </w:r>
            <w:r w:rsidRPr="005A0E7C">
              <w:rPr>
                <w:rFonts w:eastAsiaTheme="majorEastAsia"/>
              </w:rPr>
              <w:t>govat, zároveň podpora adaptace trhu práce na nové podmínky posiluje obecně konkurenceschopnost hospodářství snižující míru rizika.</w:t>
            </w:r>
          </w:p>
          <w:p w14:paraId="5D8F15B5" w14:textId="77777777" w:rsidR="00DD3EFA" w:rsidRPr="005A0E7C" w:rsidRDefault="00DD3EFA" w:rsidP="00B15ECB">
            <w:pPr>
              <w:spacing w:before="60" w:after="60"/>
              <w:rPr>
                <w:rFonts w:eastAsiaTheme="majorEastAsia"/>
              </w:rPr>
            </w:pPr>
          </w:p>
          <w:p w14:paraId="55409605" w14:textId="77777777" w:rsidR="00DD3EFA" w:rsidRPr="005A0E7C" w:rsidRDefault="00DD3EFA" w:rsidP="00B15ECB">
            <w:pPr>
              <w:spacing w:before="60" w:after="60"/>
              <w:rPr>
                <w:rFonts w:eastAsiaTheme="majorEastAsia"/>
                <w:i/>
              </w:rPr>
            </w:pPr>
            <w:r w:rsidRPr="005A0E7C">
              <w:rPr>
                <w:rFonts w:eastAsiaTheme="majorEastAsia"/>
              </w:rPr>
              <w:t>(Neočekávaná) Změna trendů vývoje trhu práce – SR PZ 2030, z nichž vychází tato karta a cíle.</w:t>
            </w:r>
          </w:p>
        </w:tc>
        <w:tc>
          <w:tcPr>
            <w:tcW w:w="249" w:type="dxa"/>
            <w:tcBorders>
              <w:top w:val="nil"/>
              <w:bottom w:val="nil"/>
            </w:tcBorders>
            <w:shd w:val="clear" w:color="auto" w:fill="66CCFF"/>
          </w:tcPr>
          <w:p w14:paraId="29C832C8" w14:textId="77777777" w:rsidR="00DD3EFA" w:rsidRPr="005A0E7C" w:rsidRDefault="00DD3EFA" w:rsidP="00B15ECB">
            <w:pPr>
              <w:rPr>
                <w:b/>
              </w:rPr>
            </w:pPr>
          </w:p>
        </w:tc>
      </w:tr>
      <w:tr w:rsidR="00DD3EFA" w:rsidRPr="005A0E7C" w14:paraId="3E051193"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3B4FE433"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2F25B4A"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6A4D0D2"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1BEBBED7" w14:textId="77777777" w:rsidR="00DD3EFA" w:rsidRPr="005A0E7C" w:rsidRDefault="00DD3EFA" w:rsidP="00B15ECB">
            <w:pPr>
              <w:rPr>
                <w:b/>
              </w:rPr>
            </w:pPr>
          </w:p>
        </w:tc>
      </w:tr>
      <w:tr w:rsidR="00DD3EFA" w:rsidRPr="005A0E7C" w14:paraId="3430A100" w14:textId="77777777" w:rsidTr="00B15ECB">
        <w:trPr>
          <w:trHeight w:val="1559"/>
        </w:trPr>
        <w:tc>
          <w:tcPr>
            <w:tcW w:w="249" w:type="dxa"/>
            <w:tcBorders>
              <w:top w:val="single" w:sz="4" w:space="0" w:color="auto"/>
              <w:bottom w:val="nil"/>
            </w:tcBorders>
            <w:shd w:val="clear" w:color="auto" w:fill="66CCFF"/>
          </w:tcPr>
          <w:p w14:paraId="63801B94"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44AEDB2D"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031B2218"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42F7B6E7" w14:textId="77777777" w:rsidR="00DD3EFA" w:rsidRPr="005A0E7C" w:rsidRDefault="00DD3EFA" w:rsidP="00B15ECB">
            <w:pPr>
              <w:rPr>
                <w:b/>
              </w:rPr>
            </w:pPr>
          </w:p>
        </w:tc>
      </w:tr>
      <w:tr w:rsidR="00DD3EFA" w:rsidRPr="005A0E7C" w14:paraId="28351635" w14:textId="77777777" w:rsidTr="00B15ECB">
        <w:trPr>
          <w:trHeight w:val="1968"/>
        </w:trPr>
        <w:tc>
          <w:tcPr>
            <w:tcW w:w="249" w:type="dxa"/>
            <w:tcBorders>
              <w:top w:val="nil"/>
              <w:bottom w:val="nil"/>
            </w:tcBorders>
            <w:shd w:val="clear" w:color="auto" w:fill="66CCFF"/>
          </w:tcPr>
          <w:p w14:paraId="489D48C1" w14:textId="77777777" w:rsidR="00DD3EFA" w:rsidRPr="005A0E7C" w:rsidRDefault="00DD3EFA" w:rsidP="00B15ECB">
            <w:pPr>
              <w:rPr>
                <w:b/>
              </w:rPr>
            </w:pPr>
          </w:p>
        </w:tc>
        <w:tc>
          <w:tcPr>
            <w:tcW w:w="2548" w:type="dxa"/>
            <w:tcBorders>
              <w:top w:val="nil"/>
            </w:tcBorders>
            <w:shd w:val="clear" w:color="auto" w:fill="FFFFFF" w:themeFill="background1"/>
          </w:tcPr>
          <w:p w14:paraId="54FCE017"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042DB33E" w14:textId="77777777" w:rsidR="00DD3EFA" w:rsidRPr="005A0E7C" w:rsidRDefault="00DD3EFA" w:rsidP="00B15ECB">
            <w:pPr>
              <w:spacing w:before="60" w:after="60"/>
              <w:rPr>
                <w:rFonts w:eastAsiaTheme="majorEastAsia"/>
              </w:rPr>
            </w:pPr>
            <w:r w:rsidRPr="005A0E7C">
              <w:rPr>
                <w:rFonts w:eastAsiaTheme="majorEastAsia"/>
              </w:rPr>
              <w:t xml:space="preserve">Žádné významnější prostředky v jiných unijních programech nad rámec ESF+ nejsou k dispozici. </w:t>
            </w:r>
          </w:p>
          <w:p w14:paraId="6841FFAD" w14:textId="77777777" w:rsidR="00DD3EFA" w:rsidRPr="005A0E7C" w:rsidRDefault="00DD3EFA" w:rsidP="00B15ECB">
            <w:pPr>
              <w:spacing w:before="60" w:after="60"/>
            </w:pPr>
            <w:r w:rsidRPr="005A0E7C">
              <w:t xml:space="preserve">Zůstává pouze Evropský fond pro přizpůsobení se globalizaci, který se však zaměřuje výhradně na podporu pracovníků, kteří byli propuštěni v důsledku významných změn ve struktuře světového obchodu způsobených globalizací se značným negativním dopadem na regionální nebo místní ekonomiky. </w:t>
            </w:r>
          </w:p>
          <w:p w14:paraId="46FA8BDB" w14:textId="77777777" w:rsidR="00DD3EFA" w:rsidRPr="005A0E7C" w:rsidRDefault="00DD3EFA" w:rsidP="00B15ECB">
            <w:pPr>
              <w:spacing w:before="60" w:after="60"/>
              <w:rPr>
                <w:rFonts w:eastAsiaTheme="majorEastAsia"/>
              </w:rPr>
            </w:pPr>
            <w:r w:rsidRPr="005A0E7C">
              <w:t xml:space="preserve">Program na podporu zaměstnanosti a sociálních inovací (EaSI) byl pro období 2021-2027 nově začleněn do ESF+. </w:t>
            </w:r>
          </w:p>
        </w:tc>
        <w:tc>
          <w:tcPr>
            <w:tcW w:w="249" w:type="dxa"/>
            <w:tcBorders>
              <w:top w:val="nil"/>
              <w:bottom w:val="nil"/>
            </w:tcBorders>
            <w:shd w:val="clear" w:color="auto" w:fill="66CCFF"/>
          </w:tcPr>
          <w:p w14:paraId="14D41BA4" w14:textId="77777777" w:rsidR="00DD3EFA" w:rsidRPr="005A0E7C" w:rsidRDefault="00DD3EFA" w:rsidP="00B15ECB">
            <w:pPr>
              <w:rPr>
                <w:b/>
              </w:rPr>
            </w:pPr>
          </w:p>
        </w:tc>
      </w:tr>
      <w:tr w:rsidR="00DD3EFA" w:rsidRPr="005A0E7C" w14:paraId="5181F229" w14:textId="77777777" w:rsidTr="00B15ECB">
        <w:trPr>
          <w:trHeight w:val="1968"/>
        </w:trPr>
        <w:tc>
          <w:tcPr>
            <w:tcW w:w="249" w:type="dxa"/>
            <w:tcBorders>
              <w:top w:val="nil"/>
              <w:bottom w:val="nil"/>
            </w:tcBorders>
            <w:shd w:val="clear" w:color="auto" w:fill="66CCFF"/>
          </w:tcPr>
          <w:p w14:paraId="17A1A880" w14:textId="77777777" w:rsidR="00DD3EFA" w:rsidRPr="005A0E7C" w:rsidRDefault="00DD3EFA" w:rsidP="00B15ECB">
            <w:pPr>
              <w:rPr>
                <w:b/>
              </w:rPr>
            </w:pPr>
          </w:p>
        </w:tc>
        <w:tc>
          <w:tcPr>
            <w:tcW w:w="2548" w:type="dxa"/>
            <w:tcBorders>
              <w:top w:val="nil"/>
            </w:tcBorders>
            <w:shd w:val="clear" w:color="auto" w:fill="FFFFFF" w:themeFill="background1"/>
          </w:tcPr>
          <w:p w14:paraId="2FCA07A6"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74943A47" w14:textId="77777777" w:rsidR="00DD3EFA" w:rsidRPr="005A0E7C" w:rsidRDefault="00DD3EFA" w:rsidP="00B15ECB">
            <w:pPr>
              <w:spacing w:before="60" w:after="60"/>
              <w:rPr>
                <w:rFonts w:eastAsiaTheme="majorEastAsia"/>
              </w:rPr>
            </w:pPr>
            <w:r w:rsidRPr="005A0E7C">
              <w:rPr>
                <w:rFonts w:eastAsiaTheme="majorEastAsia"/>
              </w:rPr>
              <w:t>Politika zaměstnanosti je financována státním rozpočtem, přičemž však prostředky uvolňované zejména na aktivní politiku zaměstnanosti nejsou, přes opakované požadavky MPSV, dostatečné.</w:t>
            </w:r>
          </w:p>
          <w:p w14:paraId="758CA0DD" w14:textId="77777777" w:rsidR="00DD3EFA" w:rsidRPr="005A0E7C" w:rsidRDefault="00DD3EFA" w:rsidP="00B15ECB">
            <w:pPr>
              <w:spacing w:before="60" w:after="60"/>
              <w:rPr>
                <w:rFonts w:eastAsiaTheme="majorEastAsia"/>
              </w:rPr>
            </w:pPr>
          </w:p>
          <w:p w14:paraId="2F042DDB" w14:textId="77777777" w:rsidR="00DD3EFA" w:rsidRPr="005A0E7C" w:rsidRDefault="00DD3EFA" w:rsidP="00B15ECB">
            <w:pPr>
              <w:spacing w:before="60" w:after="60"/>
              <w:rPr>
                <w:rFonts w:eastAsiaTheme="majorEastAsia"/>
              </w:rPr>
            </w:pPr>
            <w:r w:rsidRPr="005A0E7C">
              <w:rPr>
                <w:rFonts w:eastAsiaTheme="majorEastAsia"/>
              </w:rPr>
              <w:t xml:space="preserve">MPSV, resp. UP ČR, v procesu přípravy státního rozpočtu vyjádřilo potřebu 5,3 mld. Kč na realizaci APZ v roce 2019, nicméně pro rok 2019 činí konečný schválený rozpočet na APZ pouze 2,3 mld. Kč, včetně nespotřebovaných výdajů. </w:t>
            </w:r>
          </w:p>
        </w:tc>
        <w:tc>
          <w:tcPr>
            <w:tcW w:w="249" w:type="dxa"/>
            <w:tcBorders>
              <w:top w:val="nil"/>
              <w:bottom w:val="nil"/>
            </w:tcBorders>
            <w:shd w:val="clear" w:color="auto" w:fill="66CCFF"/>
          </w:tcPr>
          <w:p w14:paraId="4E5FEFDE" w14:textId="77777777" w:rsidR="00DD3EFA" w:rsidRPr="005A0E7C" w:rsidRDefault="00DD3EFA" w:rsidP="00B15ECB">
            <w:pPr>
              <w:rPr>
                <w:b/>
              </w:rPr>
            </w:pPr>
          </w:p>
        </w:tc>
      </w:tr>
      <w:tr w:rsidR="00DD3EFA" w:rsidRPr="005A0E7C" w14:paraId="2D46782D" w14:textId="77777777" w:rsidTr="00B15ECB">
        <w:trPr>
          <w:trHeight w:val="1968"/>
        </w:trPr>
        <w:tc>
          <w:tcPr>
            <w:tcW w:w="249" w:type="dxa"/>
            <w:tcBorders>
              <w:top w:val="nil"/>
              <w:bottom w:val="nil"/>
            </w:tcBorders>
            <w:shd w:val="clear" w:color="auto" w:fill="66CCFF"/>
          </w:tcPr>
          <w:p w14:paraId="0133F8EC" w14:textId="77777777" w:rsidR="00DD3EFA" w:rsidRPr="005A0E7C" w:rsidRDefault="00DD3EFA" w:rsidP="00B15ECB">
            <w:pPr>
              <w:rPr>
                <w:b/>
              </w:rPr>
            </w:pPr>
          </w:p>
        </w:tc>
        <w:tc>
          <w:tcPr>
            <w:tcW w:w="2548" w:type="dxa"/>
            <w:tcBorders>
              <w:top w:val="nil"/>
            </w:tcBorders>
            <w:shd w:val="clear" w:color="auto" w:fill="FFFFFF" w:themeFill="background1"/>
          </w:tcPr>
          <w:p w14:paraId="41E12A09"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76166CDD" w14:textId="77777777" w:rsidR="00DD3EFA" w:rsidRPr="005A0E7C" w:rsidRDefault="00DD3EFA" w:rsidP="00B15ECB">
            <w:pPr>
              <w:spacing w:before="60" w:after="60"/>
              <w:rPr>
                <w:rFonts w:eastAsiaTheme="majorEastAsia"/>
              </w:rPr>
            </w:pPr>
            <w:r w:rsidRPr="005A0E7C">
              <w:rPr>
                <w:rFonts w:eastAsiaTheme="majorEastAsia"/>
              </w:rPr>
              <w:t>Na realizaci politiky zaměstnanosti nejsou zdroje mimo veřejné rozpočty k dispozici.</w:t>
            </w:r>
          </w:p>
        </w:tc>
        <w:tc>
          <w:tcPr>
            <w:tcW w:w="249" w:type="dxa"/>
            <w:tcBorders>
              <w:top w:val="nil"/>
              <w:bottom w:val="nil"/>
            </w:tcBorders>
            <w:shd w:val="clear" w:color="auto" w:fill="66CCFF"/>
          </w:tcPr>
          <w:p w14:paraId="555B5E88" w14:textId="77777777" w:rsidR="00DD3EFA" w:rsidRPr="005A0E7C" w:rsidRDefault="00DD3EFA" w:rsidP="00B15ECB">
            <w:pPr>
              <w:rPr>
                <w:b/>
              </w:rPr>
            </w:pPr>
          </w:p>
        </w:tc>
      </w:tr>
      <w:tr w:rsidR="00DD3EFA" w:rsidRPr="005A0E7C" w14:paraId="1901F972" w14:textId="77777777" w:rsidTr="00B15ECB">
        <w:trPr>
          <w:trHeight w:val="1968"/>
        </w:trPr>
        <w:tc>
          <w:tcPr>
            <w:tcW w:w="249" w:type="dxa"/>
            <w:tcBorders>
              <w:top w:val="nil"/>
              <w:bottom w:val="nil"/>
            </w:tcBorders>
            <w:shd w:val="clear" w:color="auto" w:fill="66CCFF"/>
          </w:tcPr>
          <w:p w14:paraId="037D17FD" w14:textId="77777777" w:rsidR="00DD3EFA" w:rsidRPr="005A0E7C" w:rsidRDefault="00DD3EFA" w:rsidP="00B15ECB">
            <w:pPr>
              <w:rPr>
                <w:b/>
              </w:rPr>
            </w:pPr>
          </w:p>
        </w:tc>
        <w:tc>
          <w:tcPr>
            <w:tcW w:w="2548" w:type="dxa"/>
            <w:tcBorders>
              <w:top w:val="nil"/>
            </w:tcBorders>
            <w:shd w:val="clear" w:color="auto" w:fill="FFFFFF" w:themeFill="background1"/>
          </w:tcPr>
          <w:p w14:paraId="710DFCE1"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40AB37E1" w14:textId="77777777" w:rsidR="00DD3EFA" w:rsidRPr="005A0E7C" w:rsidRDefault="00DD3EFA" w:rsidP="00B15ECB">
            <w:pPr>
              <w:spacing w:before="60" w:after="60"/>
              <w:rPr>
                <w:rFonts w:eastAsiaTheme="majorEastAsia"/>
              </w:rPr>
            </w:pPr>
            <w:r w:rsidRPr="005A0E7C">
              <w:rPr>
                <w:rFonts w:eastAsiaTheme="majorEastAsia"/>
              </w:rPr>
              <w:t xml:space="preserve">Využití finančních nástrojů v dané oblasti není možné, protože podpořené projekty negenerují podstatnější příjmy, které by mohly být využity ke vrácení poskytnuté podpory. Jedinou výjimku představuje oblast sociálního podnikání, v rámci které je podpora formou finančního nástroje testována v období 2014-2020 v OPZ. </w:t>
            </w:r>
          </w:p>
        </w:tc>
        <w:tc>
          <w:tcPr>
            <w:tcW w:w="249" w:type="dxa"/>
            <w:tcBorders>
              <w:top w:val="nil"/>
              <w:bottom w:val="nil"/>
            </w:tcBorders>
            <w:shd w:val="clear" w:color="auto" w:fill="66CCFF"/>
          </w:tcPr>
          <w:p w14:paraId="038B7B33" w14:textId="77777777" w:rsidR="00DD3EFA" w:rsidRPr="005A0E7C" w:rsidRDefault="00DD3EFA" w:rsidP="00B15ECB">
            <w:pPr>
              <w:rPr>
                <w:b/>
              </w:rPr>
            </w:pPr>
          </w:p>
        </w:tc>
      </w:tr>
      <w:tr w:rsidR="00DD3EFA" w:rsidRPr="005A0E7C" w14:paraId="54C1DEDD" w14:textId="77777777" w:rsidTr="00B15ECB">
        <w:trPr>
          <w:trHeight w:val="150"/>
        </w:trPr>
        <w:tc>
          <w:tcPr>
            <w:tcW w:w="249" w:type="dxa"/>
            <w:tcBorders>
              <w:top w:val="nil"/>
              <w:right w:val="nil"/>
            </w:tcBorders>
            <w:shd w:val="clear" w:color="auto" w:fill="66CCFF"/>
          </w:tcPr>
          <w:p w14:paraId="7BCB3A71" w14:textId="77777777" w:rsidR="00DD3EFA" w:rsidRPr="005A0E7C" w:rsidRDefault="00DD3EFA" w:rsidP="00B15ECB">
            <w:pPr>
              <w:rPr>
                <w:b/>
              </w:rPr>
            </w:pPr>
          </w:p>
        </w:tc>
        <w:tc>
          <w:tcPr>
            <w:tcW w:w="2548" w:type="dxa"/>
            <w:tcBorders>
              <w:left w:val="nil"/>
              <w:right w:val="nil"/>
            </w:tcBorders>
            <w:shd w:val="clear" w:color="auto" w:fill="66CCFF"/>
          </w:tcPr>
          <w:p w14:paraId="3E8DEB73" w14:textId="77777777" w:rsidR="00DD3EFA" w:rsidRPr="005A0E7C" w:rsidRDefault="00DD3EFA" w:rsidP="00B15ECB">
            <w:pPr>
              <w:rPr>
                <w:b/>
              </w:rPr>
            </w:pPr>
          </w:p>
        </w:tc>
        <w:tc>
          <w:tcPr>
            <w:tcW w:w="5978" w:type="dxa"/>
            <w:tcBorders>
              <w:left w:val="nil"/>
              <w:right w:val="nil"/>
            </w:tcBorders>
            <w:shd w:val="clear" w:color="auto" w:fill="66CCFF"/>
          </w:tcPr>
          <w:p w14:paraId="658E71EB" w14:textId="77777777" w:rsidR="00DD3EFA" w:rsidRPr="005A0E7C" w:rsidRDefault="00DD3EFA" w:rsidP="00B15ECB">
            <w:pPr>
              <w:rPr>
                <w:b/>
              </w:rPr>
            </w:pPr>
          </w:p>
        </w:tc>
        <w:tc>
          <w:tcPr>
            <w:tcW w:w="249" w:type="dxa"/>
            <w:tcBorders>
              <w:top w:val="nil"/>
              <w:left w:val="nil"/>
            </w:tcBorders>
            <w:shd w:val="clear" w:color="auto" w:fill="66CCFF"/>
          </w:tcPr>
          <w:p w14:paraId="24B527BA" w14:textId="77777777" w:rsidR="00DD3EFA" w:rsidRPr="005A0E7C" w:rsidRDefault="00DD3EFA" w:rsidP="00B15ECB">
            <w:pPr>
              <w:rPr>
                <w:b/>
              </w:rPr>
            </w:pPr>
          </w:p>
        </w:tc>
      </w:tr>
    </w:tbl>
    <w:p w14:paraId="2C8FAB63" w14:textId="77777777" w:rsidR="00DD3EFA" w:rsidRPr="005A0E7C" w:rsidRDefault="00DD3EFA" w:rsidP="00B15ECB">
      <w:pPr>
        <w:rPr>
          <w:rFonts w:ascii="Times New Roman" w:hAnsi="Times New Roman" w:cs="Times New Roman"/>
          <w:b/>
          <w:sz w:val="20"/>
          <w:szCs w:val="20"/>
        </w:rPr>
      </w:pPr>
    </w:p>
    <w:tbl>
      <w:tblPr>
        <w:tblStyle w:val="Mkatabulky"/>
        <w:tblpPr w:leftFromText="141" w:rightFromText="141" w:vertAnchor="text" w:tblpX="-5" w:tblpY="1"/>
        <w:tblOverlap w:val="never"/>
        <w:tblW w:w="0" w:type="auto"/>
        <w:tblInd w:w="0"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3EE51B12" w14:textId="77777777" w:rsidTr="00A373D4">
        <w:trPr>
          <w:trHeight w:val="180"/>
        </w:trPr>
        <w:tc>
          <w:tcPr>
            <w:tcW w:w="249" w:type="dxa"/>
            <w:tcBorders>
              <w:bottom w:val="nil"/>
              <w:right w:val="nil"/>
            </w:tcBorders>
            <w:shd w:val="clear" w:color="auto" w:fill="66CCFF"/>
          </w:tcPr>
          <w:p w14:paraId="1EAECC69" w14:textId="77777777" w:rsidR="00DD3EFA" w:rsidRPr="005A0E7C" w:rsidRDefault="00DD3EFA" w:rsidP="00A373D4">
            <w:pPr>
              <w:rPr>
                <w:b/>
              </w:rPr>
            </w:pPr>
          </w:p>
        </w:tc>
        <w:tc>
          <w:tcPr>
            <w:tcW w:w="2548" w:type="dxa"/>
            <w:tcBorders>
              <w:left w:val="nil"/>
              <w:right w:val="nil"/>
            </w:tcBorders>
            <w:shd w:val="clear" w:color="auto" w:fill="66CCFF"/>
          </w:tcPr>
          <w:p w14:paraId="32E48AA6" w14:textId="77777777" w:rsidR="00DD3EFA" w:rsidRPr="005A0E7C" w:rsidRDefault="00DD3EFA" w:rsidP="00A373D4">
            <w:pPr>
              <w:rPr>
                <w:b/>
              </w:rPr>
            </w:pPr>
          </w:p>
        </w:tc>
        <w:tc>
          <w:tcPr>
            <w:tcW w:w="5978" w:type="dxa"/>
            <w:tcBorders>
              <w:left w:val="nil"/>
              <w:right w:val="nil"/>
            </w:tcBorders>
            <w:shd w:val="clear" w:color="auto" w:fill="66CCFF"/>
          </w:tcPr>
          <w:p w14:paraId="04A7C61E" w14:textId="77777777" w:rsidR="00DD3EFA" w:rsidRPr="005A0E7C" w:rsidRDefault="00DD3EFA" w:rsidP="00A373D4">
            <w:pPr>
              <w:rPr>
                <w:b/>
              </w:rPr>
            </w:pPr>
          </w:p>
        </w:tc>
        <w:tc>
          <w:tcPr>
            <w:tcW w:w="249" w:type="dxa"/>
            <w:tcBorders>
              <w:left w:val="nil"/>
              <w:bottom w:val="nil"/>
            </w:tcBorders>
            <w:shd w:val="clear" w:color="auto" w:fill="66CCFF"/>
          </w:tcPr>
          <w:p w14:paraId="33682F23" w14:textId="77777777" w:rsidR="00DD3EFA" w:rsidRPr="005A0E7C" w:rsidRDefault="00DD3EFA" w:rsidP="00A373D4">
            <w:pPr>
              <w:rPr>
                <w:b/>
              </w:rPr>
            </w:pPr>
          </w:p>
        </w:tc>
      </w:tr>
      <w:tr w:rsidR="00DD3EFA" w:rsidRPr="005A0E7C" w14:paraId="2A3921A7" w14:textId="77777777" w:rsidTr="00A373D4">
        <w:trPr>
          <w:trHeight w:val="561"/>
        </w:trPr>
        <w:tc>
          <w:tcPr>
            <w:tcW w:w="249" w:type="dxa"/>
            <w:tcBorders>
              <w:top w:val="nil"/>
              <w:bottom w:val="nil"/>
            </w:tcBorders>
            <w:shd w:val="clear" w:color="auto" w:fill="66CCFF"/>
          </w:tcPr>
          <w:p w14:paraId="764C54B5" w14:textId="77777777" w:rsidR="00DD3EFA" w:rsidRPr="005A0E7C" w:rsidRDefault="00DD3EFA" w:rsidP="00A373D4">
            <w:pPr>
              <w:rPr>
                <w:b/>
              </w:rPr>
            </w:pPr>
          </w:p>
        </w:tc>
        <w:tc>
          <w:tcPr>
            <w:tcW w:w="2548" w:type="dxa"/>
            <w:shd w:val="clear" w:color="auto" w:fill="0070C0"/>
          </w:tcPr>
          <w:p w14:paraId="695A956B" w14:textId="77777777" w:rsidR="00DD3EFA" w:rsidRPr="005A0E7C" w:rsidRDefault="00DD3EFA" w:rsidP="00A373D4">
            <w:pPr>
              <w:spacing w:before="60" w:after="60"/>
              <w:rPr>
                <w:rFonts w:eastAsiaTheme="majorEastAsia"/>
                <w:b/>
              </w:rPr>
            </w:pPr>
            <w:r w:rsidRPr="005A0E7C">
              <w:rPr>
                <w:rFonts w:eastAsiaTheme="majorEastAsia"/>
                <w:b/>
              </w:rPr>
              <w:t>Strategický cíl NKR:</w:t>
            </w:r>
          </w:p>
          <w:p w14:paraId="532318D7" w14:textId="77777777" w:rsidR="00DD3EFA" w:rsidRPr="005A0E7C" w:rsidRDefault="00DD3EFA" w:rsidP="00A373D4">
            <w:pPr>
              <w:spacing w:before="60" w:after="60"/>
              <w:rPr>
                <w:rFonts w:eastAsiaTheme="majorEastAsia"/>
                <w:b/>
              </w:rPr>
            </w:pPr>
            <w:r w:rsidRPr="005A0E7C">
              <w:rPr>
                <w:rFonts w:eastAsiaTheme="majorEastAsia"/>
                <w:b/>
              </w:rPr>
              <w:t>Konkurenceschopná a soudržná společnost</w:t>
            </w:r>
          </w:p>
        </w:tc>
        <w:tc>
          <w:tcPr>
            <w:tcW w:w="5978" w:type="dxa"/>
            <w:shd w:val="clear" w:color="auto" w:fill="0070C0"/>
          </w:tcPr>
          <w:p w14:paraId="047CCA53" w14:textId="77777777" w:rsidR="00DD3EFA" w:rsidRPr="005A0E7C" w:rsidRDefault="00DD3EFA" w:rsidP="00A373D4">
            <w:pPr>
              <w:spacing w:before="60" w:after="60"/>
              <w:rPr>
                <w:rFonts w:eastAsiaTheme="majorEastAsia"/>
                <w:b/>
                <w:u w:val="single"/>
              </w:rPr>
            </w:pPr>
            <w:r w:rsidRPr="005A0E7C">
              <w:rPr>
                <w:rFonts w:eastAsiaTheme="majorEastAsia"/>
                <w:b/>
                <w:u w:val="single"/>
              </w:rPr>
              <w:t>Specifický cíl NKR</w:t>
            </w:r>
            <w:r w:rsidRPr="005A0E7C">
              <w:rPr>
                <w:rStyle w:val="Znakapoznpodarou"/>
                <w:rFonts w:eastAsiaTheme="majorEastAsia"/>
                <w:u w:val="single"/>
              </w:rPr>
              <w:footnoteReference w:id="3"/>
            </w:r>
            <w:r w:rsidRPr="005A0E7C">
              <w:rPr>
                <w:rFonts w:eastAsiaTheme="majorEastAsia"/>
                <w:b/>
                <w:u w:val="single"/>
              </w:rPr>
              <w:t>:</w:t>
            </w:r>
          </w:p>
          <w:p w14:paraId="09D4D757" w14:textId="77777777" w:rsidR="00DD3EFA" w:rsidRPr="005A0E7C" w:rsidRDefault="00DD3EFA" w:rsidP="00A373D4">
            <w:pPr>
              <w:spacing w:before="60" w:after="60"/>
              <w:rPr>
                <w:rFonts w:eastAsiaTheme="majorEastAsia"/>
                <w:i/>
              </w:rPr>
            </w:pPr>
            <w:r w:rsidRPr="005A0E7C">
              <w:rPr>
                <w:rFonts w:eastAsiaTheme="majorEastAsia"/>
                <w:b/>
              </w:rPr>
              <w:t>Modernizace institucí na trhu práce</w:t>
            </w:r>
            <w:r w:rsidRPr="005A0E7C">
              <w:rPr>
                <w:rFonts w:eastAsiaTheme="majorEastAsia"/>
                <w:i/>
              </w:rPr>
              <w:t xml:space="preserve"> </w:t>
            </w:r>
          </w:p>
          <w:p w14:paraId="4555CE57" w14:textId="77777777" w:rsidR="00DD3EFA" w:rsidRPr="005A0E7C" w:rsidRDefault="00DD3EFA" w:rsidP="00A373D4">
            <w:pPr>
              <w:spacing w:before="60" w:after="60"/>
              <w:rPr>
                <w:rFonts w:eastAsiaTheme="majorEastAsia"/>
                <w:i/>
              </w:rPr>
            </w:pPr>
          </w:p>
          <w:p w14:paraId="07D9C01E" w14:textId="77777777" w:rsidR="00DD3EFA" w:rsidRPr="005A0E7C" w:rsidRDefault="00DD3EFA" w:rsidP="00A373D4">
            <w:pPr>
              <w:spacing w:before="60" w:after="60"/>
              <w:rPr>
                <w:rFonts w:eastAsiaTheme="majorEastAsia"/>
                <w:b/>
                <w:u w:val="single"/>
              </w:rPr>
            </w:pPr>
          </w:p>
        </w:tc>
        <w:tc>
          <w:tcPr>
            <w:tcW w:w="249" w:type="dxa"/>
            <w:tcBorders>
              <w:top w:val="nil"/>
              <w:bottom w:val="nil"/>
            </w:tcBorders>
            <w:shd w:val="clear" w:color="auto" w:fill="66CCFF"/>
          </w:tcPr>
          <w:p w14:paraId="47ABF093" w14:textId="77777777" w:rsidR="00DD3EFA" w:rsidRPr="005A0E7C" w:rsidRDefault="00DD3EFA" w:rsidP="00A373D4">
            <w:pPr>
              <w:rPr>
                <w:b/>
              </w:rPr>
            </w:pPr>
          </w:p>
        </w:tc>
      </w:tr>
      <w:tr w:rsidR="00DD3EFA" w:rsidRPr="005A0E7C" w14:paraId="4279AFEA" w14:textId="77777777" w:rsidTr="00A373D4">
        <w:trPr>
          <w:trHeight w:val="180"/>
        </w:trPr>
        <w:tc>
          <w:tcPr>
            <w:tcW w:w="249" w:type="dxa"/>
            <w:tcBorders>
              <w:top w:val="nil"/>
              <w:bottom w:val="nil"/>
              <w:right w:val="nil"/>
            </w:tcBorders>
            <w:shd w:val="clear" w:color="auto" w:fill="66CCFF"/>
          </w:tcPr>
          <w:p w14:paraId="6CCCCCDF" w14:textId="77777777" w:rsidR="00DD3EFA" w:rsidRPr="005A0E7C" w:rsidRDefault="00DD3EFA" w:rsidP="00A373D4">
            <w:pPr>
              <w:rPr>
                <w:b/>
              </w:rPr>
            </w:pPr>
          </w:p>
        </w:tc>
        <w:tc>
          <w:tcPr>
            <w:tcW w:w="2548" w:type="dxa"/>
            <w:tcBorders>
              <w:left w:val="nil"/>
              <w:right w:val="nil"/>
            </w:tcBorders>
            <w:shd w:val="clear" w:color="auto" w:fill="66CCFF"/>
          </w:tcPr>
          <w:p w14:paraId="07DC729D" w14:textId="77777777" w:rsidR="00DD3EFA" w:rsidRPr="005A0E7C" w:rsidRDefault="00DD3EFA" w:rsidP="00A373D4">
            <w:pPr>
              <w:rPr>
                <w:b/>
              </w:rPr>
            </w:pPr>
          </w:p>
        </w:tc>
        <w:tc>
          <w:tcPr>
            <w:tcW w:w="5978" w:type="dxa"/>
            <w:tcBorders>
              <w:left w:val="nil"/>
              <w:right w:val="nil"/>
            </w:tcBorders>
            <w:shd w:val="clear" w:color="auto" w:fill="66CCFF"/>
          </w:tcPr>
          <w:p w14:paraId="2F259E38" w14:textId="77777777" w:rsidR="00DD3EFA" w:rsidRPr="005A0E7C" w:rsidRDefault="00DD3EFA" w:rsidP="00A373D4">
            <w:pPr>
              <w:rPr>
                <w:b/>
              </w:rPr>
            </w:pPr>
          </w:p>
        </w:tc>
        <w:tc>
          <w:tcPr>
            <w:tcW w:w="249" w:type="dxa"/>
            <w:tcBorders>
              <w:top w:val="nil"/>
              <w:left w:val="nil"/>
              <w:bottom w:val="nil"/>
            </w:tcBorders>
            <w:shd w:val="clear" w:color="auto" w:fill="66CCFF"/>
          </w:tcPr>
          <w:p w14:paraId="51339220" w14:textId="77777777" w:rsidR="00DD3EFA" w:rsidRPr="005A0E7C" w:rsidRDefault="00DD3EFA" w:rsidP="00A373D4">
            <w:pPr>
              <w:rPr>
                <w:b/>
              </w:rPr>
            </w:pPr>
          </w:p>
        </w:tc>
      </w:tr>
      <w:tr w:rsidR="00DD3EFA" w:rsidRPr="005A0E7C" w14:paraId="2A3F5698" w14:textId="77777777" w:rsidTr="00A373D4">
        <w:trPr>
          <w:trHeight w:val="892"/>
        </w:trPr>
        <w:tc>
          <w:tcPr>
            <w:tcW w:w="249" w:type="dxa"/>
            <w:tcBorders>
              <w:top w:val="nil"/>
              <w:bottom w:val="nil"/>
            </w:tcBorders>
            <w:shd w:val="clear" w:color="auto" w:fill="66CCFF"/>
          </w:tcPr>
          <w:p w14:paraId="515E7920" w14:textId="77777777" w:rsidR="00DD3EFA" w:rsidRPr="005A0E7C" w:rsidRDefault="00DD3EFA" w:rsidP="00A373D4">
            <w:pPr>
              <w:rPr>
                <w:b/>
              </w:rPr>
            </w:pPr>
          </w:p>
        </w:tc>
        <w:tc>
          <w:tcPr>
            <w:tcW w:w="2548" w:type="dxa"/>
            <w:shd w:val="clear" w:color="auto" w:fill="FFFFFF" w:themeFill="background1"/>
          </w:tcPr>
          <w:p w14:paraId="3059A7A7" w14:textId="77777777" w:rsidR="00DD3EFA" w:rsidRPr="005A0E7C" w:rsidRDefault="00DD3EFA" w:rsidP="00A373D4">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556A7C10"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Modernizace a zefektivňování služeb zaměstnanosti a obecně institucí trhu práce je téma, které má své místo v reformách politiky zaměstnanosti všech členských států EU. Potřeba změn není vyvolaná jen samotným nastavením systému služeb a případnou potřebou je modernizovat či reformovat, ale také ekonomickými megatrendy, zejména vznikem některých nových profesí či změnou stávajících, rostoucím sektorem služeb a čtvrtou průmyslovou revolucí spojenou s maximální automatizací a digitalizací. Veřejné i soukromé služby zaměstnanosti a ostatní instituce trhu práce by v budoucnu měly být schopny na tyto výzvy reagovat.</w:t>
            </w:r>
          </w:p>
          <w:p w14:paraId="71265BAF" w14:textId="77777777" w:rsidR="00DD3EFA" w:rsidRPr="005A0E7C" w:rsidRDefault="00DD3EFA" w:rsidP="00A373D4">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Intervence v této podoblasti se zaměří na: </w:t>
            </w:r>
          </w:p>
          <w:p w14:paraId="67983BA9" w14:textId="77777777" w:rsidR="00DD3EFA" w:rsidRPr="005A0E7C" w:rsidRDefault="00DD3EFA" w:rsidP="00A373D4">
            <w:pPr>
              <w:pStyle w:val="slovanodstavec"/>
              <w:numPr>
                <w:ilvl w:val="0"/>
                <w:numId w:val="7"/>
              </w:numPr>
              <w:tabs>
                <w:tab w:val="left" w:pos="284"/>
              </w:tabs>
              <w:suppressAutoHyphens/>
              <w:spacing w:line="240" w:lineRule="auto"/>
              <w:rPr>
                <w:rFonts w:ascii="Times New Roman" w:hAnsi="Times New Roman"/>
              </w:rPr>
            </w:pPr>
            <w:r w:rsidRPr="005A0E7C">
              <w:rPr>
                <w:rFonts w:ascii="Times New Roman" w:hAnsi="Times New Roman"/>
              </w:rPr>
              <w:t xml:space="preserve">modernizaci veřejných služeb zaměstnanosti </w:t>
            </w:r>
          </w:p>
          <w:p w14:paraId="5635C299" w14:textId="77777777" w:rsidR="00DD3EFA" w:rsidRPr="005A0E7C" w:rsidRDefault="00DD3EFA" w:rsidP="00A373D4">
            <w:pPr>
              <w:pStyle w:val="slovanodstavec"/>
              <w:numPr>
                <w:ilvl w:val="0"/>
                <w:numId w:val="7"/>
              </w:numPr>
              <w:tabs>
                <w:tab w:val="left" w:pos="284"/>
              </w:tabs>
              <w:suppressAutoHyphens/>
              <w:spacing w:line="240" w:lineRule="auto"/>
              <w:rPr>
                <w:rFonts w:ascii="Times New Roman" w:hAnsi="Times New Roman"/>
              </w:rPr>
            </w:pPr>
            <w:r w:rsidRPr="005A0E7C">
              <w:rPr>
                <w:rFonts w:ascii="Times New Roman" w:hAnsi="Times New Roman"/>
              </w:rPr>
              <w:t>zajištění dostatečných kapacit, profesionalitu, klientsky orientovaný přístup, dostatek času na práci s klienty a na řešení jejich problémů</w:t>
            </w:r>
          </w:p>
          <w:p w14:paraId="67773940" w14:textId="77777777" w:rsidR="00DD3EFA" w:rsidRPr="005A0E7C" w:rsidRDefault="00DD3EFA" w:rsidP="00A373D4">
            <w:pPr>
              <w:pStyle w:val="slovanodstavec"/>
              <w:numPr>
                <w:ilvl w:val="0"/>
                <w:numId w:val="7"/>
              </w:numPr>
              <w:tabs>
                <w:tab w:val="left" w:pos="284"/>
              </w:tabs>
              <w:suppressAutoHyphens/>
              <w:spacing w:line="240" w:lineRule="auto"/>
              <w:rPr>
                <w:rFonts w:ascii="Times New Roman" w:hAnsi="Times New Roman"/>
              </w:rPr>
            </w:pPr>
            <w:r w:rsidRPr="005A0E7C">
              <w:rPr>
                <w:rFonts w:ascii="Times New Roman" w:hAnsi="Times New Roman"/>
              </w:rPr>
              <w:t>profilování uchazečů o zaměstnání a jeho využití ve zprostředkování a cílení nástrojů APZ</w:t>
            </w:r>
          </w:p>
          <w:p w14:paraId="63DC4C00" w14:textId="77777777" w:rsidR="00DD3EFA" w:rsidRPr="005A0E7C" w:rsidRDefault="00DD3EFA" w:rsidP="00A373D4">
            <w:pPr>
              <w:pStyle w:val="slovanodstavec"/>
              <w:numPr>
                <w:ilvl w:val="0"/>
                <w:numId w:val="7"/>
              </w:numPr>
              <w:tabs>
                <w:tab w:val="left" w:pos="284"/>
              </w:tabs>
              <w:suppressAutoHyphens/>
              <w:spacing w:line="240" w:lineRule="auto"/>
              <w:rPr>
                <w:rFonts w:ascii="Times New Roman" w:hAnsi="Times New Roman"/>
              </w:rPr>
            </w:pPr>
            <w:r w:rsidRPr="005A0E7C">
              <w:rPr>
                <w:rFonts w:ascii="Times New Roman" w:hAnsi="Times New Roman"/>
              </w:rPr>
              <w:t xml:space="preserve">zavádění individuální a komplexní poradenské práce </w:t>
            </w:r>
          </w:p>
          <w:p w14:paraId="155C9097" w14:textId="77777777" w:rsidR="00DD3EFA" w:rsidRPr="005A0E7C" w:rsidRDefault="00DD3EFA" w:rsidP="00A373D4">
            <w:pPr>
              <w:pStyle w:val="slovanodstavec"/>
              <w:numPr>
                <w:ilvl w:val="0"/>
                <w:numId w:val="7"/>
              </w:numPr>
              <w:tabs>
                <w:tab w:val="left" w:pos="284"/>
              </w:tabs>
              <w:suppressAutoHyphens/>
              <w:spacing w:line="240" w:lineRule="auto"/>
              <w:rPr>
                <w:rFonts w:ascii="Times New Roman" w:hAnsi="Times New Roman"/>
              </w:rPr>
            </w:pPr>
            <w:r w:rsidRPr="005A0E7C">
              <w:rPr>
                <w:rFonts w:ascii="Times New Roman" w:hAnsi="Times New Roman"/>
              </w:rPr>
              <w:t>rozvoj systému kariérového poradenství na trhu práce i v systému počátečního vzdělávání</w:t>
            </w:r>
          </w:p>
          <w:p w14:paraId="1B23BC9C" w14:textId="77777777" w:rsidR="00DD3EFA" w:rsidRPr="005A0E7C" w:rsidRDefault="00DD3EFA" w:rsidP="00A373D4">
            <w:pPr>
              <w:pStyle w:val="slovanodstavec"/>
              <w:numPr>
                <w:ilvl w:val="0"/>
                <w:numId w:val="7"/>
              </w:numPr>
              <w:tabs>
                <w:tab w:val="left" w:pos="284"/>
              </w:tabs>
              <w:suppressAutoHyphens/>
              <w:spacing w:line="240" w:lineRule="auto"/>
              <w:rPr>
                <w:rFonts w:ascii="Times New Roman" w:hAnsi="Times New Roman"/>
              </w:rPr>
            </w:pPr>
            <w:r w:rsidRPr="005A0E7C">
              <w:rPr>
                <w:rFonts w:ascii="Times New Roman" w:hAnsi="Times New Roman"/>
              </w:rPr>
              <w:t>rozvoj efektivních metod cílení a propojování nástrojů a opatření politiky zaměstnanosti, zejména APZ, včetně propojování s dalšími službami/politikami v oblasti sociálního začleňování (např. sociální bydlení, nepojistné sociální dávky, dluhová problematická, zdravotní stav, rodinná situace, závislosti aj.).</w:t>
            </w:r>
          </w:p>
          <w:p w14:paraId="450778A6" w14:textId="77777777" w:rsidR="00DD3EFA" w:rsidRPr="005A0E7C" w:rsidRDefault="00DD3EFA" w:rsidP="00A373D4">
            <w:pPr>
              <w:pStyle w:val="slovanodstavec"/>
              <w:numPr>
                <w:ilvl w:val="0"/>
                <w:numId w:val="7"/>
              </w:numPr>
              <w:tabs>
                <w:tab w:val="left" w:pos="284"/>
              </w:tabs>
              <w:suppressAutoHyphens/>
              <w:spacing w:line="240" w:lineRule="auto"/>
              <w:rPr>
                <w:rFonts w:ascii="Times New Roman" w:hAnsi="Times New Roman"/>
              </w:rPr>
            </w:pPr>
            <w:r w:rsidRPr="005A0E7C">
              <w:rPr>
                <w:rFonts w:ascii="Times New Roman" w:hAnsi="Times New Roman"/>
              </w:rPr>
              <w:t xml:space="preserve">rozvoj systémů a klasifikací umožňujících lepší slaďování nabídky a poptávky (využitelných ÚP ČR, agenturami práce i při přímém náboru zaměstnanců) </w:t>
            </w:r>
          </w:p>
          <w:p w14:paraId="4AAC5930" w14:textId="77777777" w:rsidR="00DD3EFA" w:rsidRPr="005A0E7C" w:rsidRDefault="00DD3EFA" w:rsidP="00A373D4">
            <w:pPr>
              <w:pStyle w:val="slovanodstavec"/>
              <w:numPr>
                <w:ilvl w:val="0"/>
                <w:numId w:val="7"/>
              </w:numPr>
              <w:tabs>
                <w:tab w:val="clear" w:pos="567"/>
                <w:tab w:val="left" w:pos="284"/>
              </w:tabs>
              <w:suppressAutoHyphens/>
              <w:spacing w:line="240" w:lineRule="auto"/>
              <w:rPr>
                <w:rFonts w:ascii="Times New Roman" w:hAnsi="Times New Roman"/>
              </w:rPr>
            </w:pPr>
            <w:r w:rsidRPr="005A0E7C">
              <w:rPr>
                <w:rFonts w:ascii="Times New Roman" w:hAnsi="Times New Roman"/>
              </w:rPr>
              <w:t>posílení schopnosti institucí trhu práce predikovat a reagovat na změny na trhu práce – Průmysl 4.0, Práce 4.0, sdílená ekonomika a ekonomika platforem, nízkouhlíková/zelená („green jobs“), stříbrná ekonomika a další, zánik některých a vznik jiných profesí a druhů a forem zaměstnání.</w:t>
            </w:r>
          </w:p>
          <w:p w14:paraId="50E65AF5" w14:textId="77777777" w:rsidR="00DD3EFA" w:rsidRPr="005A0E7C" w:rsidRDefault="00DD3EFA" w:rsidP="00A373D4">
            <w:pPr>
              <w:pStyle w:val="slovanodstavec"/>
              <w:numPr>
                <w:ilvl w:val="0"/>
                <w:numId w:val="7"/>
              </w:numPr>
              <w:tabs>
                <w:tab w:val="clear" w:pos="567"/>
                <w:tab w:val="left" w:pos="284"/>
              </w:tabs>
              <w:suppressAutoHyphens/>
              <w:spacing w:line="240" w:lineRule="auto"/>
              <w:rPr>
                <w:rFonts w:ascii="Times New Roman" w:hAnsi="Times New Roman"/>
              </w:rPr>
            </w:pPr>
            <w:r w:rsidRPr="005A0E7C">
              <w:rPr>
                <w:rFonts w:ascii="Times New Roman" w:hAnsi="Times New Roman"/>
              </w:rPr>
              <w:t>podpora vzniku a fungování sítí, paktů a klastrů na podporu zaměstnanosti na lokální úrovni.</w:t>
            </w:r>
          </w:p>
          <w:p w14:paraId="303C3EA6" w14:textId="77777777" w:rsidR="00DD3EFA" w:rsidRPr="005A0E7C" w:rsidRDefault="00DD3EFA" w:rsidP="00A373D4">
            <w:pPr>
              <w:spacing w:before="60" w:after="60"/>
              <w:rPr>
                <w:u w:val="single"/>
              </w:rPr>
            </w:pPr>
          </w:p>
        </w:tc>
        <w:tc>
          <w:tcPr>
            <w:tcW w:w="249" w:type="dxa"/>
            <w:tcBorders>
              <w:top w:val="nil"/>
              <w:bottom w:val="nil"/>
            </w:tcBorders>
            <w:shd w:val="clear" w:color="auto" w:fill="66CCFF"/>
          </w:tcPr>
          <w:p w14:paraId="123C3163" w14:textId="77777777" w:rsidR="00DD3EFA" w:rsidRPr="005A0E7C" w:rsidRDefault="00DD3EFA" w:rsidP="00A373D4">
            <w:pPr>
              <w:rPr>
                <w:b/>
              </w:rPr>
            </w:pPr>
          </w:p>
        </w:tc>
      </w:tr>
      <w:tr w:rsidR="00DD3EFA" w:rsidRPr="005A0E7C" w14:paraId="00147D6F" w14:textId="77777777" w:rsidTr="00A373D4">
        <w:trPr>
          <w:trHeight w:val="46"/>
        </w:trPr>
        <w:tc>
          <w:tcPr>
            <w:tcW w:w="249" w:type="dxa"/>
            <w:tcBorders>
              <w:top w:val="nil"/>
              <w:bottom w:val="nil"/>
              <w:right w:val="nil"/>
            </w:tcBorders>
            <w:shd w:val="clear" w:color="auto" w:fill="66CCFF"/>
          </w:tcPr>
          <w:p w14:paraId="5AE9BE76" w14:textId="77777777" w:rsidR="00DD3EFA" w:rsidRPr="005A0E7C" w:rsidRDefault="00DD3EFA" w:rsidP="00A373D4">
            <w:pPr>
              <w:rPr>
                <w:b/>
              </w:rPr>
            </w:pPr>
          </w:p>
        </w:tc>
        <w:tc>
          <w:tcPr>
            <w:tcW w:w="2548" w:type="dxa"/>
            <w:tcBorders>
              <w:left w:val="nil"/>
              <w:bottom w:val="single" w:sz="4" w:space="0" w:color="auto"/>
              <w:right w:val="nil"/>
            </w:tcBorders>
            <w:shd w:val="clear" w:color="auto" w:fill="66CCFF"/>
          </w:tcPr>
          <w:p w14:paraId="543CAC60" w14:textId="77777777" w:rsidR="00DD3EFA" w:rsidRPr="005A0E7C" w:rsidRDefault="00DD3EFA" w:rsidP="00A373D4">
            <w:pPr>
              <w:rPr>
                <w:b/>
              </w:rPr>
            </w:pPr>
          </w:p>
        </w:tc>
        <w:tc>
          <w:tcPr>
            <w:tcW w:w="5978" w:type="dxa"/>
            <w:tcBorders>
              <w:left w:val="nil"/>
              <w:bottom w:val="single" w:sz="4" w:space="0" w:color="auto"/>
              <w:right w:val="nil"/>
            </w:tcBorders>
            <w:shd w:val="clear" w:color="auto" w:fill="66CCFF"/>
          </w:tcPr>
          <w:p w14:paraId="36ADD437" w14:textId="77777777" w:rsidR="00DD3EFA" w:rsidRPr="005A0E7C" w:rsidRDefault="00DD3EFA" w:rsidP="00A373D4">
            <w:pPr>
              <w:rPr>
                <w:b/>
              </w:rPr>
            </w:pPr>
          </w:p>
        </w:tc>
        <w:tc>
          <w:tcPr>
            <w:tcW w:w="249" w:type="dxa"/>
            <w:tcBorders>
              <w:top w:val="nil"/>
              <w:left w:val="nil"/>
              <w:bottom w:val="nil"/>
            </w:tcBorders>
            <w:shd w:val="clear" w:color="auto" w:fill="66CCFF"/>
          </w:tcPr>
          <w:p w14:paraId="45B306B1" w14:textId="77777777" w:rsidR="00DD3EFA" w:rsidRPr="005A0E7C" w:rsidRDefault="00DD3EFA" w:rsidP="00A373D4">
            <w:pPr>
              <w:rPr>
                <w:b/>
              </w:rPr>
            </w:pPr>
          </w:p>
        </w:tc>
      </w:tr>
      <w:tr w:rsidR="00DD3EFA" w:rsidRPr="005A0E7C" w14:paraId="40C82B3D" w14:textId="77777777" w:rsidTr="00A373D4">
        <w:trPr>
          <w:trHeight w:val="1274"/>
        </w:trPr>
        <w:tc>
          <w:tcPr>
            <w:tcW w:w="249" w:type="dxa"/>
            <w:tcBorders>
              <w:top w:val="nil"/>
              <w:bottom w:val="nil"/>
            </w:tcBorders>
            <w:shd w:val="clear" w:color="auto" w:fill="66CCFF"/>
          </w:tcPr>
          <w:p w14:paraId="2D1CC997"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446E7D86" w14:textId="77777777" w:rsidR="00DD3EFA" w:rsidRPr="005A0E7C" w:rsidRDefault="00DD3EFA" w:rsidP="00A373D4">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5DD252B9"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Moderní služby zaměstnanosti je třeba dimenzovat tak, aby efektivně pracovaly jak s uchazeči či zájemci o zaměstnání a se širší veřejností, tak se zaměstnavateli, kteří nabízejí pracovní místa v různých stádiích hospodářského cyklu, tedy v dobách, kdy se ekonomice daří a nezaměstnanost je nízká, i v dobách, kdy dochází k propouštění a nezaměstnanost stoupá. K tomu je zapotřebí propracovaný komplexní systém poradenství, který se opírá o včasnou diagnostiku klienta a o individuální práci dle klientových potřeb. </w:t>
            </w:r>
          </w:p>
          <w:p w14:paraId="68BC6343" w14:textId="77777777" w:rsidR="00DD3EFA" w:rsidRPr="005A0E7C" w:rsidRDefault="00DD3EFA" w:rsidP="00A373D4">
            <w:pPr>
              <w:tabs>
                <w:tab w:val="left" w:pos="284"/>
              </w:tabs>
              <w:suppressAutoHyphens/>
            </w:pPr>
            <w:r w:rsidRPr="005A0E7C">
              <w:t>Systém kariérového poradenství je základním předpokladem pro kvalitní a svobodnou volbu studia a posléze i povolání. Umožňuje jedinci získat dostatek informací o charakteru a náročnosti povolání, mzdě a dalších aspektech důležitých pro jeho volbu. Efektivně fungující systém kariérového poradenství umí zachytit nejnovější změny na trhu práce a pojmenovat je, což je důležité i v souvislosti s jeho dynamikou (Průmysl 4.0 aj.). Neméně podstatné je, aby služby zaměstnanosti disponovaly kvalitním datově-analytickým aparátem umožňujícím sledovat situaci a vývoj trhu práce, včetně vytváření predikcí.</w:t>
            </w:r>
          </w:p>
          <w:p w14:paraId="1E38FC4D" w14:textId="77777777" w:rsidR="00DD3EFA" w:rsidRPr="005A0E7C" w:rsidRDefault="00DD3EFA" w:rsidP="00A373D4">
            <w:pPr>
              <w:autoSpaceDE w:val="0"/>
              <w:autoSpaceDN w:val="0"/>
              <w:adjustRightInd w:val="0"/>
              <w:rPr>
                <w:rFonts w:eastAsiaTheme="majorEastAsia"/>
              </w:rPr>
            </w:pPr>
          </w:p>
          <w:p w14:paraId="0B33CC39"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Problematika posílení efektivnosti služeb zaměstnanosti se v různých obměnách objevuje ve Specifických doporučeních Rady pro ČR.</w:t>
            </w:r>
          </w:p>
          <w:p w14:paraId="5D2E6DAA"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Potřeba modernizovat veřejné služby zaměstnanosti a zvýšení koordinace činností v oblasti politiky zaměstnanosti a sociální politiky, zejména ve vztahu k dlouhodobě nezaměstnaným osobám (včetně prevence vzniku dlouhodobé nezaměstnanosti) vyplývá mimo jiné z Doporučení (Rady EU) ze dne 15. února 2016 o integraci dlouhodobě nezaměstnaných osob na trh práce, dále pak v případě mládeže v Doporučení (Rady EU) ze dne 22. dubna 2013 o zavedení záruk pro mladé lidi. Potřeby věnovat pozornost integraci znevýhodněných osob na trh práce je vyjádřena rovněž v Doporučení Komise ze dne 3. října 2008 o aktivním začleňování osob vyloučených z trhu práce.</w:t>
            </w:r>
          </w:p>
          <w:p w14:paraId="5931ED1F" w14:textId="77777777" w:rsidR="00DD3EFA" w:rsidRPr="005A0E7C" w:rsidRDefault="00DD3EFA" w:rsidP="00A373D4">
            <w:pPr>
              <w:spacing w:before="60" w:after="60"/>
              <w:rPr>
                <w:rFonts w:eastAsiaTheme="majorEastAsia"/>
                <w:i/>
                <w:u w:val="single"/>
              </w:rPr>
            </w:pPr>
            <w:r w:rsidRPr="005A0E7C">
              <w:t>V případě OZP se k zajištění podpory rovného přístupu k zaměstnání a poskytovaným službám se ČR zavázala přijetím Úmluvy OSN o právech osob se zdravotním postižením (10/2010 Sb.m.s.)</w:t>
            </w:r>
          </w:p>
        </w:tc>
        <w:tc>
          <w:tcPr>
            <w:tcW w:w="249" w:type="dxa"/>
            <w:tcBorders>
              <w:top w:val="nil"/>
              <w:bottom w:val="nil"/>
            </w:tcBorders>
            <w:shd w:val="clear" w:color="auto" w:fill="66CCFF"/>
          </w:tcPr>
          <w:p w14:paraId="6B629A59" w14:textId="77777777" w:rsidR="00DD3EFA" w:rsidRPr="005A0E7C" w:rsidRDefault="00DD3EFA" w:rsidP="00A373D4">
            <w:pPr>
              <w:rPr>
                <w:b/>
              </w:rPr>
            </w:pPr>
          </w:p>
        </w:tc>
      </w:tr>
      <w:tr w:rsidR="00DD3EFA" w:rsidRPr="005A0E7C" w14:paraId="07397802" w14:textId="77777777" w:rsidTr="00A373D4">
        <w:trPr>
          <w:trHeight w:val="1274"/>
        </w:trPr>
        <w:tc>
          <w:tcPr>
            <w:tcW w:w="249" w:type="dxa"/>
            <w:tcBorders>
              <w:top w:val="nil"/>
              <w:bottom w:val="nil"/>
            </w:tcBorders>
            <w:shd w:val="clear" w:color="auto" w:fill="66CCFF"/>
          </w:tcPr>
          <w:p w14:paraId="5A2F9402"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6E4DEA30" w14:textId="77777777" w:rsidR="00DD3EFA" w:rsidRPr="005A0E7C" w:rsidRDefault="00DD3EFA" w:rsidP="00A373D4">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3E1E2EFF"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Služby zaměstnanosti nejsou dosud zcela efektivní, což je především patrné při práci s klienty, kteří potřebují pomoc více oproti klientům, kteří mohou vyvinout větší vlastní úsilí při hledání práce. K tomu je vhodné provést tzv. profilaci klientů na základě jasně stanovených kritérií, která posuzují jejich kvalifikaci, dovednosti, schopnosti a překážky, které jim brání v přístupu na trh práce.</w:t>
            </w:r>
          </w:p>
          <w:p w14:paraId="26FDB458"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Při běžné každodenní práci s klienty se vyskytují problémy, jako je nedostatek zaměstnanců, nízké platové ohodnocení, značná administrativní zátěž (vyplňování dokumentů místo řešení problémů klienta), výkon dalších agend, které nesouvisí přímo se samotným poradenstvím či zprostředkováním zaměstnání, příliš autoritativní či formalistický přístup, či neprofesionalita. Poradcům na ÚP ČR chybí ucelený systém kontinuálního profesního vzdělávání, což se někdy projevuje na kvalitě služeb. </w:t>
            </w:r>
          </w:p>
          <w:p w14:paraId="6DFC6749"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Chybí individualizované služby šité na míru podle potřeb klientů typu „case management.“</w:t>
            </w:r>
          </w:p>
          <w:p w14:paraId="07135B20"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Chybí efektivní samoobslužné systémy pro kariérové poradenství umístěné na národním portále s udržitelnou perspektivou správy a aktualizace (institucionální i finanční). </w:t>
            </w:r>
          </w:p>
          <w:p w14:paraId="0C9B9AFE"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Chybí efektivní systém kariérového poradenství využívající internetových stránek, on-line diagnostiky, interaktivních webových služeb (poradenství s využitím aplikací nebo sociálních sítí) a face to face poradenství, chybí širší institucionální základna, know-how a kontinuální vzdělávaní poradců. Omezená institucionální základna existuje pouze na ÚP ČR prostřednictvím informačních a poradenských středisek pro volbu a změnu povolání (IPS) a dále v rámci některých dílčích projektů (VIP kariéra aj. - Centrum kariérového poradenství NÚV v Praze).</w:t>
            </w:r>
          </w:p>
          <w:p w14:paraId="4895B6DF"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Je nezbytné rozvíjet kariérové dovednosti (doslova „career management skills“), které jsou konceptem, který využívají vzdělávací systémy ekonomicky vyspělých zemí.</w:t>
            </w:r>
          </w:p>
          <w:p w14:paraId="3295767C"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Je třeba dále zdokonalovat systémy pro standardizaci popisů profesí a s nimi souvisejících kvalifikací a efektivně je využívat jak v rámci firemní personalistiky a náboru zaměstnanců, tak při zprostředkování zaměstnání veřejnými i soukromými službami zaměstnanosti. Je třeba tyto systémy propagovat a do jejich spoluvytváření a zdokonalování zapojit zástupce zaměstnavatelů, kteří mají přímou zkušenost s řízením pracovníků v provozu (nikoliv pouze zástupce vybraných profesních svazů, kteří mohou mít omezené znalosti).</w:t>
            </w:r>
          </w:p>
          <w:p w14:paraId="2AEF34FC" w14:textId="77777777" w:rsidR="00DD3EFA" w:rsidRPr="005A0E7C" w:rsidRDefault="00DD3EFA" w:rsidP="00A373D4">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Zanikají některé profese a vznikají nové, je třeba na to adekvátně reagovat.</w:t>
            </w:r>
          </w:p>
          <w:p w14:paraId="35D07B65" w14:textId="77777777" w:rsidR="00DD3EFA" w:rsidRPr="005A0E7C" w:rsidRDefault="00DD3EFA" w:rsidP="00A373D4">
            <w:pPr>
              <w:spacing w:before="60" w:after="60"/>
            </w:pPr>
            <w:r w:rsidRPr="005A0E7C">
              <w:t xml:space="preserve">Průmysl 4.0 a Práce 4.0 vyžaduje potřebnou kvalifikaci, zejména digitální gramotnost a rozšířené uživatelské IT znalosti. Tyto znalosti je třeba rovněž uchazečům a zájemcům o zaměstnání poskytovat v rámci rekvalifikačních kurzů. </w:t>
            </w:r>
            <w:r w:rsidRPr="005A0E7C">
              <w:rPr>
                <w:rFonts w:eastAsia="Calibri"/>
              </w:rPr>
              <w:t>Je potřeba mapovat a predikovat změny ve vývoji trhu práce a jeho požadavků zejména s ohledem na dopady 4. průmyslové revoluce a na jiné socioekonomické trendy.</w:t>
            </w:r>
          </w:p>
          <w:p w14:paraId="1A1A8EFC" w14:textId="77777777" w:rsidR="00DD3EFA" w:rsidRPr="005A0E7C" w:rsidRDefault="00DD3EFA" w:rsidP="00A373D4">
            <w:pPr>
              <w:spacing w:before="60" w:after="60"/>
            </w:pPr>
          </w:p>
          <w:p w14:paraId="07EC235B" w14:textId="77777777" w:rsidR="00DD3EFA" w:rsidRPr="005A0E7C" w:rsidRDefault="00DD3EFA" w:rsidP="00A373D4">
            <w:pPr>
              <w:spacing w:before="60" w:after="60"/>
              <w:rPr>
                <w:i/>
              </w:rPr>
            </w:pPr>
            <w:r w:rsidRPr="005A0E7C">
              <w:t>Vzhledem k mezinárodním závazkům, zákonům i strategiím ČR v oblasti ochrany životního prostředí je nezbytné aktivizovat potenciál pracovních míst v oblasti „green jobs“ a nízkouhlíkové ekonomiky a instituce trhu práce naučit tento potenciál využívat.</w:t>
            </w:r>
          </w:p>
        </w:tc>
        <w:tc>
          <w:tcPr>
            <w:tcW w:w="249" w:type="dxa"/>
            <w:tcBorders>
              <w:top w:val="nil"/>
              <w:bottom w:val="nil"/>
            </w:tcBorders>
            <w:shd w:val="clear" w:color="auto" w:fill="66CCFF"/>
          </w:tcPr>
          <w:p w14:paraId="09150A51" w14:textId="77777777" w:rsidR="00DD3EFA" w:rsidRPr="005A0E7C" w:rsidRDefault="00DD3EFA" w:rsidP="00A373D4">
            <w:pPr>
              <w:rPr>
                <w:b/>
              </w:rPr>
            </w:pPr>
          </w:p>
        </w:tc>
      </w:tr>
      <w:tr w:rsidR="00DD3EFA" w:rsidRPr="005A0E7C" w14:paraId="5426F020" w14:textId="77777777" w:rsidTr="00A373D4">
        <w:trPr>
          <w:trHeight w:val="1274"/>
        </w:trPr>
        <w:tc>
          <w:tcPr>
            <w:tcW w:w="249" w:type="dxa"/>
            <w:tcBorders>
              <w:top w:val="nil"/>
              <w:bottom w:val="nil"/>
            </w:tcBorders>
            <w:shd w:val="clear" w:color="auto" w:fill="66CCFF"/>
          </w:tcPr>
          <w:p w14:paraId="42BD8924"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7C430E8E" w14:textId="77777777" w:rsidR="00DD3EFA" w:rsidRPr="005A0E7C" w:rsidRDefault="00DD3EFA" w:rsidP="00A373D4">
            <w:pPr>
              <w:spacing w:before="60" w:after="60"/>
              <w:rPr>
                <w:rFonts w:eastAsiaTheme="majorEastAsia"/>
                <w:b/>
              </w:rPr>
            </w:pPr>
            <w:r w:rsidRPr="005A0E7C">
              <w:rPr>
                <w:rFonts w:eastAsiaTheme="majorEastAsia"/>
                <w:b/>
              </w:rPr>
              <w:t>Definice cíle – změny, které chceme dosáhnout</w:t>
            </w:r>
          </w:p>
          <w:p w14:paraId="33924DAE"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0EBADBDD" w14:textId="77777777" w:rsidR="00DD3EFA" w:rsidRPr="005A0E7C" w:rsidRDefault="00DD3EFA" w:rsidP="00A373D4">
            <w:pPr>
              <w:spacing w:before="60" w:after="60"/>
              <w:rPr>
                <w:rFonts w:eastAsiaTheme="majorEastAsia"/>
              </w:rPr>
            </w:pPr>
            <w:r w:rsidRPr="005A0E7C">
              <w:rPr>
                <w:rFonts w:eastAsiaTheme="majorEastAsia"/>
              </w:rPr>
              <w:t>Uvedeny relevantní cíle SR PZ 2030:</w:t>
            </w:r>
          </w:p>
          <w:p w14:paraId="319163FC" w14:textId="77777777" w:rsidR="00DD3EFA" w:rsidRPr="005A0E7C" w:rsidRDefault="00DD3EFA" w:rsidP="00A373D4">
            <w:pPr>
              <w:pStyle w:val="Odstavecseseznamem"/>
              <w:numPr>
                <w:ilvl w:val="0"/>
                <w:numId w:val="13"/>
              </w:numPr>
              <w:spacing w:before="60" w:after="60"/>
              <w:jc w:val="both"/>
              <w:rPr>
                <w:rFonts w:eastAsiaTheme="majorEastAsia"/>
                <w:u w:val="single"/>
              </w:rPr>
            </w:pPr>
            <w:r w:rsidRPr="005A0E7C">
              <w:rPr>
                <w:rFonts w:eastAsiaTheme="majorEastAsia"/>
                <w:u w:val="single"/>
              </w:rPr>
              <w:t>Efektivizace</w:t>
            </w:r>
            <w:r w:rsidRPr="005A0E7C">
              <w:rPr>
                <w:rFonts w:eastAsiaTheme="majorEastAsia"/>
              </w:rPr>
              <w:t xml:space="preserve"> – politika zaměstnanoasti bude realizována efektivními službami zaměstnanosti využívajícími nových technologických postupů, široké spolupráce a sítí, v jejichž centru bude stát UP ČR.</w:t>
            </w:r>
          </w:p>
          <w:p w14:paraId="31B584F4" w14:textId="77777777" w:rsidR="00DD3EFA" w:rsidRPr="005A0E7C" w:rsidRDefault="00DD3EFA" w:rsidP="00A373D4">
            <w:pPr>
              <w:spacing w:before="60" w:after="60"/>
              <w:rPr>
                <w:rFonts w:eastAsiaTheme="majorEastAsia"/>
                <w:i/>
                <w:u w:val="single"/>
              </w:rPr>
            </w:pPr>
            <w:r w:rsidRPr="005A0E7C">
              <w:rPr>
                <w:rFonts w:eastAsiaTheme="majorEastAsia"/>
              </w:rPr>
              <w:t>Podoblast má nicméně vazbu i na další cíle (pilíře) SR PZ 2030 jako je vyšší individualizace politiky zaměstnanosti, posílení její preventivní složky (profilace) či podpora adaptability (prostředí) na měnící se podmínky trhu práce v důsledku 4. průmyslové revoluce.</w:t>
            </w:r>
          </w:p>
        </w:tc>
        <w:tc>
          <w:tcPr>
            <w:tcW w:w="249" w:type="dxa"/>
            <w:tcBorders>
              <w:top w:val="nil"/>
              <w:bottom w:val="nil"/>
            </w:tcBorders>
            <w:shd w:val="clear" w:color="auto" w:fill="66CCFF"/>
          </w:tcPr>
          <w:p w14:paraId="1BBA4648" w14:textId="77777777" w:rsidR="00DD3EFA" w:rsidRPr="005A0E7C" w:rsidRDefault="00DD3EFA" w:rsidP="00A373D4">
            <w:pPr>
              <w:rPr>
                <w:b/>
              </w:rPr>
            </w:pPr>
          </w:p>
        </w:tc>
      </w:tr>
      <w:tr w:rsidR="00DD3EFA" w:rsidRPr="005A0E7C" w14:paraId="16BB786B" w14:textId="77777777" w:rsidTr="00A373D4">
        <w:trPr>
          <w:trHeight w:val="1274"/>
        </w:trPr>
        <w:tc>
          <w:tcPr>
            <w:tcW w:w="249" w:type="dxa"/>
            <w:tcBorders>
              <w:top w:val="nil"/>
              <w:bottom w:val="nil"/>
            </w:tcBorders>
            <w:shd w:val="clear" w:color="auto" w:fill="66CCFF"/>
          </w:tcPr>
          <w:p w14:paraId="74D6EFC3"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74B8FA82" w14:textId="77777777" w:rsidR="00DD3EFA" w:rsidRPr="005A0E7C" w:rsidRDefault="00DD3EFA" w:rsidP="00A373D4">
            <w:p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776F3201" w14:textId="77777777" w:rsidR="00DD3EFA" w:rsidRPr="005A0E7C" w:rsidRDefault="00DD3EFA" w:rsidP="00A373D4">
            <w:pPr>
              <w:spacing w:before="60" w:after="60"/>
              <w:rPr>
                <w:rFonts w:eastAsiaTheme="majorEastAsia"/>
              </w:rPr>
            </w:pPr>
            <w:r w:rsidRPr="005A0E7C">
              <w:rPr>
                <w:rFonts w:eastAsiaTheme="majorEastAsia"/>
              </w:rPr>
              <w:t>Vize: Český trh práce bude, opíraje se o kooperující a efektivní služby zaměstnanosti, schopen reakce na globální trendy, bude zabezpečovat jak rovný přístup k důstojnému zaměstnání pro všechny skupiny osob, tak dostatek vhodné pracovní síly pro národní hospodářství.</w:t>
            </w:r>
          </w:p>
          <w:p w14:paraId="7FDE360A" w14:textId="77777777" w:rsidR="00DD3EFA" w:rsidRPr="005A0E7C" w:rsidRDefault="00DD3EFA" w:rsidP="00A373D4">
            <w:pPr>
              <w:spacing w:before="60" w:after="60"/>
              <w:rPr>
                <w:rFonts w:eastAsiaTheme="majorEastAsia"/>
              </w:rPr>
            </w:pPr>
          </w:p>
          <w:p w14:paraId="0ACC0A35" w14:textId="77777777" w:rsidR="00DD3EFA" w:rsidRPr="005A0E7C" w:rsidRDefault="00DD3EFA" w:rsidP="00A373D4">
            <w:pPr>
              <w:spacing w:before="60" w:after="60"/>
              <w:rPr>
                <w:i/>
              </w:rPr>
            </w:pPr>
            <w:r w:rsidRPr="005A0E7C">
              <w:rPr>
                <w:rFonts w:eastAsiaTheme="majorEastAsia"/>
              </w:rPr>
              <w:t>Tedy v provazbě na definované cíle a podoblast budou služby zaměstnanosti (zejména UP ČR) vysoce efektivní institucí využívající moderní technologie, poskytující dostupné a v rámci možností a přístupnosti digitalizované služby při vzájemné spolupráci s ostatními aktéry trhu práce.</w:t>
            </w:r>
          </w:p>
        </w:tc>
        <w:tc>
          <w:tcPr>
            <w:tcW w:w="249" w:type="dxa"/>
            <w:tcBorders>
              <w:top w:val="nil"/>
              <w:bottom w:val="nil"/>
            </w:tcBorders>
            <w:shd w:val="clear" w:color="auto" w:fill="66CCFF"/>
          </w:tcPr>
          <w:p w14:paraId="50B04E5F" w14:textId="77777777" w:rsidR="00DD3EFA" w:rsidRPr="005A0E7C" w:rsidRDefault="00DD3EFA" w:rsidP="00A373D4">
            <w:pPr>
              <w:rPr>
                <w:b/>
              </w:rPr>
            </w:pPr>
          </w:p>
        </w:tc>
      </w:tr>
      <w:tr w:rsidR="00DD3EFA" w:rsidRPr="005A0E7C" w14:paraId="13ED7BBB" w14:textId="77777777" w:rsidTr="00A373D4">
        <w:trPr>
          <w:trHeight w:val="1274"/>
        </w:trPr>
        <w:tc>
          <w:tcPr>
            <w:tcW w:w="249" w:type="dxa"/>
            <w:tcBorders>
              <w:top w:val="nil"/>
              <w:bottom w:val="nil"/>
            </w:tcBorders>
            <w:shd w:val="clear" w:color="auto" w:fill="66CCFF"/>
          </w:tcPr>
          <w:p w14:paraId="3107558C"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0169A9F0" w14:textId="77777777" w:rsidR="00DD3EFA" w:rsidRPr="005A0E7C" w:rsidRDefault="00DD3EFA" w:rsidP="00A373D4">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DA91A01" w14:textId="77777777" w:rsidR="00DD3EFA" w:rsidRPr="005A0E7C" w:rsidRDefault="00DD3EFA" w:rsidP="00A373D4">
            <w:pPr>
              <w:spacing w:before="60" w:after="60"/>
              <w:rPr>
                <w:rFonts w:eastAsiaTheme="majorEastAsia"/>
              </w:rPr>
            </w:pPr>
            <w:r w:rsidRPr="005A0E7C">
              <w:rPr>
                <w:rFonts w:eastAsiaTheme="majorEastAsia"/>
              </w:rPr>
              <w:t>Odhadovaný podíl ESIF na plnění tohoto specifického cíle předpokládáme v rozsahu cca 80 – 100 %.</w:t>
            </w:r>
          </w:p>
        </w:tc>
        <w:tc>
          <w:tcPr>
            <w:tcW w:w="249" w:type="dxa"/>
            <w:tcBorders>
              <w:top w:val="nil"/>
              <w:bottom w:val="nil"/>
            </w:tcBorders>
            <w:shd w:val="clear" w:color="auto" w:fill="66CCFF"/>
          </w:tcPr>
          <w:p w14:paraId="6B576C95" w14:textId="77777777" w:rsidR="00DD3EFA" w:rsidRPr="005A0E7C" w:rsidRDefault="00DD3EFA" w:rsidP="00A373D4">
            <w:pPr>
              <w:rPr>
                <w:b/>
              </w:rPr>
            </w:pPr>
          </w:p>
        </w:tc>
      </w:tr>
      <w:tr w:rsidR="00DD3EFA" w:rsidRPr="005A0E7C" w14:paraId="2F35206D" w14:textId="77777777" w:rsidTr="00A373D4">
        <w:trPr>
          <w:trHeight w:val="1274"/>
        </w:trPr>
        <w:tc>
          <w:tcPr>
            <w:tcW w:w="249" w:type="dxa"/>
            <w:tcBorders>
              <w:top w:val="nil"/>
              <w:bottom w:val="nil"/>
            </w:tcBorders>
            <w:shd w:val="clear" w:color="auto" w:fill="66CCFF"/>
          </w:tcPr>
          <w:p w14:paraId="18B0621E"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41B0E0AE" w14:textId="77777777" w:rsidR="00DD3EFA" w:rsidRPr="005A0E7C" w:rsidRDefault="00DD3EFA" w:rsidP="00A373D4">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39A84D80" w14:textId="77777777" w:rsidR="00DD3EFA" w:rsidRPr="005A0E7C" w:rsidRDefault="00DD3EFA" w:rsidP="00A373D4">
            <w:pPr>
              <w:spacing w:before="60" w:after="60"/>
              <w:rPr>
                <w:i/>
              </w:rPr>
            </w:pPr>
            <w:r w:rsidRPr="005A0E7C">
              <w:rPr>
                <w:rFonts w:eastAsiaTheme="majorEastAsia"/>
              </w:rPr>
              <w:t>Novou výzvou je především potřeba systematického rozvoje kariérového poradenství a reakce na průmyslovou revoluci Průmysl 4.0. Ostatní témata byla již částečně řešena v minulých obdobích.</w:t>
            </w:r>
          </w:p>
        </w:tc>
        <w:tc>
          <w:tcPr>
            <w:tcW w:w="249" w:type="dxa"/>
            <w:tcBorders>
              <w:top w:val="nil"/>
              <w:bottom w:val="nil"/>
            </w:tcBorders>
            <w:shd w:val="clear" w:color="auto" w:fill="66CCFF"/>
          </w:tcPr>
          <w:p w14:paraId="08B1FC9F" w14:textId="77777777" w:rsidR="00DD3EFA" w:rsidRPr="005A0E7C" w:rsidRDefault="00DD3EFA" w:rsidP="00A373D4">
            <w:pPr>
              <w:rPr>
                <w:b/>
              </w:rPr>
            </w:pPr>
          </w:p>
        </w:tc>
      </w:tr>
      <w:tr w:rsidR="00DD3EFA" w:rsidRPr="005A0E7C" w14:paraId="62639002" w14:textId="77777777" w:rsidTr="00A373D4">
        <w:trPr>
          <w:trHeight w:val="272"/>
        </w:trPr>
        <w:tc>
          <w:tcPr>
            <w:tcW w:w="249" w:type="dxa"/>
            <w:tcBorders>
              <w:top w:val="nil"/>
              <w:bottom w:val="nil"/>
              <w:right w:val="nil"/>
            </w:tcBorders>
            <w:shd w:val="clear" w:color="auto" w:fill="66CCFF"/>
          </w:tcPr>
          <w:p w14:paraId="2429C613" w14:textId="77777777" w:rsidR="00DD3EFA" w:rsidRPr="005A0E7C" w:rsidRDefault="00DD3EFA" w:rsidP="00A373D4">
            <w:pPr>
              <w:rPr>
                <w:b/>
              </w:rPr>
            </w:pPr>
          </w:p>
        </w:tc>
        <w:tc>
          <w:tcPr>
            <w:tcW w:w="2548" w:type="dxa"/>
            <w:tcBorders>
              <w:top w:val="single" w:sz="4" w:space="0" w:color="auto"/>
              <w:left w:val="nil"/>
              <w:bottom w:val="single" w:sz="4" w:space="0" w:color="auto"/>
              <w:right w:val="nil"/>
            </w:tcBorders>
            <w:shd w:val="clear" w:color="auto" w:fill="66CCFF"/>
          </w:tcPr>
          <w:p w14:paraId="71A07D86" w14:textId="77777777" w:rsidR="00DD3EFA" w:rsidRPr="005A0E7C" w:rsidRDefault="00DD3EFA" w:rsidP="00A373D4">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4FC677B" w14:textId="77777777" w:rsidR="00DD3EFA" w:rsidRPr="005A0E7C" w:rsidRDefault="00DD3EFA" w:rsidP="00A373D4">
            <w:pPr>
              <w:spacing w:before="60" w:after="60"/>
              <w:rPr>
                <w:rFonts w:eastAsiaTheme="majorEastAsia"/>
                <w:i/>
                <w:u w:val="single"/>
              </w:rPr>
            </w:pPr>
          </w:p>
        </w:tc>
        <w:tc>
          <w:tcPr>
            <w:tcW w:w="249" w:type="dxa"/>
            <w:tcBorders>
              <w:top w:val="nil"/>
              <w:left w:val="nil"/>
              <w:bottom w:val="nil"/>
            </w:tcBorders>
            <w:shd w:val="clear" w:color="auto" w:fill="66CCFF"/>
          </w:tcPr>
          <w:p w14:paraId="521A9F71" w14:textId="77777777" w:rsidR="00DD3EFA" w:rsidRPr="005A0E7C" w:rsidRDefault="00DD3EFA" w:rsidP="00A373D4">
            <w:pPr>
              <w:rPr>
                <w:b/>
              </w:rPr>
            </w:pPr>
          </w:p>
        </w:tc>
      </w:tr>
      <w:tr w:rsidR="00DD3EFA" w:rsidRPr="005A0E7C" w14:paraId="46E77DC5" w14:textId="77777777" w:rsidTr="00A373D4">
        <w:trPr>
          <w:trHeight w:val="835"/>
        </w:trPr>
        <w:tc>
          <w:tcPr>
            <w:tcW w:w="249" w:type="dxa"/>
            <w:tcBorders>
              <w:top w:val="nil"/>
              <w:bottom w:val="nil"/>
            </w:tcBorders>
            <w:shd w:val="clear" w:color="auto" w:fill="66CCFF"/>
          </w:tcPr>
          <w:p w14:paraId="20989464" w14:textId="77777777" w:rsidR="00DD3EFA" w:rsidRPr="005A0E7C" w:rsidRDefault="00DD3EFA" w:rsidP="00A373D4">
            <w:pPr>
              <w:rPr>
                <w:b/>
              </w:rPr>
            </w:pPr>
          </w:p>
        </w:tc>
        <w:tc>
          <w:tcPr>
            <w:tcW w:w="2548" w:type="dxa"/>
            <w:tcBorders>
              <w:top w:val="single" w:sz="4" w:space="0" w:color="auto"/>
              <w:bottom w:val="single" w:sz="4" w:space="0" w:color="auto"/>
            </w:tcBorders>
            <w:shd w:val="clear" w:color="auto" w:fill="auto"/>
          </w:tcPr>
          <w:p w14:paraId="188176E1" w14:textId="77777777" w:rsidR="00DD3EFA" w:rsidRPr="005A0E7C" w:rsidRDefault="00DD3EFA" w:rsidP="00A373D4">
            <w:pPr>
              <w:spacing w:before="60" w:after="60"/>
              <w:rPr>
                <w:rFonts w:eastAsiaTheme="majorEastAsia"/>
                <w:b/>
              </w:rPr>
            </w:pPr>
            <w:r w:rsidRPr="005A0E7C">
              <w:rPr>
                <w:rFonts w:eastAsiaTheme="majorEastAsia"/>
                <w:b/>
              </w:rPr>
              <w:t>Dílčí cíle podpory</w:t>
            </w:r>
          </w:p>
          <w:p w14:paraId="39BA5235" w14:textId="77777777" w:rsidR="00DD3EFA" w:rsidRPr="005A0E7C" w:rsidRDefault="00DD3EFA" w:rsidP="00A373D4">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3BF08522" w14:textId="77777777" w:rsidR="00DD3EFA" w:rsidRPr="005A0E7C" w:rsidRDefault="00DD3EFA" w:rsidP="00A373D4">
            <w:pPr>
              <w:pStyle w:val="Odstavecseseznamem"/>
              <w:numPr>
                <w:ilvl w:val="0"/>
                <w:numId w:val="14"/>
              </w:numPr>
              <w:spacing w:before="60" w:after="60"/>
              <w:rPr>
                <w:rFonts w:eastAsiaTheme="majorEastAsia"/>
              </w:rPr>
            </w:pPr>
            <w:r w:rsidRPr="005A0E7C">
              <w:rPr>
                <w:rFonts w:eastAsiaTheme="majorEastAsia"/>
              </w:rPr>
              <w:t>Efektivizace</w:t>
            </w:r>
          </w:p>
          <w:p w14:paraId="153046F1" w14:textId="77777777" w:rsidR="00DD3EFA" w:rsidRPr="005A0E7C" w:rsidRDefault="00DD3EFA" w:rsidP="00A373D4">
            <w:pPr>
              <w:pStyle w:val="Odstavecseseznamem"/>
              <w:numPr>
                <w:ilvl w:val="1"/>
                <w:numId w:val="14"/>
              </w:numPr>
              <w:spacing w:before="60" w:after="60"/>
              <w:rPr>
                <w:rFonts w:eastAsiaTheme="majorEastAsia"/>
              </w:rPr>
            </w:pPr>
            <w:r w:rsidRPr="005A0E7C">
              <w:rPr>
                <w:rFonts w:eastAsiaTheme="majorEastAsia"/>
              </w:rPr>
              <w:t>Efektivní veřejné služby zaměstnanosti</w:t>
            </w:r>
          </w:p>
          <w:p w14:paraId="781E3A01" w14:textId="77777777" w:rsidR="00DD3EFA" w:rsidRPr="005A0E7C" w:rsidRDefault="00DD3EFA" w:rsidP="00A373D4">
            <w:pPr>
              <w:pStyle w:val="Odstavecseseznamem"/>
              <w:numPr>
                <w:ilvl w:val="1"/>
                <w:numId w:val="14"/>
              </w:numPr>
              <w:spacing w:before="60" w:after="60"/>
              <w:rPr>
                <w:rFonts w:eastAsiaTheme="majorEastAsia"/>
                <w:i/>
              </w:rPr>
            </w:pPr>
            <w:r w:rsidRPr="005A0E7C">
              <w:rPr>
                <w:rFonts w:eastAsiaTheme="majorEastAsia"/>
              </w:rPr>
              <w:t>Efektivní spolupráce na trhu práce</w:t>
            </w:r>
          </w:p>
        </w:tc>
        <w:tc>
          <w:tcPr>
            <w:tcW w:w="249" w:type="dxa"/>
            <w:tcBorders>
              <w:top w:val="nil"/>
              <w:bottom w:val="nil"/>
            </w:tcBorders>
            <w:shd w:val="clear" w:color="auto" w:fill="66CCFF"/>
          </w:tcPr>
          <w:p w14:paraId="3AA429E1" w14:textId="77777777" w:rsidR="00DD3EFA" w:rsidRPr="005A0E7C" w:rsidRDefault="00DD3EFA" w:rsidP="00A373D4">
            <w:pPr>
              <w:rPr>
                <w:b/>
              </w:rPr>
            </w:pPr>
          </w:p>
        </w:tc>
      </w:tr>
      <w:tr w:rsidR="00DD3EFA" w:rsidRPr="005A0E7C" w14:paraId="4FAA831D" w14:textId="77777777" w:rsidTr="00A373D4">
        <w:trPr>
          <w:trHeight w:val="377"/>
        </w:trPr>
        <w:tc>
          <w:tcPr>
            <w:tcW w:w="249" w:type="dxa"/>
            <w:tcBorders>
              <w:top w:val="nil"/>
              <w:bottom w:val="nil"/>
              <w:right w:val="nil"/>
            </w:tcBorders>
            <w:shd w:val="clear" w:color="auto" w:fill="66CCFF"/>
          </w:tcPr>
          <w:p w14:paraId="39D0D106" w14:textId="77777777" w:rsidR="00DD3EFA" w:rsidRPr="005A0E7C" w:rsidRDefault="00DD3EFA" w:rsidP="00A373D4">
            <w:pPr>
              <w:rPr>
                <w:b/>
              </w:rPr>
            </w:pPr>
          </w:p>
        </w:tc>
        <w:tc>
          <w:tcPr>
            <w:tcW w:w="2548" w:type="dxa"/>
            <w:tcBorders>
              <w:top w:val="single" w:sz="4" w:space="0" w:color="auto"/>
              <w:left w:val="nil"/>
              <w:bottom w:val="single" w:sz="4" w:space="0" w:color="auto"/>
              <w:right w:val="nil"/>
            </w:tcBorders>
            <w:shd w:val="clear" w:color="auto" w:fill="66CCFF"/>
          </w:tcPr>
          <w:p w14:paraId="1AEFA095" w14:textId="77777777" w:rsidR="00DD3EFA" w:rsidRPr="005A0E7C" w:rsidRDefault="00DD3EFA" w:rsidP="00A373D4">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5F03FF4" w14:textId="77777777" w:rsidR="00DD3EFA" w:rsidRPr="005A0E7C" w:rsidRDefault="00DD3EFA" w:rsidP="00A373D4">
            <w:pPr>
              <w:spacing w:before="60" w:after="60"/>
              <w:rPr>
                <w:rFonts w:eastAsiaTheme="majorEastAsia"/>
                <w:i/>
              </w:rPr>
            </w:pPr>
          </w:p>
        </w:tc>
        <w:tc>
          <w:tcPr>
            <w:tcW w:w="249" w:type="dxa"/>
            <w:tcBorders>
              <w:top w:val="nil"/>
              <w:left w:val="nil"/>
              <w:bottom w:val="nil"/>
            </w:tcBorders>
            <w:shd w:val="clear" w:color="auto" w:fill="66CCFF"/>
          </w:tcPr>
          <w:p w14:paraId="1CD26CF4" w14:textId="77777777" w:rsidR="00DD3EFA" w:rsidRPr="005A0E7C" w:rsidRDefault="00DD3EFA" w:rsidP="00A373D4">
            <w:pPr>
              <w:rPr>
                <w:b/>
              </w:rPr>
            </w:pPr>
          </w:p>
        </w:tc>
      </w:tr>
      <w:tr w:rsidR="00DD3EFA" w:rsidRPr="005A0E7C" w14:paraId="56A90D09" w14:textId="77777777" w:rsidTr="00A373D4">
        <w:trPr>
          <w:trHeight w:val="1202"/>
        </w:trPr>
        <w:tc>
          <w:tcPr>
            <w:tcW w:w="249" w:type="dxa"/>
            <w:tcBorders>
              <w:top w:val="nil"/>
              <w:bottom w:val="nil"/>
            </w:tcBorders>
            <w:shd w:val="clear" w:color="auto" w:fill="66CCFF"/>
          </w:tcPr>
          <w:p w14:paraId="5B74CB65" w14:textId="77777777" w:rsidR="00DD3EFA" w:rsidRPr="005A0E7C" w:rsidRDefault="00DD3EFA" w:rsidP="00A373D4">
            <w:pPr>
              <w:rPr>
                <w:b/>
              </w:rPr>
            </w:pPr>
          </w:p>
        </w:tc>
        <w:tc>
          <w:tcPr>
            <w:tcW w:w="8526" w:type="dxa"/>
            <w:gridSpan w:val="2"/>
            <w:tcBorders>
              <w:top w:val="single" w:sz="4" w:space="0" w:color="auto"/>
              <w:bottom w:val="single" w:sz="4" w:space="0" w:color="auto"/>
            </w:tcBorders>
            <w:shd w:val="clear" w:color="auto" w:fill="FFFFFF" w:themeFill="background1"/>
          </w:tcPr>
          <w:p w14:paraId="2AABD60F" w14:textId="77777777" w:rsidR="00DD3EFA" w:rsidRPr="005A0E7C" w:rsidRDefault="00DD3EFA" w:rsidP="00A373D4">
            <w:pPr>
              <w:spacing w:before="60" w:after="60"/>
              <w:rPr>
                <w:rFonts w:eastAsiaTheme="majorEastAsia"/>
                <w:b/>
              </w:rPr>
            </w:pPr>
            <w:r w:rsidRPr="005A0E7C">
              <w:rPr>
                <w:rFonts w:eastAsiaTheme="majorEastAsia"/>
                <w:b/>
              </w:rPr>
              <w:t>Průřezová témata a souvislosti:</w:t>
            </w:r>
          </w:p>
          <w:p w14:paraId="1D3FB44D" w14:textId="77777777" w:rsidR="00DD3EFA" w:rsidRPr="005A0E7C" w:rsidRDefault="00DD3EFA" w:rsidP="00A373D4">
            <w:pPr>
              <w:spacing w:before="60" w:after="60"/>
              <w:rPr>
                <w:rFonts w:eastAsiaTheme="majorEastAsia"/>
                <w:i/>
                <w:u w:val="single"/>
              </w:rPr>
            </w:pPr>
          </w:p>
        </w:tc>
        <w:tc>
          <w:tcPr>
            <w:tcW w:w="249" w:type="dxa"/>
            <w:tcBorders>
              <w:top w:val="nil"/>
              <w:bottom w:val="nil"/>
            </w:tcBorders>
            <w:shd w:val="clear" w:color="auto" w:fill="66CCFF"/>
          </w:tcPr>
          <w:p w14:paraId="2FF49FF3" w14:textId="77777777" w:rsidR="00DD3EFA" w:rsidRPr="005A0E7C" w:rsidRDefault="00DD3EFA" w:rsidP="00A373D4">
            <w:pPr>
              <w:rPr>
                <w:b/>
              </w:rPr>
            </w:pPr>
          </w:p>
        </w:tc>
      </w:tr>
      <w:tr w:rsidR="00DD3EFA" w:rsidRPr="005A0E7C" w14:paraId="0E1A6661" w14:textId="77777777" w:rsidTr="00A373D4">
        <w:trPr>
          <w:trHeight w:val="1202"/>
        </w:trPr>
        <w:tc>
          <w:tcPr>
            <w:tcW w:w="249" w:type="dxa"/>
            <w:tcBorders>
              <w:top w:val="nil"/>
              <w:bottom w:val="nil"/>
            </w:tcBorders>
            <w:shd w:val="clear" w:color="auto" w:fill="66CCFF"/>
          </w:tcPr>
          <w:p w14:paraId="2E65F15B"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17E8F6CB" w14:textId="77777777" w:rsidR="00DD3EFA" w:rsidRPr="005A0E7C" w:rsidRDefault="00DD3EFA" w:rsidP="00A373D4">
            <w:pPr>
              <w:pStyle w:val="Odstavecseseznamem"/>
              <w:numPr>
                <w:ilvl w:val="0"/>
                <w:numId w:val="2"/>
              </w:numPr>
              <w:spacing w:before="60" w:after="60"/>
              <w:rPr>
                <w:rFonts w:eastAsiaTheme="majorEastAsia"/>
                <w:b/>
              </w:rPr>
            </w:pPr>
            <w:r w:rsidRPr="005A0E7C">
              <w:rPr>
                <w:rFonts w:eastAsiaTheme="majorEastAsia"/>
                <w:b/>
              </w:rPr>
              <w:t>Územní dimenze</w:t>
            </w:r>
          </w:p>
          <w:p w14:paraId="5F508F34"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3092A658" w14:textId="77777777" w:rsidR="00DD3EFA" w:rsidRPr="005A0E7C" w:rsidRDefault="00DD3EFA" w:rsidP="00A373D4">
            <w:pPr>
              <w:spacing w:before="60" w:after="60"/>
              <w:rPr>
                <w:rFonts w:eastAsiaTheme="majorEastAsia"/>
                <w:i/>
              </w:rPr>
            </w:pPr>
            <w:r w:rsidRPr="005A0E7C">
              <w:t>Z hlediska územní dimenze se stále významnějšími institucemi trhu práce stávají rovněž teritoriální, respektive krajské pakty zaměstnanosti, rady hospodářské a sociální dohody nebo rady pro rozvoj lidských zdrojů. Pakty zaměstnanosti jsou od roku 1997 uznávány a podporovány Evropskou unií jako partnerský a mezioborový nástroj k prosazování evropské strategie zaměstnanosti. Jejich cílem je zejména (i) usilovat o rovnováhu mezi nabídkou a poptávkou na regionálním trhu práce a přispívat k přípravě kvalifikovaných pracovníků pro konkurenceschopnou ekonomiku, (ii) podporovat tradiční sektory s vysokým potenciálem pro strategický a udržitelný rozvoj regionu a vznik kvalitních pracovních míst a (iii) podporovat aktivní komunikaci a přenos informací z oblasti trhu práce vůči veřejnosti a vybraným cílovým skupinám. Svou činností přispívají ke zvyšování konkurenceschopnosti krajů. Koordinovaný přístup institucí trhu práce hraje klíčovou roli především ve strukturálně postižených regionech, tedy Moravskoslezské, Ústeckém a Karlovarském kraji a v hospodářsky slabých a v hospodářsky a sociálně ohrožených územích.</w:t>
            </w:r>
          </w:p>
        </w:tc>
        <w:tc>
          <w:tcPr>
            <w:tcW w:w="249" w:type="dxa"/>
            <w:tcBorders>
              <w:top w:val="nil"/>
              <w:bottom w:val="nil"/>
            </w:tcBorders>
            <w:shd w:val="clear" w:color="auto" w:fill="66CCFF"/>
          </w:tcPr>
          <w:p w14:paraId="05043964" w14:textId="77777777" w:rsidR="00DD3EFA" w:rsidRPr="005A0E7C" w:rsidRDefault="00DD3EFA" w:rsidP="00A373D4">
            <w:pPr>
              <w:rPr>
                <w:b/>
              </w:rPr>
            </w:pPr>
          </w:p>
        </w:tc>
      </w:tr>
      <w:tr w:rsidR="00DD3EFA" w:rsidRPr="005A0E7C" w14:paraId="1E08039C" w14:textId="77777777" w:rsidTr="00A373D4">
        <w:trPr>
          <w:trHeight w:val="1202"/>
        </w:trPr>
        <w:tc>
          <w:tcPr>
            <w:tcW w:w="249" w:type="dxa"/>
            <w:tcBorders>
              <w:top w:val="nil"/>
              <w:bottom w:val="nil"/>
            </w:tcBorders>
            <w:shd w:val="clear" w:color="auto" w:fill="66CCFF"/>
          </w:tcPr>
          <w:p w14:paraId="25D661CB"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2C727852" w14:textId="77777777" w:rsidR="00DD3EFA" w:rsidRPr="005A0E7C" w:rsidRDefault="00DD3EFA" w:rsidP="00A373D4">
            <w:pPr>
              <w:pStyle w:val="Odstavecseseznamem"/>
              <w:numPr>
                <w:ilvl w:val="0"/>
                <w:numId w:val="2"/>
              </w:numPr>
              <w:spacing w:before="60" w:after="60"/>
              <w:rPr>
                <w:rFonts w:eastAsiaTheme="majorEastAsia"/>
                <w:b/>
              </w:rPr>
            </w:pPr>
            <w:r w:rsidRPr="005A0E7C">
              <w:rPr>
                <w:rFonts w:eastAsiaTheme="majorEastAsia"/>
                <w:b/>
              </w:rPr>
              <w:t>Adaptace na změnu klimatu</w:t>
            </w:r>
          </w:p>
          <w:p w14:paraId="3E7EB7E2"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1E6127A1" w14:textId="77777777" w:rsidR="00DD3EFA" w:rsidRPr="005A0E7C" w:rsidRDefault="00DD3EFA" w:rsidP="00A373D4">
            <w:pPr>
              <w:spacing w:before="60" w:after="60"/>
              <w:rPr>
                <w:rFonts w:eastAsiaTheme="majorEastAsia"/>
                <w:i/>
              </w:rPr>
            </w:pPr>
          </w:p>
        </w:tc>
        <w:tc>
          <w:tcPr>
            <w:tcW w:w="249" w:type="dxa"/>
            <w:tcBorders>
              <w:top w:val="nil"/>
              <w:bottom w:val="nil"/>
            </w:tcBorders>
            <w:shd w:val="clear" w:color="auto" w:fill="66CCFF"/>
          </w:tcPr>
          <w:p w14:paraId="103A0CC1" w14:textId="77777777" w:rsidR="00DD3EFA" w:rsidRPr="005A0E7C" w:rsidRDefault="00DD3EFA" w:rsidP="00A373D4">
            <w:pPr>
              <w:rPr>
                <w:b/>
              </w:rPr>
            </w:pPr>
          </w:p>
        </w:tc>
      </w:tr>
      <w:tr w:rsidR="00DD3EFA" w:rsidRPr="005A0E7C" w14:paraId="3F42FB03" w14:textId="77777777" w:rsidTr="00A373D4">
        <w:trPr>
          <w:trHeight w:val="1202"/>
        </w:trPr>
        <w:tc>
          <w:tcPr>
            <w:tcW w:w="249" w:type="dxa"/>
            <w:tcBorders>
              <w:top w:val="nil"/>
              <w:bottom w:val="nil"/>
            </w:tcBorders>
            <w:shd w:val="clear" w:color="auto" w:fill="66CCFF"/>
          </w:tcPr>
          <w:p w14:paraId="347F33B1"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0EEED3BD" w14:textId="77777777" w:rsidR="00DD3EFA" w:rsidRPr="005A0E7C" w:rsidRDefault="00DD3EFA" w:rsidP="00A373D4">
            <w:pPr>
              <w:pStyle w:val="Odstavecseseznamem"/>
              <w:numPr>
                <w:ilvl w:val="0"/>
                <w:numId w:val="2"/>
              </w:numPr>
              <w:spacing w:before="60" w:after="60"/>
              <w:rPr>
                <w:rFonts w:eastAsiaTheme="majorEastAsia"/>
                <w:b/>
              </w:rPr>
            </w:pPr>
            <w:r w:rsidRPr="005A0E7C">
              <w:rPr>
                <w:rFonts w:eastAsiaTheme="majorEastAsia"/>
                <w:b/>
              </w:rPr>
              <w:t>Společnost 4.0.</w:t>
            </w:r>
          </w:p>
          <w:p w14:paraId="7B3DA33E"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06AC7A76" w14:textId="77777777" w:rsidR="00DD3EFA" w:rsidRPr="005A0E7C" w:rsidRDefault="00DD3EFA" w:rsidP="00A373D4">
            <w:pPr>
              <w:pStyle w:val="slovanodstavec"/>
              <w:tabs>
                <w:tab w:val="left" w:pos="284"/>
              </w:tabs>
              <w:suppressAutoHyphens/>
              <w:spacing w:line="240" w:lineRule="auto"/>
              <w:rPr>
                <w:rFonts w:ascii="Times New Roman" w:hAnsi="Times New Roman"/>
              </w:rPr>
            </w:pPr>
            <w:r w:rsidRPr="005A0E7C">
              <w:rPr>
                <w:rFonts w:ascii="Times New Roman" w:hAnsi="Times New Roman"/>
              </w:rPr>
              <w:t>Moderní služby zaměstnanosti a ostatní instituce trhu práce musí umět maximálně využívat smart technologií a smart aplikací při kontaktu s klienty i v rámci vlastní činnosti. V maximální míře je možno využít sociálních sítí a interaktivních způsobů poradenství, což v konečném důsledku přispěje k úspoře času a kapacit poradců.</w:t>
            </w:r>
          </w:p>
          <w:p w14:paraId="21E2BAF0" w14:textId="77777777" w:rsidR="00DD3EFA" w:rsidRPr="005A0E7C" w:rsidRDefault="00DD3EFA" w:rsidP="00A373D4">
            <w:pPr>
              <w:pStyle w:val="slovanodstavec"/>
              <w:tabs>
                <w:tab w:val="left" w:pos="284"/>
              </w:tabs>
              <w:suppressAutoHyphens/>
              <w:spacing w:line="240" w:lineRule="auto"/>
              <w:rPr>
                <w:rFonts w:ascii="Times New Roman" w:hAnsi="Times New Roman"/>
              </w:rPr>
            </w:pPr>
            <w:r w:rsidRPr="005A0E7C">
              <w:rPr>
                <w:rFonts w:ascii="Times New Roman" w:hAnsi="Times New Roman"/>
              </w:rPr>
              <w:t>Moderní technologie rovněž umožňují efektivní jobmatching, popřípadě provádění statistické profilace klientů ÚP ČR a tím podpořit vyšší individualizovanost a cílenost poskytovaných služeb.</w:t>
            </w:r>
          </w:p>
          <w:p w14:paraId="122A5A43" w14:textId="77777777" w:rsidR="00DD3EFA" w:rsidRPr="005A0E7C" w:rsidRDefault="00DD3EFA" w:rsidP="00A373D4">
            <w:pPr>
              <w:pStyle w:val="slovanodstavec"/>
              <w:tabs>
                <w:tab w:val="left" w:pos="284"/>
              </w:tabs>
              <w:suppressAutoHyphens/>
              <w:spacing w:line="240" w:lineRule="auto"/>
              <w:rPr>
                <w:rFonts w:ascii="Times New Roman" w:hAnsi="Times New Roman"/>
              </w:rPr>
            </w:pPr>
            <w:r w:rsidRPr="005A0E7C">
              <w:rPr>
                <w:rFonts w:ascii="Times New Roman" w:hAnsi="Times New Roman"/>
              </w:rPr>
              <w:t>Instituce trhu práce by měly umět pojmenovat a řešit změny na trhu práce v souvislosti s nástupem Průmyslu 4.0 a očekávanými strukturálními změnami. V souvislosti s Průmyslem 4.0 je nezbytné, aby instituce trhu práce byly schopny  systematicky vytvářet  a zpřesňovat sektorové a tematické predikce a odhadovat tak možný vývoj pokud jde o ohrožení ztrátou zaměstnání a příležitosti vzniku nových pracovních příležitostí. Je rovněž žádoucí zkoumat a vyhodnocovat charakter změn v profesních nárocích vyvolaných procesy Průmyslu 4.0, redefinovat profesní a vzdělávací standardy a nalézt ve spolupráci institucí trhu práce a institucí vzdělávacího systému adekvátní způsoby přenosu těchto požadavků do profesní přípravy.</w:t>
            </w:r>
          </w:p>
          <w:p w14:paraId="7DD58458" w14:textId="77777777" w:rsidR="00DD3EFA" w:rsidRPr="005A0E7C" w:rsidRDefault="00DD3EFA" w:rsidP="00A373D4">
            <w:pPr>
              <w:spacing w:before="60" w:after="60"/>
              <w:rPr>
                <w:rFonts w:eastAsiaTheme="majorEastAsia"/>
                <w:i/>
              </w:rPr>
            </w:pPr>
          </w:p>
        </w:tc>
        <w:tc>
          <w:tcPr>
            <w:tcW w:w="249" w:type="dxa"/>
            <w:tcBorders>
              <w:top w:val="nil"/>
              <w:bottom w:val="nil"/>
            </w:tcBorders>
            <w:shd w:val="clear" w:color="auto" w:fill="66CCFF"/>
          </w:tcPr>
          <w:p w14:paraId="0343132B" w14:textId="77777777" w:rsidR="00DD3EFA" w:rsidRPr="005A0E7C" w:rsidRDefault="00DD3EFA" w:rsidP="00A373D4">
            <w:pPr>
              <w:rPr>
                <w:b/>
              </w:rPr>
            </w:pPr>
          </w:p>
        </w:tc>
      </w:tr>
      <w:tr w:rsidR="00DD3EFA" w:rsidRPr="005A0E7C" w14:paraId="2133A816" w14:textId="77777777" w:rsidTr="00A373D4">
        <w:trPr>
          <w:trHeight w:val="1202"/>
        </w:trPr>
        <w:tc>
          <w:tcPr>
            <w:tcW w:w="249" w:type="dxa"/>
            <w:tcBorders>
              <w:top w:val="nil"/>
              <w:bottom w:val="nil"/>
            </w:tcBorders>
            <w:shd w:val="clear" w:color="auto" w:fill="66CCFF"/>
          </w:tcPr>
          <w:p w14:paraId="07A48A3F"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4E58496F" w14:textId="77777777" w:rsidR="00DD3EFA" w:rsidRPr="005A0E7C" w:rsidRDefault="00DD3EFA" w:rsidP="00A373D4">
            <w:pPr>
              <w:pStyle w:val="Odstavecseseznamem"/>
              <w:numPr>
                <w:ilvl w:val="0"/>
                <w:numId w:val="2"/>
              </w:numPr>
              <w:spacing w:before="60" w:after="60"/>
              <w:rPr>
                <w:rFonts w:eastAsiaTheme="majorEastAsia"/>
                <w:b/>
              </w:rPr>
            </w:pPr>
            <w:r w:rsidRPr="005A0E7C">
              <w:rPr>
                <w:rFonts w:eastAsiaTheme="majorEastAsia"/>
                <w:b/>
              </w:rPr>
              <w:t>Vazba na megatrendy</w:t>
            </w:r>
          </w:p>
          <w:p w14:paraId="2C060A28"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7EC06A68" w14:textId="77777777" w:rsidR="00DD3EFA" w:rsidRPr="005A0E7C" w:rsidRDefault="00DD3EFA" w:rsidP="00A373D4">
            <w:pPr>
              <w:pStyle w:val="Odstavecseseznamem"/>
              <w:numPr>
                <w:ilvl w:val="0"/>
                <w:numId w:val="2"/>
              </w:numPr>
              <w:spacing w:before="60" w:after="60"/>
              <w:rPr>
                <w:rFonts w:eastAsiaTheme="majorEastAsia"/>
              </w:rPr>
            </w:pPr>
            <w:r w:rsidRPr="005A0E7C">
              <w:rPr>
                <w:rFonts w:eastAsiaTheme="majorEastAsia"/>
              </w:rPr>
              <w:t>Demografické stárnutí</w:t>
            </w:r>
          </w:p>
          <w:p w14:paraId="36BF1BBB" w14:textId="77777777" w:rsidR="00DD3EFA" w:rsidRPr="005A0E7C" w:rsidRDefault="00DD3EFA" w:rsidP="00A373D4">
            <w:pPr>
              <w:pStyle w:val="Odstavecseseznamem"/>
              <w:numPr>
                <w:ilvl w:val="0"/>
                <w:numId w:val="2"/>
              </w:numPr>
              <w:spacing w:before="60" w:after="60"/>
              <w:rPr>
                <w:rFonts w:eastAsiaTheme="majorEastAsia"/>
              </w:rPr>
            </w:pPr>
            <w:r w:rsidRPr="005A0E7C">
              <w:rPr>
                <w:rFonts w:eastAsiaTheme="majorEastAsia"/>
              </w:rPr>
              <w:t>Zvyšující se rychlost technologické změny</w:t>
            </w:r>
          </w:p>
          <w:p w14:paraId="5C97A9D3" w14:textId="77777777" w:rsidR="00DD3EFA" w:rsidRPr="005A0E7C" w:rsidRDefault="00DD3EFA" w:rsidP="00A373D4">
            <w:pPr>
              <w:pStyle w:val="Odstavecseseznamem"/>
              <w:numPr>
                <w:ilvl w:val="0"/>
                <w:numId w:val="2"/>
              </w:numPr>
              <w:spacing w:before="60" w:after="60"/>
              <w:rPr>
                <w:rFonts w:eastAsiaTheme="majorEastAsia"/>
              </w:rPr>
            </w:pPr>
            <w:r w:rsidRPr="005A0E7C">
              <w:rPr>
                <w:rFonts w:eastAsiaTheme="majorEastAsia"/>
              </w:rPr>
              <w:t>Virtualizace světa</w:t>
            </w:r>
          </w:p>
          <w:p w14:paraId="415AFC23" w14:textId="77777777" w:rsidR="00DD3EFA" w:rsidRPr="005A0E7C" w:rsidRDefault="00DD3EFA" w:rsidP="00A373D4">
            <w:pPr>
              <w:pStyle w:val="Odstavecseseznamem"/>
              <w:numPr>
                <w:ilvl w:val="0"/>
                <w:numId w:val="2"/>
              </w:numPr>
              <w:spacing w:before="60" w:after="60"/>
              <w:rPr>
                <w:rFonts w:eastAsiaTheme="majorEastAsia"/>
                <w:i/>
              </w:rPr>
            </w:pPr>
            <w:r w:rsidRPr="005A0E7C">
              <w:rPr>
                <w:rFonts w:eastAsiaTheme="majorEastAsia"/>
              </w:rPr>
              <w:t>Rostoucí mobilita</w:t>
            </w:r>
          </w:p>
        </w:tc>
        <w:tc>
          <w:tcPr>
            <w:tcW w:w="249" w:type="dxa"/>
            <w:tcBorders>
              <w:top w:val="nil"/>
              <w:bottom w:val="nil"/>
            </w:tcBorders>
            <w:shd w:val="clear" w:color="auto" w:fill="66CCFF"/>
          </w:tcPr>
          <w:p w14:paraId="5A87A78D" w14:textId="77777777" w:rsidR="00DD3EFA" w:rsidRPr="005A0E7C" w:rsidRDefault="00DD3EFA" w:rsidP="00A373D4">
            <w:pPr>
              <w:rPr>
                <w:b/>
              </w:rPr>
            </w:pPr>
          </w:p>
        </w:tc>
      </w:tr>
      <w:tr w:rsidR="00DD3EFA" w:rsidRPr="005A0E7C" w14:paraId="06130803" w14:textId="77777777" w:rsidTr="00A373D4">
        <w:trPr>
          <w:trHeight w:val="1202"/>
        </w:trPr>
        <w:tc>
          <w:tcPr>
            <w:tcW w:w="249" w:type="dxa"/>
            <w:tcBorders>
              <w:top w:val="nil"/>
              <w:bottom w:val="nil"/>
            </w:tcBorders>
            <w:shd w:val="clear" w:color="auto" w:fill="66CCFF"/>
          </w:tcPr>
          <w:p w14:paraId="55C421FE"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6058EA7C" w14:textId="77777777" w:rsidR="00DD3EFA" w:rsidRPr="005A0E7C" w:rsidRDefault="00DD3EFA" w:rsidP="00A373D4">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4E286F63" w14:textId="77777777" w:rsidR="00DD3EFA" w:rsidRPr="005A0E7C" w:rsidRDefault="00DD3EFA" w:rsidP="00A373D4">
            <w:pPr>
              <w:spacing w:before="60" w:after="60"/>
            </w:pPr>
            <w:r w:rsidRPr="005A0E7C">
              <w:t>Cíl politiky 4 Sociálnější Evropa – provádění evropského pilíře sociálních práv</w:t>
            </w:r>
          </w:p>
          <w:p w14:paraId="004608BA" w14:textId="77777777" w:rsidR="00DD3EFA" w:rsidRPr="005A0E7C" w:rsidRDefault="00DD3EFA" w:rsidP="00A373D4">
            <w:pPr>
              <w:spacing w:before="60" w:after="60"/>
            </w:pPr>
            <w:r w:rsidRPr="005A0E7C">
              <w:t>Specifický cíl ESF+: ii) modernizovat instituce a služby trhu práce s cílem posoudit a předvídat potřeby dovedností a zajistit včasnou, individuálně uzpůsobenou pomoc i podporu při vytváření souladu mezi nabídkou a poptávkou na trhu práce, jakož i během přechodů mezi zaměstnáními a během mobility;</w:t>
            </w:r>
          </w:p>
          <w:p w14:paraId="19C9804B" w14:textId="77777777" w:rsidR="00DD3EFA" w:rsidRPr="005A0E7C" w:rsidRDefault="00DD3EFA" w:rsidP="00A373D4">
            <w:pPr>
              <w:spacing w:before="60" w:after="60"/>
              <w:rPr>
                <w:rFonts w:eastAsiaTheme="majorEastAsia"/>
                <w:i/>
              </w:rPr>
            </w:pPr>
            <w:r w:rsidRPr="005A0E7C">
              <w:rPr>
                <w:rFonts w:eastAsiaTheme="majorEastAsia"/>
                <w:i/>
              </w:rPr>
              <w:t>(pozn. znění cílů dle návrhů nařízení ze strany EK)</w:t>
            </w:r>
          </w:p>
        </w:tc>
        <w:tc>
          <w:tcPr>
            <w:tcW w:w="249" w:type="dxa"/>
            <w:tcBorders>
              <w:top w:val="nil"/>
              <w:bottom w:val="nil"/>
            </w:tcBorders>
            <w:shd w:val="clear" w:color="auto" w:fill="66CCFF"/>
          </w:tcPr>
          <w:p w14:paraId="624B83FA" w14:textId="77777777" w:rsidR="00DD3EFA" w:rsidRPr="005A0E7C" w:rsidRDefault="00DD3EFA" w:rsidP="00A373D4">
            <w:pPr>
              <w:rPr>
                <w:b/>
              </w:rPr>
            </w:pPr>
          </w:p>
        </w:tc>
      </w:tr>
      <w:tr w:rsidR="00DD3EFA" w:rsidRPr="005A0E7C" w14:paraId="6AEF68DB" w14:textId="77777777" w:rsidTr="00A373D4">
        <w:trPr>
          <w:trHeight w:val="1202"/>
        </w:trPr>
        <w:tc>
          <w:tcPr>
            <w:tcW w:w="249" w:type="dxa"/>
            <w:tcBorders>
              <w:top w:val="nil"/>
              <w:bottom w:val="nil"/>
            </w:tcBorders>
            <w:shd w:val="clear" w:color="auto" w:fill="66CCFF"/>
          </w:tcPr>
          <w:p w14:paraId="23272040"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2F0D03D4" w14:textId="77777777" w:rsidR="00DD3EFA" w:rsidRPr="005A0E7C" w:rsidRDefault="00DD3EFA" w:rsidP="00A373D4">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2158A7EC" w14:textId="77777777" w:rsidR="00DD3EFA" w:rsidRPr="005A0E7C" w:rsidRDefault="00DD3EFA" w:rsidP="00A373D4">
            <w:pPr>
              <w:rPr>
                <w:rFonts w:eastAsiaTheme="majorEastAsia"/>
              </w:rPr>
            </w:pPr>
            <w:r w:rsidRPr="005A0E7C">
              <w:rPr>
                <w:rFonts w:eastAsiaTheme="majorEastAsia"/>
              </w:rPr>
              <w:t xml:space="preserve">SDR 2018, Doporučení č. 2 (zvýrazněna část týkající se trhu práce a zaměstnanosti): </w:t>
            </w:r>
          </w:p>
          <w:p w14:paraId="612EBC49" w14:textId="77777777" w:rsidR="00DD3EFA" w:rsidRPr="005A0E7C" w:rsidRDefault="00DD3EFA" w:rsidP="00A373D4">
            <w:pPr>
              <w:rPr>
                <w:rFonts w:eastAsiaTheme="majorEastAsia"/>
              </w:rPr>
            </w:pPr>
          </w:p>
          <w:p w14:paraId="58FA1529" w14:textId="77777777" w:rsidR="00DD3EFA" w:rsidRPr="005A0E7C" w:rsidRDefault="00DD3EFA" w:rsidP="00A373D4">
            <w:pPr>
              <w:rPr>
                <w:rFonts w:eastAsiaTheme="majorEastAsia"/>
              </w:rPr>
            </w:pPr>
            <w:r w:rsidRPr="005A0E7C">
              <w:rPr>
                <w:rFonts w:eastAsiaTheme="majorEastAsia"/>
              </w:rPr>
              <w:t xml:space="preserve">„Snížit administrativní zátěž pro investice, mimo jiné zrychlením povolovacích postupů u infrastrukturních projektů. Odstranit překážky brzdící výzkum, vývoj a inovace, zejména zvýšením inovační kapacity domácích podniků. Posílit schopnost vzdělávacího systému poskytovat kvalitní inkluzivní vzdělávání, mimo jiné podporou učitelského povolání. </w:t>
            </w:r>
            <w:r w:rsidRPr="005A0E7C">
              <w:rPr>
                <w:rFonts w:eastAsiaTheme="majorEastAsia"/>
                <w:b/>
              </w:rPr>
              <w:t>Podporovat zaměstnávání žen, osob s nízkou kvalifikací a osob se zdravotním postižením, mimo jiné zvýšením účinnosti aktivních politik na trhu práce.</w:t>
            </w:r>
            <w:r w:rsidRPr="005A0E7C">
              <w:rPr>
                <w:rFonts w:eastAsiaTheme="majorEastAsia"/>
              </w:rPr>
              <w:t>“</w:t>
            </w:r>
          </w:p>
        </w:tc>
        <w:tc>
          <w:tcPr>
            <w:tcW w:w="249" w:type="dxa"/>
            <w:tcBorders>
              <w:top w:val="nil"/>
              <w:bottom w:val="nil"/>
            </w:tcBorders>
            <w:shd w:val="clear" w:color="auto" w:fill="66CCFF"/>
          </w:tcPr>
          <w:p w14:paraId="0D0A9B2B" w14:textId="77777777" w:rsidR="00DD3EFA" w:rsidRPr="005A0E7C" w:rsidRDefault="00DD3EFA" w:rsidP="00A373D4">
            <w:pPr>
              <w:rPr>
                <w:b/>
              </w:rPr>
            </w:pPr>
          </w:p>
        </w:tc>
      </w:tr>
      <w:tr w:rsidR="00DD3EFA" w:rsidRPr="005A0E7C" w14:paraId="7AA60238" w14:textId="77777777" w:rsidTr="00A373D4">
        <w:trPr>
          <w:trHeight w:val="180"/>
        </w:trPr>
        <w:tc>
          <w:tcPr>
            <w:tcW w:w="249" w:type="dxa"/>
            <w:tcBorders>
              <w:top w:val="nil"/>
              <w:bottom w:val="nil"/>
              <w:right w:val="nil"/>
            </w:tcBorders>
            <w:shd w:val="clear" w:color="auto" w:fill="66CCFF"/>
          </w:tcPr>
          <w:p w14:paraId="7D968826" w14:textId="77777777" w:rsidR="00DD3EFA" w:rsidRPr="005A0E7C" w:rsidRDefault="00DD3EFA" w:rsidP="00A373D4">
            <w:pPr>
              <w:rPr>
                <w:b/>
              </w:rPr>
            </w:pPr>
          </w:p>
        </w:tc>
        <w:tc>
          <w:tcPr>
            <w:tcW w:w="2548" w:type="dxa"/>
            <w:tcBorders>
              <w:left w:val="nil"/>
              <w:right w:val="nil"/>
            </w:tcBorders>
            <w:shd w:val="clear" w:color="auto" w:fill="66CCFF"/>
          </w:tcPr>
          <w:p w14:paraId="12F21DE8" w14:textId="77777777" w:rsidR="00DD3EFA" w:rsidRPr="005A0E7C" w:rsidRDefault="00DD3EFA" w:rsidP="00A373D4">
            <w:pPr>
              <w:rPr>
                <w:b/>
              </w:rPr>
            </w:pPr>
          </w:p>
        </w:tc>
        <w:tc>
          <w:tcPr>
            <w:tcW w:w="5978" w:type="dxa"/>
            <w:tcBorders>
              <w:left w:val="nil"/>
              <w:right w:val="nil"/>
            </w:tcBorders>
            <w:shd w:val="clear" w:color="auto" w:fill="66CCFF"/>
          </w:tcPr>
          <w:p w14:paraId="6D7209BF" w14:textId="77777777" w:rsidR="00DD3EFA" w:rsidRPr="005A0E7C" w:rsidRDefault="00DD3EFA" w:rsidP="00A373D4">
            <w:pPr>
              <w:rPr>
                <w:b/>
              </w:rPr>
            </w:pPr>
          </w:p>
        </w:tc>
        <w:tc>
          <w:tcPr>
            <w:tcW w:w="249" w:type="dxa"/>
            <w:tcBorders>
              <w:top w:val="nil"/>
              <w:left w:val="nil"/>
              <w:bottom w:val="nil"/>
            </w:tcBorders>
            <w:shd w:val="clear" w:color="auto" w:fill="66CCFF"/>
          </w:tcPr>
          <w:p w14:paraId="4AECD4A1" w14:textId="77777777" w:rsidR="00DD3EFA" w:rsidRPr="005A0E7C" w:rsidRDefault="00DD3EFA" w:rsidP="00A373D4">
            <w:pPr>
              <w:rPr>
                <w:b/>
              </w:rPr>
            </w:pPr>
          </w:p>
        </w:tc>
      </w:tr>
      <w:tr w:rsidR="00DD3EFA" w:rsidRPr="005A0E7C" w14:paraId="6F703A4E" w14:textId="77777777" w:rsidTr="00A373D4">
        <w:trPr>
          <w:trHeight w:val="938"/>
        </w:trPr>
        <w:tc>
          <w:tcPr>
            <w:tcW w:w="249" w:type="dxa"/>
            <w:tcBorders>
              <w:top w:val="nil"/>
              <w:bottom w:val="nil"/>
            </w:tcBorders>
            <w:shd w:val="clear" w:color="auto" w:fill="66CCFF"/>
          </w:tcPr>
          <w:p w14:paraId="4DB02776"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79E6C34A" w14:textId="77777777" w:rsidR="00DD3EFA" w:rsidRPr="005A0E7C" w:rsidRDefault="00DD3EFA" w:rsidP="00A373D4">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24DEDD87" w14:textId="77777777" w:rsidR="00DD3EFA" w:rsidRPr="005A0E7C" w:rsidRDefault="00DD3EFA" w:rsidP="00A373D4">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14E55066"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i/>
                <w:u w:val="single"/>
              </w:rPr>
            </w:pPr>
          </w:p>
          <w:p w14:paraId="3C4A100D" w14:textId="77777777" w:rsidR="00DD3EFA" w:rsidRPr="005A0E7C" w:rsidRDefault="00DD3EFA" w:rsidP="00A373D4">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Evropa 2020 : strategie Evropské unie pro růst a zaměstnanost</w:t>
            </w:r>
          </w:p>
          <w:p w14:paraId="0056A901" w14:textId="77777777" w:rsidR="00DD3EFA" w:rsidRPr="005A0E7C" w:rsidRDefault="00DD3EFA" w:rsidP="00A373D4">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Strategický rámec Česká republika 2030</w:t>
            </w:r>
          </w:p>
          <w:p w14:paraId="179E3C85" w14:textId="77777777" w:rsidR="00DD3EFA" w:rsidRPr="005A0E7C" w:rsidRDefault="00DD3EFA" w:rsidP="00A373D4">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politiky zaměstnanosti do roku 2020 (2015), aktualizace 2017</w:t>
            </w:r>
          </w:p>
          <w:p w14:paraId="2C8473CA" w14:textId="77777777" w:rsidR="00DD3EFA" w:rsidRPr="005A0E7C" w:rsidRDefault="00DD3EFA" w:rsidP="00A373D4">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Národní program reforem</w:t>
            </w:r>
          </w:p>
          <w:p w14:paraId="705ADA70" w14:textId="77777777" w:rsidR="00DD3EFA" w:rsidRPr="005A0E7C" w:rsidRDefault="00DD3EFA" w:rsidP="00A373D4">
            <w:pPr>
              <w:tabs>
                <w:tab w:val="left" w:pos="284"/>
              </w:tabs>
              <w:suppressAutoHyphens/>
              <w:spacing w:after="16"/>
            </w:pPr>
            <w:r w:rsidRPr="005A0E7C">
              <w:t>Koncepce politiky zaměstnanosti 2013 – 2020</w:t>
            </w:r>
          </w:p>
          <w:p w14:paraId="687AE6BB" w14:textId="77777777" w:rsidR="00DD3EFA" w:rsidRPr="005A0E7C" w:rsidRDefault="00DD3EFA" w:rsidP="00A373D4">
            <w:pPr>
              <w:contextualSpacing/>
              <w:rPr>
                <w:i/>
              </w:rPr>
            </w:pPr>
            <w:r w:rsidRPr="005A0E7C">
              <w:t>Akční plán Strategie boje proti sociálnímu vyloučení na období 2016 až 2020</w:t>
            </w:r>
          </w:p>
          <w:p w14:paraId="4DF29170" w14:textId="77777777" w:rsidR="00DD3EFA" w:rsidRPr="005A0E7C" w:rsidRDefault="00DD3EFA" w:rsidP="00A373D4">
            <w:pPr>
              <w:tabs>
                <w:tab w:val="left" w:pos="284"/>
              </w:tabs>
              <w:suppressAutoHyphens/>
              <w:spacing w:after="16"/>
              <w:rPr>
                <w:rFonts w:eastAsia="Calibri"/>
              </w:rPr>
            </w:pPr>
            <w:r w:rsidRPr="005A0E7C">
              <w:rPr>
                <w:rFonts w:eastAsia="Calibri"/>
              </w:rPr>
              <w:t>Akční plán Práce 4.0</w:t>
            </w:r>
          </w:p>
          <w:p w14:paraId="6DC2590A" w14:textId="77777777" w:rsidR="00DD3EFA" w:rsidRPr="005A0E7C" w:rsidRDefault="00DD3EFA" w:rsidP="00A373D4">
            <w:pPr>
              <w:tabs>
                <w:tab w:val="left" w:pos="284"/>
              </w:tabs>
              <w:suppressAutoHyphens/>
              <w:spacing w:after="16"/>
              <w:rPr>
                <w:rFonts w:eastAsia="Calibri"/>
              </w:rPr>
            </w:pPr>
            <w:r w:rsidRPr="005A0E7C">
              <w:rPr>
                <w:rFonts w:eastAsia="Calibri"/>
                <w:b/>
              </w:rPr>
              <w:t>Strategický rámec politiky zaměstnanosti do roku 2030 (v přípravě</w:t>
            </w:r>
            <w:r w:rsidRPr="005A0E7C">
              <w:rPr>
                <w:rFonts w:eastAsia="Calibri"/>
              </w:rPr>
              <w:t>, dále též SR PZ 2030)</w:t>
            </w:r>
          </w:p>
          <w:p w14:paraId="53DECF4A" w14:textId="77777777" w:rsidR="00DD3EFA" w:rsidRPr="005A0E7C" w:rsidRDefault="00DD3EFA" w:rsidP="00A373D4">
            <w:pPr>
              <w:tabs>
                <w:tab w:val="left" w:pos="284"/>
              </w:tabs>
              <w:suppressAutoHyphens/>
              <w:spacing w:after="16"/>
              <w:rPr>
                <w:rFonts w:eastAsia="Calibri"/>
              </w:rPr>
            </w:pPr>
          </w:p>
          <w:p w14:paraId="25C33110" w14:textId="77777777" w:rsidR="00DD3EFA" w:rsidRPr="005A0E7C" w:rsidRDefault="00DD3EFA" w:rsidP="00A373D4">
            <w:pPr>
              <w:tabs>
                <w:tab w:val="left" w:pos="284"/>
              </w:tabs>
              <w:suppressAutoHyphens/>
              <w:spacing w:after="16"/>
              <w:rPr>
                <w:rFonts w:eastAsia="Calibri"/>
              </w:rPr>
            </w:pPr>
            <w:r w:rsidRPr="005A0E7C">
              <w:rPr>
                <w:rFonts w:eastAsia="Calibri"/>
              </w:rPr>
              <w:t>Analýzy:</w:t>
            </w:r>
          </w:p>
          <w:p w14:paraId="4C3DEADC"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Analýza nabídky a poptávky na trhu práce</w:t>
            </w:r>
          </w:p>
        </w:tc>
        <w:tc>
          <w:tcPr>
            <w:tcW w:w="249" w:type="dxa"/>
            <w:tcBorders>
              <w:top w:val="nil"/>
              <w:bottom w:val="nil"/>
            </w:tcBorders>
            <w:shd w:val="clear" w:color="auto" w:fill="66CCFF"/>
          </w:tcPr>
          <w:p w14:paraId="7E67CEAA" w14:textId="77777777" w:rsidR="00DD3EFA" w:rsidRPr="005A0E7C" w:rsidRDefault="00DD3EFA" w:rsidP="00A373D4">
            <w:pPr>
              <w:rPr>
                <w:b/>
              </w:rPr>
            </w:pPr>
          </w:p>
        </w:tc>
      </w:tr>
      <w:tr w:rsidR="00DD3EFA" w:rsidRPr="005A0E7C" w14:paraId="09B13307" w14:textId="77777777" w:rsidTr="00A373D4">
        <w:trPr>
          <w:trHeight w:val="938"/>
        </w:trPr>
        <w:tc>
          <w:tcPr>
            <w:tcW w:w="249" w:type="dxa"/>
            <w:tcBorders>
              <w:top w:val="nil"/>
              <w:bottom w:val="nil"/>
            </w:tcBorders>
            <w:shd w:val="clear" w:color="auto" w:fill="66CCFF"/>
          </w:tcPr>
          <w:p w14:paraId="3F79A790"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391E2870" w14:textId="77777777" w:rsidR="00DD3EFA" w:rsidRPr="005A0E7C" w:rsidRDefault="00DD3EFA" w:rsidP="00A373D4">
            <w:pPr>
              <w:pStyle w:val="Odstavecseseznamem"/>
              <w:numPr>
                <w:ilvl w:val="0"/>
                <w:numId w:val="3"/>
              </w:numPr>
              <w:spacing w:before="60" w:after="60"/>
              <w:rPr>
                <w:rFonts w:eastAsiaTheme="majorEastAsia"/>
                <w:b/>
              </w:rPr>
            </w:pPr>
            <w:r w:rsidRPr="005A0E7C">
              <w:rPr>
                <w:rFonts w:eastAsiaTheme="majorEastAsia"/>
                <w:b/>
              </w:rPr>
              <w:t>analýza problémů a potřeb</w:t>
            </w:r>
          </w:p>
          <w:p w14:paraId="55022475"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4E3D7931"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275F1ABA"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obsahuje část analyzující vývoj trhu práce v posledních deseti letech, a to s ohledem na nutnost popsat vývoj trhu práce v průběhu celého střednědobého hospodářského cyklu a identifikovat tak dlouhodobější trendy vývoje a proměny trhu práce. Zároveň obsahuje část „východiska“ stojící na pomezí strategické a analytické části, vycházející z již provedených analýz a predikcí očekávaného vývoje trhu práce, zejména ve vazbě na dopady 4. průmyslové revoluce.</w:t>
            </w:r>
          </w:p>
        </w:tc>
        <w:tc>
          <w:tcPr>
            <w:tcW w:w="249" w:type="dxa"/>
            <w:tcBorders>
              <w:top w:val="nil"/>
              <w:bottom w:val="nil"/>
            </w:tcBorders>
            <w:shd w:val="clear" w:color="auto" w:fill="66CCFF"/>
          </w:tcPr>
          <w:p w14:paraId="069127D1" w14:textId="77777777" w:rsidR="00DD3EFA" w:rsidRPr="005A0E7C" w:rsidRDefault="00DD3EFA" w:rsidP="00A373D4">
            <w:pPr>
              <w:rPr>
                <w:b/>
              </w:rPr>
            </w:pPr>
          </w:p>
        </w:tc>
      </w:tr>
      <w:tr w:rsidR="00DD3EFA" w:rsidRPr="005A0E7C" w14:paraId="4C59E35E" w14:textId="77777777" w:rsidTr="00A373D4">
        <w:trPr>
          <w:trHeight w:val="938"/>
        </w:trPr>
        <w:tc>
          <w:tcPr>
            <w:tcW w:w="249" w:type="dxa"/>
            <w:tcBorders>
              <w:top w:val="nil"/>
              <w:bottom w:val="nil"/>
            </w:tcBorders>
            <w:shd w:val="clear" w:color="auto" w:fill="66CCFF"/>
          </w:tcPr>
          <w:p w14:paraId="6DFF4C90"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762912EA" w14:textId="77777777" w:rsidR="00DD3EFA" w:rsidRPr="005A0E7C" w:rsidRDefault="00DD3EFA" w:rsidP="00A373D4">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20C79CB6"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24D3B5C8"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68F16DF4"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je strategickým rámcem s platností na celé období 20. let 21. století. Cíle a opatření jsou proto definována rámcově a budou pro kratší období 2 až tří let zpřesňována prostřednictvím akčních plánů.</w:t>
            </w:r>
          </w:p>
        </w:tc>
        <w:tc>
          <w:tcPr>
            <w:tcW w:w="249" w:type="dxa"/>
            <w:tcBorders>
              <w:top w:val="nil"/>
              <w:bottom w:val="nil"/>
            </w:tcBorders>
            <w:shd w:val="clear" w:color="auto" w:fill="66CCFF"/>
          </w:tcPr>
          <w:p w14:paraId="1114219B" w14:textId="77777777" w:rsidR="00DD3EFA" w:rsidRPr="005A0E7C" w:rsidRDefault="00DD3EFA" w:rsidP="00A373D4">
            <w:pPr>
              <w:rPr>
                <w:b/>
              </w:rPr>
            </w:pPr>
          </w:p>
        </w:tc>
      </w:tr>
      <w:tr w:rsidR="00DD3EFA" w:rsidRPr="005A0E7C" w14:paraId="6B349781" w14:textId="77777777" w:rsidTr="00A373D4">
        <w:trPr>
          <w:trHeight w:val="938"/>
        </w:trPr>
        <w:tc>
          <w:tcPr>
            <w:tcW w:w="249" w:type="dxa"/>
            <w:tcBorders>
              <w:top w:val="nil"/>
              <w:bottom w:val="nil"/>
            </w:tcBorders>
            <w:shd w:val="clear" w:color="auto" w:fill="66CCFF"/>
          </w:tcPr>
          <w:p w14:paraId="2F745F7F"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1E805684" w14:textId="77777777" w:rsidR="00DD3EFA" w:rsidRPr="005A0E7C" w:rsidRDefault="00DD3EFA" w:rsidP="00A373D4">
            <w:pPr>
              <w:pStyle w:val="Odstavecseseznamem"/>
              <w:numPr>
                <w:ilvl w:val="0"/>
                <w:numId w:val="3"/>
              </w:numPr>
              <w:spacing w:before="60" w:after="60"/>
              <w:rPr>
                <w:rFonts w:eastAsiaTheme="majorEastAsia"/>
                <w:b/>
              </w:rPr>
            </w:pPr>
            <w:r w:rsidRPr="005A0E7C">
              <w:rPr>
                <w:rFonts w:eastAsiaTheme="majorEastAsia"/>
                <w:b/>
              </w:rPr>
              <w:t>implementační mechanismus</w:t>
            </w:r>
          </w:p>
          <w:p w14:paraId="3C83D574" w14:textId="77777777" w:rsidR="00DD3EFA" w:rsidRPr="005A0E7C" w:rsidRDefault="00DD3EFA" w:rsidP="00A373D4">
            <w:pPr>
              <w:spacing w:before="60" w:after="60"/>
              <w:rPr>
                <w:rFonts w:eastAsiaTheme="majorEastAsia"/>
                <w:b/>
              </w:rPr>
            </w:pPr>
          </w:p>
        </w:tc>
        <w:tc>
          <w:tcPr>
            <w:tcW w:w="5978" w:type="dxa"/>
            <w:tcBorders>
              <w:bottom w:val="single" w:sz="4" w:space="0" w:color="auto"/>
            </w:tcBorders>
            <w:shd w:val="clear" w:color="auto" w:fill="FFFFFF" w:themeFill="background1"/>
          </w:tcPr>
          <w:p w14:paraId="28A09244"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33180D5A"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bude implementován prováděcími akčními plány s časovým horizontem dvou až tří let. Ty budou již obsahovat konkrétní opatření s určením gestora, finančních nákladů (bude-i možné vyčíslit) i termínem plnění. Akční plány budou připraveny na období po roce 2020, do roku 2020 jsou implementovány stávající strategické materiály.</w:t>
            </w:r>
          </w:p>
        </w:tc>
        <w:tc>
          <w:tcPr>
            <w:tcW w:w="249" w:type="dxa"/>
            <w:tcBorders>
              <w:top w:val="nil"/>
              <w:bottom w:val="nil"/>
            </w:tcBorders>
            <w:shd w:val="clear" w:color="auto" w:fill="66CCFF"/>
          </w:tcPr>
          <w:p w14:paraId="3CC4F695" w14:textId="77777777" w:rsidR="00DD3EFA" w:rsidRPr="005A0E7C" w:rsidRDefault="00DD3EFA" w:rsidP="00A373D4">
            <w:pPr>
              <w:rPr>
                <w:b/>
              </w:rPr>
            </w:pPr>
          </w:p>
        </w:tc>
      </w:tr>
      <w:tr w:rsidR="00DD3EFA" w:rsidRPr="005A0E7C" w14:paraId="3804AB20" w14:textId="77777777" w:rsidTr="00A373D4">
        <w:trPr>
          <w:trHeight w:val="938"/>
        </w:trPr>
        <w:tc>
          <w:tcPr>
            <w:tcW w:w="249" w:type="dxa"/>
            <w:tcBorders>
              <w:top w:val="nil"/>
              <w:bottom w:val="nil"/>
            </w:tcBorders>
            <w:shd w:val="clear" w:color="auto" w:fill="66CCFF"/>
          </w:tcPr>
          <w:p w14:paraId="5BA526D9"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69D03DC1" w14:textId="77777777" w:rsidR="00DD3EFA" w:rsidRPr="005A0E7C" w:rsidRDefault="00DD3EFA" w:rsidP="00A373D4">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74DDF6AB"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024CEAFF"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bude pravidelně monitorován v rámci standardních mechanismů. MPSV pravidelně vypracovává s pololetní frekvencí Analýzu vývoje zaměstnanosti a nezaměstnanosti a pravidelně vydává veřejně dostupné statistiky, včetně časových řad, umožňující průběžné monitorování stavu trhu práce a tedy i naplňování cílů SR PZ 2030. Pravidelně budou vyhodnocovány konkrétní akční plány.</w:t>
            </w:r>
          </w:p>
        </w:tc>
        <w:tc>
          <w:tcPr>
            <w:tcW w:w="249" w:type="dxa"/>
            <w:tcBorders>
              <w:top w:val="nil"/>
              <w:bottom w:val="nil"/>
            </w:tcBorders>
            <w:shd w:val="clear" w:color="auto" w:fill="66CCFF"/>
          </w:tcPr>
          <w:p w14:paraId="5BDFE944" w14:textId="77777777" w:rsidR="00DD3EFA" w:rsidRPr="005A0E7C" w:rsidRDefault="00DD3EFA" w:rsidP="00A373D4">
            <w:pPr>
              <w:rPr>
                <w:b/>
              </w:rPr>
            </w:pPr>
          </w:p>
        </w:tc>
      </w:tr>
      <w:tr w:rsidR="00DD3EFA" w:rsidRPr="005A0E7C" w14:paraId="0967677E" w14:textId="77777777" w:rsidTr="00A373D4">
        <w:trPr>
          <w:trHeight w:val="130"/>
        </w:trPr>
        <w:tc>
          <w:tcPr>
            <w:tcW w:w="249" w:type="dxa"/>
            <w:tcBorders>
              <w:top w:val="nil"/>
              <w:bottom w:val="nil"/>
              <w:right w:val="nil"/>
            </w:tcBorders>
            <w:shd w:val="clear" w:color="auto" w:fill="66CCFF"/>
          </w:tcPr>
          <w:p w14:paraId="2625B7CE" w14:textId="77777777" w:rsidR="00DD3EFA" w:rsidRPr="005A0E7C" w:rsidRDefault="00DD3EFA" w:rsidP="00A373D4">
            <w:pPr>
              <w:rPr>
                <w:b/>
              </w:rPr>
            </w:pPr>
          </w:p>
        </w:tc>
        <w:tc>
          <w:tcPr>
            <w:tcW w:w="2548" w:type="dxa"/>
            <w:tcBorders>
              <w:left w:val="nil"/>
              <w:right w:val="nil"/>
            </w:tcBorders>
            <w:shd w:val="clear" w:color="auto" w:fill="66CCFF"/>
          </w:tcPr>
          <w:p w14:paraId="100910C3" w14:textId="77777777" w:rsidR="00DD3EFA" w:rsidRPr="005A0E7C" w:rsidRDefault="00DD3EFA" w:rsidP="00A373D4">
            <w:pPr>
              <w:rPr>
                <w:b/>
              </w:rPr>
            </w:pPr>
          </w:p>
        </w:tc>
        <w:tc>
          <w:tcPr>
            <w:tcW w:w="5978" w:type="dxa"/>
            <w:tcBorders>
              <w:left w:val="nil"/>
              <w:right w:val="nil"/>
            </w:tcBorders>
            <w:shd w:val="clear" w:color="auto" w:fill="66CCFF"/>
          </w:tcPr>
          <w:p w14:paraId="46D4C1C9" w14:textId="77777777" w:rsidR="00DD3EFA" w:rsidRPr="005A0E7C" w:rsidRDefault="00DD3EFA" w:rsidP="00A373D4">
            <w:pPr>
              <w:pStyle w:val="slovanodstavec"/>
              <w:tabs>
                <w:tab w:val="clear" w:pos="567"/>
                <w:tab w:val="left" w:pos="284"/>
              </w:tabs>
              <w:suppressAutoHyphens/>
              <w:spacing w:line="240" w:lineRule="auto"/>
              <w:jc w:val="left"/>
              <w:rPr>
                <w:rFonts w:ascii="Times New Roman" w:eastAsiaTheme="minorHAnsi" w:hAnsi="Times New Roman"/>
                <w:b/>
              </w:rPr>
            </w:pPr>
          </w:p>
        </w:tc>
        <w:tc>
          <w:tcPr>
            <w:tcW w:w="249" w:type="dxa"/>
            <w:tcBorders>
              <w:top w:val="nil"/>
              <w:left w:val="nil"/>
              <w:bottom w:val="nil"/>
            </w:tcBorders>
            <w:shd w:val="clear" w:color="auto" w:fill="66CCFF"/>
          </w:tcPr>
          <w:p w14:paraId="6B1B17A8" w14:textId="77777777" w:rsidR="00DD3EFA" w:rsidRPr="005A0E7C" w:rsidRDefault="00DD3EFA" w:rsidP="00A373D4">
            <w:pPr>
              <w:rPr>
                <w:b/>
              </w:rPr>
            </w:pPr>
          </w:p>
        </w:tc>
      </w:tr>
      <w:tr w:rsidR="00DD3EFA" w:rsidRPr="005A0E7C" w14:paraId="65BA9D2C" w14:textId="77777777" w:rsidTr="00A373D4">
        <w:trPr>
          <w:trHeight w:val="1258"/>
        </w:trPr>
        <w:tc>
          <w:tcPr>
            <w:tcW w:w="249" w:type="dxa"/>
            <w:tcBorders>
              <w:top w:val="nil"/>
              <w:bottom w:val="nil"/>
              <w:right w:val="nil"/>
            </w:tcBorders>
            <w:shd w:val="clear" w:color="auto" w:fill="66CCFF"/>
          </w:tcPr>
          <w:p w14:paraId="5EFA1022" w14:textId="77777777" w:rsidR="00DD3EFA" w:rsidRPr="005A0E7C" w:rsidRDefault="00DD3EFA" w:rsidP="00A373D4">
            <w:pPr>
              <w:rPr>
                <w:b/>
              </w:rPr>
            </w:pPr>
          </w:p>
        </w:tc>
        <w:tc>
          <w:tcPr>
            <w:tcW w:w="8526" w:type="dxa"/>
            <w:gridSpan w:val="2"/>
            <w:shd w:val="clear" w:color="auto" w:fill="FFFFFF" w:themeFill="background1"/>
          </w:tcPr>
          <w:p w14:paraId="3A49CD81" w14:textId="77777777" w:rsidR="00DD3EFA" w:rsidRPr="005A0E7C" w:rsidRDefault="00DD3EFA" w:rsidP="00A373D4">
            <w:pPr>
              <w:rPr>
                <w:rFonts w:eastAsiaTheme="majorEastAsia"/>
                <w:b/>
              </w:rPr>
            </w:pPr>
            <w:r w:rsidRPr="005A0E7C">
              <w:rPr>
                <w:rFonts w:eastAsiaTheme="majorEastAsia"/>
                <w:b/>
              </w:rPr>
              <w:t xml:space="preserve">Zhodnocení dosavadního využití podpory tematické oblasti z ESIF (tj. v období 2014 – 2020, příp. 2007 – 2013). </w:t>
            </w:r>
          </w:p>
          <w:p w14:paraId="3C5DAFF2" w14:textId="77777777" w:rsidR="00DD3EFA" w:rsidRPr="005A0E7C" w:rsidRDefault="00DD3EFA" w:rsidP="00A373D4">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7133A7D5" w14:textId="77777777" w:rsidR="00DD3EFA" w:rsidRPr="005A0E7C" w:rsidRDefault="00DD3EFA" w:rsidP="00A373D4">
            <w:pPr>
              <w:rPr>
                <w:b/>
              </w:rPr>
            </w:pPr>
          </w:p>
        </w:tc>
      </w:tr>
      <w:tr w:rsidR="00DD3EFA" w:rsidRPr="005A0E7C" w14:paraId="36AEB404" w14:textId="77777777" w:rsidTr="00A373D4">
        <w:trPr>
          <w:trHeight w:val="1258"/>
        </w:trPr>
        <w:tc>
          <w:tcPr>
            <w:tcW w:w="249" w:type="dxa"/>
            <w:tcBorders>
              <w:top w:val="nil"/>
              <w:bottom w:val="nil"/>
              <w:right w:val="nil"/>
            </w:tcBorders>
            <w:shd w:val="clear" w:color="auto" w:fill="66CCFF"/>
          </w:tcPr>
          <w:p w14:paraId="432C987F" w14:textId="77777777" w:rsidR="00DD3EFA" w:rsidRPr="005A0E7C" w:rsidRDefault="00DD3EFA" w:rsidP="00A373D4">
            <w:pPr>
              <w:rPr>
                <w:b/>
              </w:rPr>
            </w:pPr>
          </w:p>
        </w:tc>
        <w:tc>
          <w:tcPr>
            <w:tcW w:w="2548" w:type="dxa"/>
            <w:shd w:val="clear" w:color="auto" w:fill="FFFFFF" w:themeFill="background1"/>
          </w:tcPr>
          <w:p w14:paraId="20E30F1D" w14:textId="77777777" w:rsidR="00DD3EFA" w:rsidRPr="005A0E7C" w:rsidRDefault="00DD3EFA" w:rsidP="00A373D4">
            <w:pPr>
              <w:rPr>
                <w:rFonts w:eastAsiaTheme="majorEastAsia"/>
                <w:b/>
              </w:rPr>
            </w:pPr>
            <w:r w:rsidRPr="005A0E7C">
              <w:rPr>
                <w:rFonts w:eastAsiaTheme="majorEastAsia"/>
                <w:b/>
              </w:rPr>
              <w:t>Věcný posun oblasti</w:t>
            </w:r>
          </w:p>
          <w:p w14:paraId="41C7903F" w14:textId="77777777" w:rsidR="00DD3EFA" w:rsidRPr="005A0E7C" w:rsidRDefault="00DD3EFA" w:rsidP="00A373D4">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1FF58A05" w14:textId="77777777" w:rsidR="00DD3EFA" w:rsidRPr="005A0E7C" w:rsidRDefault="00DD3EFA" w:rsidP="00A373D4">
            <w:pPr>
              <w:spacing w:before="60" w:after="60"/>
            </w:pPr>
            <w:r w:rsidRPr="005A0E7C">
              <w:t xml:space="preserve">Výstupy z evaluací intervencí podporovaných v operačních programech v gesci MPSV v obdobích 2014-2020, 2007-2013 a 2004-2006 jsou k dispozici na odkaze: </w:t>
            </w:r>
            <w:hyperlink r:id="rId15" w:history="1">
              <w:r w:rsidRPr="005A0E7C">
                <w:rPr>
                  <w:rStyle w:val="Hypertextovodkaz"/>
                </w:rPr>
                <w:t>https://www.esfcr.cz/evaluace</w:t>
              </w:r>
            </w:hyperlink>
            <w:r w:rsidRPr="005A0E7C">
              <w:t>.</w:t>
            </w:r>
          </w:p>
          <w:p w14:paraId="29BCA015" w14:textId="77777777" w:rsidR="00DD3EFA" w:rsidRPr="005A0E7C" w:rsidRDefault="00DD3EFA" w:rsidP="00A373D4">
            <w:pPr>
              <w:spacing w:before="60" w:after="60"/>
              <w:rPr>
                <w:i/>
              </w:rPr>
            </w:pPr>
            <w:r w:rsidRPr="005A0E7C">
              <w:t>Strategická evaluace OPZ I – relevance z 30. března 2017 konstatovala platnost intervenční logiky v oblasti modernizace institucí trhu práce. Všechny v OPZ podporované aktivity jsou pro rozvoj služeb zaměstnanosti důležité a tvoří systém doplňujících se aktivit, pokrývajících řešení širokého spektra problémů. Pro období 2021-2027 bude n</w:t>
            </w:r>
            <w:r w:rsidRPr="005A0E7C">
              <w:rPr>
                <w:rFonts w:eastAsiaTheme="majorEastAsia"/>
              </w:rPr>
              <w:t>ovou výzvou zejména potřeba systematického rozvoje kariérového poradenství a reakce na průmyslovou revoluci Průmysl 4.0, která povede mj. k nutnosti používat pro administraci agend technologické novinky a digitalizovat maximum možných úkonů, což umožní</w:t>
            </w:r>
            <w:r w:rsidRPr="005A0E7C">
              <w:t xml:space="preserve"> zajistit individuální přístup ke klientům při zachování stávajících personálních kapacit</w:t>
            </w:r>
            <w:r w:rsidRPr="005A0E7C">
              <w:rPr>
                <w:rFonts w:eastAsiaTheme="majorEastAsia"/>
              </w:rPr>
              <w:t xml:space="preserve">. </w:t>
            </w:r>
          </w:p>
        </w:tc>
        <w:tc>
          <w:tcPr>
            <w:tcW w:w="249" w:type="dxa"/>
            <w:tcBorders>
              <w:top w:val="nil"/>
              <w:left w:val="nil"/>
              <w:bottom w:val="nil"/>
            </w:tcBorders>
            <w:shd w:val="clear" w:color="auto" w:fill="66CCFF"/>
          </w:tcPr>
          <w:p w14:paraId="44561D4C" w14:textId="77777777" w:rsidR="00DD3EFA" w:rsidRPr="005A0E7C" w:rsidRDefault="00DD3EFA" w:rsidP="00A373D4">
            <w:pPr>
              <w:rPr>
                <w:b/>
              </w:rPr>
            </w:pPr>
          </w:p>
        </w:tc>
      </w:tr>
      <w:tr w:rsidR="00DD3EFA" w:rsidRPr="005A0E7C" w14:paraId="4B1CC8A2" w14:textId="77777777" w:rsidTr="00A373D4">
        <w:trPr>
          <w:trHeight w:val="1258"/>
        </w:trPr>
        <w:tc>
          <w:tcPr>
            <w:tcW w:w="249" w:type="dxa"/>
            <w:tcBorders>
              <w:top w:val="nil"/>
              <w:bottom w:val="nil"/>
              <w:right w:val="nil"/>
            </w:tcBorders>
            <w:shd w:val="clear" w:color="auto" w:fill="66CCFF"/>
          </w:tcPr>
          <w:p w14:paraId="673CDB43" w14:textId="77777777" w:rsidR="00DD3EFA" w:rsidRPr="005A0E7C" w:rsidRDefault="00DD3EFA" w:rsidP="00A373D4">
            <w:pPr>
              <w:rPr>
                <w:b/>
              </w:rPr>
            </w:pPr>
          </w:p>
        </w:tc>
        <w:tc>
          <w:tcPr>
            <w:tcW w:w="2548" w:type="dxa"/>
            <w:shd w:val="clear" w:color="auto" w:fill="FFFFFF" w:themeFill="background1"/>
          </w:tcPr>
          <w:p w14:paraId="24B48311" w14:textId="77777777" w:rsidR="00DD3EFA" w:rsidRPr="005A0E7C" w:rsidRDefault="00DD3EFA" w:rsidP="00A373D4">
            <w:pPr>
              <w:rPr>
                <w:rFonts w:eastAsiaTheme="majorEastAsia"/>
                <w:b/>
              </w:rPr>
            </w:pPr>
            <w:r w:rsidRPr="005A0E7C">
              <w:rPr>
                <w:rFonts w:eastAsiaTheme="majorEastAsia"/>
                <w:b/>
              </w:rPr>
              <w:t>Synergické a multiplikační efekty</w:t>
            </w:r>
          </w:p>
          <w:p w14:paraId="3C14E1F7" w14:textId="77777777" w:rsidR="00DD3EFA" w:rsidRPr="005A0E7C" w:rsidRDefault="00DD3EFA" w:rsidP="00A373D4">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082DA2D1" w14:textId="77777777" w:rsidR="00DD3EFA" w:rsidRPr="005A0E7C" w:rsidRDefault="00DD3EFA" w:rsidP="00A373D4">
            <w:pPr>
              <w:spacing w:before="60" w:after="60"/>
            </w:pPr>
            <w:r w:rsidRPr="005A0E7C">
              <w:t>Není relevantní</w:t>
            </w:r>
          </w:p>
          <w:p w14:paraId="59CBD67C" w14:textId="77777777" w:rsidR="00DD3EFA" w:rsidRPr="005A0E7C" w:rsidRDefault="00DD3EFA" w:rsidP="00A373D4">
            <w:pPr>
              <w:pStyle w:val="slovanodstavec"/>
              <w:tabs>
                <w:tab w:val="clear" w:pos="567"/>
                <w:tab w:val="left" w:pos="284"/>
              </w:tabs>
              <w:suppressAutoHyphens/>
              <w:spacing w:line="240" w:lineRule="auto"/>
              <w:jc w:val="left"/>
              <w:rPr>
                <w:rFonts w:ascii="Times New Roman" w:eastAsiaTheme="minorHAnsi" w:hAnsi="Times New Roman"/>
              </w:rPr>
            </w:pPr>
            <w:r w:rsidRPr="005A0E7C">
              <w:rPr>
                <w:rFonts w:ascii="Times New Roman" w:eastAsiaTheme="minorHAnsi" w:hAnsi="Times New Roman"/>
              </w:rPr>
              <w:t xml:space="preserve">Synergická ani komplementární vazba nebyla v dané oblasti identifikována.  </w:t>
            </w:r>
          </w:p>
          <w:p w14:paraId="7BF0337A" w14:textId="77777777" w:rsidR="00DD3EFA" w:rsidRPr="005A0E7C" w:rsidRDefault="00DD3EFA" w:rsidP="00A373D4">
            <w:pPr>
              <w:spacing w:before="60" w:after="60"/>
              <w:rPr>
                <w:i/>
              </w:rPr>
            </w:pPr>
            <w:r w:rsidRPr="005A0E7C">
              <w:t>Blíže viz Přehled plnění synergických a komplementárních vazeb v MS2014, který je každoročně vyplňován jednotlivými ŘO podle Metodického pokynu pro monitorování implementace ESIF v ČR v programovém období 2014-2020.</w:t>
            </w:r>
          </w:p>
        </w:tc>
        <w:tc>
          <w:tcPr>
            <w:tcW w:w="249" w:type="dxa"/>
            <w:tcBorders>
              <w:top w:val="nil"/>
              <w:left w:val="nil"/>
              <w:bottom w:val="nil"/>
            </w:tcBorders>
            <w:shd w:val="clear" w:color="auto" w:fill="66CCFF"/>
          </w:tcPr>
          <w:p w14:paraId="48F3C6C1" w14:textId="77777777" w:rsidR="00DD3EFA" w:rsidRPr="005A0E7C" w:rsidRDefault="00DD3EFA" w:rsidP="00A373D4">
            <w:pPr>
              <w:rPr>
                <w:b/>
              </w:rPr>
            </w:pPr>
          </w:p>
        </w:tc>
      </w:tr>
      <w:tr w:rsidR="00DD3EFA" w:rsidRPr="005A0E7C" w14:paraId="4D2DE013" w14:textId="77777777" w:rsidTr="00A373D4">
        <w:trPr>
          <w:trHeight w:val="180"/>
        </w:trPr>
        <w:tc>
          <w:tcPr>
            <w:tcW w:w="249" w:type="dxa"/>
            <w:tcBorders>
              <w:top w:val="nil"/>
              <w:bottom w:val="nil"/>
              <w:right w:val="nil"/>
            </w:tcBorders>
            <w:shd w:val="clear" w:color="auto" w:fill="66CCFF"/>
          </w:tcPr>
          <w:p w14:paraId="2A49C59F" w14:textId="77777777" w:rsidR="00DD3EFA" w:rsidRPr="005A0E7C" w:rsidRDefault="00DD3EFA" w:rsidP="00A373D4">
            <w:pPr>
              <w:rPr>
                <w:b/>
              </w:rPr>
            </w:pPr>
          </w:p>
        </w:tc>
        <w:tc>
          <w:tcPr>
            <w:tcW w:w="2548" w:type="dxa"/>
            <w:tcBorders>
              <w:left w:val="nil"/>
              <w:bottom w:val="single" w:sz="4" w:space="0" w:color="auto"/>
              <w:right w:val="nil"/>
            </w:tcBorders>
            <w:shd w:val="clear" w:color="auto" w:fill="66CCFF"/>
          </w:tcPr>
          <w:p w14:paraId="6B2F2546" w14:textId="77777777" w:rsidR="00DD3EFA" w:rsidRPr="005A0E7C" w:rsidRDefault="00DD3EFA" w:rsidP="00A373D4">
            <w:pPr>
              <w:rPr>
                <w:b/>
              </w:rPr>
            </w:pPr>
          </w:p>
        </w:tc>
        <w:tc>
          <w:tcPr>
            <w:tcW w:w="5978" w:type="dxa"/>
            <w:tcBorders>
              <w:left w:val="nil"/>
              <w:bottom w:val="single" w:sz="4" w:space="0" w:color="auto"/>
              <w:right w:val="nil"/>
            </w:tcBorders>
            <w:shd w:val="clear" w:color="auto" w:fill="66CCFF"/>
          </w:tcPr>
          <w:p w14:paraId="0AB5D755" w14:textId="77777777" w:rsidR="00DD3EFA" w:rsidRPr="005A0E7C" w:rsidRDefault="00DD3EFA" w:rsidP="00A373D4">
            <w:pPr>
              <w:rPr>
                <w:b/>
              </w:rPr>
            </w:pPr>
          </w:p>
        </w:tc>
        <w:tc>
          <w:tcPr>
            <w:tcW w:w="249" w:type="dxa"/>
            <w:tcBorders>
              <w:top w:val="nil"/>
              <w:left w:val="nil"/>
              <w:bottom w:val="nil"/>
            </w:tcBorders>
            <w:shd w:val="clear" w:color="auto" w:fill="66CCFF"/>
          </w:tcPr>
          <w:p w14:paraId="7D1296BE" w14:textId="77777777" w:rsidR="00DD3EFA" w:rsidRPr="005A0E7C" w:rsidRDefault="00DD3EFA" w:rsidP="00A373D4">
            <w:pPr>
              <w:rPr>
                <w:b/>
              </w:rPr>
            </w:pPr>
          </w:p>
        </w:tc>
      </w:tr>
      <w:tr w:rsidR="00DD3EFA" w:rsidRPr="005A0E7C" w14:paraId="5C442E21" w14:textId="77777777" w:rsidTr="00A373D4">
        <w:trPr>
          <w:trHeight w:val="990"/>
        </w:trPr>
        <w:tc>
          <w:tcPr>
            <w:tcW w:w="249" w:type="dxa"/>
            <w:tcBorders>
              <w:top w:val="nil"/>
              <w:bottom w:val="nil"/>
            </w:tcBorders>
            <w:shd w:val="clear" w:color="auto" w:fill="66CCFF"/>
          </w:tcPr>
          <w:p w14:paraId="73FA05DA" w14:textId="77777777" w:rsidR="00DD3EFA" w:rsidRPr="005A0E7C" w:rsidRDefault="00DD3EFA" w:rsidP="00A373D4">
            <w:pPr>
              <w:rPr>
                <w:b/>
              </w:rPr>
            </w:pPr>
          </w:p>
        </w:tc>
        <w:tc>
          <w:tcPr>
            <w:tcW w:w="8526" w:type="dxa"/>
            <w:gridSpan w:val="2"/>
            <w:tcBorders>
              <w:bottom w:val="single" w:sz="4" w:space="0" w:color="auto"/>
            </w:tcBorders>
            <w:shd w:val="clear" w:color="auto" w:fill="FFFFFF" w:themeFill="background1"/>
          </w:tcPr>
          <w:p w14:paraId="59BF6AF0" w14:textId="77777777" w:rsidR="00DD3EFA" w:rsidRPr="005A0E7C" w:rsidRDefault="00DD3EFA" w:rsidP="00A373D4">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1F766503" w14:textId="77777777" w:rsidR="00DD3EFA" w:rsidRPr="005A0E7C" w:rsidRDefault="00DD3EFA" w:rsidP="00A373D4">
            <w:pPr>
              <w:spacing w:before="60" w:after="60"/>
              <w:rPr>
                <w:rFonts w:eastAsiaTheme="majorEastAsia"/>
              </w:rPr>
            </w:pPr>
          </w:p>
        </w:tc>
        <w:tc>
          <w:tcPr>
            <w:tcW w:w="249" w:type="dxa"/>
            <w:tcBorders>
              <w:top w:val="nil"/>
              <w:bottom w:val="nil"/>
            </w:tcBorders>
            <w:shd w:val="clear" w:color="auto" w:fill="66CCFF"/>
          </w:tcPr>
          <w:p w14:paraId="1C0DE62E" w14:textId="77777777" w:rsidR="00DD3EFA" w:rsidRPr="005A0E7C" w:rsidRDefault="00DD3EFA" w:rsidP="00A373D4">
            <w:pPr>
              <w:rPr>
                <w:b/>
              </w:rPr>
            </w:pPr>
          </w:p>
        </w:tc>
      </w:tr>
      <w:tr w:rsidR="00DD3EFA" w:rsidRPr="005A0E7C" w14:paraId="6EECC9A7" w14:textId="77777777" w:rsidTr="00A373D4">
        <w:trPr>
          <w:trHeight w:val="1260"/>
        </w:trPr>
        <w:tc>
          <w:tcPr>
            <w:tcW w:w="249" w:type="dxa"/>
            <w:tcBorders>
              <w:top w:val="nil"/>
              <w:bottom w:val="nil"/>
            </w:tcBorders>
            <w:shd w:val="clear" w:color="auto" w:fill="66CCFF"/>
          </w:tcPr>
          <w:p w14:paraId="3EAA8367"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2E7FD0F9" w14:textId="77777777" w:rsidR="00DD3EFA" w:rsidRPr="005A0E7C" w:rsidRDefault="00DD3EFA" w:rsidP="00A373D4">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7880B007" w14:textId="77777777" w:rsidR="00DD3EFA" w:rsidRPr="005A0E7C" w:rsidRDefault="00DD3EFA" w:rsidP="00A373D4">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V oblasti modernizace služeb zaměstnanosti jsou realizovány systémové projekty, zejména pro zlepšení fungování Úřadu práce, ale i dalších institucí. Ty se potýkaly s některými problémy spojenými se začátkem realizace, jako je nedostatek zaměstnanců, či zdlouhavá výběrová řízení. Z tohoto důvodu nejsou výsledky zatím příliš viditelné, dle ukazatelů v již schválených projektech lze však usuzovat na postupné plnění cílů i v této oblasti. Také je žádoucí zhodnotit, jak se podpora ESIF promítla do systému běžné činnosti ÚP, což projektové indikátory nezahrnují.</w:t>
            </w:r>
          </w:p>
          <w:p w14:paraId="7BEDF8FF" w14:textId="77777777" w:rsidR="00DD3EFA" w:rsidRPr="005A0E7C" w:rsidRDefault="00DD3EFA" w:rsidP="00A373D4">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ke konci roku 2018:</w:t>
            </w:r>
          </w:p>
          <w:p w14:paraId="73764399" w14:textId="77777777" w:rsidR="00DD3EFA" w:rsidRPr="005A0E7C" w:rsidRDefault="00DD3EFA" w:rsidP="00A373D4">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2,47 mld. Kč</w:t>
            </w:r>
          </w:p>
          <w:p w14:paraId="1B0C3341" w14:textId="77777777" w:rsidR="00DD3EFA" w:rsidRPr="005A0E7C" w:rsidRDefault="00DD3EFA" w:rsidP="00A373D4">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2,27 mld. Kč (92 %)</w:t>
            </w:r>
          </w:p>
          <w:p w14:paraId="3E170307" w14:textId="77777777" w:rsidR="00DD3EFA" w:rsidRPr="005A0E7C" w:rsidRDefault="00DD3EFA" w:rsidP="00A373D4">
            <w:pPr>
              <w:spacing w:before="60" w:after="60"/>
              <w:rPr>
                <w:rFonts w:eastAsiaTheme="majorEastAsia"/>
                <w:i/>
              </w:rPr>
            </w:pPr>
            <w:r w:rsidRPr="005A0E7C">
              <w:t>Objem vyúčtovaný v ŽoP: 423 mil. Kč (17 %)</w:t>
            </w:r>
          </w:p>
          <w:p w14:paraId="13DC0926" w14:textId="77777777" w:rsidR="00DD3EFA" w:rsidRPr="005A0E7C" w:rsidRDefault="00DD3EFA" w:rsidP="00A373D4">
            <w:pPr>
              <w:spacing w:before="60" w:after="60"/>
              <w:rPr>
                <w:rFonts w:eastAsiaTheme="majorEastAsia"/>
                <w:i/>
              </w:rPr>
            </w:pPr>
          </w:p>
        </w:tc>
        <w:tc>
          <w:tcPr>
            <w:tcW w:w="249" w:type="dxa"/>
            <w:tcBorders>
              <w:top w:val="nil"/>
              <w:bottom w:val="nil"/>
            </w:tcBorders>
            <w:shd w:val="clear" w:color="auto" w:fill="66CCFF"/>
          </w:tcPr>
          <w:p w14:paraId="7B57B5F7" w14:textId="77777777" w:rsidR="00DD3EFA" w:rsidRPr="005A0E7C" w:rsidRDefault="00DD3EFA" w:rsidP="00A373D4">
            <w:pPr>
              <w:rPr>
                <w:b/>
              </w:rPr>
            </w:pPr>
          </w:p>
        </w:tc>
      </w:tr>
      <w:tr w:rsidR="00DD3EFA" w:rsidRPr="005A0E7C" w14:paraId="5A5E000E" w14:textId="77777777" w:rsidTr="00A373D4">
        <w:trPr>
          <w:trHeight w:val="850"/>
        </w:trPr>
        <w:tc>
          <w:tcPr>
            <w:tcW w:w="249" w:type="dxa"/>
            <w:tcBorders>
              <w:top w:val="nil"/>
              <w:bottom w:val="nil"/>
            </w:tcBorders>
            <w:shd w:val="clear" w:color="auto" w:fill="66CCFF"/>
          </w:tcPr>
          <w:p w14:paraId="0D00EE80"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77CA6E73" w14:textId="77777777" w:rsidR="00DD3EFA" w:rsidRPr="005A0E7C" w:rsidRDefault="00DD3EFA" w:rsidP="00A373D4">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2BFC3CB2" w14:textId="77777777" w:rsidR="00DD3EFA" w:rsidRPr="005A0E7C" w:rsidRDefault="00DD3EFA" w:rsidP="00A373D4">
            <w:pPr>
              <w:spacing w:before="60" w:after="60"/>
              <w:rPr>
                <w:rFonts w:eastAsiaTheme="majorEastAsia"/>
              </w:rPr>
            </w:pPr>
            <w:r w:rsidRPr="005A0E7C">
              <w:rPr>
                <w:rFonts w:eastAsiaTheme="majorEastAsia"/>
              </w:rPr>
              <w:t>Z výše uvedených údajů o čerpání je zřejmé, že poptávka příjemců je dostatečná a odpovídá vyčleněné alokaci pro období 2024-2020. Vzhledem k rostoucím požadavkům na individualizaci služeb zaměstnanosti, potřebu systematického rozvoje kariérového poradenství a reakce na průmyslovou revoluci Průmysl 4.0 lze předpokládat, že poptávka příjemců v období 2021-2027 bude spíše vyšší než v současném období.</w:t>
            </w:r>
          </w:p>
        </w:tc>
        <w:tc>
          <w:tcPr>
            <w:tcW w:w="249" w:type="dxa"/>
            <w:tcBorders>
              <w:top w:val="nil"/>
              <w:bottom w:val="nil"/>
            </w:tcBorders>
            <w:shd w:val="clear" w:color="auto" w:fill="66CCFF"/>
          </w:tcPr>
          <w:p w14:paraId="06B14984" w14:textId="77777777" w:rsidR="00DD3EFA" w:rsidRPr="005A0E7C" w:rsidRDefault="00DD3EFA" w:rsidP="00A373D4">
            <w:pPr>
              <w:rPr>
                <w:b/>
              </w:rPr>
            </w:pPr>
          </w:p>
        </w:tc>
      </w:tr>
      <w:tr w:rsidR="00DD3EFA" w:rsidRPr="005A0E7C" w14:paraId="5D77DFD9" w14:textId="77777777" w:rsidTr="00A373D4">
        <w:trPr>
          <w:trHeight w:val="925"/>
        </w:trPr>
        <w:tc>
          <w:tcPr>
            <w:tcW w:w="249" w:type="dxa"/>
            <w:tcBorders>
              <w:top w:val="nil"/>
              <w:bottom w:val="nil"/>
            </w:tcBorders>
            <w:shd w:val="clear" w:color="auto" w:fill="66CCFF"/>
          </w:tcPr>
          <w:p w14:paraId="6334EE47"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00A607CB" w14:textId="77777777" w:rsidR="00DD3EFA" w:rsidRPr="005A0E7C" w:rsidRDefault="00DD3EFA" w:rsidP="00A373D4">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7C859CBB" w14:textId="77777777" w:rsidR="00DD3EFA" w:rsidRPr="005A0E7C" w:rsidRDefault="00DD3EFA" w:rsidP="00A373D4">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tc>
        <w:tc>
          <w:tcPr>
            <w:tcW w:w="249" w:type="dxa"/>
            <w:tcBorders>
              <w:top w:val="nil"/>
              <w:bottom w:val="nil"/>
            </w:tcBorders>
            <w:shd w:val="clear" w:color="auto" w:fill="66CCFF"/>
          </w:tcPr>
          <w:p w14:paraId="2CDAB5A9" w14:textId="77777777" w:rsidR="00DD3EFA" w:rsidRPr="005A0E7C" w:rsidRDefault="00DD3EFA" w:rsidP="00A373D4">
            <w:pPr>
              <w:rPr>
                <w:b/>
              </w:rPr>
            </w:pPr>
          </w:p>
        </w:tc>
      </w:tr>
      <w:tr w:rsidR="00DD3EFA" w:rsidRPr="005A0E7C" w14:paraId="7B171422" w14:textId="77777777" w:rsidTr="00A373D4">
        <w:trPr>
          <w:trHeight w:val="1001"/>
        </w:trPr>
        <w:tc>
          <w:tcPr>
            <w:tcW w:w="249" w:type="dxa"/>
            <w:tcBorders>
              <w:top w:val="nil"/>
              <w:bottom w:val="nil"/>
            </w:tcBorders>
            <w:shd w:val="clear" w:color="auto" w:fill="66CCFF"/>
          </w:tcPr>
          <w:p w14:paraId="5AD35E4C" w14:textId="77777777" w:rsidR="00DD3EFA" w:rsidRPr="005A0E7C" w:rsidRDefault="00DD3EFA" w:rsidP="00A373D4">
            <w:pPr>
              <w:rPr>
                <w:b/>
              </w:rPr>
            </w:pPr>
          </w:p>
        </w:tc>
        <w:tc>
          <w:tcPr>
            <w:tcW w:w="2548" w:type="dxa"/>
            <w:tcBorders>
              <w:bottom w:val="single" w:sz="4" w:space="0" w:color="auto"/>
            </w:tcBorders>
            <w:shd w:val="clear" w:color="auto" w:fill="FFFFFF" w:themeFill="background1"/>
          </w:tcPr>
          <w:p w14:paraId="79D57AF9" w14:textId="77777777" w:rsidR="00DD3EFA" w:rsidRPr="005A0E7C" w:rsidRDefault="00DD3EFA" w:rsidP="00A373D4">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0DDB9BD8" w14:textId="05D72075" w:rsidR="00DD3EFA" w:rsidRPr="005A0E7C" w:rsidRDefault="00DD3EFA" w:rsidP="00A373D4">
            <w:pPr>
              <w:spacing w:before="60" w:after="60"/>
              <w:rPr>
                <w:rFonts w:eastAsiaTheme="majorEastAsia"/>
              </w:rPr>
            </w:pPr>
            <w:r w:rsidRPr="005A0E7C">
              <w:rPr>
                <w:rFonts w:eastAsiaTheme="majorEastAsia"/>
              </w:rPr>
              <w:t>Nepříznivá ekonomická situace – jedná se o externí vliv, který lze ovlivnit je těžko, nicméně systém predikcí by měl umožnit alespoň částečně identifikovat případné problémy a včasně na ně re</w:t>
            </w:r>
            <w:r w:rsidR="00355882" w:rsidRPr="005A0E7C">
              <w:rPr>
                <w:rFonts w:eastAsiaTheme="majorEastAsia"/>
              </w:rPr>
              <w:t>a</w:t>
            </w:r>
            <w:r w:rsidRPr="005A0E7C">
              <w:rPr>
                <w:rFonts w:eastAsiaTheme="majorEastAsia"/>
              </w:rPr>
              <w:t>govat, zároveň podpora adaptace trhu práce na nové podmínky posiluje obecně konkurenceschopnost hospodářství snižující míru rizika.</w:t>
            </w:r>
          </w:p>
          <w:p w14:paraId="3CF66AD6" w14:textId="77777777" w:rsidR="00DD3EFA" w:rsidRPr="005A0E7C" w:rsidRDefault="00DD3EFA" w:rsidP="00A373D4">
            <w:pPr>
              <w:spacing w:before="60" w:after="60"/>
              <w:rPr>
                <w:rFonts w:eastAsiaTheme="majorEastAsia"/>
              </w:rPr>
            </w:pPr>
          </w:p>
          <w:p w14:paraId="546D6484" w14:textId="77777777" w:rsidR="00DD3EFA" w:rsidRPr="005A0E7C" w:rsidRDefault="00DD3EFA" w:rsidP="00A373D4">
            <w:pPr>
              <w:spacing w:before="60" w:after="60"/>
              <w:rPr>
                <w:rFonts w:eastAsiaTheme="majorEastAsia"/>
              </w:rPr>
            </w:pPr>
            <w:r w:rsidRPr="005A0E7C">
              <w:rPr>
                <w:rFonts w:eastAsiaTheme="majorEastAsia"/>
              </w:rPr>
              <w:t>(Neočekávaná) Změna trendů vývoje trhu práce – SR PZ 2030, z nichž vychází tato karta a cíle však vychází z dlouhodobých trendů trhu práce, jež nejsou tolik závislé na ekonomickém cyklu.</w:t>
            </w:r>
          </w:p>
          <w:p w14:paraId="03B5EE74" w14:textId="77777777" w:rsidR="00DD3EFA" w:rsidRPr="005A0E7C" w:rsidRDefault="00DD3EFA" w:rsidP="00A373D4">
            <w:pPr>
              <w:spacing w:before="60" w:after="60"/>
              <w:rPr>
                <w:rFonts w:eastAsiaTheme="majorEastAsia"/>
              </w:rPr>
            </w:pPr>
          </w:p>
          <w:p w14:paraId="75898B17" w14:textId="77777777" w:rsidR="00DD3EFA" w:rsidRPr="005A0E7C" w:rsidRDefault="00DD3EFA" w:rsidP="00A373D4">
            <w:pPr>
              <w:spacing w:before="60" w:after="60"/>
              <w:rPr>
                <w:rFonts w:eastAsiaTheme="majorEastAsia"/>
                <w:i/>
              </w:rPr>
            </w:pPr>
            <w:r w:rsidRPr="005A0E7C">
              <w:rPr>
                <w:rFonts w:eastAsiaTheme="majorEastAsia"/>
              </w:rPr>
              <w:t>Změna politických preferencí</w:t>
            </w:r>
          </w:p>
          <w:p w14:paraId="38A9DEFA" w14:textId="77777777" w:rsidR="00DD3EFA" w:rsidRPr="005A0E7C" w:rsidRDefault="00DD3EFA" w:rsidP="00A373D4">
            <w:pPr>
              <w:spacing w:before="60" w:after="60"/>
              <w:rPr>
                <w:rFonts w:eastAsiaTheme="majorEastAsia"/>
                <w:i/>
              </w:rPr>
            </w:pPr>
          </w:p>
        </w:tc>
        <w:tc>
          <w:tcPr>
            <w:tcW w:w="249" w:type="dxa"/>
            <w:tcBorders>
              <w:top w:val="nil"/>
              <w:bottom w:val="nil"/>
            </w:tcBorders>
            <w:shd w:val="clear" w:color="auto" w:fill="66CCFF"/>
          </w:tcPr>
          <w:p w14:paraId="67DBECC4" w14:textId="77777777" w:rsidR="00DD3EFA" w:rsidRPr="005A0E7C" w:rsidRDefault="00DD3EFA" w:rsidP="00A373D4">
            <w:pPr>
              <w:rPr>
                <w:b/>
              </w:rPr>
            </w:pPr>
          </w:p>
        </w:tc>
      </w:tr>
      <w:tr w:rsidR="00DD3EFA" w:rsidRPr="005A0E7C" w14:paraId="671DAA90" w14:textId="77777777" w:rsidTr="00A373D4">
        <w:trPr>
          <w:trHeight w:val="613"/>
        </w:trPr>
        <w:tc>
          <w:tcPr>
            <w:tcW w:w="249" w:type="dxa"/>
            <w:tcBorders>
              <w:top w:val="nil"/>
              <w:left w:val="single" w:sz="4" w:space="0" w:color="auto"/>
              <w:bottom w:val="single" w:sz="4" w:space="0" w:color="auto"/>
              <w:right w:val="nil"/>
            </w:tcBorders>
            <w:shd w:val="clear" w:color="auto" w:fill="66CCFF"/>
          </w:tcPr>
          <w:p w14:paraId="3F6C6300" w14:textId="77777777" w:rsidR="00DD3EFA" w:rsidRPr="005A0E7C" w:rsidRDefault="00DD3EFA" w:rsidP="00A373D4">
            <w:pPr>
              <w:rPr>
                <w:b/>
              </w:rPr>
            </w:pPr>
          </w:p>
        </w:tc>
        <w:tc>
          <w:tcPr>
            <w:tcW w:w="2548" w:type="dxa"/>
            <w:tcBorders>
              <w:top w:val="single" w:sz="4" w:space="0" w:color="auto"/>
              <w:left w:val="nil"/>
              <w:bottom w:val="single" w:sz="4" w:space="0" w:color="auto"/>
              <w:right w:val="nil"/>
            </w:tcBorders>
            <w:shd w:val="clear" w:color="auto" w:fill="66CCFF"/>
          </w:tcPr>
          <w:p w14:paraId="3C1EBA36" w14:textId="77777777" w:rsidR="00DD3EFA" w:rsidRPr="005A0E7C" w:rsidRDefault="00DD3EFA" w:rsidP="00A373D4">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1DA80D6" w14:textId="77777777" w:rsidR="00DD3EFA" w:rsidRPr="005A0E7C" w:rsidRDefault="00DD3EFA" w:rsidP="00A373D4">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68D55B4" w14:textId="77777777" w:rsidR="00DD3EFA" w:rsidRPr="005A0E7C" w:rsidRDefault="00DD3EFA" w:rsidP="00A373D4">
            <w:pPr>
              <w:rPr>
                <w:b/>
              </w:rPr>
            </w:pPr>
          </w:p>
        </w:tc>
      </w:tr>
      <w:tr w:rsidR="00DD3EFA" w:rsidRPr="005A0E7C" w14:paraId="04F21D05" w14:textId="77777777" w:rsidTr="00A373D4">
        <w:trPr>
          <w:trHeight w:val="1559"/>
        </w:trPr>
        <w:tc>
          <w:tcPr>
            <w:tcW w:w="249" w:type="dxa"/>
            <w:tcBorders>
              <w:top w:val="single" w:sz="4" w:space="0" w:color="auto"/>
              <w:bottom w:val="nil"/>
            </w:tcBorders>
            <w:shd w:val="clear" w:color="auto" w:fill="66CCFF"/>
          </w:tcPr>
          <w:p w14:paraId="782554CA" w14:textId="77777777" w:rsidR="00DD3EFA" w:rsidRPr="005A0E7C" w:rsidRDefault="00DD3EFA" w:rsidP="00A373D4">
            <w:pPr>
              <w:rPr>
                <w:b/>
              </w:rPr>
            </w:pPr>
          </w:p>
        </w:tc>
        <w:tc>
          <w:tcPr>
            <w:tcW w:w="8526" w:type="dxa"/>
            <w:gridSpan w:val="2"/>
            <w:tcBorders>
              <w:top w:val="single" w:sz="4" w:space="0" w:color="auto"/>
            </w:tcBorders>
            <w:shd w:val="clear" w:color="auto" w:fill="FFFFFF" w:themeFill="background1"/>
          </w:tcPr>
          <w:p w14:paraId="4B32BA99" w14:textId="77777777" w:rsidR="00DD3EFA" w:rsidRPr="005A0E7C" w:rsidRDefault="00DD3EFA" w:rsidP="00A373D4">
            <w:pPr>
              <w:spacing w:before="60" w:after="60"/>
              <w:rPr>
                <w:rFonts w:eastAsiaTheme="majorEastAsia"/>
                <w:b/>
              </w:rPr>
            </w:pPr>
            <w:r w:rsidRPr="005A0E7C">
              <w:rPr>
                <w:rFonts w:eastAsiaTheme="majorEastAsia"/>
                <w:b/>
              </w:rPr>
              <w:t>Alternativní zdroje</w:t>
            </w:r>
          </w:p>
          <w:p w14:paraId="742D6B1A" w14:textId="77777777" w:rsidR="00DD3EFA" w:rsidRPr="005A0E7C" w:rsidRDefault="00DD3EFA" w:rsidP="00A373D4">
            <w:pPr>
              <w:spacing w:before="60" w:after="60"/>
              <w:rPr>
                <w:rFonts w:eastAsiaTheme="majorEastAsia"/>
                <w:u w:val="single"/>
              </w:rPr>
            </w:pPr>
          </w:p>
        </w:tc>
        <w:tc>
          <w:tcPr>
            <w:tcW w:w="249" w:type="dxa"/>
            <w:tcBorders>
              <w:top w:val="single" w:sz="4" w:space="0" w:color="auto"/>
              <w:bottom w:val="nil"/>
            </w:tcBorders>
            <w:shd w:val="clear" w:color="auto" w:fill="66CCFF"/>
          </w:tcPr>
          <w:p w14:paraId="0D72B764" w14:textId="77777777" w:rsidR="00DD3EFA" w:rsidRPr="005A0E7C" w:rsidRDefault="00DD3EFA" w:rsidP="00A373D4">
            <w:pPr>
              <w:rPr>
                <w:b/>
              </w:rPr>
            </w:pPr>
          </w:p>
        </w:tc>
      </w:tr>
      <w:tr w:rsidR="00DD3EFA" w:rsidRPr="005A0E7C" w14:paraId="585C79F1" w14:textId="77777777" w:rsidTr="00A373D4">
        <w:trPr>
          <w:trHeight w:val="1968"/>
        </w:trPr>
        <w:tc>
          <w:tcPr>
            <w:tcW w:w="249" w:type="dxa"/>
            <w:tcBorders>
              <w:top w:val="nil"/>
              <w:bottom w:val="nil"/>
            </w:tcBorders>
            <w:shd w:val="clear" w:color="auto" w:fill="66CCFF"/>
          </w:tcPr>
          <w:p w14:paraId="57500A4D" w14:textId="77777777" w:rsidR="00DD3EFA" w:rsidRPr="005A0E7C" w:rsidRDefault="00DD3EFA" w:rsidP="00A373D4">
            <w:pPr>
              <w:rPr>
                <w:b/>
              </w:rPr>
            </w:pPr>
          </w:p>
        </w:tc>
        <w:tc>
          <w:tcPr>
            <w:tcW w:w="2548" w:type="dxa"/>
            <w:tcBorders>
              <w:top w:val="nil"/>
            </w:tcBorders>
            <w:shd w:val="clear" w:color="auto" w:fill="FFFFFF" w:themeFill="background1"/>
          </w:tcPr>
          <w:p w14:paraId="34A822BC" w14:textId="77777777" w:rsidR="00DD3EFA" w:rsidRPr="005A0E7C" w:rsidRDefault="00DD3EFA" w:rsidP="00A373D4">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31495C51" w14:textId="77777777" w:rsidR="00DD3EFA" w:rsidRPr="005A0E7C" w:rsidRDefault="00DD3EFA" w:rsidP="00A373D4">
            <w:pPr>
              <w:autoSpaceDE w:val="0"/>
              <w:autoSpaceDN w:val="0"/>
              <w:adjustRightInd w:val="0"/>
              <w:rPr>
                <w:rFonts w:eastAsiaTheme="majorEastAsia"/>
              </w:rPr>
            </w:pPr>
            <w:r w:rsidRPr="005A0E7C">
              <w:rPr>
                <w:rFonts w:eastAsiaTheme="majorEastAsia"/>
              </w:rPr>
              <w:t>V rámci komunitárního programu EaSI, osy 1 PROGRESS je možné podporovat rovněž aktivity vzájemného učení pro evropské veřejné služby zaměstnanosti (EURES)</w:t>
            </w:r>
          </w:p>
          <w:p w14:paraId="666756FB" w14:textId="77777777" w:rsidR="00DD3EFA" w:rsidRPr="005A0E7C" w:rsidRDefault="00DD3EFA" w:rsidP="00A373D4">
            <w:pPr>
              <w:spacing w:before="60" w:after="60"/>
              <w:rPr>
                <w:rFonts w:eastAsiaTheme="majorEastAsia"/>
                <w:i/>
              </w:rPr>
            </w:pPr>
            <w:r w:rsidRPr="005A0E7C">
              <w:t>Program na podporu zaměstnanosti a sociálních inovací (EaSI) byl pro období 2021-2027 nově začleněn do ESF+.</w:t>
            </w:r>
          </w:p>
        </w:tc>
        <w:tc>
          <w:tcPr>
            <w:tcW w:w="249" w:type="dxa"/>
            <w:tcBorders>
              <w:top w:val="nil"/>
              <w:bottom w:val="nil"/>
            </w:tcBorders>
            <w:shd w:val="clear" w:color="auto" w:fill="66CCFF"/>
          </w:tcPr>
          <w:p w14:paraId="2580C6EF" w14:textId="77777777" w:rsidR="00DD3EFA" w:rsidRPr="005A0E7C" w:rsidRDefault="00DD3EFA" w:rsidP="00A373D4">
            <w:pPr>
              <w:rPr>
                <w:b/>
              </w:rPr>
            </w:pPr>
          </w:p>
        </w:tc>
      </w:tr>
      <w:tr w:rsidR="00DD3EFA" w:rsidRPr="005A0E7C" w14:paraId="67B7E207" w14:textId="77777777" w:rsidTr="00A373D4">
        <w:trPr>
          <w:trHeight w:val="699"/>
        </w:trPr>
        <w:tc>
          <w:tcPr>
            <w:tcW w:w="249" w:type="dxa"/>
            <w:tcBorders>
              <w:top w:val="nil"/>
              <w:bottom w:val="nil"/>
            </w:tcBorders>
            <w:shd w:val="clear" w:color="auto" w:fill="66CCFF"/>
          </w:tcPr>
          <w:p w14:paraId="6EBEF873" w14:textId="77777777" w:rsidR="00DD3EFA" w:rsidRPr="005A0E7C" w:rsidRDefault="00DD3EFA" w:rsidP="00A373D4">
            <w:pPr>
              <w:rPr>
                <w:b/>
              </w:rPr>
            </w:pPr>
          </w:p>
        </w:tc>
        <w:tc>
          <w:tcPr>
            <w:tcW w:w="2548" w:type="dxa"/>
            <w:tcBorders>
              <w:top w:val="nil"/>
            </w:tcBorders>
            <w:shd w:val="clear" w:color="auto" w:fill="FFFFFF" w:themeFill="background1"/>
          </w:tcPr>
          <w:p w14:paraId="2F4E552E" w14:textId="77777777" w:rsidR="00DD3EFA" w:rsidRPr="005A0E7C" w:rsidRDefault="00DD3EFA" w:rsidP="00A373D4">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6B2693DC" w14:textId="77777777" w:rsidR="00DD3EFA" w:rsidRPr="005A0E7C" w:rsidRDefault="00DD3EFA" w:rsidP="00A373D4">
            <w:pPr>
              <w:spacing w:before="60" w:after="60"/>
              <w:rPr>
                <w:rFonts w:eastAsiaTheme="majorEastAsia"/>
              </w:rPr>
            </w:pPr>
            <w:r w:rsidRPr="005A0E7C">
              <w:rPr>
                <w:rFonts w:eastAsiaTheme="majorEastAsia"/>
              </w:rPr>
              <w:t>Politika zaměstnanosti je financována státním rozpočtem, přičemž však prostředky uvolňované zejména na aktivní politiku zaměstnanosti nejsou, přes opakované požadavky MPSV, dostatečné.</w:t>
            </w:r>
          </w:p>
          <w:p w14:paraId="42034A12" w14:textId="77777777" w:rsidR="00DD3EFA" w:rsidRPr="005A0E7C" w:rsidRDefault="00DD3EFA" w:rsidP="00A373D4">
            <w:pPr>
              <w:spacing w:before="60" w:after="60"/>
              <w:rPr>
                <w:rFonts w:eastAsiaTheme="majorEastAsia"/>
              </w:rPr>
            </w:pPr>
          </w:p>
          <w:p w14:paraId="133D64CA" w14:textId="77777777" w:rsidR="00DD3EFA" w:rsidRPr="005A0E7C" w:rsidRDefault="00DD3EFA" w:rsidP="00A373D4">
            <w:pPr>
              <w:spacing w:before="60" w:after="60"/>
              <w:rPr>
                <w:rFonts w:eastAsiaTheme="majorEastAsia"/>
                <w:i/>
              </w:rPr>
            </w:pPr>
            <w:r w:rsidRPr="005A0E7C">
              <w:rPr>
                <w:rFonts w:eastAsiaTheme="majorEastAsia"/>
              </w:rPr>
              <w:t>MPSV, resp. UP ČR, v procesu přípravy státního rozpočtu vyjádřilo potřebu 5,3 mld. Kč na realizaci APZ v roce 2019, nicméně pro rok 2019 činí konečný schválený rozpočet na APZ pouze 2,3 mld. Kč, včetně nespotřebovaných výdajů.</w:t>
            </w:r>
          </w:p>
        </w:tc>
        <w:tc>
          <w:tcPr>
            <w:tcW w:w="249" w:type="dxa"/>
            <w:tcBorders>
              <w:top w:val="nil"/>
              <w:bottom w:val="nil"/>
            </w:tcBorders>
            <w:shd w:val="clear" w:color="auto" w:fill="66CCFF"/>
          </w:tcPr>
          <w:p w14:paraId="35506177" w14:textId="77777777" w:rsidR="00DD3EFA" w:rsidRPr="005A0E7C" w:rsidRDefault="00DD3EFA" w:rsidP="00A373D4">
            <w:pPr>
              <w:rPr>
                <w:b/>
              </w:rPr>
            </w:pPr>
          </w:p>
        </w:tc>
      </w:tr>
      <w:tr w:rsidR="00DD3EFA" w:rsidRPr="005A0E7C" w14:paraId="14B3B435" w14:textId="77777777" w:rsidTr="00A373D4">
        <w:trPr>
          <w:trHeight w:val="988"/>
        </w:trPr>
        <w:tc>
          <w:tcPr>
            <w:tcW w:w="249" w:type="dxa"/>
            <w:tcBorders>
              <w:top w:val="nil"/>
              <w:bottom w:val="nil"/>
            </w:tcBorders>
            <w:shd w:val="clear" w:color="auto" w:fill="66CCFF"/>
          </w:tcPr>
          <w:p w14:paraId="1467118B" w14:textId="77777777" w:rsidR="00DD3EFA" w:rsidRPr="005A0E7C" w:rsidRDefault="00DD3EFA" w:rsidP="00A373D4">
            <w:pPr>
              <w:rPr>
                <w:b/>
              </w:rPr>
            </w:pPr>
          </w:p>
        </w:tc>
        <w:tc>
          <w:tcPr>
            <w:tcW w:w="2548" w:type="dxa"/>
            <w:tcBorders>
              <w:top w:val="nil"/>
            </w:tcBorders>
            <w:shd w:val="clear" w:color="auto" w:fill="FFFFFF" w:themeFill="background1"/>
          </w:tcPr>
          <w:p w14:paraId="5118C3A8" w14:textId="77777777" w:rsidR="00DD3EFA" w:rsidRPr="005A0E7C" w:rsidRDefault="00DD3EFA" w:rsidP="00A373D4">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3E16ECC8" w14:textId="77777777" w:rsidR="00DD3EFA" w:rsidRPr="005A0E7C" w:rsidRDefault="00DD3EFA" w:rsidP="00A373D4">
            <w:pPr>
              <w:spacing w:before="60" w:after="60"/>
              <w:rPr>
                <w:rFonts w:eastAsiaTheme="majorEastAsia"/>
                <w:i/>
              </w:rPr>
            </w:pPr>
            <w:r w:rsidRPr="005A0E7C">
              <w:rPr>
                <w:rFonts w:eastAsiaTheme="majorEastAsia"/>
              </w:rPr>
              <w:t>Na modernizaci institucí trhu práce nejsou zdroje mimo veřejné rozpočty k dispozici.</w:t>
            </w:r>
          </w:p>
        </w:tc>
        <w:tc>
          <w:tcPr>
            <w:tcW w:w="249" w:type="dxa"/>
            <w:tcBorders>
              <w:top w:val="nil"/>
              <w:bottom w:val="nil"/>
            </w:tcBorders>
            <w:shd w:val="clear" w:color="auto" w:fill="66CCFF"/>
          </w:tcPr>
          <w:p w14:paraId="10868BF3" w14:textId="77777777" w:rsidR="00DD3EFA" w:rsidRPr="005A0E7C" w:rsidRDefault="00DD3EFA" w:rsidP="00A373D4">
            <w:pPr>
              <w:rPr>
                <w:b/>
              </w:rPr>
            </w:pPr>
          </w:p>
        </w:tc>
      </w:tr>
      <w:tr w:rsidR="00DD3EFA" w:rsidRPr="005A0E7C" w14:paraId="7FF79D65" w14:textId="77777777" w:rsidTr="00A373D4">
        <w:trPr>
          <w:trHeight w:val="1128"/>
        </w:trPr>
        <w:tc>
          <w:tcPr>
            <w:tcW w:w="249" w:type="dxa"/>
            <w:tcBorders>
              <w:top w:val="nil"/>
              <w:bottom w:val="nil"/>
            </w:tcBorders>
            <w:shd w:val="clear" w:color="auto" w:fill="66CCFF"/>
          </w:tcPr>
          <w:p w14:paraId="4D15214E" w14:textId="77777777" w:rsidR="00DD3EFA" w:rsidRPr="005A0E7C" w:rsidRDefault="00DD3EFA" w:rsidP="00A373D4">
            <w:pPr>
              <w:rPr>
                <w:b/>
              </w:rPr>
            </w:pPr>
          </w:p>
        </w:tc>
        <w:tc>
          <w:tcPr>
            <w:tcW w:w="2548" w:type="dxa"/>
            <w:tcBorders>
              <w:top w:val="nil"/>
            </w:tcBorders>
            <w:shd w:val="clear" w:color="auto" w:fill="FFFFFF" w:themeFill="background1"/>
          </w:tcPr>
          <w:p w14:paraId="3EAB9530" w14:textId="77777777" w:rsidR="00DD3EFA" w:rsidRPr="005A0E7C" w:rsidRDefault="00DD3EFA" w:rsidP="00A373D4">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578722D6" w14:textId="77777777" w:rsidR="00DD3EFA" w:rsidRPr="005A0E7C" w:rsidRDefault="00DD3EFA" w:rsidP="00A373D4">
            <w:pPr>
              <w:spacing w:before="60" w:after="60"/>
              <w:rPr>
                <w:rFonts w:eastAsiaTheme="majorEastAsia"/>
                <w:i/>
              </w:rPr>
            </w:pPr>
            <w:r w:rsidRPr="005A0E7C">
              <w:rPr>
                <w:rFonts w:eastAsiaTheme="majorEastAsia"/>
                <w:i/>
              </w:rPr>
              <w:t>Využití finančních nástrojů v dané oblasti není možné, protože podpořené projekty negenerují podstatnější příjmy, které by mohly být využity ke vrácení poskytnuté podpory.</w:t>
            </w:r>
          </w:p>
        </w:tc>
        <w:tc>
          <w:tcPr>
            <w:tcW w:w="249" w:type="dxa"/>
            <w:tcBorders>
              <w:top w:val="nil"/>
              <w:bottom w:val="nil"/>
            </w:tcBorders>
            <w:shd w:val="clear" w:color="auto" w:fill="66CCFF"/>
          </w:tcPr>
          <w:p w14:paraId="765041C2" w14:textId="77777777" w:rsidR="00DD3EFA" w:rsidRPr="005A0E7C" w:rsidRDefault="00DD3EFA" w:rsidP="00A373D4">
            <w:pPr>
              <w:rPr>
                <w:b/>
              </w:rPr>
            </w:pPr>
          </w:p>
        </w:tc>
      </w:tr>
      <w:tr w:rsidR="00DD3EFA" w:rsidRPr="005A0E7C" w14:paraId="5966C37D" w14:textId="77777777" w:rsidTr="00A373D4">
        <w:trPr>
          <w:trHeight w:val="150"/>
        </w:trPr>
        <w:tc>
          <w:tcPr>
            <w:tcW w:w="249" w:type="dxa"/>
            <w:tcBorders>
              <w:top w:val="nil"/>
              <w:right w:val="nil"/>
            </w:tcBorders>
            <w:shd w:val="clear" w:color="auto" w:fill="66CCFF"/>
          </w:tcPr>
          <w:p w14:paraId="595E1783" w14:textId="77777777" w:rsidR="00DD3EFA" w:rsidRPr="005A0E7C" w:rsidRDefault="00DD3EFA" w:rsidP="00A373D4">
            <w:pPr>
              <w:rPr>
                <w:b/>
              </w:rPr>
            </w:pPr>
          </w:p>
        </w:tc>
        <w:tc>
          <w:tcPr>
            <w:tcW w:w="2548" w:type="dxa"/>
            <w:tcBorders>
              <w:left w:val="nil"/>
              <w:right w:val="nil"/>
            </w:tcBorders>
            <w:shd w:val="clear" w:color="auto" w:fill="66CCFF"/>
          </w:tcPr>
          <w:p w14:paraId="09B8E51E" w14:textId="77777777" w:rsidR="00DD3EFA" w:rsidRPr="005A0E7C" w:rsidRDefault="00DD3EFA" w:rsidP="00A373D4">
            <w:pPr>
              <w:rPr>
                <w:b/>
              </w:rPr>
            </w:pPr>
          </w:p>
        </w:tc>
        <w:tc>
          <w:tcPr>
            <w:tcW w:w="5978" w:type="dxa"/>
            <w:tcBorders>
              <w:left w:val="nil"/>
              <w:right w:val="nil"/>
            </w:tcBorders>
            <w:shd w:val="clear" w:color="auto" w:fill="66CCFF"/>
          </w:tcPr>
          <w:p w14:paraId="153A724A" w14:textId="77777777" w:rsidR="00DD3EFA" w:rsidRPr="005A0E7C" w:rsidRDefault="00DD3EFA" w:rsidP="00A373D4">
            <w:pPr>
              <w:rPr>
                <w:b/>
              </w:rPr>
            </w:pPr>
          </w:p>
        </w:tc>
        <w:tc>
          <w:tcPr>
            <w:tcW w:w="249" w:type="dxa"/>
            <w:tcBorders>
              <w:top w:val="nil"/>
              <w:left w:val="nil"/>
            </w:tcBorders>
            <w:shd w:val="clear" w:color="auto" w:fill="66CCFF"/>
          </w:tcPr>
          <w:p w14:paraId="7E3F31CF" w14:textId="77777777" w:rsidR="00DD3EFA" w:rsidRPr="005A0E7C" w:rsidRDefault="00DD3EFA" w:rsidP="00A373D4">
            <w:pPr>
              <w:rPr>
                <w:b/>
              </w:rPr>
            </w:pPr>
          </w:p>
        </w:tc>
      </w:tr>
    </w:tbl>
    <w:p w14:paraId="36027A81" w14:textId="2EB9765D" w:rsidR="00DD3EFA" w:rsidRPr="005A0E7C" w:rsidRDefault="00A373D4" w:rsidP="00B15ECB">
      <w:pPr>
        <w:rPr>
          <w:rFonts w:ascii="Times New Roman" w:hAnsi="Times New Roman" w:cs="Times New Roman"/>
          <w:sz w:val="20"/>
          <w:szCs w:val="20"/>
        </w:rPr>
      </w:pPr>
      <w:r w:rsidRPr="005A0E7C">
        <w:rPr>
          <w:rFonts w:ascii="Times New Roman" w:hAnsi="Times New Roman" w:cs="Times New Roman"/>
          <w:b/>
          <w:sz w:val="20"/>
          <w:szCs w:val="20"/>
        </w:rPr>
        <w:br w:type="textWrapping" w:clear="all"/>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3A0AD07" w14:textId="77777777" w:rsidTr="00B15ECB">
        <w:trPr>
          <w:trHeight w:val="180"/>
        </w:trPr>
        <w:tc>
          <w:tcPr>
            <w:tcW w:w="249" w:type="dxa"/>
            <w:tcBorders>
              <w:bottom w:val="nil"/>
              <w:right w:val="nil"/>
            </w:tcBorders>
            <w:shd w:val="clear" w:color="auto" w:fill="66CCFF"/>
          </w:tcPr>
          <w:p w14:paraId="18227744" w14:textId="77777777" w:rsidR="00DD3EFA" w:rsidRPr="005A0E7C" w:rsidRDefault="00DD3EFA" w:rsidP="00B15ECB">
            <w:pPr>
              <w:rPr>
                <w:b/>
              </w:rPr>
            </w:pPr>
          </w:p>
        </w:tc>
        <w:tc>
          <w:tcPr>
            <w:tcW w:w="2548" w:type="dxa"/>
            <w:tcBorders>
              <w:left w:val="nil"/>
              <w:right w:val="nil"/>
            </w:tcBorders>
            <w:shd w:val="clear" w:color="auto" w:fill="66CCFF"/>
          </w:tcPr>
          <w:p w14:paraId="7D461B5B" w14:textId="77777777" w:rsidR="00DD3EFA" w:rsidRPr="005A0E7C" w:rsidRDefault="00DD3EFA" w:rsidP="00B15ECB">
            <w:pPr>
              <w:rPr>
                <w:b/>
              </w:rPr>
            </w:pPr>
          </w:p>
        </w:tc>
        <w:tc>
          <w:tcPr>
            <w:tcW w:w="5978" w:type="dxa"/>
            <w:tcBorders>
              <w:left w:val="nil"/>
              <w:right w:val="nil"/>
            </w:tcBorders>
            <w:shd w:val="clear" w:color="auto" w:fill="66CCFF"/>
          </w:tcPr>
          <w:p w14:paraId="05945FFB" w14:textId="77777777" w:rsidR="00DD3EFA" w:rsidRPr="005A0E7C" w:rsidRDefault="00DD3EFA" w:rsidP="00B15ECB">
            <w:pPr>
              <w:rPr>
                <w:b/>
              </w:rPr>
            </w:pPr>
          </w:p>
        </w:tc>
        <w:tc>
          <w:tcPr>
            <w:tcW w:w="249" w:type="dxa"/>
            <w:tcBorders>
              <w:left w:val="nil"/>
              <w:bottom w:val="nil"/>
            </w:tcBorders>
            <w:shd w:val="clear" w:color="auto" w:fill="66CCFF"/>
          </w:tcPr>
          <w:p w14:paraId="2832E5A5" w14:textId="77777777" w:rsidR="00DD3EFA" w:rsidRPr="005A0E7C" w:rsidRDefault="00DD3EFA" w:rsidP="00B15ECB">
            <w:pPr>
              <w:rPr>
                <w:b/>
              </w:rPr>
            </w:pPr>
          </w:p>
        </w:tc>
      </w:tr>
      <w:tr w:rsidR="00DD3EFA" w:rsidRPr="005A0E7C" w14:paraId="12AEB84C" w14:textId="77777777" w:rsidTr="00B15ECB">
        <w:trPr>
          <w:trHeight w:val="561"/>
        </w:trPr>
        <w:tc>
          <w:tcPr>
            <w:tcW w:w="249" w:type="dxa"/>
            <w:tcBorders>
              <w:top w:val="nil"/>
              <w:bottom w:val="nil"/>
            </w:tcBorders>
            <w:shd w:val="clear" w:color="auto" w:fill="66CCFF"/>
          </w:tcPr>
          <w:p w14:paraId="061AC754" w14:textId="77777777" w:rsidR="00DD3EFA" w:rsidRPr="005A0E7C" w:rsidRDefault="00DD3EFA" w:rsidP="00B15ECB">
            <w:pPr>
              <w:rPr>
                <w:b/>
              </w:rPr>
            </w:pPr>
          </w:p>
        </w:tc>
        <w:tc>
          <w:tcPr>
            <w:tcW w:w="2548" w:type="dxa"/>
            <w:shd w:val="clear" w:color="auto" w:fill="0070C0"/>
          </w:tcPr>
          <w:p w14:paraId="4C5D9690" w14:textId="77777777" w:rsidR="00DD3EFA" w:rsidRPr="005A0E7C" w:rsidRDefault="00DD3EFA" w:rsidP="00B15ECB">
            <w:pPr>
              <w:spacing w:before="60" w:after="60"/>
              <w:rPr>
                <w:rFonts w:eastAsiaTheme="majorEastAsia"/>
                <w:b/>
              </w:rPr>
            </w:pPr>
            <w:r w:rsidRPr="005A0E7C">
              <w:rPr>
                <w:rFonts w:eastAsiaTheme="majorEastAsia"/>
                <w:b/>
              </w:rPr>
              <w:t>Strategický cíl NKR:</w:t>
            </w:r>
          </w:p>
          <w:p w14:paraId="3D66033B" w14:textId="77777777" w:rsidR="00DD3EFA" w:rsidRPr="005A0E7C" w:rsidRDefault="00DD3EFA" w:rsidP="00B15ECB">
            <w:pPr>
              <w:spacing w:before="60" w:after="60"/>
              <w:rPr>
                <w:rFonts w:eastAsiaTheme="majorEastAsia"/>
                <w:b/>
              </w:rPr>
            </w:pPr>
            <w:r w:rsidRPr="005A0E7C">
              <w:rPr>
                <w:rFonts w:eastAsiaTheme="majorEastAsia"/>
                <w:b/>
              </w:rPr>
              <w:t>Konkurenceschopná a soudržná společnost</w:t>
            </w:r>
          </w:p>
        </w:tc>
        <w:tc>
          <w:tcPr>
            <w:tcW w:w="5978" w:type="dxa"/>
            <w:shd w:val="clear" w:color="auto" w:fill="0070C0"/>
          </w:tcPr>
          <w:p w14:paraId="0D96BE03" w14:textId="77777777" w:rsidR="00DD3EFA" w:rsidRPr="005A0E7C" w:rsidRDefault="00DD3EFA" w:rsidP="00B15ECB">
            <w:pPr>
              <w:spacing w:before="60" w:after="60"/>
              <w:rPr>
                <w:rFonts w:eastAsiaTheme="majorEastAsia"/>
                <w:b/>
                <w:u w:val="single"/>
              </w:rPr>
            </w:pPr>
            <w:r w:rsidRPr="005A0E7C">
              <w:rPr>
                <w:rFonts w:eastAsiaTheme="majorEastAsia"/>
                <w:b/>
                <w:u w:val="single"/>
              </w:rPr>
              <w:t>Specifický cíl NKR</w:t>
            </w:r>
            <w:r w:rsidRPr="005A0E7C">
              <w:rPr>
                <w:rStyle w:val="Znakapoznpodarou"/>
                <w:rFonts w:eastAsiaTheme="majorEastAsia"/>
                <w:u w:val="single"/>
              </w:rPr>
              <w:footnoteReference w:id="4"/>
            </w:r>
            <w:r w:rsidRPr="005A0E7C">
              <w:rPr>
                <w:rFonts w:eastAsiaTheme="majorEastAsia"/>
                <w:b/>
                <w:u w:val="single"/>
              </w:rPr>
              <w:t>:</w:t>
            </w:r>
          </w:p>
          <w:p w14:paraId="199ECED1" w14:textId="77777777" w:rsidR="00DD3EFA" w:rsidRPr="005A0E7C" w:rsidRDefault="00DD3EFA" w:rsidP="00B15ECB">
            <w:pPr>
              <w:spacing w:before="60" w:after="60"/>
              <w:rPr>
                <w:rFonts w:eastAsiaTheme="majorEastAsia"/>
                <w:b/>
              </w:rPr>
            </w:pPr>
            <w:r w:rsidRPr="005A0E7C">
              <w:rPr>
                <w:rFonts w:eastAsiaTheme="majorEastAsia"/>
                <w:b/>
              </w:rPr>
              <w:t>Podpora rovných příležitostí a slaďování pracovního a osobního života</w:t>
            </w:r>
          </w:p>
        </w:tc>
        <w:tc>
          <w:tcPr>
            <w:tcW w:w="249" w:type="dxa"/>
            <w:tcBorders>
              <w:top w:val="nil"/>
              <w:bottom w:val="nil"/>
            </w:tcBorders>
            <w:shd w:val="clear" w:color="auto" w:fill="66CCFF"/>
          </w:tcPr>
          <w:p w14:paraId="7C70E92F" w14:textId="77777777" w:rsidR="00DD3EFA" w:rsidRPr="005A0E7C" w:rsidRDefault="00DD3EFA" w:rsidP="00B15ECB">
            <w:pPr>
              <w:rPr>
                <w:b/>
              </w:rPr>
            </w:pPr>
          </w:p>
        </w:tc>
      </w:tr>
      <w:tr w:rsidR="00DD3EFA" w:rsidRPr="005A0E7C" w14:paraId="19CDD056" w14:textId="77777777" w:rsidTr="00B15ECB">
        <w:trPr>
          <w:trHeight w:val="180"/>
        </w:trPr>
        <w:tc>
          <w:tcPr>
            <w:tcW w:w="249" w:type="dxa"/>
            <w:tcBorders>
              <w:top w:val="nil"/>
              <w:bottom w:val="nil"/>
              <w:right w:val="nil"/>
            </w:tcBorders>
            <w:shd w:val="clear" w:color="auto" w:fill="66CCFF"/>
          </w:tcPr>
          <w:p w14:paraId="53E0F7C7" w14:textId="77777777" w:rsidR="00DD3EFA" w:rsidRPr="005A0E7C" w:rsidRDefault="00DD3EFA" w:rsidP="00B15ECB">
            <w:pPr>
              <w:rPr>
                <w:b/>
              </w:rPr>
            </w:pPr>
          </w:p>
        </w:tc>
        <w:tc>
          <w:tcPr>
            <w:tcW w:w="2548" w:type="dxa"/>
            <w:tcBorders>
              <w:left w:val="nil"/>
              <w:right w:val="nil"/>
            </w:tcBorders>
            <w:shd w:val="clear" w:color="auto" w:fill="66CCFF"/>
          </w:tcPr>
          <w:p w14:paraId="788E61A9" w14:textId="77777777" w:rsidR="00DD3EFA" w:rsidRPr="005A0E7C" w:rsidRDefault="00DD3EFA" w:rsidP="00B15ECB">
            <w:pPr>
              <w:rPr>
                <w:b/>
              </w:rPr>
            </w:pPr>
          </w:p>
        </w:tc>
        <w:tc>
          <w:tcPr>
            <w:tcW w:w="5978" w:type="dxa"/>
            <w:tcBorders>
              <w:left w:val="nil"/>
              <w:right w:val="nil"/>
            </w:tcBorders>
            <w:shd w:val="clear" w:color="auto" w:fill="66CCFF"/>
          </w:tcPr>
          <w:p w14:paraId="09457E78" w14:textId="77777777" w:rsidR="00DD3EFA" w:rsidRPr="005A0E7C" w:rsidRDefault="00DD3EFA" w:rsidP="00B15ECB">
            <w:pPr>
              <w:rPr>
                <w:b/>
              </w:rPr>
            </w:pPr>
          </w:p>
        </w:tc>
        <w:tc>
          <w:tcPr>
            <w:tcW w:w="249" w:type="dxa"/>
            <w:tcBorders>
              <w:top w:val="nil"/>
              <w:left w:val="nil"/>
              <w:bottom w:val="nil"/>
            </w:tcBorders>
            <w:shd w:val="clear" w:color="auto" w:fill="66CCFF"/>
          </w:tcPr>
          <w:p w14:paraId="4A116EA0" w14:textId="77777777" w:rsidR="00DD3EFA" w:rsidRPr="005A0E7C" w:rsidRDefault="00DD3EFA" w:rsidP="00B15ECB">
            <w:pPr>
              <w:rPr>
                <w:b/>
              </w:rPr>
            </w:pPr>
          </w:p>
        </w:tc>
      </w:tr>
      <w:tr w:rsidR="00DD3EFA" w:rsidRPr="005A0E7C" w14:paraId="50E63484" w14:textId="77777777" w:rsidTr="00B15ECB">
        <w:trPr>
          <w:trHeight w:val="892"/>
        </w:trPr>
        <w:tc>
          <w:tcPr>
            <w:tcW w:w="249" w:type="dxa"/>
            <w:tcBorders>
              <w:top w:val="nil"/>
              <w:bottom w:val="nil"/>
            </w:tcBorders>
            <w:shd w:val="clear" w:color="auto" w:fill="66CCFF"/>
          </w:tcPr>
          <w:p w14:paraId="07BE2F6A" w14:textId="77777777" w:rsidR="00DD3EFA" w:rsidRPr="005A0E7C" w:rsidRDefault="00DD3EFA" w:rsidP="00B15ECB">
            <w:pPr>
              <w:rPr>
                <w:b/>
              </w:rPr>
            </w:pPr>
          </w:p>
        </w:tc>
        <w:tc>
          <w:tcPr>
            <w:tcW w:w="2548" w:type="dxa"/>
            <w:shd w:val="clear" w:color="auto" w:fill="FFFFFF" w:themeFill="background1"/>
          </w:tcPr>
          <w:p w14:paraId="262DA384"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3FE6C6A9"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eastAsiaTheme="majorEastAsia" w:hAnsi="Times New Roman"/>
              </w:rPr>
              <w:t xml:space="preserve">Zásadním tématem je také rovnost žen a mužů na trhu práce a soulad soukromého a pracovního života, kde se podpora zaměří na zvyšování kapacit zařízení péče o děti a pomoc s péčí o závislé osoby, dodržování genderové rovnosti mužů a žen a odbourávání genderové nerovnosti v odměňování. Dalším opatřením ke slaďování profesního a rodinného života je realizovat opatření na zvýšení míry využívání flexibilních forem práce. </w:t>
            </w:r>
          </w:p>
          <w:p w14:paraId="136014B8"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hAnsi="Times New Roman"/>
              </w:rPr>
              <w:t>Intervence v této podoblasti se zaměří na:</w:t>
            </w:r>
          </w:p>
          <w:p w14:paraId="680789B8" w14:textId="77777777" w:rsidR="00DD3EFA" w:rsidRPr="005A0E7C" w:rsidRDefault="00DD3EFA" w:rsidP="00391907">
            <w:pPr>
              <w:pStyle w:val="slovanodstavec"/>
              <w:numPr>
                <w:ilvl w:val="0"/>
                <w:numId w:val="8"/>
              </w:numPr>
              <w:tabs>
                <w:tab w:val="left" w:pos="284"/>
              </w:tabs>
              <w:suppressAutoHyphens/>
              <w:spacing w:line="240" w:lineRule="auto"/>
              <w:rPr>
                <w:rFonts w:ascii="Times New Roman" w:hAnsi="Times New Roman"/>
              </w:rPr>
            </w:pPr>
            <w:r w:rsidRPr="005A0E7C">
              <w:rPr>
                <w:rFonts w:ascii="Times New Roman" w:hAnsi="Times New Roman"/>
              </w:rPr>
              <w:t>podporu zkrácených pracovních úvazků, flexibilní formy práce</w:t>
            </w:r>
          </w:p>
          <w:p w14:paraId="043B3E80" w14:textId="77777777" w:rsidR="00DD3EFA" w:rsidRPr="005A0E7C" w:rsidRDefault="00DD3EFA" w:rsidP="00391907">
            <w:pPr>
              <w:pStyle w:val="slovanodstavec"/>
              <w:numPr>
                <w:ilvl w:val="0"/>
                <w:numId w:val="8"/>
              </w:numPr>
              <w:tabs>
                <w:tab w:val="left" w:pos="284"/>
              </w:tabs>
              <w:suppressAutoHyphens/>
              <w:spacing w:line="240" w:lineRule="auto"/>
              <w:rPr>
                <w:rFonts w:ascii="Times New Roman" w:hAnsi="Times New Roman"/>
              </w:rPr>
            </w:pPr>
            <w:r w:rsidRPr="005A0E7C">
              <w:rPr>
                <w:rFonts w:ascii="Times New Roman" w:hAnsi="Times New Roman"/>
              </w:rPr>
              <w:t>podporu osobám pečujícím o děti (podpora předškolního vzdělávání, dětských skupin, aj.) či jiné závislé osoby (rodiče ve stáří, zdravotně postižené) při vstupu na trh práce a udržení kontaktu s ním</w:t>
            </w:r>
          </w:p>
          <w:p w14:paraId="6FD96221" w14:textId="77777777" w:rsidR="00DD3EFA" w:rsidRPr="005A0E7C" w:rsidRDefault="00DD3EFA" w:rsidP="00391907">
            <w:pPr>
              <w:pStyle w:val="slovanodstavec"/>
              <w:numPr>
                <w:ilvl w:val="0"/>
                <w:numId w:val="8"/>
              </w:numPr>
              <w:tabs>
                <w:tab w:val="clear" w:pos="567"/>
                <w:tab w:val="left" w:pos="284"/>
              </w:tabs>
              <w:suppressAutoHyphens/>
              <w:spacing w:line="240" w:lineRule="auto"/>
              <w:rPr>
                <w:rFonts w:ascii="Times New Roman" w:hAnsi="Times New Roman"/>
              </w:rPr>
            </w:pPr>
            <w:r w:rsidRPr="005A0E7C">
              <w:rPr>
                <w:rFonts w:ascii="Times New Roman" w:hAnsi="Times New Roman"/>
              </w:rPr>
              <w:t>problematiku nerovného odměňování mužů a žen</w:t>
            </w:r>
          </w:p>
          <w:p w14:paraId="01967D95" w14:textId="77777777" w:rsidR="00DD3EFA" w:rsidRPr="005A0E7C" w:rsidRDefault="00DD3EFA" w:rsidP="00B15ECB">
            <w:pPr>
              <w:spacing w:before="60" w:after="60"/>
              <w:rPr>
                <w:rFonts w:eastAsiaTheme="majorEastAsia"/>
                <w:i/>
                <w:u w:val="single"/>
              </w:rPr>
            </w:pPr>
          </w:p>
          <w:p w14:paraId="055C7EB2" w14:textId="77777777" w:rsidR="00DD3EFA" w:rsidRPr="005A0E7C" w:rsidRDefault="00DD3EFA" w:rsidP="00B15ECB">
            <w:pPr>
              <w:spacing w:before="60" w:after="60"/>
              <w:rPr>
                <w:u w:val="single"/>
              </w:rPr>
            </w:pPr>
          </w:p>
        </w:tc>
        <w:tc>
          <w:tcPr>
            <w:tcW w:w="249" w:type="dxa"/>
            <w:tcBorders>
              <w:top w:val="nil"/>
              <w:bottom w:val="nil"/>
            </w:tcBorders>
            <w:shd w:val="clear" w:color="auto" w:fill="66CCFF"/>
          </w:tcPr>
          <w:p w14:paraId="487523AB" w14:textId="77777777" w:rsidR="00DD3EFA" w:rsidRPr="005A0E7C" w:rsidRDefault="00DD3EFA" w:rsidP="00B15ECB">
            <w:pPr>
              <w:rPr>
                <w:b/>
              </w:rPr>
            </w:pPr>
          </w:p>
        </w:tc>
      </w:tr>
      <w:tr w:rsidR="00DD3EFA" w:rsidRPr="005A0E7C" w14:paraId="182539ED" w14:textId="77777777" w:rsidTr="00B15ECB">
        <w:trPr>
          <w:trHeight w:val="46"/>
        </w:trPr>
        <w:tc>
          <w:tcPr>
            <w:tcW w:w="249" w:type="dxa"/>
            <w:tcBorders>
              <w:top w:val="nil"/>
              <w:bottom w:val="nil"/>
              <w:right w:val="nil"/>
            </w:tcBorders>
            <w:shd w:val="clear" w:color="auto" w:fill="66CCFF"/>
          </w:tcPr>
          <w:p w14:paraId="2A797AEE"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116DC12C"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3A987E1D" w14:textId="77777777" w:rsidR="00DD3EFA" w:rsidRPr="005A0E7C" w:rsidRDefault="00DD3EFA" w:rsidP="00B15ECB">
            <w:pPr>
              <w:rPr>
                <w:b/>
              </w:rPr>
            </w:pPr>
          </w:p>
        </w:tc>
        <w:tc>
          <w:tcPr>
            <w:tcW w:w="249" w:type="dxa"/>
            <w:tcBorders>
              <w:top w:val="nil"/>
              <w:left w:val="nil"/>
              <w:bottom w:val="nil"/>
            </w:tcBorders>
            <w:shd w:val="clear" w:color="auto" w:fill="66CCFF"/>
          </w:tcPr>
          <w:p w14:paraId="072B032B" w14:textId="77777777" w:rsidR="00DD3EFA" w:rsidRPr="005A0E7C" w:rsidRDefault="00DD3EFA" w:rsidP="00B15ECB">
            <w:pPr>
              <w:rPr>
                <w:b/>
              </w:rPr>
            </w:pPr>
          </w:p>
        </w:tc>
      </w:tr>
      <w:tr w:rsidR="00DD3EFA" w:rsidRPr="005A0E7C" w14:paraId="1F9C09E7" w14:textId="77777777" w:rsidTr="00B15ECB">
        <w:trPr>
          <w:trHeight w:val="1274"/>
        </w:trPr>
        <w:tc>
          <w:tcPr>
            <w:tcW w:w="249" w:type="dxa"/>
            <w:tcBorders>
              <w:top w:val="nil"/>
              <w:bottom w:val="nil"/>
            </w:tcBorders>
            <w:shd w:val="clear" w:color="auto" w:fill="66CCFF"/>
          </w:tcPr>
          <w:p w14:paraId="672C008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E1C32AD"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AD0DA3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eastAsiaTheme="majorEastAsia" w:hAnsi="Times New Roman"/>
              </w:rPr>
              <w:t>Aktuální stav rovnosti žen a mužů vykazuje v mezinárodním srovnání sestupný trend. V roční zprávě o rovnosti žen a mužů Světového ekonomického fóra Global Gender Gap Index ČR klesla ze 73. místa v r. 2012 na 83. místo v r. 2013 ze 136 sledovaných států; mezi lety 2006 a 2013 ČR poklesla o 30 míst.</w:t>
            </w:r>
          </w:p>
          <w:p w14:paraId="79500867"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Flexibilní formy práce, které by mohly zvýšit zaměstnanost rodičů, zejména žen, pečujících o děti jsou málo využívány ve srovnání s jinými členskými státy EU.</w:t>
            </w:r>
          </w:p>
          <w:p w14:paraId="0E5F5FDE"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Problematice nerovného odměňování mužů a žen by měla být věnována zvýšená pozornost. Je nezbytné na tuto nerovnost poukazovat a veřejně ji diskutovat. Jako jedno se řešení se jeví genderové audity ve firmách, které mají doporučující charakter a pomocí nichž si firmy mohou zvýšit renomé.</w:t>
            </w:r>
          </w:p>
          <w:p w14:paraId="7BED7248" w14:textId="77777777" w:rsidR="00DD3EFA" w:rsidRPr="005A0E7C" w:rsidRDefault="00DD3EFA" w:rsidP="00B15ECB">
            <w:pPr>
              <w:spacing w:before="60" w:after="60"/>
              <w:rPr>
                <w:rFonts w:eastAsiaTheme="majorEastAsia"/>
                <w:i/>
                <w:u w:val="single"/>
              </w:rPr>
            </w:pPr>
            <w:r w:rsidRPr="005A0E7C">
              <w:t>Potřeba integrace žen (pečujících o dítě) na trh práce se dlouhodobě objevuje ve specifických doporučeních (CSR) Rady pro ČR</w:t>
            </w:r>
          </w:p>
        </w:tc>
        <w:tc>
          <w:tcPr>
            <w:tcW w:w="249" w:type="dxa"/>
            <w:tcBorders>
              <w:top w:val="nil"/>
              <w:bottom w:val="nil"/>
            </w:tcBorders>
            <w:shd w:val="clear" w:color="auto" w:fill="66CCFF"/>
          </w:tcPr>
          <w:p w14:paraId="5F461B8E" w14:textId="77777777" w:rsidR="00DD3EFA" w:rsidRPr="005A0E7C" w:rsidRDefault="00DD3EFA" w:rsidP="00B15ECB">
            <w:pPr>
              <w:rPr>
                <w:b/>
              </w:rPr>
            </w:pPr>
          </w:p>
        </w:tc>
      </w:tr>
      <w:tr w:rsidR="00DD3EFA" w:rsidRPr="005A0E7C" w14:paraId="017533B9" w14:textId="77777777" w:rsidTr="00B15ECB">
        <w:trPr>
          <w:trHeight w:val="1274"/>
        </w:trPr>
        <w:tc>
          <w:tcPr>
            <w:tcW w:w="249" w:type="dxa"/>
            <w:tcBorders>
              <w:top w:val="nil"/>
              <w:bottom w:val="nil"/>
            </w:tcBorders>
            <w:shd w:val="clear" w:color="auto" w:fill="66CCFF"/>
          </w:tcPr>
          <w:p w14:paraId="4034AB4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9C6E48"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6F3F9AAB" w14:textId="77777777" w:rsidR="00DD3EFA" w:rsidRPr="005A0E7C" w:rsidRDefault="00DD3EFA" w:rsidP="00B15ECB">
            <w:pPr>
              <w:spacing w:before="60" w:after="60"/>
              <w:rPr>
                <w:rFonts w:eastAsiaTheme="majorEastAsia"/>
              </w:rPr>
            </w:pPr>
            <w:r w:rsidRPr="005A0E7C">
              <w:t xml:space="preserve">Zastoupení žen v rozhodovacích pozicích je v ČR velmi nízké. Ženy jsou méně zastoupeny i mezi podnikateli. </w:t>
            </w:r>
          </w:p>
          <w:p w14:paraId="761D7C24" w14:textId="77777777" w:rsidR="00DD3EFA" w:rsidRPr="005A0E7C" w:rsidRDefault="00DD3EFA" w:rsidP="00B15ECB">
            <w:pPr>
              <w:autoSpaceDE w:val="0"/>
              <w:autoSpaceDN w:val="0"/>
              <w:adjustRightInd w:val="0"/>
              <w:rPr>
                <w:rFonts w:eastAsiaTheme="majorEastAsia"/>
              </w:rPr>
            </w:pPr>
          </w:p>
          <w:p w14:paraId="6430722D" w14:textId="77777777" w:rsidR="00DD3EFA" w:rsidRPr="005A0E7C" w:rsidRDefault="00DD3EFA" w:rsidP="00B15ECB">
            <w:pPr>
              <w:autoSpaceDE w:val="0"/>
              <w:autoSpaceDN w:val="0"/>
              <w:adjustRightInd w:val="0"/>
              <w:rPr>
                <w:rFonts w:eastAsiaTheme="majorEastAsia"/>
              </w:rPr>
            </w:pPr>
            <w:r w:rsidRPr="005A0E7C">
              <w:rPr>
                <w:rFonts w:eastAsiaTheme="majorEastAsia"/>
              </w:rPr>
              <w:t xml:space="preserve">Z pohledu veřejnosti i EK je ostře diskutovaným problémem nedostatek kapacit péče o děti předškolního věku a do 3. let věku, který je výraznou překážkou pro vstup rodičů pečujících o děti na trh práce. Cenově i místně dostupné a kvalitní služby péče o děti jsou v souladu s doporučením Rady EU pro ČR klíčové. V listopadu 2014 vstoupil v platnost zákon o poskytování služeb péče o děti v dětské skupině (č. 247/2014) a současně začala platit prorodinná daňová opatření. Kapacita pro předškolní výchovu se výrazně navýšila i díky ESIF projektům, je třeba detailně zanalyzovat, do jaké míry je současná kapacita ještě nedostačující, dále je třeba řešit dlouhodobou koncepci podpory těchto zařízení mimo ESIF. </w:t>
            </w:r>
          </w:p>
          <w:p w14:paraId="3199275A" w14:textId="77777777" w:rsidR="00DD3EFA" w:rsidRPr="005A0E7C" w:rsidRDefault="00DD3EFA" w:rsidP="00B15ECB">
            <w:pPr>
              <w:autoSpaceDE w:val="0"/>
              <w:autoSpaceDN w:val="0"/>
              <w:adjustRightInd w:val="0"/>
              <w:rPr>
                <w:rFonts w:eastAsiaTheme="majorEastAsia"/>
              </w:rPr>
            </w:pPr>
          </w:p>
          <w:p w14:paraId="5B877CF6" w14:textId="77777777" w:rsidR="00DD3EFA" w:rsidRPr="005A0E7C" w:rsidRDefault="00DD3EFA" w:rsidP="00B15ECB">
            <w:pPr>
              <w:autoSpaceDE w:val="0"/>
              <w:autoSpaceDN w:val="0"/>
              <w:adjustRightInd w:val="0"/>
              <w:rPr>
                <w:rFonts w:eastAsiaTheme="majorEastAsia"/>
              </w:rPr>
            </w:pPr>
            <w:r w:rsidRPr="005A0E7C">
              <w:rPr>
                <w:rFonts w:eastAsiaTheme="majorEastAsia"/>
              </w:rPr>
              <w:t xml:space="preserve">Značným problémem při slaďování pracovního a osobního (rodinného) života je také péče o jinou závislou osobu (např. o rodiče nebo zdravotně postiženou osobu ve vyšším stupni invalidity vyžadující neustálou péči). Sociální a zdravotní služby pomáhající s péčí o tyto osoby neposkytují dostatečnou kapacitu přímo v domácím prostředí. </w:t>
            </w:r>
          </w:p>
          <w:p w14:paraId="77D1DE54" w14:textId="77777777" w:rsidR="00DD3EFA" w:rsidRPr="005A0E7C" w:rsidRDefault="00DD3EFA" w:rsidP="00B15ECB">
            <w:pPr>
              <w:autoSpaceDE w:val="0"/>
              <w:autoSpaceDN w:val="0"/>
              <w:adjustRightInd w:val="0"/>
            </w:pPr>
          </w:p>
          <w:p w14:paraId="494B2B1C" w14:textId="77777777" w:rsidR="00DD3EFA" w:rsidRPr="005A0E7C" w:rsidRDefault="00DD3EFA" w:rsidP="00B15ECB">
            <w:pPr>
              <w:spacing w:before="60" w:after="60"/>
            </w:pPr>
            <w:r w:rsidRPr="005A0E7C">
              <w:t xml:space="preserve">Podíl žen zaměstnaných na částečný úvazek je v ČR 11 % (2016) a daleko zaostává za průměrem EU (31,9 % v roce 2016). Nižší zájem souvisí s omezenou nabídkou ze strany zaměstnavatelů i nižšími příjmy za odpracovanou hodinu než je tomu v jiných zemích, přitom tyto formy práce jsou vhodné zejména pro osoby pečující o děti nebo jiné závislé osoby. </w:t>
            </w:r>
          </w:p>
          <w:p w14:paraId="63C1AEE8" w14:textId="77777777" w:rsidR="00DD3EFA" w:rsidRPr="005A0E7C" w:rsidRDefault="00DD3EFA" w:rsidP="00B15ECB">
            <w:pPr>
              <w:spacing w:before="60" w:after="60"/>
            </w:pPr>
          </w:p>
          <w:p w14:paraId="185FDD0A" w14:textId="77777777" w:rsidR="00DD3EFA" w:rsidRPr="005A0E7C" w:rsidRDefault="00DD3EFA" w:rsidP="00B15ECB">
            <w:pPr>
              <w:spacing w:before="60" w:after="60"/>
            </w:pPr>
            <w:r w:rsidRPr="005A0E7C">
              <w:t>Neuspokojivá je nadále situace v oblasti odměňování žen, kdy průměrná mzda žen byla v roce 2015 v České republice o 22,5 % nižší než mzda mužů. Problematika nerovného odměňování mužů a žen by měla být pojmenována a veřejně diskutována. Je třeba vyvinout iniciativy směřující k ovlivnění veřejného mínění a platové politiky firem s cílem snížit platovou nerovnost. Jako jedno z řešení se jeví genderové audity ve firmách, které mají doporučující charakter a firmy si mohou pomocí nich zvýšit renomé.</w:t>
            </w:r>
          </w:p>
          <w:p w14:paraId="30AF8B8C" w14:textId="77777777" w:rsidR="00DD3EFA" w:rsidRPr="005A0E7C" w:rsidRDefault="00DD3EFA" w:rsidP="00B15ECB">
            <w:pPr>
              <w:spacing w:before="60" w:after="60"/>
            </w:pPr>
          </w:p>
          <w:p w14:paraId="59893534" w14:textId="77777777" w:rsidR="00DD3EFA" w:rsidRPr="005A0E7C" w:rsidRDefault="00DD3EFA" w:rsidP="00B15ECB">
            <w:pPr>
              <w:spacing w:before="60" w:after="60"/>
            </w:pPr>
            <w:r w:rsidRPr="005A0E7C">
              <w:t>Zaměstnanost žen ve 2. čtvrtletí 2017 řadila ČR až na jedenácté místo mezi členskými státy i přesto, že se meziročně zvyšovala dynamičtěji než v Unii (z 68,4 na 70,1 %).</w:t>
            </w:r>
          </w:p>
          <w:p w14:paraId="7FCAE055" w14:textId="77777777" w:rsidR="00DD3EFA" w:rsidRPr="005A0E7C" w:rsidRDefault="00DD3EFA" w:rsidP="00B15ECB">
            <w:pPr>
              <w:spacing w:before="60" w:after="60"/>
              <w:rPr>
                <w:i/>
              </w:rPr>
            </w:pPr>
            <w:r w:rsidRPr="005A0E7C">
              <w:t>Osvěta a zavádění principů slaďování pracovního a osobního života, rovných příležitostí a age managementu u zaměstnavatelů se zatím moc nedaří a jsou to především zahraniční zaměstnavatelé, kteří tyto nástroje využívají. Problematika není z národní a regionální úrovně dostatečně akcentována a mělo by se jí v následujícím období věnovat více pozornosti.</w:t>
            </w:r>
          </w:p>
        </w:tc>
        <w:tc>
          <w:tcPr>
            <w:tcW w:w="249" w:type="dxa"/>
            <w:tcBorders>
              <w:top w:val="nil"/>
              <w:bottom w:val="nil"/>
            </w:tcBorders>
            <w:shd w:val="clear" w:color="auto" w:fill="66CCFF"/>
          </w:tcPr>
          <w:p w14:paraId="250D11EB" w14:textId="77777777" w:rsidR="00DD3EFA" w:rsidRPr="005A0E7C" w:rsidRDefault="00DD3EFA" w:rsidP="00B15ECB">
            <w:pPr>
              <w:rPr>
                <w:b/>
              </w:rPr>
            </w:pPr>
          </w:p>
        </w:tc>
      </w:tr>
      <w:tr w:rsidR="00DD3EFA" w:rsidRPr="005A0E7C" w14:paraId="4B805F22" w14:textId="77777777" w:rsidTr="00B15ECB">
        <w:trPr>
          <w:trHeight w:val="1274"/>
        </w:trPr>
        <w:tc>
          <w:tcPr>
            <w:tcW w:w="249" w:type="dxa"/>
            <w:tcBorders>
              <w:top w:val="nil"/>
              <w:bottom w:val="nil"/>
            </w:tcBorders>
            <w:shd w:val="clear" w:color="auto" w:fill="66CCFF"/>
          </w:tcPr>
          <w:p w14:paraId="084E016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3985A95"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76D7D1C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0974746" w14:textId="77777777" w:rsidR="00DD3EFA" w:rsidRPr="005A0E7C" w:rsidRDefault="00DD3EFA" w:rsidP="00B15ECB">
            <w:pPr>
              <w:spacing w:before="60" w:after="60"/>
              <w:rPr>
                <w:rFonts w:eastAsiaTheme="majorEastAsia"/>
              </w:rPr>
            </w:pPr>
            <w:r w:rsidRPr="005A0E7C">
              <w:rPr>
                <w:rFonts w:eastAsiaTheme="majorEastAsia"/>
              </w:rPr>
              <w:t>Relevatní pilíře (strategické cíle) ze SR PZ 2030:</w:t>
            </w:r>
          </w:p>
          <w:p w14:paraId="56961C6C" w14:textId="77777777" w:rsidR="00DD3EFA" w:rsidRPr="005A0E7C" w:rsidRDefault="00DD3EFA" w:rsidP="00391907">
            <w:pPr>
              <w:pStyle w:val="Odstavecseseznamem"/>
              <w:numPr>
                <w:ilvl w:val="0"/>
                <w:numId w:val="15"/>
              </w:numPr>
              <w:spacing w:before="60" w:after="60"/>
              <w:jc w:val="both"/>
              <w:rPr>
                <w:rFonts w:eastAsiaTheme="majorEastAsia"/>
                <w:u w:val="single"/>
              </w:rPr>
            </w:pPr>
            <w:r w:rsidRPr="005A0E7C">
              <w:rPr>
                <w:rFonts w:eastAsiaTheme="majorEastAsia"/>
                <w:u w:val="single"/>
              </w:rPr>
              <w:t>Individualizace</w:t>
            </w:r>
            <w:r w:rsidRPr="005A0E7C">
              <w:rPr>
                <w:rFonts w:eastAsiaTheme="majorEastAsia"/>
              </w:rPr>
              <w:t xml:space="preserve"> - opatření politiky zaměstnanosti budou více individualizované a šité na míru, a to jak ve vztahu k jednotlivcům (fyzickým osobám), tak zaměstnavatelům i regionům.</w:t>
            </w:r>
          </w:p>
          <w:p w14:paraId="57CD4CD3" w14:textId="77777777" w:rsidR="00DD3EFA" w:rsidRPr="005A0E7C" w:rsidRDefault="00DD3EFA" w:rsidP="00391907">
            <w:pPr>
              <w:pStyle w:val="Odstavecseseznamem"/>
              <w:numPr>
                <w:ilvl w:val="0"/>
                <w:numId w:val="15"/>
              </w:numPr>
              <w:spacing w:before="60" w:after="60"/>
              <w:jc w:val="both"/>
              <w:rPr>
                <w:rFonts w:eastAsiaTheme="majorEastAsia"/>
                <w:u w:val="single"/>
              </w:rPr>
            </w:pPr>
            <w:r w:rsidRPr="005A0E7C">
              <w:rPr>
                <w:rFonts w:eastAsiaTheme="majorEastAsia"/>
                <w:u w:val="single"/>
              </w:rPr>
              <w:t>Adaptace</w:t>
            </w:r>
            <w:r w:rsidRPr="005A0E7C">
              <w:rPr>
                <w:rFonts w:eastAsiaTheme="majorEastAsia"/>
              </w:rPr>
              <w:t xml:space="preserve"> – politika zaměstnanosti bude podporovat adaptaci všech aktérů trhu práce na měnící se podmínky, zejména na dopady 4. průmyslové revoluce, zaměstnavatelé, zaměstnanci i veřejná správa (včetně právního prostředí) bude adaptována na tyto změny.</w:t>
            </w:r>
          </w:p>
        </w:tc>
        <w:tc>
          <w:tcPr>
            <w:tcW w:w="249" w:type="dxa"/>
            <w:tcBorders>
              <w:top w:val="nil"/>
              <w:bottom w:val="nil"/>
            </w:tcBorders>
            <w:shd w:val="clear" w:color="auto" w:fill="66CCFF"/>
          </w:tcPr>
          <w:p w14:paraId="7A092293" w14:textId="77777777" w:rsidR="00DD3EFA" w:rsidRPr="005A0E7C" w:rsidRDefault="00DD3EFA" w:rsidP="00B15ECB">
            <w:pPr>
              <w:rPr>
                <w:b/>
              </w:rPr>
            </w:pPr>
          </w:p>
        </w:tc>
      </w:tr>
      <w:tr w:rsidR="00DD3EFA" w:rsidRPr="005A0E7C" w14:paraId="133B3A1F" w14:textId="77777777" w:rsidTr="00B15ECB">
        <w:trPr>
          <w:trHeight w:val="567"/>
        </w:trPr>
        <w:tc>
          <w:tcPr>
            <w:tcW w:w="249" w:type="dxa"/>
            <w:tcBorders>
              <w:top w:val="nil"/>
              <w:bottom w:val="nil"/>
            </w:tcBorders>
            <w:shd w:val="clear" w:color="auto" w:fill="66CCFF"/>
          </w:tcPr>
          <w:p w14:paraId="16CE6D6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847B7ED"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4267B8B8" w14:textId="77777777" w:rsidR="00DD3EFA" w:rsidRPr="005A0E7C" w:rsidRDefault="00DD3EFA" w:rsidP="00B15ECB">
            <w:pPr>
              <w:spacing w:before="60" w:after="60"/>
              <w:rPr>
                <w:rFonts w:eastAsiaTheme="majorEastAsia"/>
              </w:rPr>
            </w:pPr>
            <w:r w:rsidRPr="005A0E7C">
              <w:rPr>
                <w:rFonts w:eastAsiaTheme="majorEastAsia"/>
              </w:rPr>
              <w:t>Vize SR PZ 2030: Český trh práce bude, opíraje se o kooperující a efektivní služby zaměstnanosti, schopen reakce na globální trendy, bude zabezpečovat jak rovný přístup k důstojnému zaměstnání pro všechny skupiny osob, tak dostatek vhodné pracovní síly pro národní hospodářství.</w:t>
            </w:r>
          </w:p>
          <w:p w14:paraId="20263879" w14:textId="77777777" w:rsidR="00DD3EFA" w:rsidRPr="005A0E7C" w:rsidRDefault="00DD3EFA" w:rsidP="00B15ECB">
            <w:pPr>
              <w:spacing w:before="60" w:after="60"/>
              <w:rPr>
                <w:rFonts w:eastAsiaTheme="majorEastAsia"/>
              </w:rPr>
            </w:pPr>
          </w:p>
          <w:p w14:paraId="75513453" w14:textId="77777777" w:rsidR="00DD3EFA" w:rsidRPr="005A0E7C" w:rsidRDefault="00DD3EFA" w:rsidP="00B15ECB">
            <w:pPr>
              <w:spacing w:before="60" w:after="60"/>
              <w:rPr>
                <w:rFonts w:eastAsiaTheme="majorEastAsia"/>
              </w:rPr>
            </w:pPr>
            <w:r w:rsidRPr="005A0E7C">
              <w:rPr>
                <w:rFonts w:eastAsiaTheme="majorEastAsia"/>
              </w:rPr>
              <w:t>Tedy v provazbě na definované cíle dojde k vyrovnání postavení mužů a žen na českém trhu práce, odstranění diskriminace a eliminaci bariér, které ženám zejména ve středním produktivním věku brání ve vstupu na trh práce, tj. dojde k rozšíření nabídky zařízení (a jiných forem) péče o dítě a bude snížen rozdíl v odměňování mužů a žen.</w:t>
            </w:r>
          </w:p>
        </w:tc>
        <w:tc>
          <w:tcPr>
            <w:tcW w:w="249" w:type="dxa"/>
            <w:tcBorders>
              <w:top w:val="nil"/>
              <w:bottom w:val="nil"/>
            </w:tcBorders>
            <w:shd w:val="clear" w:color="auto" w:fill="66CCFF"/>
          </w:tcPr>
          <w:p w14:paraId="47514119" w14:textId="77777777" w:rsidR="00DD3EFA" w:rsidRPr="005A0E7C" w:rsidRDefault="00DD3EFA" w:rsidP="00B15ECB">
            <w:pPr>
              <w:rPr>
                <w:b/>
              </w:rPr>
            </w:pPr>
          </w:p>
        </w:tc>
      </w:tr>
      <w:tr w:rsidR="00DD3EFA" w:rsidRPr="005A0E7C" w14:paraId="0F8CD341" w14:textId="77777777" w:rsidTr="00B15ECB">
        <w:trPr>
          <w:trHeight w:val="1274"/>
        </w:trPr>
        <w:tc>
          <w:tcPr>
            <w:tcW w:w="249" w:type="dxa"/>
            <w:tcBorders>
              <w:top w:val="nil"/>
              <w:bottom w:val="nil"/>
            </w:tcBorders>
            <w:shd w:val="clear" w:color="auto" w:fill="66CCFF"/>
          </w:tcPr>
          <w:p w14:paraId="6231692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C9C490D"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32AB3491" w14:textId="77777777" w:rsidR="00DD3EFA" w:rsidRPr="005A0E7C" w:rsidRDefault="00DD3EFA" w:rsidP="00B15ECB">
            <w:pPr>
              <w:spacing w:before="60" w:after="60"/>
              <w:rPr>
                <w:rFonts w:eastAsiaTheme="majorEastAsia"/>
                <w:i/>
                <w:u w:val="single"/>
              </w:rPr>
            </w:pPr>
            <w:r w:rsidRPr="005A0E7C">
              <w:rPr>
                <w:rFonts w:eastAsiaTheme="majorEastAsia"/>
              </w:rPr>
              <w:t>Odhadovaný podíl ESIF na plnění tohoto specifického cíle předpokládáme v rozsahu cca 70 – 100 %.</w:t>
            </w:r>
          </w:p>
        </w:tc>
        <w:tc>
          <w:tcPr>
            <w:tcW w:w="249" w:type="dxa"/>
            <w:tcBorders>
              <w:top w:val="nil"/>
              <w:bottom w:val="nil"/>
            </w:tcBorders>
            <w:shd w:val="clear" w:color="auto" w:fill="66CCFF"/>
          </w:tcPr>
          <w:p w14:paraId="6D0C6508" w14:textId="77777777" w:rsidR="00DD3EFA" w:rsidRPr="005A0E7C" w:rsidRDefault="00DD3EFA" w:rsidP="00B15ECB">
            <w:pPr>
              <w:rPr>
                <w:b/>
              </w:rPr>
            </w:pPr>
          </w:p>
        </w:tc>
      </w:tr>
      <w:tr w:rsidR="00DD3EFA" w:rsidRPr="005A0E7C" w14:paraId="6007B20A" w14:textId="77777777" w:rsidTr="00B15ECB">
        <w:trPr>
          <w:trHeight w:val="1274"/>
        </w:trPr>
        <w:tc>
          <w:tcPr>
            <w:tcW w:w="249" w:type="dxa"/>
            <w:tcBorders>
              <w:top w:val="nil"/>
              <w:bottom w:val="nil"/>
            </w:tcBorders>
            <w:shd w:val="clear" w:color="auto" w:fill="66CCFF"/>
          </w:tcPr>
          <w:p w14:paraId="2891151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0E30133"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7FB1E64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eastAsiaTheme="minorHAnsi" w:hAnsi="Times New Roman"/>
              </w:rPr>
              <w:t xml:space="preserve">V porovnání s obdobím 2007-2013 jsou intervence v oblasti slaďování pracovního a osobního života a rovných příležitostí žen a mužů na trhu práce dominantně zaměřeny na podporu budování kapacit zařízení péče o děti, protože nedostatečné kapacity těchto zařízení byly opakovaně identifikovány jako problém ve Specifických doporučeních Rady pro ČR. </w:t>
            </w:r>
          </w:p>
          <w:p w14:paraId="66DD23F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eastAsiaTheme="minorHAnsi" w:hAnsi="Times New Roman"/>
              </w:rPr>
              <w:t>Při podpoře zařízení péče o děti jsou významným způsobem využívány metody zjednodušeného vykazování výdajů (jednotkové náklady, náklady hrazené paušální sazbou) za účelem zjednodušení administrace a posílení orientace na výsledky.</w:t>
            </w:r>
          </w:p>
        </w:tc>
        <w:tc>
          <w:tcPr>
            <w:tcW w:w="249" w:type="dxa"/>
            <w:tcBorders>
              <w:top w:val="nil"/>
              <w:bottom w:val="nil"/>
            </w:tcBorders>
            <w:shd w:val="clear" w:color="auto" w:fill="66CCFF"/>
          </w:tcPr>
          <w:p w14:paraId="4CB893B7" w14:textId="77777777" w:rsidR="00DD3EFA" w:rsidRPr="005A0E7C" w:rsidRDefault="00DD3EFA" w:rsidP="00B15ECB">
            <w:pPr>
              <w:rPr>
                <w:b/>
              </w:rPr>
            </w:pPr>
          </w:p>
        </w:tc>
      </w:tr>
      <w:tr w:rsidR="00DD3EFA" w:rsidRPr="005A0E7C" w14:paraId="58A8F8E5" w14:textId="77777777" w:rsidTr="00B15ECB">
        <w:trPr>
          <w:trHeight w:val="272"/>
        </w:trPr>
        <w:tc>
          <w:tcPr>
            <w:tcW w:w="249" w:type="dxa"/>
            <w:tcBorders>
              <w:top w:val="nil"/>
              <w:bottom w:val="nil"/>
              <w:right w:val="nil"/>
            </w:tcBorders>
            <w:shd w:val="clear" w:color="auto" w:fill="66CCFF"/>
          </w:tcPr>
          <w:p w14:paraId="22460C51"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4533B5E"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8196AFA"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4229CCF7" w14:textId="77777777" w:rsidR="00DD3EFA" w:rsidRPr="005A0E7C" w:rsidRDefault="00DD3EFA" w:rsidP="00B15ECB">
            <w:pPr>
              <w:rPr>
                <w:b/>
              </w:rPr>
            </w:pPr>
          </w:p>
        </w:tc>
      </w:tr>
      <w:tr w:rsidR="00DD3EFA" w:rsidRPr="005A0E7C" w14:paraId="7A151064" w14:textId="77777777" w:rsidTr="00B15ECB">
        <w:trPr>
          <w:trHeight w:val="835"/>
        </w:trPr>
        <w:tc>
          <w:tcPr>
            <w:tcW w:w="249" w:type="dxa"/>
            <w:tcBorders>
              <w:top w:val="nil"/>
              <w:bottom w:val="nil"/>
            </w:tcBorders>
            <w:shd w:val="clear" w:color="auto" w:fill="66CCFF"/>
          </w:tcPr>
          <w:p w14:paraId="656148DF"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6035917D"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021B59A2"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6E4A3A92" w14:textId="77777777" w:rsidR="00DD3EFA" w:rsidRPr="005A0E7C" w:rsidRDefault="00DD3EFA" w:rsidP="00B15ECB">
            <w:pPr>
              <w:spacing w:before="60" w:after="60"/>
              <w:rPr>
                <w:i/>
                <w:u w:val="single"/>
              </w:rPr>
            </w:pPr>
          </w:p>
          <w:p w14:paraId="30B5DF04" w14:textId="77777777" w:rsidR="00DD3EFA" w:rsidRPr="005A0E7C" w:rsidRDefault="00DD3EFA" w:rsidP="00391907">
            <w:pPr>
              <w:pStyle w:val="Odstavecseseznamem"/>
              <w:numPr>
                <w:ilvl w:val="0"/>
                <w:numId w:val="16"/>
              </w:numPr>
              <w:spacing w:before="60" w:after="60"/>
              <w:rPr>
                <w:rFonts w:eastAsiaTheme="majorEastAsia"/>
              </w:rPr>
            </w:pPr>
            <w:r w:rsidRPr="005A0E7C">
              <w:rPr>
                <w:rFonts w:eastAsiaTheme="majorEastAsia"/>
              </w:rPr>
              <w:t>Individualizace</w:t>
            </w:r>
          </w:p>
          <w:p w14:paraId="4C395D1E" w14:textId="77777777" w:rsidR="00DD3EFA" w:rsidRPr="005A0E7C" w:rsidRDefault="00DD3EFA" w:rsidP="00391907">
            <w:pPr>
              <w:pStyle w:val="Odstavecseseznamem"/>
              <w:numPr>
                <w:ilvl w:val="1"/>
                <w:numId w:val="16"/>
              </w:numPr>
              <w:spacing w:before="60" w:after="60"/>
              <w:rPr>
                <w:rFonts w:eastAsiaTheme="majorEastAsia"/>
              </w:rPr>
            </w:pPr>
            <w:r w:rsidRPr="005A0E7C">
              <w:rPr>
                <w:rFonts w:eastAsiaTheme="majorEastAsia"/>
              </w:rPr>
              <w:t>Individuální přístup k jednotlivcům</w:t>
            </w:r>
          </w:p>
          <w:p w14:paraId="4FB6185F" w14:textId="77777777" w:rsidR="00DD3EFA" w:rsidRPr="005A0E7C" w:rsidRDefault="00DD3EFA" w:rsidP="00391907">
            <w:pPr>
              <w:pStyle w:val="Odstavecseseznamem"/>
              <w:numPr>
                <w:ilvl w:val="1"/>
                <w:numId w:val="16"/>
              </w:numPr>
              <w:spacing w:before="60" w:after="60"/>
              <w:rPr>
                <w:rFonts w:eastAsiaTheme="majorEastAsia"/>
              </w:rPr>
            </w:pPr>
            <w:r w:rsidRPr="005A0E7C">
              <w:rPr>
                <w:rFonts w:eastAsiaTheme="majorEastAsia"/>
              </w:rPr>
              <w:t>Individuální přístup k zaměstnavatelům</w:t>
            </w:r>
          </w:p>
          <w:p w14:paraId="17D1D180" w14:textId="77777777" w:rsidR="00DD3EFA" w:rsidRPr="005A0E7C" w:rsidRDefault="00DD3EFA" w:rsidP="00391907">
            <w:pPr>
              <w:pStyle w:val="Odstavecseseznamem"/>
              <w:numPr>
                <w:ilvl w:val="0"/>
                <w:numId w:val="16"/>
              </w:numPr>
              <w:spacing w:before="60" w:after="60"/>
              <w:rPr>
                <w:rFonts w:eastAsiaTheme="majorEastAsia"/>
              </w:rPr>
            </w:pPr>
            <w:r w:rsidRPr="005A0E7C">
              <w:rPr>
                <w:rFonts w:eastAsiaTheme="majorEastAsia"/>
              </w:rPr>
              <w:t>Adaptace</w:t>
            </w:r>
          </w:p>
          <w:p w14:paraId="675EDEEF" w14:textId="77777777" w:rsidR="00DD3EFA" w:rsidRPr="005A0E7C" w:rsidRDefault="00DD3EFA" w:rsidP="00391907">
            <w:pPr>
              <w:pStyle w:val="Odstavecseseznamem"/>
              <w:numPr>
                <w:ilvl w:val="1"/>
                <w:numId w:val="16"/>
              </w:numPr>
              <w:spacing w:before="60" w:after="60"/>
              <w:rPr>
                <w:rFonts w:eastAsiaTheme="majorEastAsia"/>
              </w:rPr>
            </w:pPr>
            <w:r w:rsidRPr="005A0E7C">
              <w:rPr>
                <w:rFonts w:eastAsiaTheme="majorEastAsia"/>
              </w:rPr>
              <w:t>Adaptace pracovní síly</w:t>
            </w:r>
          </w:p>
          <w:p w14:paraId="3D9B62F2" w14:textId="77777777" w:rsidR="00DD3EFA" w:rsidRPr="005A0E7C" w:rsidRDefault="00DD3EFA" w:rsidP="00391907">
            <w:pPr>
              <w:pStyle w:val="Odstavecseseznamem"/>
              <w:numPr>
                <w:ilvl w:val="1"/>
                <w:numId w:val="16"/>
              </w:numPr>
              <w:spacing w:before="60" w:after="60"/>
              <w:rPr>
                <w:rFonts w:eastAsiaTheme="majorEastAsia"/>
              </w:rPr>
            </w:pPr>
            <w:r w:rsidRPr="005A0E7C">
              <w:rPr>
                <w:rFonts w:eastAsiaTheme="majorEastAsia"/>
              </w:rPr>
              <w:t>Adaptace zaměstnavatelů</w:t>
            </w:r>
          </w:p>
          <w:p w14:paraId="0D2FBBE1" w14:textId="77777777" w:rsidR="00DD3EFA" w:rsidRPr="005A0E7C" w:rsidRDefault="00DD3EFA" w:rsidP="00391907">
            <w:pPr>
              <w:pStyle w:val="Odstavecseseznamem"/>
              <w:numPr>
                <w:ilvl w:val="1"/>
                <w:numId w:val="16"/>
              </w:numPr>
              <w:spacing w:before="60" w:after="60"/>
              <w:rPr>
                <w:rFonts w:eastAsiaTheme="majorEastAsia"/>
              </w:rPr>
            </w:pPr>
            <w:r w:rsidRPr="005A0E7C">
              <w:rPr>
                <w:rFonts w:eastAsiaTheme="majorEastAsia"/>
              </w:rPr>
              <w:t>Adaptace prostředí</w:t>
            </w:r>
          </w:p>
        </w:tc>
        <w:tc>
          <w:tcPr>
            <w:tcW w:w="249" w:type="dxa"/>
            <w:tcBorders>
              <w:top w:val="nil"/>
              <w:bottom w:val="nil"/>
            </w:tcBorders>
            <w:shd w:val="clear" w:color="auto" w:fill="66CCFF"/>
          </w:tcPr>
          <w:p w14:paraId="7B4751AB" w14:textId="77777777" w:rsidR="00DD3EFA" w:rsidRPr="005A0E7C" w:rsidRDefault="00DD3EFA" w:rsidP="00B15ECB">
            <w:pPr>
              <w:rPr>
                <w:b/>
              </w:rPr>
            </w:pPr>
          </w:p>
        </w:tc>
      </w:tr>
      <w:tr w:rsidR="00DD3EFA" w:rsidRPr="005A0E7C" w14:paraId="15BF05F5" w14:textId="77777777" w:rsidTr="00B15ECB">
        <w:trPr>
          <w:trHeight w:val="377"/>
        </w:trPr>
        <w:tc>
          <w:tcPr>
            <w:tcW w:w="249" w:type="dxa"/>
            <w:tcBorders>
              <w:top w:val="nil"/>
              <w:bottom w:val="nil"/>
              <w:right w:val="nil"/>
            </w:tcBorders>
            <w:shd w:val="clear" w:color="auto" w:fill="66CCFF"/>
          </w:tcPr>
          <w:p w14:paraId="1522D586"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4663FA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1A40E69"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5DC97CA1" w14:textId="77777777" w:rsidR="00DD3EFA" w:rsidRPr="005A0E7C" w:rsidRDefault="00DD3EFA" w:rsidP="00B15ECB">
            <w:pPr>
              <w:rPr>
                <w:b/>
              </w:rPr>
            </w:pPr>
          </w:p>
        </w:tc>
      </w:tr>
      <w:tr w:rsidR="00DD3EFA" w:rsidRPr="005A0E7C" w14:paraId="7EF3323C" w14:textId="77777777" w:rsidTr="00B15ECB">
        <w:trPr>
          <w:trHeight w:val="1202"/>
        </w:trPr>
        <w:tc>
          <w:tcPr>
            <w:tcW w:w="249" w:type="dxa"/>
            <w:tcBorders>
              <w:top w:val="nil"/>
              <w:bottom w:val="nil"/>
            </w:tcBorders>
            <w:shd w:val="clear" w:color="auto" w:fill="66CCFF"/>
          </w:tcPr>
          <w:p w14:paraId="5C5436D5"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25C87760"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16986A3B"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7030106E" w14:textId="77777777" w:rsidR="00DD3EFA" w:rsidRPr="005A0E7C" w:rsidRDefault="00DD3EFA" w:rsidP="00B15ECB">
            <w:pPr>
              <w:rPr>
                <w:b/>
              </w:rPr>
            </w:pPr>
          </w:p>
        </w:tc>
      </w:tr>
      <w:tr w:rsidR="00DD3EFA" w:rsidRPr="005A0E7C" w14:paraId="3E44FD2E" w14:textId="77777777" w:rsidTr="00B15ECB">
        <w:trPr>
          <w:trHeight w:val="1202"/>
        </w:trPr>
        <w:tc>
          <w:tcPr>
            <w:tcW w:w="249" w:type="dxa"/>
            <w:tcBorders>
              <w:top w:val="nil"/>
              <w:bottom w:val="nil"/>
            </w:tcBorders>
            <w:shd w:val="clear" w:color="auto" w:fill="66CCFF"/>
          </w:tcPr>
          <w:p w14:paraId="52DB25C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C441DA1"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1C316C0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F0A0769" w14:textId="77777777" w:rsidR="00DD3EFA" w:rsidRPr="005A0E7C" w:rsidRDefault="00DD3EFA" w:rsidP="00B15ECB">
            <w:pPr>
              <w:spacing w:before="60" w:after="60"/>
              <w:rPr>
                <w:rFonts w:eastAsiaTheme="majorEastAsia"/>
                <w:i/>
              </w:rPr>
            </w:pPr>
            <w:r w:rsidRPr="005A0E7C">
              <w:t>Potřebnost budování kapacit zařízení péče o děti předškolního věku je regionálně nerovnoměrně rozložena (vysoká ve velkých městech a jejich okolí, nízká na venkově). Podpora zařízení péče o děti předškolního věku by měla být řešena v návaznosti na analýzu potřebnosti v jednotlivých krajích a obcích podle počtu obyvatel. Obdobně je potřeba řešit i kapacity péče o závislé osoby (např. rodiče ve stáří, zdravotně postižené a podobně), zejména v přirozeném domácím prostředí, ale i institucionálně (toto téma spadá do oblasti sociálních služeb).</w:t>
            </w:r>
          </w:p>
        </w:tc>
        <w:tc>
          <w:tcPr>
            <w:tcW w:w="249" w:type="dxa"/>
            <w:tcBorders>
              <w:top w:val="nil"/>
              <w:bottom w:val="nil"/>
            </w:tcBorders>
            <w:shd w:val="clear" w:color="auto" w:fill="66CCFF"/>
          </w:tcPr>
          <w:p w14:paraId="2ECB09D5" w14:textId="77777777" w:rsidR="00DD3EFA" w:rsidRPr="005A0E7C" w:rsidRDefault="00DD3EFA" w:rsidP="00B15ECB">
            <w:pPr>
              <w:rPr>
                <w:b/>
              </w:rPr>
            </w:pPr>
          </w:p>
        </w:tc>
      </w:tr>
      <w:tr w:rsidR="00DD3EFA" w:rsidRPr="005A0E7C" w14:paraId="116EA6EF" w14:textId="77777777" w:rsidTr="00B15ECB">
        <w:trPr>
          <w:trHeight w:val="1202"/>
        </w:trPr>
        <w:tc>
          <w:tcPr>
            <w:tcW w:w="249" w:type="dxa"/>
            <w:tcBorders>
              <w:top w:val="nil"/>
              <w:bottom w:val="nil"/>
            </w:tcBorders>
            <w:shd w:val="clear" w:color="auto" w:fill="66CCFF"/>
          </w:tcPr>
          <w:p w14:paraId="77B1AE8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680F1DD"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4BCBAB7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F7EAC28" w14:textId="04031856" w:rsidR="00DD3EFA" w:rsidRPr="005A0E7C" w:rsidRDefault="006C35FA" w:rsidP="00B15ECB">
            <w:pPr>
              <w:spacing w:before="60" w:after="60"/>
              <w:rPr>
                <w:rFonts w:eastAsiaTheme="majorEastAsia"/>
                <w:i/>
              </w:rPr>
            </w:pPr>
            <w:r w:rsidRPr="005A0E7C">
              <w:rPr>
                <w:rFonts w:eastAsiaTheme="majorEastAsia"/>
                <w:i/>
              </w:rPr>
              <w:t>-</w:t>
            </w:r>
          </w:p>
        </w:tc>
        <w:tc>
          <w:tcPr>
            <w:tcW w:w="249" w:type="dxa"/>
            <w:tcBorders>
              <w:top w:val="nil"/>
              <w:bottom w:val="nil"/>
            </w:tcBorders>
            <w:shd w:val="clear" w:color="auto" w:fill="66CCFF"/>
          </w:tcPr>
          <w:p w14:paraId="199F5AE4" w14:textId="77777777" w:rsidR="00DD3EFA" w:rsidRPr="005A0E7C" w:rsidRDefault="00DD3EFA" w:rsidP="00B15ECB">
            <w:pPr>
              <w:rPr>
                <w:b/>
              </w:rPr>
            </w:pPr>
          </w:p>
        </w:tc>
      </w:tr>
      <w:tr w:rsidR="00DD3EFA" w:rsidRPr="005A0E7C" w14:paraId="1EA0B510" w14:textId="77777777" w:rsidTr="00B15ECB">
        <w:trPr>
          <w:trHeight w:val="1202"/>
        </w:trPr>
        <w:tc>
          <w:tcPr>
            <w:tcW w:w="249" w:type="dxa"/>
            <w:tcBorders>
              <w:top w:val="nil"/>
              <w:bottom w:val="nil"/>
            </w:tcBorders>
            <w:shd w:val="clear" w:color="auto" w:fill="66CCFF"/>
          </w:tcPr>
          <w:p w14:paraId="5D06EAF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D705B18"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0A639A5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A2591F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eastAsiaTheme="minorHAnsi" w:hAnsi="Times New Roman"/>
              </w:rPr>
              <w:t xml:space="preserve">V porovnání s obdobím 2007-2013 jsou intervence v oblasti slaďování pracovního a osobního života a rovných příležitostí žen a mužů na trhu práce dominantně zaměřeny na podporu budování kapacit zařízení péče o děti, protože nedostatečné kapacity těchto zařízení byly opakovaně identifikovány jako problém ve Specifických doporučeních Rady pro ČR. </w:t>
            </w:r>
          </w:p>
          <w:p w14:paraId="7E5D82B3" w14:textId="77777777" w:rsidR="00DD3EFA" w:rsidRPr="005A0E7C" w:rsidRDefault="00DD3EFA" w:rsidP="00B15ECB">
            <w:pPr>
              <w:spacing w:before="60" w:after="60"/>
              <w:rPr>
                <w:rFonts w:eastAsiaTheme="majorEastAsia"/>
                <w:i/>
              </w:rPr>
            </w:pPr>
            <w:r w:rsidRPr="005A0E7C">
              <w:t>Při podpoře zařízení péče o děti jsou významným způsobem využívány metody zjednodušeného vykazování výdajů (jednotkové náklady, náklady hrazené paušální sazbou) za účelem zjednodušení administrace a posílení orientace na výsledky.</w:t>
            </w:r>
          </w:p>
        </w:tc>
        <w:tc>
          <w:tcPr>
            <w:tcW w:w="249" w:type="dxa"/>
            <w:tcBorders>
              <w:top w:val="nil"/>
              <w:bottom w:val="nil"/>
            </w:tcBorders>
            <w:shd w:val="clear" w:color="auto" w:fill="66CCFF"/>
          </w:tcPr>
          <w:p w14:paraId="646C024A" w14:textId="77777777" w:rsidR="00DD3EFA" w:rsidRPr="005A0E7C" w:rsidRDefault="00DD3EFA" w:rsidP="00B15ECB">
            <w:pPr>
              <w:rPr>
                <w:b/>
              </w:rPr>
            </w:pPr>
          </w:p>
        </w:tc>
      </w:tr>
      <w:tr w:rsidR="00DD3EFA" w:rsidRPr="005A0E7C" w14:paraId="7EEB4880" w14:textId="77777777" w:rsidTr="00B15ECB">
        <w:trPr>
          <w:trHeight w:val="1202"/>
        </w:trPr>
        <w:tc>
          <w:tcPr>
            <w:tcW w:w="249" w:type="dxa"/>
            <w:tcBorders>
              <w:top w:val="nil"/>
              <w:bottom w:val="nil"/>
            </w:tcBorders>
            <w:shd w:val="clear" w:color="auto" w:fill="66CCFF"/>
          </w:tcPr>
          <w:p w14:paraId="164EFB0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F014209"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1E4F553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48437CD"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Demografické stárnutí</w:t>
            </w:r>
          </w:p>
          <w:p w14:paraId="3F5DAF1B"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Zvyšující se rychlost technologické změny</w:t>
            </w:r>
          </w:p>
          <w:p w14:paraId="08136D6A"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Virtualizace světa</w:t>
            </w:r>
          </w:p>
          <w:p w14:paraId="6C591D5F"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Rostoucí mobilita</w:t>
            </w:r>
          </w:p>
        </w:tc>
        <w:tc>
          <w:tcPr>
            <w:tcW w:w="249" w:type="dxa"/>
            <w:tcBorders>
              <w:top w:val="nil"/>
              <w:bottom w:val="nil"/>
            </w:tcBorders>
            <w:shd w:val="clear" w:color="auto" w:fill="66CCFF"/>
          </w:tcPr>
          <w:p w14:paraId="31C8C99D" w14:textId="77777777" w:rsidR="00DD3EFA" w:rsidRPr="005A0E7C" w:rsidRDefault="00DD3EFA" w:rsidP="00B15ECB">
            <w:pPr>
              <w:rPr>
                <w:b/>
              </w:rPr>
            </w:pPr>
          </w:p>
        </w:tc>
      </w:tr>
      <w:tr w:rsidR="00DD3EFA" w:rsidRPr="005A0E7C" w14:paraId="587B64BC" w14:textId="77777777" w:rsidTr="00B15ECB">
        <w:trPr>
          <w:trHeight w:val="1202"/>
        </w:trPr>
        <w:tc>
          <w:tcPr>
            <w:tcW w:w="249" w:type="dxa"/>
            <w:tcBorders>
              <w:top w:val="nil"/>
              <w:bottom w:val="nil"/>
            </w:tcBorders>
            <w:shd w:val="clear" w:color="auto" w:fill="66CCFF"/>
          </w:tcPr>
          <w:p w14:paraId="234946B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D2BC4C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328293C" w14:textId="77777777" w:rsidR="00DD3EFA" w:rsidRPr="005A0E7C" w:rsidRDefault="00DD3EFA" w:rsidP="00B15ECB">
            <w:pPr>
              <w:spacing w:before="60" w:after="60"/>
            </w:pPr>
            <w:r w:rsidRPr="005A0E7C">
              <w:t>Cíl politiky 4 Sociálnější Evropa – provádění evropského pilíře sociálních práv</w:t>
            </w:r>
          </w:p>
          <w:p w14:paraId="56C2A5B5" w14:textId="77777777" w:rsidR="00DD3EFA" w:rsidRPr="005A0E7C" w:rsidRDefault="00DD3EFA" w:rsidP="00B15ECB">
            <w:pPr>
              <w:spacing w:before="60" w:after="60"/>
            </w:pPr>
            <w:r w:rsidRPr="005A0E7C">
              <w:t>Specifický cíl ESF+: iii) prosazovat účast žen na trhu práce, lepší rovnováhu mezi prací a osobním životem – včetně přístupu k péči o děti, zdravého a přiměřeného pracovního prostředí s ohledem na zdravotní rizika a přizpůsobení pracovníků, podniků a podnikatelů změnám – a aktivní a zdravé stárnutí;</w:t>
            </w:r>
          </w:p>
          <w:p w14:paraId="045BF277" w14:textId="77777777" w:rsidR="00DD3EFA" w:rsidRPr="005A0E7C" w:rsidRDefault="00DD3EFA" w:rsidP="00B15ECB">
            <w:pPr>
              <w:spacing w:before="60" w:after="60"/>
            </w:pPr>
            <w:r w:rsidRPr="005A0E7C">
              <w:t>(pozn. znění cílů dle návrhů nařízení ze strany EK, při dosavadním vyjednávání v PS Rady byla shoda na rozdělení tohoto cíle na dva samostatné – jednoho pro rovnost žen a mužů a druhého pro adaptabilitu podniků a pracovníků))</w:t>
            </w:r>
          </w:p>
        </w:tc>
        <w:tc>
          <w:tcPr>
            <w:tcW w:w="249" w:type="dxa"/>
            <w:tcBorders>
              <w:top w:val="nil"/>
              <w:bottom w:val="nil"/>
            </w:tcBorders>
            <w:shd w:val="clear" w:color="auto" w:fill="66CCFF"/>
          </w:tcPr>
          <w:p w14:paraId="56716D4F" w14:textId="77777777" w:rsidR="00DD3EFA" w:rsidRPr="005A0E7C" w:rsidRDefault="00DD3EFA" w:rsidP="00B15ECB">
            <w:pPr>
              <w:rPr>
                <w:b/>
              </w:rPr>
            </w:pPr>
          </w:p>
        </w:tc>
      </w:tr>
      <w:tr w:rsidR="00DD3EFA" w:rsidRPr="005A0E7C" w14:paraId="75F8FED0" w14:textId="77777777" w:rsidTr="00B15ECB">
        <w:trPr>
          <w:trHeight w:val="1202"/>
        </w:trPr>
        <w:tc>
          <w:tcPr>
            <w:tcW w:w="249" w:type="dxa"/>
            <w:tcBorders>
              <w:top w:val="nil"/>
              <w:bottom w:val="nil"/>
            </w:tcBorders>
            <w:shd w:val="clear" w:color="auto" w:fill="66CCFF"/>
          </w:tcPr>
          <w:p w14:paraId="10D475D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1BA528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23FD34E7" w14:textId="77777777" w:rsidR="00DD3EFA" w:rsidRPr="005A0E7C" w:rsidRDefault="00DD3EFA" w:rsidP="00B15ECB">
            <w:pPr>
              <w:rPr>
                <w:rFonts w:eastAsiaTheme="majorEastAsia"/>
              </w:rPr>
            </w:pPr>
            <w:r w:rsidRPr="005A0E7C">
              <w:rPr>
                <w:rFonts w:eastAsiaTheme="majorEastAsia"/>
              </w:rPr>
              <w:t xml:space="preserve">SDR 2018, Doporučení č. 2 (zvýrazněna část týkající se trhu práce a zaměstnanosti): </w:t>
            </w:r>
          </w:p>
          <w:p w14:paraId="43E3414F" w14:textId="77777777" w:rsidR="00DD3EFA" w:rsidRPr="005A0E7C" w:rsidRDefault="00DD3EFA" w:rsidP="00B15ECB">
            <w:pPr>
              <w:rPr>
                <w:rFonts w:eastAsiaTheme="majorEastAsia"/>
              </w:rPr>
            </w:pPr>
          </w:p>
          <w:p w14:paraId="004D40CE" w14:textId="77777777" w:rsidR="00DD3EFA" w:rsidRPr="005A0E7C" w:rsidRDefault="00DD3EFA" w:rsidP="00B15ECB">
            <w:pPr>
              <w:rPr>
                <w:rFonts w:eastAsiaTheme="majorEastAsia"/>
              </w:rPr>
            </w:pPr>
            <w:r w:rsidRPr="005A0E7C">
              <w:rPr>
                <w:rFonts w:eastAsiaTheme="majorEastAsia"/>
              </w:rPr>
              <w:t xml:space="preserve">„Snížit administrativní zátěž pro investice, mimo jiné zrychlením povolovacích postupů u infrastrukturních projektů. Odstranit překážky brzdící výzkum, vývoj a inovace, zejména zvýšením inovační kapacity domácích podniků. Posílit schopnost vzdělávacího systému poskytovat kvalitní inkluzivní vzdělávání, mimo jiné podporou učitelského povolání. </w:t>
            </w:r>
            <w:r w:rsidRPr="005A0E7C">
              <w:rPr>
                <w:rFonts w:eastAsiaTheme="majorEastAsia"/>
                <w:b/>
              </w:rPr>
              <w:t>Podporovat zaměstnávání žen, osob s nízkou kvalifikací a osob se zdravotním postižením, mimo jiné zvýšením účinnosti aktivních politik na trhu práce.</w:t>
            </w:r>
            <w:r w:rsidRPr="005A0E7C">
              <w:rPr>
                <w:rFonts w:eastAsiaTheme="majorEastAsia"/>
              </w:rPr>
              <w:t>“</w:t>
            </w:r>
          </w:p>
        </w:tc>
        <w:tc>
          <w:tcPr>
            <w:tcW w:w="249" w:type="dxa"/>
            <w:tcBorders>
              <w:top w:val="nil"/>
              <w:bottom w:val="nil"/>
            </w:tcBorders>
            <w:shd w:val="clear" w:color="auto" w:fill="66CCFF"/>
          </w:tcPr>
          <w:p w14:paraId="2EBBCECB" w14:textId="77777777" w:rsidR="00DD3EFA" w:rsidRPr="005A0E7C" w:rsidRDefault="00DD3EFA" w:rsidP="00B15ECB">
            <w:pPr>
              <w:rPr>
                <w:b/>
              </w:rPr>
            </w:pPr>
          </w:p>
        </w:tc>
      </w:tr>
      <w:tr w:rsidR="00DD3EFA" w:rsidRPr="005A0E7C" w14:paraId="2F4FBBD0" w14:textId="77777777" w:rsidTr="00B15ECB">
        <w:trPr>
          <w:trHeight w:val="180"/>
        </w:trPr>
        <w:tc>
          <w:tcPr>
            <w:tcW w:w="249" w:type="dxa"/>
            <w:tcBorders>
              <w:top w:val="nil"/>
              <w:bottom w:val="nil"/>
              <w:right w:val="nil"/>
            </w:tcBorders>
            <w:shd w:val="clear" w:color="auto" w:fill="66CCFF"/>
          </w:tcPr>
          <w:p w14:paraId="6C545B36" w14:textId="77777777" w:rsidR="00DD3EFA" w:rsidRPr="005A0E7C" w:rsidRDefault="00DD3EFA" w:rsidP="00B15ECB">
            <w:pPr>
              <w:rPr>
                <w:b/>
              </w:rPr>
            </w:pPr>
          </w:p>
        </w:tc>
        <w:tc>
          <w:tcPr>
            <w:tcW w:w="2548" w:type="dxa"/>
            <w:tcBorders>
              <w:left w:val="nil"/>
              <w:right w:val="nil"/>
            </w:tcBorders>
            <w:shd w:val="clear" w:color="auto" w:fill="66CCFF"/>
          </w:tcPr>
          <w:p w14:paraId="7B3C04F3" w14:textId="77777777" w:rsidR="00DD3EFA" w:rsidRPr="005A0E7C" w:rsidRDefault="00DD3EFA" w:rsidP="00B15ECB">
            <w:pPr>
              <w:rPr>
                <w:b/>
              </w:rPr>
            </w:pPr>
          </w:p>
        </w:tc>
        <w:tc>
          <w:tcPr>
            <w:tcW w:w="5978" w:type="dxa"/>
            <w:tcBorders>
              <w:left w:val="nil"/>
              <w:right w:val="nil"/>
            </w:tcBorders>
            <w:shd w:val="clear" w:color="auto" w:fill="66CCFF"/>
          </w:tcPr>
          <w:p w14:paraId="4896D27E" w14:textId="77777777" w:rsidR="00DD3EFA" w:rsidRPr="005A0E7C" w:rsidRDefault="00DD3EFA" w:rsidP="00B15ECB">
            <w:pPr>
              <w:rPr>
                <w:b/>
              </w:rPr>
            </w:pPr>
          </w:p>
        </w:tc>
        <w:tc>
          <w:tcPr>
            <w:tcW w:w="249" w:type="dxa"/>
            <w:tcBorders>
              <w:top w:val="nil"/>
              <w:left w:val="nil"/>
              <w:bottom w:val="nil"/>
            </w:tcBorders>
            <w:shd w:val="clear" w:color="auto" w:fill="66CCFF"/>
          </w:tcPr>
          <w:p w14:paraId="5D15FB1F" w14:textId="77777777" w:rsidR="00DD3EFA" w:rsidRPr="005A0E7C" w:rsidRDefault="00DD3EFA" w:rsidP="00B15ECB">
            <w:pPr>
              <w:rPr>
                <w:b/>
              </w:rPr>
            </w:pPr>
          </w:p>
        </w:tc>
      </w:tr>
      <w:tr w:rsidR="00DD3EFA" w:rsidRPr="005A0E7C" w14:paraId="2089CEF6" w14:textId="77777777" w:rsidTr="00B15ECB">
        <w:trPr>
          <w:trHeight w:val="938"/>
        </w:trPr>
        <w:tc>
          <w:tcPr>
            <w:tcW w:w="249" w:type="dxa"/>
            <w:tcBorders>
              <w:top w:val="nil"/>
              <w:bottom w:val="nil"/>
            </w:tcBorders>
            <w:shd w:val="clear" w:color="auto" w:fill="66CCFF"/>
          </w:tcPr>
          <w:p w14:paraId="20E4F57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AA92348"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15BB4738"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4CA7DC73"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Evropský pilíř sociálních práv</w:t>
            </w:r>
          </w:p>
          <w:p w14:paraId="5EC10EF4"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Evropa 2020 : strategie Evropské unie pro růst a zaměstnanost</w:t>
            </w:r>
          </w:p>
          <w:p w14:paraId="2F67850D"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Strategický rámec Česká republika 2030</w:t>
            </w:r>
          </w:p>
          <w:p w14:paraId="31681878"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politiky zaměstnanosti do roku 2020 (2015), aktualizace 2017</w:t>
            </w:r>
          </w:p>
          <w:p w14:paraId="017F77C8"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Národní program reforem</w:t>
            </w:r>
          </w:p>
          <w:p w14:paraId="1222F260"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Vládní strategie pro rovnost žen a mužů v ČR na léta 2014 – 2020</w:t>
            </w:r>
          </w:p>
          <w:p w14:paraId="61B901A0"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Koncepce politiky zaměstnanosti 2013 – 2020</w:t>
            </w:r>
          </w:p>
          <w:p w14:paraId="118037AC"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Strategický rámec politiky zaměstnanosti do roku 2030 (v přípravě, dále též SR PZ 2030)</w:t>
            </w:r>
          </w:p>
        </w:tc>
        <w:tc>
          <w:tcPr>
            <w:tcW w:w="249" w:type="dxa"/>
            <w:tcBorders>
              <w:top w:val="nil"/>
              <w:bottom w:val="nil"/>
            </w:tcBorders>
            <w:shd w:val="clear" w:color="auto" w:fill="66CCFF"/>
          </w:tcPr>
          <w:p w14:paraId="7EE489DD" w14:textId="77777777" w:rsidR="00DD3EFA" w:rsidRPr="005A0E7C" w:rsidRDefault="00DD3EFA" w:rsidP="00B15ECB">
            <w:pPr>
              <w:rPr>
                <w:b/>
              </w:rPr>
            </w:pPr>
          </w:p>
        </w:tc>
      </w:tr>
      <w:tr w:rsidR="00DD3EFA" w:rsidRPr="005A0E7C" w14:paraId="56D0C889" w14:textId="77777777" w:rsidTr="00B15ECB">
        <w:trPr>
          <w:trHeight w:val="938"/>
        </w:trPr>
        <w:tc>
          <w:tcPr>
            <w:tcW w:w="249" w:type="dxa"/>
            <w:tcBorders>
              <w:top w:val="nil"/>
              <w:bottom w:val="nil"/>
            </w:tcBorders>
            <w:shd w:val="clear" w:color="auto" w:fill="66CCFF"/>
          </w:tcPr>
          <w:p w14:paraId="61D5679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2F3FCD9"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7537E75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CB41FD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253696E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obsahuje část analyzující vývoj trhu práce v posledních deseti letech, a to s ohledem na nutnost popsat vývoj trhu práce v průběhu celého střednědobého hospodářského cyklu a identifikovat tak dlouhodobější trendy vývoje a proměny trhu práce. Zároveň obsahuje část „východiska“ stojící na pomezí strategické a analytické části, vycházející z již provedených analýz a predikcí očekávaného vývoje trhu práce, zejména ve vazbě na dopady 4. průmyslové revoluce.</w:t>
            </w:r>
          </w:p>
        </w:tc>
        <w:tc>
          <w:tcPr>
            <w:tcW w:w="249" w:type="dxa"/>
            <w:tcBorders>
              <w:top w:val="nil"/>
              <w:bottom w:val="nil"/>
            </w:tcBorders>
            <w:shd w:val="clear" w:color="auto" w:fill="66CCFF"/>
          </w:tcPr>
          <w:p w14:paraId="3A4727DB" w14:textId="77777777" w:rsidR="00DD3EFA" w:rsidRPr="005A0E7C" w:rsidRDefault="00DD3EFA" w:rsidP="00B15ECB">
            <w:pPr>
              <w:rPr>
                <w:b/>
              </w:rPr>
            </w:pPr>
          </w:p>
        </w:tc>
      </w:tr>
      <w:tr w:rsidR="00DD3EFA" w:rsidRPr="005A0E7C" w14:paraId="39339734" w14:textId="77777777" w:rsidTr="00B15ECB">
        <w:trPr>
          <w:trHeight w:val="938"/>
        </w:trPr>
        <w:tc>
          <w:tcPr>
            <w:tcW w:w="249" w:type="dxa"/>
            <w:tcBorders>
              <w:top w:val="nil"/>
              <w:bottom w:val="nil"/>
            </w:tcBorders>
            <w:shd w:val="clear" w:color="auto" w:fill="66CCFF"/>
          </w:tcPr>
          <w:p w14:paraId="22AA10A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14DAB2F"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4BAD2615"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C9ABEC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6795DF9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je strategickým rámcem s platností na celé období 20. let 21. století. Cíle a opatření jsou proto definována rámcově a budou pro kratší období 2 až tří let zpřesňována prostřednictvím akčních plánů.</w:t>
            </w:r>
          </w:p>
        </w:tc>
        <w:tc>
          <w:tcPr>
            <w:tcW w:w="249" w:type="dxa"/>
            <w:tcBorders>
              <w:top w:val="nil"/>
              <w:bottom w:val="nil"/>
            </w:tcBorders>
            <w:shd w:val="clear" w:color="auto" w:fill="66CCFF"/>
          </w:tcPr>
          <w:p w14:paraId="7BB06585" w14:textId="77777777" w:rsidR="00DD3EFA" w:rsidRPr="005A0E7C" w:rsidRDefault="00DD3EFA" w:rsidP="00B15ECB">
            <w:pPr>
              <w:rPr>
                <w:b/>
              </w:rPr>
            </w:pPr>
          </w:p>
        </w:tc>
      </w:tr>
      <w:tr w:rsidR="00DD3EFA" w:rsidRPr="005A0E7C" w14:paraId="7D1A53D9" w14:textId="77777777" w:rsidTr="00B15ECB">
        <w:trPr>
          <w:trHeight w:val="938"/>
        </w:trPr>
        <w:tc>
          <w:tcPr>
            <w:tcW w:w="249" w:type="dxa"/>
            <w:tcBorders>
              <w:top w:val="nil"/>
              <w:bottom w:val="nil"/>
            </w:tcBorders>
            <w:shd w:val="clear" w:color="auto" w:fill="66CCFF"/>
          </w:tcPr>
          <w:p w14:paraId="0B3C715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8D5137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11577AB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40AAB5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085B4C8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bude implementován prováděcími akčními plány s časovým horizontem dvou až tří let. Ty budou již obsahovat konkrétní opatření s určením gestora, finančních nákladů (bude-i možné vyčíslit) i termínem plnění. Akční plány budou připraveny na období po roce 2020, do roku 2020 jsou implementovány stávající strategické materiály.</w:t>
            </w:r>
          </w:p>
        </w:tc>
        <w:tc>
          <w:tcPr>
            <w:tcW w:w="249" w:type="dxa"/>
            <w:tcBorders>
              <w:top w:val="nil"/>
              <w:bottom w:val="nil"/>
            </w:tcBorders>
            <w:shd w:val="clear" w:color="auto" w:fill="66CCFF"/>
          </w:tcPr>
          <w:p w14:paraId="31935B17" w14:textId="77777777" w:rsidR="00DD3EFA" w:rsidRPr="005A0E7C" w:rsidRDefault="00DD3EFA" w:rsidP="00B15ECB">
            <w:pPr>
              <w:rPr>
                <w:b/>
              </w:rPr>
            </w:pPr>
          </w:p>
        </w:tc>
      </w:tr>
      <w:tr w:rsidR="00DD3EFA" w:rsidRPr="005A0E7C" w14:paraId="6BD35132" w14:textId="77777777" w:rsidTr="00B15ECB">
        <w:trPr>
          <w:trHeight w:val="938"/>
        </w:trPr>
        <w:tc>
          <w:tcPr>
            <w:tcW w:w="249" w:type="dxa"/>
            <w:tcBorders>
              <w:top w:val="nil"/>
              <w:bottom w:val="nil"/>
            </w:tcBorders>
            <w:shd w:val="clear" w:color="auto" w:fill="66CCFF"/>
          </w:tcPr>
          <w:p w14:paraId="760FAB8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23387D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1DEF5FC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033A4E3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bude pravidelně monitorován v rámci standardních mechanismů. MPSV pravidelně vypracovává s pololetní frekvencí Analýzu vývoje zaměstnanosti a nezaměstnanosti a pravidelně vydává veřejně dostupné statistiky, včetně časových řad, umožňující průběžné monitorování stavu trhu práce a tedy i naplňování cílů SR PZ 2030. Pravidelně budou vyhodnocovány konkrétní akční plány.</w:t>
            </w:r>
          </w:p>
        </w:tc>
        <w:tc>
          <w:tcPr>
            <w:tcW w:w="249" w:type="dxa"/>
            <w:tcBorders>
              <w:top w:val="nil"/>
              <w:bottom w:val="nil"/>
            </w:tcBorders>
            <w:shd w:val="clear" w:color="auto" w:fill="66CCFF"/>
          </w:tcPr>
          <w:p w14:paraId="6ED7E75A" w14:textId="77777777" w:rsidR="00DD3EFA" w:rsidRPr="005A0E7C" w:rsidRDefault="00DD3EFA" w:rsidP="00B15ECB">
            <w:pPr>
              <w:rPr>
                <w:b/>
              </w:rPr>
            </w:pPr>
          </w:p>
        </w:tc>
      </w:tr>
      <w:tr w:rsidR="00DD3EFA" w:rsidRPr="005A0E7C" w14:paraId="407A4A23" w14:textId="77777777" w:rsidTr="00B15ECB">
        <w:trPr>
          <w:trHeight w:val="130"/>
        </w:trPr>
        <w:tc>
          <w:tcPr>
            <w:tcW w:w="249" w:type="dxa"/>
            <w:tcBorders>
              <w:top w:val="nil"/>
              <w:bottom w:val="nil"/>
              <w:right w:val="nil"/>
            </w:tcBorders>
            <w:shd w:val="clear" w:color="auto" w:fill="66CCFF"/>
          </w:tcPr>
          <w:p w14:paraId="24DED27E" w14:textId="77777777" w:rsidR="00DD3EFA" w:rsidRPr="005A0E7C" w:rsidRDefault="00DD3EFA" w:rsidP="00B15ECB">
            <w:pPr>
              <w:rPr>
                <w:b/>
              </w:rPr>
            </w:pPr>
          </w:p>
        </w:tc>
        <w:tc>
          <w:tcPr>
            <w:tcW w:w="2548" w:type="dxa"/>
            <w:tcBorders>
              <w:left w:val="nil"/>
              <w:right w:val="nil"/>
            </w:tcBorders>
            <w:shd w:val="clear" w:color="auto" w:fill="66CCFF"/>
          </w:tcPr>
          <w:p w14:paraId="133DF1D6" w14:textId="77777777" w:rsidR="00DD3EFA" w:rsidRPr="005A0E7C" w:rsidRDefault="00DD3EFA" w:rsidP="00B15ECB">
            <w:pPr>
              <w:rPr>
                <w:b/>
              </w:rPr>
            </w:pPr>
          </w:p>
        </w:tc>
        <w:tc>
          <w:tcPr>
            <w:tcW w:w="5978" w:type="dxa"/>
            <w:tcBorders>
              <w:left w:val="nil"/>
              <w:right w:val="nil"/>
            </w:tcBorders>
            <w:shd w:val="clear" w:color="auto" w:fill="66CCFF"/>
          </w:tcPr>
          <w:p w14:paraId="4A734BD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rPr>
            </w:pPr>
          </w:p>
        </w:tc>
        <w:tc>
          <w:tcPr>
            <w:tcW w:w="249" w:type="dxa"/>
            <w:tcBorders>
              <w:top w:val="nil"/>
              <w:left w:val="nil"/>
              <w:bottom w:val="nil"/>
            </w:tcBorders>
            <w:shd w:val="clear" w:color="auto" w:fill="66CCFF"/>
          </w:tcPr>
          <w:p w14:paraId="4431AB02" w14:textId="77777777" w:rsidR="00DD3EFA" w:rsidRPr="005A0E7C" w:rsidRDefault="00DD3EFA" w:rsidP="00B15ECB">
            <w:pPr>
              <w:rPr>
                <w:b/>
              </w:rPr>
            </w:pPr>
          </w:p>
        </w:tc>
      </w:tr>
      <w:tr w:rsidR="00DD3EFA" w:rsidRPr="005A0E7C" w14:paraId="3390C989" w14:textId="77777777" w:rsidTr="00B15ECB">
        <w:trPr>
          <w:trHeight w:val="1258"/>
        </w:trPr>
        <w:tc>
          <w:tcPr>
            <w:tcW w:w="249" w:type="dxa"/>
            <w:tcBorders>
              <w:top w:val="nil"/>
              <w:bottom w:val="nil"/>
              <w:right w:val="nil"/>
            </w:tcBorders>
            <w:shd w:val="clear" w:color="auto" w:fill="66CCFF"/>
          </w:tcPr>
          <w:p w14:paraId="2E7AF576" w14:textId="77777777" w:rsidR="00DD3EFA" w:rsidRPr="005A0E7C" w:rsidRDefault="00DD3EFA" w:rsidP="00B15ECB">
            <w:pPr>
              <w:rPr>
                <w:b/>
              </w:rPr>
            </w:pPr>
          </w:p>
        </w:tc>
        <w:tc>
          <w:tcPr>
            <w:tcW w:w="8526" w:type="dxa"/>
            <w:gridSpan w:val="2"/>
            <w:shd w:val="clear" w:color="auto" w:fill="FFFFFF" w:themeFill="background1"/>
          </w:tcPr>
          <w:p w14:paraId="3E27740D"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p w14:paraId="0A9BFBC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1D17C297" w14:textId="77777777" w:rsidR="00DD3EFA" w:rsidRPr="005A0E7C" w:rsidRDefault="00DD3EFA" w:rsidP="00B15ECB">
            <w:pPr>
              <w:rPr>
                <w:b/>
              </w:rPr>
            </w:pPr>
          </w:p>
        </w:tc>
      </w:tr>
      <w:tr w:rsidR="00DD3EFA" w:rsidRPr="005A0E7C" w14:paraId="7987CCD1" w14:textId="77777777" w:rsidTr="00B15ECB">
        <w:trPr>
          <w:trHeight w:val="1258"/>
        </w:trPr>
        <w:tc>
          <w:tcPr>
            <w:tcW w:w="249" w:type="dxa"/>
            <w:tcBorders>
              <w:top w:val="nil"/>
              <w:bottom w:val="nil"/>
              <w:right w:val="nil"/>
            </w:tcBorders>
            <w:shd w:val="clear" w:color="auto" w:fill="66CCFF"/>
          </w:tcPr>
          <w:p w14:paraId="54906CD4" w14:textId="77777777" w:rsidR="00DD3EFA" w:rsidRPr="005A0E7C" w:rsidRDefault="00DD3EFA" w:rsidP="00B15ECB">
            <w:pPr>
              <w:rPr>
                <w:b/>
              </w:rPr>
            </w:pPr>
          </w:p>
        </w:tc>
        <w:tc>
          <w:tcPr>
            <w:tcW w:w="2548" w:type="dxa"/>
            <w:shd w:val="clear" w:color="auto" w:fill="FFFFFF" w:themeFill="background1"/>
          </w:tcPr>
          <w:p w14:paraId="43ABD59C" w14:textId="77777777" w:rsidR="00DD3EFA" w:rsidRPr="005A0E7C" w:rsidRDefault="00DD3EFA" w:rsidP="00B15ECB">
            <w:pPr>
              <w:rPr>
                <w:rFonts w:eastAsiaTheme="majorEastAsia"/>
                <w:b/>
              </w:rPr>
            </w:pPr>
            <w:r w:rsidRPr="005A0E7C">
              <w:rPr>
                <w:rFonts w:eastAsiaTheme="majorEastAsia"/>
                <w:b/>
              </w:rPr>
              <w:t>Věcný posun oblasti</w:t>
            </w:r>
          </w:p>
          <w:p w14:paraId="322E9E49"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17B1D7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p>
          <w:p w14:paraId="2B26ABAF" w14:textId="77777777" w:rsidR="00DD3EFA" w:rsidRPr="005A0E7C" w:rsidRDefault="00DD3EFA" w:rsidP="00B15ECB">
            <w:pPr>
              <w:pStyle w:val="Nadpis3"/>
              <w:shd w:val="clear" w:color="auto" w:fill="FFFFFF"/>
              <w:spacing w:before="0" w:beforeAutospacing="0" w:after="0" w:afterAutospacing="0"/>
              <w:ind w:left="23" w:right="23"/>
              <w:outlineLvl w:val="2"/>
              <w:rPr>
                <w:b w:val="0"/>
                <w:sz w:val="20"/>
                <w:szCs w:val="20"/>
              </w:rPr>
            </w:pPr>
            <w:r w:rsidRPr="005A0E7C">
              <w:rPr>
                <w:b w:val="0"/>
                <w:sz w:val="20"/>
                <w:szCs w:val="20"/>
              </w:rPr>
              <w:t xml:space="preserve">Oblast rovných příležitostí žen a mužů je z fondů EU podporována již od období 2004-2006. V období 2007-2013 byla vzhledem k demografické situaci a výraznému nedostatku míst v mateřských školách zahájena podpora zařízení péče o děti, a to včetně pilotního otestování podpory vzniku nových zařízení formou zjednodušeného vykazování výdajů. Pro období 2014-2020 představuje podpora zařízení péče o děti předškolního věku dominantní aktivitu, která vzhledem k počtu zařízení vzniklých díky podpoře z OPZ vedla k významnému navýšení kapacit dostupných zařízení péče o děti a přispěla ke zvýšení míry zaměstnanosti žen. Výstupy z evaluací intervencí podporovaných v operačních programech v gesci MPSV v obdobích 2014-2020, 2007-2013 a 2004-2006 jsou k dispozici na odkaze: </w:t>
            </w:r>
            <w:hyperlink r:id="rId16" w:history="1">
              <w:r w:rsidRPr="005A0E7C">
                <w:rPr>
                  <w:rStyle w:val="Hypertextovodkaz"/>
                  <w:b w:val="0"/>
                  <w:sz w:val="20"/>
                  <w:szCs w:val="20"/>
                </w:rPr>
                <w:t>https://www.esfcr.cz/evaluace</w:t>
              </w:r>
            </w:hyperlink>
            <w:r w:rsidRPr="005A0E7C">
              <w:rPr>
                <w:b w:val="0"/>
                <w:sz w:val="20"/>
                <w:szCs w:val="20"/>
              </w:rPr>
              <w:t>. Zmínit lze například</w:t>
            </w:r>
            <w:r w:rsidRPr="005A0E7C">
              <w:rPr>
                <w:b w:val="0"/>
                <w:i/>
                <w:sz w:val="20"/>
                <w:szCs w:val="20"/>
              </w:rPr>
              <w:t xml:space="preserve"> Evaluaci výzev A4 a B5 OP LZZ, Evaluaci podpory dětských skupin a dětských klubů, Průběžnou dlouhodobou evaluaci účinků podpory OP LZZ na cílové skupiny programu, nebo Evaluaci dopadů a dobré praxe OP LZZ na základě případových studií a jejich meta-analýzy. </w:t>
            </w:r>
          </w:p>
          <w:p w14:paraId="059534AA" w14:textId="77777777" w:rsidR="00DD3EFA" w:rsidRPr="005A0E7C" w:rsidRDefault="00DD3EFA" w:rsidP="00B15ECB">
            <w:pPr>
              <w:pStyle w:val="Nadpis3"/>
              <w:shd w:val="clear" w:color="auto" w:fill="FFFFFF"/>
              <w:spacing w:before="0" w:beforeAutospacing="0" w:after="0" w:afterAutospacing="0"/>
              <w:ind w:left="23" w:right="23"/>
              <w:outlineLvl w:val="2"/>
              <w:rPr>
                <w:i/>
                <w:sz w:val="20"/>
                <w:szCs w:val="20"/>
              </w:rPr>
            </w:pPr>
            <w:r w:rsidRPr="005A0E7C">
              <w:rPr>
                <w:b w:val="0"/>
                <w:sz w:val="20"/>
                <w:szCs w:val="20"/>
              </w:rPr>
              <w:t>Strategická evaluace OPZ I – relevance z 30. března 2017 konstatovala platnost intervenční logiky v oblasti podpory rovnosti žen a mužů, cílové hodnoty indikátorů v této oblasti jsou výrazně přeplňovány oproti původně předpokládaným cílovým hodnotám.</w:t>
            </w:r>
          </w:p>
        </w:tc>
        <w:tc>
          <w:tcPr>
            <w:tcW w:w="249" w:type="dxa"/>
            <w:tcBorders>
              <w:top w:val="nil"/>
              <w:left w:val="nil"/>
              <w:bottom w:val="nil"/>
            </w:tcBorders>
            <w:shd w:val="clear" w:color="auto" w:fill="66CCFF"/>
          </w:tcPr>
          <w:p w14:paraId="48121A4D" w14:textId="77777777" w:rsidR="00DD3EFA" w:rsidRPr="005A0E7C" w:rsidRDefault="00DD3EFA" w:rsidP="00B15ECB">
            <w:pPr>
              <w:rPr>
                <w:b/>
              </w:rPr>
            </w:pPr>
          </w:p>
        </w:tc>
      </w:tr>
      <w:tr w:rsidR="00DD3EFA" w:rsidRPr="005A0E7C" w14:paraId="160F338C" w14:textId="77777777" w:rsidTr="00B15ECB">
        <w:trPr>
          <w:trHeight w:val="1258"/>
        </w:trPr>
        <w:tc>
          <w:tcPr>
            <w:tcW w:w="249" w:type="dxa"/>
            <w:tcBorders>
              <w:top w:val="nil"/>
              <w:bottom w:val="nil"/>
              <w:right w:val="nil"/>
            </w:tcBorders>
            <w:shd w:val="clear" w:color="auto" w:fill="66CCFF"/>
          </w:tcPr>
          <w:p w14:paraId="69C96DC0" w14:textId="77777777" w:rsidR="00DD3EFA" w:rsidRPr="005A0E7C" w:rsidRDefault="00DD3EFA" w:rsidP="00B15ECB">
            <w:pPr>
              <w:rPr>
                <w:b/>
              </w:rPr>
            </w:pPr>
          </w:p>
        </w:tc>
        <w:tc>
          <w:tcPr>
            <w:tcW w:w="2548" w:type="dxa"/>
            <w:shd w:val="clear" w:color="auto" w:fill="FFFFFF" w:themeFill="background1"/>
          </w:tcPr>
          <w:p w14:paraId="6F845A74" w14:textId="77777777" w:rsidR="00DD3EFA" w:rsidRPr="005A0E7C" w:rsidRDefault="00DD3EFA" w:rsidP="00B15ECB">
            <w:pPr>
              <w:rPr>
                <w:rFonts w:eastAsiaTheme="majorEastAsia"/>
                <w:b/>
              </w:rPr>
            </w:pPr>
            <w:r w:rsidRPr="005A0E7C">
              <w:rPr>
                <w:rFonts w:eastAsiaTheme="majorEastAsia"/>
                <w:b/>
              </w:rPr>
              <w:t>Synergické a multiplikační efekty</w:t>
            </w:r>
          </w:p>
          <w:p w14:paraId="438F1012"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62686D2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Synergická vazba nebyla v dané oblasti identifikována.   </w:t>
            </w:r>
          </w:p>
          <w:p w14:paraId="5B30A9F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období 2014-2020 je v rámci OPZ sledována v dané oblasti komplementární vazba „vzdělávání a péče o děti do 3 let“ – pro plnění této vazby byly nastaveny dostatečné koordinační mechanismy, je zajišťována doplňkovost jednotlivých operací s relevantními aktivitami v rámci výzev OP VVV, OP PPR i IROP.</w:t>
            </w:r>
          </w:p>
          <w:p w14:paraId="74F4598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Podrobnější informace o plnění komplementárních vazeb v OPZ jsou uvedeny v Přehledu plnění synergických a komplementárních vazeb v MS2014, který je každoročně vyplňován jednotlivými ŘO podle Metodického pokynu pro monitorování implementace ESIF v ČR v programovém období 2014-2020.</w:t>
            </w:r>
          </w:p>
        </w:tc>
        <w:tc>
          <w:tcPr>
            <w:tcW w:w="249" w:type="dxa"/>
            <w:tcBorders>
              <w:top w:val="nil"/>
              <w:left w:val="nil"/>
              <w:bottom w:val="nil"/>
            </w:tcBorders>
            <w:shd w:val="clear" w:color="auto" w:fill="66CCFF"/>
          </w:tcPr>
          <w:p w14:paraId="5D1BFEEA" w14:textId="77777777" w:rsidR="00DD3EFA" w:rsidRPr="005A0E7C" w:rsidRDefault="00DD3EFA" w:rsidP="00B15ECB">
            <w:pPr>
              <w:rPr>
                <w:b/>
              </w:rPr>
            </w:pPr>
          </w:p>
        </w:tc>
      </w:tr>
      <w:tr w:rsidR="00DD3EFA" w:rsidRPr="005A0E7C" w14:paraId="6C2AF287" w14:textId="77777777" w:rsidTr="00B15ECB">
        <w:trPr>
          <w:trHeight w:val="180"/>
        </w:trPr>
        <w:tc>
          <w:tcPr>
            <w:tcW w:w="249" w:type="dxa"/>
            <w:tcBorders>
              <w:top w:val="nil"/>
              <w:bottom w:val="nil"/>
              <w:right w:val="nil"/>
            </w:tcBorders>
            <w:shd w:val="clear" w:color="auto" w:fill="66CCFF"/>
          </w:tcPr>
          <w:p w14:paraId="603941D9"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0FA00052"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0838FF24" w14:textId="77777777" w:rsidR="00DD3EFA" w:rsidRPr="005A0E7C" w:rsidRDefault="00DD3EFA" w:rsidP="00B15ECB">
            <w:pPr>
              <w:rPr>
                <w:b/>
              </w:rPr>
            </w:pPr>
          </w:p>
        </w:tc>
        <w:tc>
          <w:tcPr>
            <w:tcW w:w="249" w:type="dxa"/>
            <w:tcBorders>
              <w:top w:val="nil"/>
              <w:left w:val="nil"/>
              <w:bottom w:val="nil"/>
            </w:tcBorders>
            <w:shd w:val="clear" w:color="auto" w:fill="66CCFF"/>
          </w:tcPr>
          <w:p w14:paraId="0DA0C825" w14:textId="77777777" w:rsidR="00DD3EFA" w:rsidRPr="005A0E7C" w:rsidRDefault="00DD3EFA" w:rsidP="00B15ECB">
            <w:pPr>
              <w:rPr>
                <w:b/>
              </w:rPr>
            </w:pPr>
          </w:p>
        </w:tc>
      </w:tr>
      <w:tr w:rsidR="00DD3EFA" w:rsidRPr="005A0E7C" w14:paraId="5FEAB4A7" w14:textId="77777777" w:rsidTr="00B15ECB">
        <w:trPr>
          <w:trHeight w:val="990"/>
        </w:trPr>
        <w:tc>
          <w:tcPr>
            <w:tcW w:w="249" w:type="dxa"/>
            <w:tcBorders>
              <w:top w:val="nil"/>
              <w:bottom w:val="nil"/>
            </w:tcBorders>
            <w:shd w:val="clear" w:color="auto" w:fill="66CCFF"/>
          </w:tcPr>
          <w:p w14:paraId="46A722FF"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14F67784"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4E53C57D" w14:textId="77777777" w:rsidR="00DD3EFA" w:rsidRPr="005A0E7C" w:rsidRDefault="00DD3EFA" w:rsidP="00B15ECB">
            <w:pPr>
              <w:spacing w:before="60" w:after="60"/>
              <w:rPr>
                <w:rFonts w:eastAsiaTheme="majorEastAsia"/>
                <w:i/>
                <w:u w:val="single"/>
              </w:rPr>
            </w:pPr>
          </w:p>
          <w:p w14:paraId="7ECC31A3"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7A992343" w14:textId="77777777" w:rsidR="00DD3EFA" w:rsidRPr="005A0E7C" w:rsidRDefault="00DD3EFA" w:rsidP="00B15ECB">
            <w:pPr>
              <w:rPr>
                <w:b/>
              </w:rPr>
            </w:pPr>
          </w:p>
        </w:tc>
      </w:tr>
      <w:tr w:rsidR="00DD3EFA" w:rsidRPr="005A0E7C" w14:paraId="68F6A7E2" w14:textId="77777777" w:rsidTr="00B15ECB">
        <w:trPr>
          <w:trHeight w:val="1260"/>
        </w:trPr>
        <w:tc>
          <w:tcPr>
            <w:tcW w:w="249" w:type="dxa"/>
            <w:tcBorders>
              <w:top w:val="nil"/>
              <w:bottom w:val="nil"/>
            </w:tcBorders>
            <w:shd w:val="clear" w:color="auto" w:fill="66CCFF"/>
          </w:tcPr>
          <w:p w14:paraId="4A21597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C72DCA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5D892254" w14:textId="77777777" w:rsidR="00DD3EFA" w:rsidRPr="005A0E7C" w:rsidRDefault="00DD3EFA" w:rsidP="00B15ECB">
            <w:pPr>
              <w:pStyle w:val="Textkomente"/>
              <w:rPr>
                <w:noProof w:val="0"/>
              </w:rPr>
            </w:pPr>
            <w:r w:rsidRPr="005A0E7C">
              <w:rPr>
                <w:noProof w:val="0"/>
              </w:rPr>
              <w:t>Velká část podpory se zaměřuje na zařízení péče o děti. Existuje zde značná absorpční kapacita. Vyhlášeno dosud bylo 5 výzev na dětské skupiny, 4 výzvy na dětské kluby a 2 výzvy na mikrojesle v rámci OPZ (ve výzvách na dětské skupiny a dětské kluby byl zaznamenán značný převis žádostí o podporu) a 2 výzvy  v OP PPR (SC 4.3 Zvýšení dostupnosti zařízení péče o děti, dostatečný zájem, alokace naplněna z 85 %). Zejména o výzvy vyhlášené v rámci OPZ byl mimořádný zájem a jsou plánovány další. Vznik těchto zařízení zejména formou dětské skupiny byl podpořen několika koly výzev, jedním též v roce 2017. V současné době již v OPZ vzniklo, či bylo rozšířeno, 697 zařízení péče o děti typů dětských skupin a živností, 87 dětských klubů a 73 mikrojeslí, projekty na podporu dalších, více než 750 zařízení všech typů, jsou aktuálně v procesu hodnocení tj. před uzavřením právního aktu. Objektivní potřebu nových zařízení péče o děti předškolního věku a děti do 3 let věku je třeba detailně analyzovat a dle výsledků navrhnout další podporu v této oblasti z ESI fondů. Evaluační zpráva o projektu dětských skupin ukázala, že zařízení je využíváno ve větší míře vysokoškolsky vzdělanými lidmi, zejména co se týče matek. To souvisí také s tím, že se jedná o rodiny se střední a vyšší úrovní příjmů, které nemají problém s uhrazením poplatku za péči. Bylo doporučeno, aby se došetřila dostupnost dětských skupin i pro méně kvalifikované obyvatele s nižšími příjmy a zda tito lidé o možnosti vůbec vědí. Dále bylo doporučeno řešit návaznost dětských skupin na státní mateřské školy. Ukázalo se, že jakmile je to možné, rodiče přesunou dítě právě do mateřské školy. Vznik dětských skupin by také měl být navázán na analýzu potřebnosti v jednotlivých krajích a obcích podle počtu obyvatel.</w:t>
            </w:r>
          </w:p>
          <w:p w14:paraId="70F6DAFC" w14:textId="77777777" w:rsidR="00DD3EFA" w:rsidRPr="005A0E7C" w:rsidRDefault="00DD3EFA" w:rsidP="00B15ECB">
            <w:pPr>
              <w:pStyle w:val="Odrky"/>
              <w:ind w:left="0" w:firstLine="0"/>
              <w:rPr>
                <w:rFonts w:ascii="Times New Roman" w:eastAsiaTheme="minorHAnsi" w:hAnsi="Times New Roman"/>
                <w:szCs w:val="20"/>
                <w:lang w:eastAsia="en-US"/>
              </w:rPr>
            </w:pPr>
            <w:r w:rsidRPr="005A0E7C">
              <w:rPr>
                <w:rFonts w:ascii="Times New Roman" w:eastAsiaTheme="minorHAnsi" w:hAnsi="Times New Roman"/>
                <w:szCs w:val="20"/>
                <w:lang w:eastAsia="en-US"/>
              </w:rPr>
              <w:t>Podporována jsou ale i další témata v této oblasti. V roce 2017 byla např. vyhlášena výzva na genderové audity zaměstnavatelů. Celkem bylo v IP 1.2 ke konci roku 2018 podpořeno již 35 323 osob, což cca trojnásobně přesahuje stanovenou cílovou hodnotu. Obdobně kapacita podpořených zařízení péče o děti dosáhla hodnoty 20 794 osob, což cca pětinásobně přesahuje stanovenou cílovou hodnotu.</w:t>
            </w:r>
          </w:p>
          <w:p w14:paraId="493BFA0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8,54 mld. Kč</w:t>
            </w:r>
          </w:p>
          <w:p w14:paraId="1CF3710D"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5 mld. Kč (59 %)</w:t>
            </w:r>
          </w:p>
          <w:p w14:paraId="4244D464" w14:textId="77777777" w:rsidR="00DD3EFA" w:rsidRPr="005A0E7C" w:rsidRDefault="00DD3EFA" w:rsidP="00B15ECB">
            <w:pPr>
              <w:spacing w:before="60" w:after="60"/>
            </w:pPr>
            <w:r w:rsidRPr="005A0E7C">
              <w:t>Objem vyúčtovaný v ŽoP: 1,96 mld. Kč (23 %)</w:t>
            </w:r>
          </w:p>
          <w:p w14:paraId="6594E3E8" w14:textId="77777777" w:rsidR="00DD3EFA" w:rsidRPr="005A0E7C" w:rsidRDefault="00DD3EFA" w:rsidP="00B15ECB">
            <w:pPr>
              <w:spacing w:before="60" w:after="60"/>
            </w:pPr>
          </w:p>
          <w:p w14:paraId="1BF8247C" w14:textId="77777777" w:rsidR="00DD3EFA" w:rsidRPr="005A0E7C" w:rsidRDefault="00DD3EFA" w:rsidP="00B15ECB">
            <w:r w:rsidRPr="005A0E7C">
              <w:t xml:space="preserve">V IROP bylo podporováno předškolní vzdělávání formou:   </w:t>
            </w:r>
          </w:p>
          <w:p w14:paraId="199C5D6D" w14:textId="77777777" w:rsidR="00DD3EFA" w:rsidRPr="005A0E7C" w:rsidRDefault="00DD3EFA" w:rsidP="00391907">
            <w:pPr>
              <w:pStyle w:val="Odstavecseseznamem"/>
              <w:numPr>
                <w:ilvl w:val="0"/>
                <w:numId w:val="20"/>
              </w:numPr>
              <w:jc w:val="both"/>
            </w:pPr>
            <w:r w:rsidRPr="005A0E7C">
              <w:t>Vybudování mateřské školy</w:t>
            </w:r>
          </w:p>
          <w:p w14:paraId="1EB8D0CD" w14:textId="77777777" w:rsidR="00DD3EFA" w:rsidRPr="005A0E7C" w:rsidRDefault="00DD3EFA" w:rsidP="00391907">
            <w:pPr>
              <w:pStyle w:val="Odstavecseseznamem"/>
              <w:numPr>
                <w:ilvl w:val="0"/>
                <w:numId w:val="20"/>
              </w:numPr>
              <w:jc w:val="both"/>
            </w:pPr>
            <w:r w:rsidRPr="005A0E7C">
              <w:t>Vybudování dětské skupiny</w:t>
            </w:r>
          </w:p>
          <w:p w14:paraId="332F16C6" w14:textId="77777777" w:rsidR="00DD3EFA" w:rsidRPr="005A0E7C" w:rsidRDefault="00DD3EFA" w:rsidP="00391907">
            <w:pPr>
              <w:pStyle w:val="Odstavecseseznamem"/>
              <w:numPr>
                <w:ilvl w:val="0"/>
                <w:numId w:val="20"/>
              </w:numPr>
              <w:spacing w:before="60" w:after="60"/>
              <w:rPr>
                <w:rFonts w:eastAsiaTheme="majorEastAsia"/>
                <w:i/>
              </w:rPr>
            </w:pPr>
            <w:r w:rsidRPr="005A0E7C">
              <w:t>Vybudování zařízení péče o děti do 3 let</w:t>
            </w:r>
          </w:p>
          <w:p w14:paraId="30897CA7" w14:textId="77777777" w:rsidR="00DD3EFA" w:rsidRPr="005A0E7C" w:rsidRDefault="00DD3EFA" w:rsidP="00391907">
            <w:pPr>
              <w:pStyle w:val="Odstavecseseznamem"/>
              <w:numPr>
                <w:ilvl w:val="0"/>
                <w:numId w:val="20"/>
              </w:numPr>
              <w:jc w:val="both"/>
            </w:pPr>
            <w:r w:rsidRPr="005A0E7C">
              <w:t>Rozšíření kapacity mateřské školy</w:t>
            </w:r>
          </w:p>
          <w:p w14:paraId="257FDA87" w14:textId="77777777" w:rsidR="00DD3EFA" w:rsidRPr="005A0E7C" w:rsidRDefault="00DD3EFA" w:rsidP="00391907">
            <w:pPr>
              <w:pStyle w:val="Odstavecseseznamem"/>
              <w:numPr>
                <w:ilvl w:val="0"/>
                <w:numId w:val="20"/>
              </w:numPr>
              <w:spacing w:before="60" w:after="60"/>
              <w:rPr>
                <w:rFonts w:eastAsiaTheme="majorEastAsia"/>
                <w:i/>
              </w:rPr>
            </w:pPr>
            <w:r w:rsidRPr="005A0E7C">
              <w:t>Rozšíření kapacity dětské skupiny</w:t>
            </w:r>
          </w:p>
          <w:p w14:paraId="34EF27F0" w14:textId="77777777" w:rsidR="00DD3EFA" w:rsidRPr="005A0E7C" w:rsidRDefault="00DD3EFA" w:rsidP="00B15ECB">
            <w:pPr>
              <w:rPr>
                <w:rFonts w:eastAsiaTheme="majorEastAsia"/>
                <w:i/>
              </w:rPr>
            </w:pPr>
          </w:p>
          <w:p w14:paraId="55DBF32F" w14:textId="77777777" w:rsidR="00DD3EFA" w:rsidRPr="005A0E7C" w:rsidRDefault="00DD3EFA" w:rsidP="00B15ECB">
            <w:r w:rsidRPr="005A0E7C">
              <w:t>Podmínkou výzev bylo zvýšení kapacit podporovaného zařízení. Celkově bylo dosud z IROP podpořeno 184 zařízení péče o děti za 2,81 mld. Kč z EU.</w:t>
            </w:r>
          </w:p>
          <w:p w14:paraId="720D3979"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0062CA47" w14:textId="77777777" w:rsidR="00DD3EFA" w:rsidRPr="005A0E7C" w:rsidRDefault="00DD3EFA" w:rsidP="00B15ECB">
            <w:pPr>
              <w:rPr>
                <w:b/>
              </w:rPr>
            </w:pPr>
          </w:p>
        </w:tc>
      </w:tr>
      <w:tr w:rsidR="00DD3EFA" w:rsidRPr="005A0E7C" w14:paraId="0849AA86" w14:textId="77777777" w:rsidTr="00B15ECB">
        <w:trPr>
          <w:trHeight w:val="850"/>
        </w:trPr>
        <w:tc>
          <w:tcPr>
            <w:tcW w:w="249" w:type="dxa"/>
            <w:tcBorders>
              <w:top w:val="nil"/>
              <w:bottom w:val="nil"/>
            </w:tcBorders>
            <w:shd w:val="clear" w:color="auto" w:fill="66CCFF"/>
          </w:tcPr>
          <w:p w14:paraId="59937BB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9FF0CC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189AFA14" w14:textId="77777777" w:rsidR="00DD3EFA" w:rsidRPr="005A0E7C" w:rsidRDefault="00DD3EFA" w:rsidP="00B15ECB">
            <w:pPr>
              <w:spacing w:before="60" w:after="60"/>
              <w:rPr>
                <w:rFonts w:eastAsiaTheme="majorEastAsia"/>
              </w:rPr>
            </w:pPr>
            <w:r w:rsidRPr="005A0E7C">
              <w:rPr>
                <w:rFonts w:eastAsiaTheme="majorEastAsia"/>
              </w:rPr>
              <w:t xml:space="preserve">Z výše uvedených údajů o čerpání je zřejmé, že poptávka příjemců je dostatečná a odpovídá vyčleněné alokaci pro období 2024-2020. Poptávka v oblasti podpory zařízení péče o děti převyšuje původní předpoklady a odvíjí se zejména od demografické situace a počtu dětí nepřijatých do mateřských škol. Lze předpokládat, že poptávka příjemců bude značná i v období 2021-2027. </w:t>
            </w:r>
          </w:p>
        </w:tc>
        <w:tc>
          <w:tcPr>
            <w:tcW w:w="249" w:type="dxa"/>
            <w:tcBorders>
              <w:top w:val="nil"/>
              <w:bottom w:val="nil"/>
            </w:tcBorders>
            <w:shd w:val="clear" w:color="auto" w:fill="66CCFF"/>
          </w:tcPr>
          <w:p w14:paraId="0C78906F" w14:textId="77777777" w:rsidR="00DD3EFA" w:rsidRPr="005A0E7C" w:rsidRDefault="00DD3EFA" w:rsidP="00B15ECB">
            <w:pPr>
              <w:rPr>
                <w:b/>
              </w:rPr>
            </w:pPr>
          </w:p>
        </w:tc>
      </w:tr>
      <w:tr w:rsidR="00DD3EFA" w:rsidRPr="005A0E7C" w14:paraId="1B571313" w14:textId="77777777" w:rsidTr="00B15ECB">
        <w:trPr>
          <w:trHeight w:val="925"/>
        </w:trPr>
        <w:tc>
          <w:tcPr>
            <w:tcW w:w="249" w:type="dxa"/>
            <w:tcBorders>
              <w:top w:val="nil"/>
              <w:bottom w:val="nil"/>
            </w:tcBorders>
            <w:shd w:val="clear" w:color="auto" w:fill="66CCFF"/>
          </w:tcPr>
          <w:p w14:paraId="0D1F930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F5722F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1CE45D61" w14:textId="77777777" w:rsidR="00DD3EFA" w:rsidRPr="005A0E7C" w:rsidRDefault="00DD3EFA" w:rsidP="00B15ECB">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p w14:paraId="7FDF264E"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ECD76E6" w14:textId="77777777" w:rsidR="00DD3EFA" w:rsidRPr="005A0E7C" w:rsidRDefault="00DD3EFA" w:rsidP="00B15ECB">
            <w:pPr>
              <w:rPr>
                <w:b/>
              </w:rPr>
            </w:pPr>
          </w:p>
        </w:tc>
      </w:tr>
      <w:tr w:rsidR="00DD3EFA" w:rsidRPr="005A0E7C" w14:paraId="1598DADE" w14:textId="77777777" w:rsidTr="00B15ECB">
        <w:trPr>
          <w:trHeight w:val="1001"/>
        </w:trPr>
        <w:tc>
          <w:tcPr>
            <w:tcW w:w="249" w:type="dxa"/>
            <w:tcBorders>
              <w:top w:val="nil"/>
              <w:bottom w:val="nil"/>
            </w:tcBorders>
            <w:shd w:val="clear" w:color="auto" w:fill="66CCFF"/>
          </w:tcPr>
          <w:p w14:paraId="7683783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CA8F98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6978A400" w14:textId="54CFDCDC" w:rsidR="00DD3EFA" w:rsidRPr="005A0E7C" w:rsidRDefault="00DD3EFA" w:rsidP="00B15ECB">
            <w:pPr>
              <w:spacing w:before="60" w:after="60"/>
              <w:rPr>
                <w:rFonts w:eastAsiaTheme="majorEastAsia"/>
              </w:rPr>
            </w:pPr>
            <w:r w:rsidRPr="005A0E7C">
              <w:rPr>
                <w:rFonts w:eastAsiaTheme="majorEastAsia"/>
              </w:rPr>
              <w:t xml:space="preserve">Nepříznivá ekonomická situace – jedná se o externí vliv, který lze ovlivnit je těžko, nicméně systém predikcí by měl umožnit alespoň částečně identifikovat případné problémy a včasně na ně </w:t>
            </w:r>
            <w:r w:rsidR="006C35FA" w:rsidRPr="005A0E7C">
              <w:rPr>
                <w:rFonts w:eastAsiaTheme="majorEastAsia"/>
              </w:rPr>
              <w:t>reagovat</w:t>
            </w:r>
            <w:r w:rsidRPr="005A0E7C">
              <w:rPr>
                <w:rFonts w:eastAsiaTheme="majorEastAsia"/>
              </w:rPr>
              <w:t>, zároveň podpora adaptace trhu práce na nové podmínky posiluje obecně konkurenceschopnost hospodářství snižující míru rizika.</w:t>
            </w:r>
          </w:p>
          <w:p w14:paraId="5438818B" w14:textId="77777777" w:rsidR="00DD3EFA" w:rsidRPr="005A0E7C" w:rsidRDefault="00DD3EFA" w:rsidP="00B15ECB">
            <w:pPr>
              <w:spacing w:before="60" w:after="60"/>
              <w:rPr>
                <w:rFonts w:eastAsiaTheme="majorEastAsia"/>
              </w:rPr>
            </w:pPr>
          </w:p>
          <w:p w14:paraId="16CEA0C4" w14:textId="77777777" w:rsidR="00DD3EFA" w:rsidRPr="005A0E7C" w:rsidRDefault="00DD3EFA" w:rsidP="00B15ECB">
            <w:pPr>
              <w:spacing w:before="60" w:after="60"/>
              <w:rPr>
                <w:rFonts w:eastAsiaTheme="majorEastAsia"/>
              </w:rPr>
            </w:pPr>
            <w:r w:rsidRPr="005A0E7C">
              <w:rPr>
                <w:rFonts w:eastAsiaTheme="majorEastAsia"/>
              </w:rPr>
              <w:t>(Neočekávaná) Změna trendů vývoje trhu práce – SR PZ 2030, z nichž vychází tato karta a cíle však vychází z dlouhodobých trendů trhu práce, jež nejsou tolik závislé na ekonomickém cyklu.</w:t>
            </w:r>
          </w:p>
          <w:p w14:paraId="0FFA4EEE" w14:textId="77777777" w:rsidR="00DD3EFA" w:rsidRPr="005A0E7C" w:rsidRDefault="00DD3EFA" w:rsidP="00B15ECB">
            <w:pPr>
              <w:spacing w:before="60" w:after="60"/>
              <w:rPr>
                <w:rFonts w:eastAsiaTheme="majorEastAsia"/>
              </w:rPr>
            </w:pPr>
          </w:p>
          <w:p w14:paraId="10B2BE21" w14:textId="77777777" w:rsidR="00DD3EFA" w:rsidRPr="005A0E7C" w:rsidRDefault="00DD3EFA" w:rsidP="00B15ECB">
            <w:pPr>
              <w:spacing w:before="60" w:after="60"/>
              <w:rPr>
                <w:rFonts w:eastAsiaTheme="majorEastAsia"/>
                <w:i/>
              </w:rPr>
            </w:pPr>
            <w:r w:rsidRPr="005A0E7C">
              <w:rPr>
                <w:rFonts w:eastAsiaTheme="majorEastAsia"/>
              </w:rPr>
              <w:t>Změna politických preferencí</w:t>
            </w:r>
          </w:p>
          <w:p w14:paraId="3434BE46"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6744571" w14:textId="77777777" w:rsidR="00DD3EFA" w:rsidRPr="005A0E7C" w:rsidRDefault="00DD3EFA" w:rsidP="00B15ECB">
            <w:pPr>
              <w:rPr>
                <w:b/>
              </w:rPr>
            </w:pPr>
          </w:p>
        </w:tc>
      </w:tr>
      <w:tr w:rsidR="00DD3EFA" w:rsidRPr="005A0E7C" w14:paraId="460A82DE"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24112FD2"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2645578"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E2FAFB1"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2673DDA3" w14:textId="77777777" w:rsidR="00DD3EFA" w:rsidRPr="005A0E7C" w:rsidRDefault="00DD3EFA" w:rsidP="00B15ECB">
            <w:pPr>
              <w:rPr>
                <w:b/>
              </w:rPr>
            </w:pPr>
          </w:p>
        </w:tc>
      </w:tr>
      <w:tr w:rsidR="00DD3EFA" w:rsidRPr="005A0E7C" w14:paraId="28239A6F" w14:textId="77777777" w:rsidTr="00B15ECB">
        <w:trPr>
          <w:trHeight w:val="1559"/>
        </w:trPr>
        <w:tc>
          <w:tcPr>
            <w:tcW w:w="249" w:type="dxa"/>
            <w:tcBorders>
              <w:top w:val="single" w:sz="4" w:space="0" w:color="auto"/>
              <w:bottom w:val="nil"/>
            </w:tcBorders>
            <w:shd w:val="clear" w:color="auto" w:fill="66CCFF"/>
          </w:tcPr>
          <w:p w14:paraId="1C4B5186"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1083311D"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13FFD831"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59157B2F" w14:textId="77777777" w:rsidR="00DD3EFA" w:rsidRPr="005A0E7C" w:rsidRDefault="00DD3EFA" w:rsidP="00B15ECB">
            <w:pPr>
              <w:rPr>
                <w:b/>
              </w:rPr>
            </w:pPr>
          </w:p>
        </w:tc>
      </w:tr>
      <w:tr w:rsidR="00DD3EFA" w:rsidRPr="005A0E7C" w14:paraId="241FA747" w14:textId="77777777" w:rsidTr="00B15ECB">
        <w:trPr>
          <w:trHeight w:val="1222"/>
        </w:trPr>
        <w:tc>
          <w:tcPr>
            <w:tcW w:w="249" w:type="dxa"/>
            <w:tcBorders>
              <w:top w:val="nil"/>
              <w:bottom w:val="nil"/>
            </w:tcBorders>
            <w:shd w:val="clear" w:color="auto" w:fill="66CCFF"/>
          </w:tcPr>
          <w:p w14:paraId="78E85E6D" w14:textId="77777777" w:rsidR="00DD3EFA" w:rsidRPr="005A0E7C" w:rsidRDefault="00DD3EFA" w:rsidP="00B15ECB">
            <w:pPr>
              <w:rPr>
                <w:b/>
              </w:rPr>
            </w:pPr>
          </w:p>
        </w:tc>
        <w:tc>
          <w:tcPr>
            <w:tcW w:w="2548" w:type="dxa"/>
            <w:tcBorders>
              <w:top w:val="nil"/>
            </w:tcBorders>
            <w:shd w:val="clear" w:color="auto" w:fill="FFFFFF" w:themeFill="background1"/>
          </w:tcPr>
          <w:p w14:paraId="057B6E18"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6B3B30CF" w14:textId="77777777" w:rsidR="00DD3EFA" w:rsidRPr="005A0E7C" w:rsidRDefault="00DD3EFA" w:rsidP="00B15ECB">
            <w:pPr>
              <w:spacing w:before="60" w:after="60"/>
            </w:pPr>
            <w:r w:rsidRPr="005A0E7C">
              <w:t xml:space="preserve">Žádné významnější prostředky v jiných unijních programech nad rámec ESF+ nejsou k dispozici. </w:t>
            </w:r>
          </w:p>
          <w:p w14:paraId="58CC67D7" w14:textId="77777777" w:rsidR="00DD3EFA" w:rsidRPr="005A0E7C" w:rsidRDefault="00DD3EFA" w:rsidP="00B15ECB">
            <w:pPr>
              <w:spacing w:before="60" w:after="60"/>
              <w:rPr>
                <w:rFonts w:eastAsiaTheme="majorEastAsia"/>
                <w:i/>
              </w:rPr>
            </w:pPr>
            <w:r w:rsidRPr="005A0E7C">
              <w:t>Program na podporu zaměstnanosti a sociálních inovací (EaSI) byl pro období 2021-2027 nově začleněn do ESF+.</w:t>
            </w:r>
          </w:p>
        </w:tc>
        <w:tc>
          <w:tcPr>
            <w:tcW w:w="249" w:type="dxa"/>
            <w:tcBorders>
              <w:top w:val="nil"/>
              <w:bottom w:val="nil"/>
            </w:tcBorders>
            <w:shd w:val="clear" w:color="auto" w:fill="66CCFF"/>
          </w:tcPr>
          <w:p w14:paraId="34B879A6" w14:textId="77777777" w:rsidR="00DD3EFA" w:rsidRPr="005A0E7C" w:rsidRDefault="00DD3EFA" w:rsidP="00B15ECB">
            <w:pPr>
              <w:rPr>
                <w:b/>
              </w:rPr>
            </w:pPr>
          </w:p>
        </w:tc>
      </w:tr>
      <w:tr w:rsidR="00DD3EFA" w:rsidRPr="005A0E7C" w14:paraId="4DA80984" w14:textId="77777777" w:rsidTr="00B15ECB">
        <w:trPr>
          <w:trHeight w:val="1968"/>
        </w:trPr>
        <w:tc>
          <w:tcPr>
            <w:tcW w:w="249" w:type="dxa"/>
            <w:tcBorders>
              <w:top w:val="nil"/>
              <w:bottom w:val="nil"/>
            </w:tcBorders>
            <w:shd w:val="clear" w:color="auto" w:fill="66CCFF"/>
          </w:tcPr>
          <w:p w14:paraId="6D611DB1" w14:textId="77777777" w:rsidR="00DD3EFA" w:rsidRPr="005A0E7C" w:rsidRDefault="00DD3EFA" w:rsidP="00B15ECB">
            <w:pPr>
              <w:rPr>
                <w:b/>
              </w:rPr>
            </w:pPr>
          </w:p>
        </w:tc>
        <w:tc>
          <w:tcPr>
            <w:tcW w:w="2548" w:type="dxa"/>
            <w:tcBorders>
              <w:top w:val="nil"/>
            </w:tcBorders>
            <w:shd w:val="clear" w:color="auto" w:fill="FFFFFF" w:themeFill="background1"/>
          </w:tcPr>
          <w:p w14:paraId="41BCF368"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08D2AA09" w14:textId="77777777" w:rsidR="00DD3EFA" w:rsidRPr="005A0E7C" w:rsidRDefault="00DD3EFA" w:rsidP="00B15ECB">
            <w:pPr>
              <w:spacing w:before="60" w:after="60"/>
              <w:rPr>
                <w:rFonts w:eastAsiaTheme="majorEastAsia"/>
              </w:rPr>
            </w:pPr>
            <w:r w:rsidRPr="005A0E7C">
              <w:rPr>
                <w:rFonts w:eastAsiaTheme="majorEastAsia"/>
              </w:rPr>
              <w:t>Částečně jsou aktivity v této oblasti financovány v rámci aktivní politiky zaměstnanosti. Politika zaměstnanosti je financována státním rozpočtem, přičemž však prostředky uvolňované zejména na aktivní politiku zaměstnanosti nejsou, přes opakované požadavky MPSV, dostatečné.</w:t>
            </w:r>
          </w:p>
          <w:p w14:paraId="14D1D92A" w14:textId="77777777" w:rsidR="00DD3EFA" w:rsidRPr="005A0E7C" w:rsidRDefault="00DD3EFA" w:rsidP="00B15ECB">
            <w:pPr>
              <w:spacing w:before="60" w:after="60"/>
              <w:rPr>
                <w:rFonts w:eastAsiaTheme="majorEastAsia"/>
              </w:rPr>
            </w:pPr>
            <w:r w:rsidRPr="005A0E7C">
              <w:rPr>
                <w:rFonts w:eastAsiaTheme="majorEastAsia"/>
              </w:rPr>
              <w:t xml:space="preserve">MPSV, resp. UP ČR, v procesu přípravy státního rozpočtu vyjádřilo potřebu 5,3 mld. Kč na realizaci APZ v roce 2019, nicméně pro rok 2019 činí konečný schválený rozpočet na APZ pouze 2,3 mld. Kč, včetně nespotřebovaných výdajů. </w:t>
            </w:r>
          </w:p>
          <w:p w14:paraId="5184D515" w14:textId="77777777" w:rsidR="00DD3EFA" w:rsidRPr="005A0E7C" w:rsidRDefault="00DD3EFA" w:rsidP="00B15ECB">
            <w:pPr>
              <w:spacing w:before="60" w:after="60"/>
              <w:rPr>
                <w:rFonts w:eastAsiaTheme="majorEastAsia"/>
                <w:i/>
              </w:rPr>
            </w:pPr>
            <w:r w:rsidRPr="005A0E7C">
              <w:rPr>
                <w:rFonts w:eastAsiaTheme="majorEastAsia"/>
              </w:rPr>
              <w:t>Aktuálně je připravována novela zákona č. 247/2014 Sb. o poskytování služby péče o dítě v dětské skupině za účelem zajištění prostředků pro podporu zařízení péče o děti v režimu uvedeného zákon ze státního rozpočtu.</w:t>
            </w:r>
            <w:r w:rsidRPr="005A0E7C">
              <w:rPr>
                <w:rFonts w:eastAsiaTheme="majorEastAsia"/>
                <w:i/>
              </w:rPr>
              <w:t xml:space="preserve"> </w:t>
            </w:r>
          </w:p>
        </w:tc>
        <w:tc>
          <w:tcPr>
            <w:tcW w:w="249" w:type="dxa"/>
            <w:tcBorders>
              <w:top w:val="nil"/>
              <w:bottom w:val="nil"/>
            </w:tcBorders>
            <w:shd w:val="clear" w:color="auto" w:fill="66CCFF"/>
          </w:tcPr>
          <w:p w14:paraId="6FEF62A3" w14:textId="77777777" w:rsidR="00DD3EFA" w:rsidRPr="005A0E7C" w:rsidRDefault="00DD3EFA" w:rsidP="00B15ECB">
            <w:pPr>
              <w:rPr>
                <w:b/>
              </w:rPr>
            </w:pPr>
          </w:p>
        </w:tc>
      </w:tr>
      <w:tr w:rsidR="00DD3EFA" w:rsidRPr="005A0E7C" w14:paraId="4EE78FD0" w14:textId="77777777" w:rsidTr="00B15ECB">
        <w:trPr>
          <w:trHeight w:val="931"/>
        </w:trPr>
        <w:tc>
          <w:tcPr>
            <w:tcW w:w="249" w:type="dxa"/>
            <w:tcBorders>
              <w:top w:val="nil"/>
              <w:bottom w:val="nil"/>
            </w:tcBorders>
            <w:shd w:val="clear" w:color="auto" w:fill="66CCFF"/>
          </w:tcPr>
          <w:p w14:paraId="4281E1FF" w14:textId="77777777" w:rsidR="00DD3EFA" w:rsidRPr="005A0E7C" w:rsidRDefault="00DD3EFA" w:rsidP="00B15ECB">
            <w:pPr>
              <w:rPr>
                <w:b/>
              </w:rPr>
            </w:pPr>
          </w:p>
        </w:tc>
        <w:tc>
          <w:tcPr>
            <w:tcW w:w="2548" w:type="dxa"/>
            <w:tcBorders>
              <w:top w:val="nil"/>
            </w:tcBorders>
            <w:shd w:val="clear" w:color="auto" w:fill="FFFFFF" w:themeFill="background1"/>
          </w:tcPr>
          <w:p w14:paraId="0BC7D3B3"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0C112843" w14:textId="77777777" w:rsidR="00DD3EFA" w:rsidRPr="005A0E7C" w:rsidRDefault="00DD3EFA" w:rsidP="00B15ECB">
            <w:pPr>
              <w:spacing w:before="60" w:after="60"/>
              <w:rPr>
                <w:rFonts w:eastAsiaTheme="majorEastAsia"/>
              </w:rPr>
            </w:pPr>
            <w:r w:rsidRPr="005A0E7C">
              <w:rPr>
                <w:rFonts w:eastAsiaTheme="majorEastAsia"/>
              </w:rPr>
              <w:t>Jiné významnější zdroje mimo veřejné rozpočty na podporu této oblasti nejsou k dispozici.</w:t>
            </w:r>
          </w:p>
        </w:tc>
        <w:tc>
          <w:tcPr>
            <w:tcW w:w="249" w:type="dxa"/>
            <w:tcBorders>
              <w:top w:val="nil"/>
              <w:bottom w:val="nil"/>
            </w:tcBorders>
            <w:shd w:val="clear" w:color="auto" w:fill="66CCFF"/>
          </w:tcPr>
          <w:p w14:paraId="09424897" w14:textId="77777777" w:rsidR="00DD3EFA" w:rsidRPr="005A0E7C" w:rsidRDefault="00DD3EFA" w:rsidP="00B15ECB">
            <w:pPr>
              <w:rPr>
                <w:b/>
              </w:rPr>
            </w:pPr>
          </w:p>
        </w:tc>
      </w:tr>
      <w:tr w:rsidR="00DD3EFA" w:rsidRPr="005A0E7C" w14:paraId="079A6F60" w14:textId="77777777" w:rsidTr="00B15ECB">
        <w:trPr>
          <w:trHeight w:val="986"/>
        </w:trPr>
        <w:tc>
          <w:tcPr>
            <w:tcW w:w="249" w:type="dxa"/>
            <w:tcBorders>
              <w:top w:val="nil"/>
              <w:bottom w:val="nil"/>
            </w:tcBorders>
            <w:shd w:val="clear" w:color="auto" w:fill="66CCFF"/>
          </w:tcPr>
          <w:p w14:paraId="2484F8EE" w14:textId="77777777" w:rsidR="00DD3EFA" w:rsidRPr="005A0E7C" w:rsidRDefault="00DD3EFA" w:rsidP="00B15ECB">
            <w:pPr>
              <w:rPr>
                <w:b/>
              </w:rPr>
            </w:pPr>
          </w:p>
        </w:tc>
        <w:tc>
          <w:tcPr>
            <w:tcW w:w="2548" w:type="dxa"/>
            <w:tcBorders>
              <w:top w:val="nil"/>
            </w:tcBorders>
            <w:shd w:val="clear" w:color="auto" w:fill="FFFFFF" w:themeFill="background1"/>
          </w:tcPr>
          <w:p w14:paraId="1C4E7830"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096585FC" w14:textId="77777777" w:rsidR="00DD3EFA" w:rsidRPr="005A0E7C" w:rsidRDefault="00DD3EFA" w:rsidP="00B15ECB">
            <w:pPr>
              <w:spacing w:before="60" w:after="60"/>
              <w:rPr>
                <w:rFonts w:eastAsiaTheme="majorEastAsia"/>
              </w:rPr>
            </w:pPr>
            <w:r w:rsidRPr="005A0E7C">
              <w:rPr>
                <w:rFonts w:eastAsiaTheme="majorEastAsia"/>
              </w:rPr>
              <w:t>Využití finančních nástrojů v dané oblasti není možné, protože podpořené projekty negenerují podstatnější příjmy, které by mohly být využity ke vrácení poskytnuté podpory.</w:t>
            </w:r>
          </w:p>
        </w:tc>
        <w:tc>
          <w:tcPr>
            <w:tcW w:w="249" w:type="dxa"/>
            <w:tcBorders>
              <w:top w:val="nil"/>
              <w:bottom w:val="nil"/>
            </w:tcBorders>
            <w:shd w:val="clear" w:color="auto" w:fill="66CCFF"/>
          </w:tcPr>
          <w:p w14:paraId="16D1BF09" w14:textId="77777777" w:rsidR="00DD3EFA" w:rsidRPr="005A0E7C" w:rsidRDefault="00DD3EFA" w:rsidP="00B15ECB">
            <w:pPr>
              <w:rPr>
                <w:b/>
              </w:rPr>
            </w:pPr>
          </w:p>
        </w:tc>
      </w:tr>
      <w:tr w:rsidR="00DD3EFA" w:rsidRPr="005A0E7C" w14:paraId="5A385E4C" w14:textId="77777777" w:rsidTr="00B15ECB">
        <w:trPr>
          <w:trHeight w:val="150"/>
        </w:trPr>
        <w:tc>
          <w:tcPr>
            <w:tcW w:w="249" w:type="dxa"/>
            <w:tcBorders>
              <w:top w:val="nil"/>
              <w:right w:val="nil"/>
            </w:tcBorders>
            <w:shd w:val="clear" w:color="auto" w:fill="66CCFF"/>
          </w:tcPr>
          <w:p w14:paraId="4AAF64B4" w14:textId="77777777" w:rsidR="00DD3EFA" w:rsidRPr="005A0E7C" w:rsidRDefault="00DD3EFA" w:rsidP="00B15ECB">
            <w:pPr>
              <w:rPr>
                <w:b/>
              </w:rPr>
            </w:pPr>
          </w:p>
        </w:tc>
        <w:tc>
          <w:tcPr>
            <w:tcW w:w="2548" w:type="dxa"/>
            <w:tcBorders>
              <w:left w:val="nil"/>
              <w:right w:val="nil"/>
            </w:tcBorders>
            <w:shd w:val="clear" w:color="auto" w:fill="66CCFF"/>
          </w:tcPr>
          <w:p w14:paraId="45B73B63" w14:textId="77777777" w:rsidR="00DD3EFA" w:rsidRPr="005A0E7C" w:rsidRDefault="00DD3EFA" w:rsidP="00B15ECB">
            <w:pPr>
              <w:rPr>
                <w:b/>
              </w:rPr>
            </w:pPr>
          </w:p>
        </w:tc>
        <w:tc>
          <w:tcPr>
            <w:tcW w:w="5978" w:type="dxa"/>
            <w:tcBorders>
              <w:left w:val="nil"/>
              <w:right w:val="nil"/>
            </w:tcBorders>
            <w:shd w:val="clear" w:color="auto" w:fill="66CCFF"/>
          </w:tcPr>
          <w:p w14:paraId="216E1152" w14:textId="77777777" w:rsidR="00DD3EFA" w:rsidRPr="005A0E7C" w:rsidRDefault="00DD3EFA" w:rsidP="00B15ECB">
            <w:pPr>
              <w:rPr>
                <w:b/>
              </w:rPr>
            </w:pPr>
          </w:p>
        </w:tc>
        <w:tc>
          <w:tcPr>
            <w:tcW w:w="249" w:type="dxa"/>
            <w:tcBorders>
              <w:top w:val="nil"/>
              <w:left w:val="nil"/>
            </w:tcBorders>
            <w:shd w:val="clear" w:color="auto" w:fill="66CCFF"/>
          </w:tcPr>
          <w:p w14:paraId="169B2DCA" w14:textId="77777777" w:rsidR="00DD3EFA" w:rsidRPr="005A0E7C" w:rsidRDefault="00DD3EFA" w:rsidP="00B15ECB">
            <w:pPr>
              <w:rPr>
                <w:b/>
              </w:rPr>
            </w:pPr>
          </w:p>
        </w:tc>
      </w:tr>
    </w:tbl>
    <w:p w14:paraId="3F866120" w14:textId="77777777" w:rsidR="00DD3EFA" w:rsidRPr="005A0E7C" w:rsidRDefault="00DD3EFA" w:rsidP="00B15ECB">
      <w:pPr>
        <w:rPr>
          <w:rFonts w:ascii="Times New Roman" w:hAnsi="Times New Roman" w:cs="Times New Roman"/>
          <w:b/>
          <w:sz w:val="20"/>
          <w:szCs w:val="20"/>
        </w:rPr>
      </w:pPr>
    </w:p>
    <w:p w14:paraId="2148E876" w14:textId="77777777" w:rsidR="00DD3EFA" w:rsidRPr="005A0E7C" w:rsidRDefault="00DD3EFA" w:rsidP="00B15ECB">
      <w:pPr>
        <w:rPr>
          <w:rFonts w:ascii="Times New Roman" w:hAnsi="Times New Roman" w:cs="Times New Roman"/>
          <w:sz w:val="20"/>
          <w:szCs w:val="20"/>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77FBE9AF" w14:textId="77777777" w:rsidTr="00B15ECB">
        <w:trPr>
          <w:trHeight w:val="180"/>
        </w:trPr>
        <w:tc>
          <w:tcPr>
            <w:tcW w:w="249" w:type="dxa"/>
            <w:tcBorders>
              <w:bottom w:val="nil"/>
              <w:right w:val="nil"/>
            </w:tcBorders>
            <w:shd w:val="clear" w:color="auto" w:fill="66CCFF"/>
          </w:tcPr>
          <w:p w14:paraId="050AB68F" w14:textId="77777777" w:rsidR="00DD3EFA" w:rsidRPr="005A0E7C" w:rsidRDefault="00DD3EFA" w:rsidP="00B15ECB">
            <w:pPr>
              <w:rPr>
                <w:b/>
              </w:rPr>
            </w:pPr>
          </w:p>
        </w:tc>
        <w:tc>
          <w:tcPr>
            <w:tcW w:w="2548" w:type="dxa"/>
            <w:tcBorders>
              <w:left w:val="nil"/>
              <w:right w:val="nil"/>
            </w:tcBorders>
            <w:shd w:val="clear" w:color="auto" w:fill="66CCFF"/>
          </w:tcPr>
          <w:p w14:paraId="070A4E90" w14:textId="77777777" w:rsidR="00DD3EFA" w:rsidRPr="005A0E7C" w:rsidRDefault="00DD3EFA" w:rsidP="00B15ECB">
            <w:pPr>
              <w:rPr>
                <w:b/>
              </w:rPr>
            </w:pPr>
          </w:p>
        </w:tc>
        <w:tc>
          <w:tcPr>
            <w:tcW w:w="5978" w:type="dxa"/>
            <w:tcBorders>
              <w:left w:val="nil"/>
              <w:right w:val="nil"/>
            </w:tcBorders>
            <w:shd w:val="clear" w:color="auto" w:fill="66CCFF"/>
          </w:tcPr>
          <w:p w14:paraId="3174B026" w14:textId="77777777" w:rsidR="00DD3EFA" w:rsidRPr="005A0E7C" w:rsidRDefault="00DD3EFA" w:rsidP="00B15ECB">
            <w:pPr>
              <w:rPr>
                <w:b/>
              </w:rPr>
            </w:pPr>
          </w:p>
        </w:tc>
        <w:tc>
          <w:tcPr>
            <w:tcW w:w="249" w:type="dxa"/>
            <w:tcBorders>
              <w:left w:val="nil"/>
              <w:bottom w:val="nil"/>
            </w:tcBorders>
            <w:shd w:val="clear" w:color="auto" w:fill="66CCFF"/>
          </w:tcPr>
          <w:p w14:paraId="6496605E" w14:textId="77777777" w:rsidR="00DD3EFA" w:rsidRPr="005A0E7C" w:rsidRDefault="00DD3EFA" w:rsidP="00B15ECB">
            <w:pPr>
              <w:rPr>
                <w:b/>
              </w:rPr>
            </w:pPr>
          </w:p>
        </w:tc>
      </w:tr>
      <w:tr w:rsidR="00DD3EFA" w:rsidRPr="005A0E7C" w14:paraId="559DC97F" w14:textId="77777777" w:rsidTr="00B15ECB">
        <w:trPr>
          <w:trHeight w:val="561"/>
        </w:trPr>
        <w:tc>
          <w:tcPr>
            <w:tcW w:w="249" w:type="dxa"/>
            <w:tcBorders>
              <w:top w:val="nil"/>
              <w:bottom w:val="nil"/>
            </w:tcBorders>
            <w:shd w:val="clear" w:color="auto" w:fill="66CCFF"/>
          </w:tcPr>
          <w:p w14:paraId="1640E23A" w14:textId="77777777" w:rsidR="00DD3EFA" w:rsidRPr="005A0E7C" w:rsidRDefault="00DD3EFA" w:rsidP="00B15ECB">
            <w:pPr>
              <w:rPr>
                <w:b/>
              </w:rPr>
            </w:pPr>
          </w:p>
        </w:tc>
        <w:tc>
          <w:tcPr>
            <w:tcW w:w="2548" w:type="dxa"/>
            <w:shd w:val="clear" w:color="auto" w:fill="0070C0"/>
          </w:tcPr>
          <w:p w14:paraId="52338417" w14:textId="77777777" w:rsidR="00DD3EFA" w:rsidRPr="005A0E7C" w:rsidRDefault="00DD3EFA" w:rsidP="00B15ECB">
            <w:pPr>
              <w:spacing w:before="60" w:after="60"/>
              <w:rPr>
                <w:rFonts w:eastAsiaTheme="majorEastAsia"/>
                <w:b/>
              </w:rPr>
            </w:pPr>
            <w:r w:rsidRPr="005A0E7C">
              <w:rPr>
                <w:rFonts w:eastAsiaTheme="majorEastAsia"/>
                <w:b/>
              </w:rPr>
              <w:t>Strategický cíl NKR:</w:t>
            </w:r>
          </w:p>
          <w:p w14:paraId="1D5F48F7" w14:textId="77777777" w:rsidR="00DD3EFA" w:rsidRPr="005A0E7C" w:rsidRDefault="00DD3EFA" w:rsidP="00B15ECB">
            <w:pPr>
              <w:spacing w:before="60" w:after="60"/>
              <w:rPr>
                <w:rFonts w:eastAsiaTheme="majorEastAsia"/>
                <w:b/>
              </w:rPr>
            </w:pPr>
            <w:r w:rsidRPr="005A0E7C">
              <w:rPr>
                <w:rFonts w:eastAsiaTheme="majorEastAsia"/>
                <w:b/>
              </w:rPr>
              <w:t>Konkurenceschopná a soudržná společnost</w:t>
            </w:r>
          </w:p>
        </w:tc>
        <w:tc>
          <w:tcPr>
            <w:tcW w:w="5978" w:type="dxa"/>
            <w:shd w:val="clear" w:color="auto" w:fill="0070C0"/>
          </w:tcPr>
          <w:p w14:paraId="6B7EE0B4" w14:textId="77777777" w:rsidR="00DD3EFA" w:rsidRPr="005A0E7C" w:rsidRDefault="00DD3EFA" w:rsidP="00B15ECB">
            <w:pPr>
              <w:spacing w:before="60" w:after="60"/>
              <w:rPr>
                <w:rFonts w:eastAsiaTheme="majorEastAsia"/>
                <w:b/>
                <w:u w:val="single"/>
              </w:rPr>
            </w:pPr>
            <w:r w:rsidRPr="005A0E7C">
              <w:rPr>
                <w:rFonts w:eastAsiaTheme="majorEastAsia"/>
                <w:b/>
                <w:u w:val="single"/>
              </w:rPr>
              <w:t>Specifický cíl NKR</w:t>
            </w:r>
            <w:r w:rsidRPr="005A0E7C">
              <w:rPr>
                <w:rStyle w:val="Znakapoznpodarou"/>
                <w:rFonts w:eastAsiaTheme="majorEastAsia"/>
                <w:u w:val="single"/>
              </w:rPr>
              <w:footnoteReference w:id="5"/>
            </w:r>
            <w:r w:rsidRPr="005A0E7C">
              <w:rPr>
                <w:rFonts w:eastAsiaTheme="majorEastAsia"/>
                <w:b/>
                <w:u w:val="single"/>
              </w:rPr>
              <w:t>:</w:t>
            </w:r>
          </w:p>
          <w:p w14:paraId="16473474" w14:textId="77777777" w:rsidR="00DD3EFA" w:rsidRPr="005A0E7C" w:rsidRDefault="00DD3EFA" w:rsidP="00B15ECB">
            <w:pPr>
              <w:spacing w:before="60" w:after="60"/>
              <w:rPr>
                <w:rFonts w:eastAsiaTheme="majorEastAsia"/>
                <w:i/>
              </w:rPr>
            </w:pPr>
            <w:r w:rsidRPr="005A0E7C">
              <w:rPr>
                <w:rFonts w:eastAsiaTheme="majorEastAsia"/>
                <w:b/>
              </w:rPr>
              <w:t>Fungující systém dalšího profesního vzdělávání</w:t>
            </w:r>
            <w:r w:rsidRPr="005A0E7C">
              <w:rPr>
                <w:rFonts w:eastAsiaTheme="majorEastAsia"/>
                <w:i/>
              </w:rPr>
              <w:t xml:space="preserve"> </w:t>
            </w:r>
          </w:p>
          <w:p w14:paraId="44B40382" w14:textId="77777777" w:rsidR="00DD3EFA" w:rsidRPr="005A0E7C" w:rsidRDefault="00DD3EFA" w:rsidP="00B15ECB">
            <w:pPr>
              <w:spacing w:before="60" w:after="60"/>
              <w:rPr>
                <w:rFonts w:eastAsiaTheme="majorEastAsia"/>
                <w:b/>
                <w:u w:val="single"/>
              </w:rPr>
            </w:pPr>
          </w:p>
        </w:tc>
        <w:tc>
          <w:tcPr>
            <w:tcW w:w="249" w:type="dxa"/>
            <w:tcBorders>
              <w:top w:val="nil"/>
              <w:bottom w:val="nil"/>
            </w:tcBorders>
            <w:shd w:val="clear" w:color="auto" w:fill="66CCFF"/>
          </w:tcPr>
          <w:p w14:paraId="48F76300" w14:textId="77777777" w:rsidR="00DD3EFA" w:rsidRPr="005A0E7C" w:rsidRDefault="00DD3EFA" w:rsidP="00B15ECB">
            <w:pPr>
              <w:rPr>
                <w:b/>
              </w:rPr>
            </w:pPr>
          </w:p>
        </w:tc>
      </w:tr>
      <w:tr w:rsidR="00DD3EFA" w:rsidRPr="005A0E7C" w14:paraId="57D09337" w14:textId="77777777" w:rsidTr="00B15ECB">
        <w:trPr>
          <w:trHeight w:val="180"/>
        </w:trPr>
        <w:tc>
          <w:tcPr>
            <w:tcW w:w="249" w:type="dxa"/>
            <w:tcBorders>
              <w:top w:val="nil"/>
              <w:bottom w:val="nil"/>
              <w:right w:val="nil"/>
            </w:tcBorders>
            <w:shd w:val="clear" w:color="auto" w:fill="66CCFF"/>
          </w:tcPr>
          <w:p w14:paraId="2147E674" w14:textId="77777777" w:rsidR="00DD3EFA" w:rsidRPr="005A0E7C" w:rsidRDefault="00DD3EFA" w:rsidP="00B15ECB">
            <w:pPr>
              <w:rPr>
                <w:b/>
              </w:rPr>
            </w:pPr>
          </w:p>
        </w:tc>
        <w:tc>
          <w:tcPr>
            <w:tcW w:w="2548" w:type="dxa"/>
            <w:tcBorders>
              <w:left w:val="nil"/>
              <w:right w:val="nil"/>
            </w:tcBorders>
            <w:shd w:val="clear" w:color="auto" w:fill="66CCFF"/>
          </w:tcPr>
          <w:p w14:paraId="5E60B765" w14:textId="77777777" w:rsidR="00DD3EFA" w:rsidRPr="005A0E7C" w:rsidRDefault="00DD3EFA" w:rsidP="00B15ECB">
            <w:pPr>
              <w:rPr>
                <w:b/>
              </w:rPr>
            </w:pPr>
          </w:p>
        </w:tc>
        <w:tc>
          <w:tcPr>
            <w:tcW w:w="5978" w:type="dxa"/>
            <w:tcBorders>
              <w:left w:val="nil"/>
              <w:right w:val="nil"/>
            </w:tcBorders>
            <w:shd w:val="clear" w:color="auto" w:fill="66CCFF"/>
          </w:tcPr>
          <w:p w14:paraId="3F6893EE" w14:textId="77777777" w:rsidR="00DD3EFA" w:rsidRPr="005A0E7C" w:rsidRDefault="00DD3EFA" w:rsidP="00B15ECB">
            <w:pPr>
              <w:rPr>
                <w:b/>
              </w:rPr>
            </w:pPr>
          </w:p>
        </w:tc>
        <w:tc>
          <w:tcPr>
            <w:tcW w:w="249" w:type="dxa"/>
            <w:tcBorders>
              <w:top w:val="nil"/>
              <w:left w:val="nil"/>
              <w:bottom w:val="nil"/>
            </w:tcBorders>
            <w:shd w:val="clear" w:color="auto" w:fill="66CCFF"/>
          </w:tcPr>
          <w:p w14:paraId="29FFDD11" w14:textId="77777777" w:rsidR="00DD3EFA" w:rsidRPr="005A0E7C" w:rsidRDefault="00DD3EFA" w:rsidP="00B15ECB">
            <w:pPr>
              <w:rPr>
                <w:b/>
              </w:rPr>
            </w:pPr>
          </w:p>
        </w:tc>
      </w:tr>
      <w:tr w:rsidR="00DD3EFA" w:rsidRPr="005A0E7C" w14:paraId="7A54C7E2" w14:textId="77777777" w:rsidTr="00B15ECB">
        <w:trPr>
          <w:trHeight w:val="892"/>
        </w:trPr>
        <w:tc>
          <w:tcPr>
            <w:tcW w:w="249" w:type="dxa"/>
            <w:tcBorders>
              <w:top w:val="nil"/>
              <w:bottom w:val="nil"/>
            </w:tcBorders>
            <w:shd w:val="clear" w:color="auto" w:fill="66CCFF"/>
          </w:tcPr>
          <w:p w14:paraId="77AC8E1A" w14:textId="77777777" w:rsidR="00DD3EFA" w:rsidRPr="005A0E7C" w:rsidRDefault="00DD3EFA" w:rsidP="00B15ECB">
            <w:pPr>
              <w:rPr>
                <w:b/>
              </w:rPr>
            </w:pPr>
          </w:p>
        </w:tc>
        <w:tc>
          <w:tcPr>
            <w:tcW w:w="2548" w:type="dxa"/>
            <w:shd w:val="clear" w:color="auto" w:fill="FFFFFF" w:themeFill="background1"/>
          </w:tcPr>
          <w:p w14:paraId="31D47594"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3EAF8B9A"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Další vzdělávání probíhá po dosažení určitého stupně počátečního vzdělání a po vstupu na trh práce. Cílem dalšího profesního vzdělávání je zvýšit kvalifikaci zaměstnance nebo nezaměstnaného (UoZ, ZoZ, OZP, či osoby, která není v evidenci ÚP ČR) pro trh práce, podpořit rozvoj zejména přenositelných odborných dovedností (tedy takových, které jsou odborné, ale které lze uplatnit i u jiného zaměstnavatele), jazyků, digitálních a IT dovedností a přenositelných měkkých dovedností důležitých pro trh práce, které přímo nespadají do definice DPV, ale mají význam pro vyšší a kvalitnější pracovní výkon na některých pozicích (např. plánování, týmová spolupráce, plnění cílů, analytické dovednosti). Smyslem intervence je tedy zvýšit adaptabilitu zaměstnanců a tím také konkurenceschopnost podniků v globální soutěži. Další profesní vzdělávání jako součást širšího konceptu celoživotního vzdělávání a celoživotního učení navazuje na počáteční vzdělávání a může propojovat aspekty formálního a neformálního vzdělávání.</w:t>
            </w:r>
          </w:p>
          <w:p w14:paraId="6F8B6ECE"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Další profesní vzdělávání probíhá také v individuální rovině bez podpory zaměstnavatele, tedy prostřednictvím ÚP ČR nebo z vlastní iniciativy jednotlivce. V případě rekvalifikace UoZ nebo ZoZ evidovaných na ÚP ČR se jedná o rekvalifikace zabezpečené ÚP ČR nebo tzv. zvolené rekvalifikace. Význam rekvalifikací by v rámci APZ měl do budoucna růst - i v rámci EU je zastáván obecný názor, že význam vzdělávání a zvyšování kvalifikace nezaměstnaných osob, případně v kombinaci se mzdovými příspěvky, je efektivnější než pouhé poskytování mzdových příspěvků.</w:t>
            </w:r>
          </w:p>
          <w:p w14:paraId="5326C933"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Také neprezenční (např. distanční či kombinované) formy „formálního“ vzdělávání či možnost jeho doplnění by v budoucnu měly být pro dospělé osoby dostupnější. Důležité je propojení služeb zaměstnanosti a vzdělávacího systému v případě, že je v zájmu klienta získat novou kvalifikaci nebo si zvýšit stupeň vzdělání.</w:t>
            </w:r>
          </w:p>
          <w:p w14:paraId="120186D1"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Alternativou k rekvalifikacím jsou stále více také firemní stáže, odborné praxe a mentoring,</w:t>
            </w:r>
            <w:r w:rsidRPr="005A0E7C">
              <w:rPr>
                <w:rFonts w:ascii="Times New Roman" w:hAnsi="Times New Roman"/>
              </w:rPr>
              <w:t xml:space="preserve"> </w:t>
            </w:r>
            <w:r w:rsidRPr="005A0E7C">
              <w:rPr>
                <w:rFonts w:ascii="Times New Roman" w:eastAsiaTheme="minorHAnsi" w:hAnsi="Times New Roman"/>
              </w:rPr>
              <w:t>tedy nástroje k získání dovedností a kompetencí přímo na pracovištích zaměstnavatele.</w:t>
            </w:r>
          </w:p>
          <w:p w14:paraId="5F9DB8DF"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Význam dalšího vzdělávání vzrůstá zejména v kontextu v současnosti probíhajících změn na trhu práce a v souvislosti s očekávaným vývojem způsobeným nástupem 4. průmyslové revoluce vyžadující vyšší profesní mobilitu pracovní síly a potřebu podporovat schopnost pracovní síly a zaměstnavatelů přizpůsobovat se souvisejícím společenským a technologickým změnám. Podpora dalšího vzdělávání je nezbytným předpokladem orientace ekonomiky na segmenty s vyšší přidanou hodnotou.</w:t>
            </w:r>
          </w:p>
          <w:p w14:paraId="40CA1EA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oblasti kariérového poradenství, kromě rozvoje samotného systému, kterému se věnuje podoblast „Modernizace institucí trhu práce“, je nezbytné rozvíjet kariérové dovednosti (doslova „career management skills“), které jsou konceptem, který využívají vzdělávací systémy ekonomicky vyspělých zemí. </w:t>
            </w:r>
          </w:p>
          <w:p w14:paraId="2506A5C4"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hAnsi="Times New Roman"/>
              </w:rPr>
              <w:t>Intervence v této podoblasti se zaměří na:</w:t>
            </w:r>
          </w:p>
          <w:p w14:paraId="0B12136B"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podporu adaptability zaměstnanců a konkurenceschopnosti podniků</w:t>
            </w:r>
          </w:p>
          <w:p w14:paraId="4F7FA0B9"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vzdělávání v digitálních kompetencích, podporu kompetencí, znalostí a dovedností souvisejících s novými formami a druhy práce a digitalizací trhu práce v kontextu  Průmyslu 4.0 a Práce 4.0</w:t>
            </w:r>
          </w:p>
          <w:p w14:paraId="6E45C387"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 xml:space="preserve">rekvalifikace, vč. vnitrofiremních, </w:t>
            </w:r>
          </w:p>
          <w:p w14:paraId="056B0895"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 xml:space="preserve">firemní stáže, </w:t>
            </w:r>
          </w:p>
          <w:p w14:paraId="7634FD63"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 xml:space="preserve">odborné praxe </w:t>
            </w:r>
          </w:p>
          <w:p w14:paraId="69E9C72F"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získávání přenositelných dovedností pro trh práce</w:t>
            </w:r>
          </w:p>
          <w:p w14:paraId="488B389B"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rozvoj kariérových dovedností a kariérového poradenství a využití jejich potenciálu pro karierní růst a profesní mobilitu</w:t>
            </w:r>
          </w:p>
          <w:p w14:paraId="200766AE"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zjednodušení dostupnosti nabídky kvalitního dalšího profesního</w:t>
            </w:r>
          </w:p>
          <w:p w14:paraId="56FAE8EB" w14:textId="77777777" w:rsidR="00DD3EFA" w:rsidRPr="005A0E7C" w:rsidRDefault="00DD3EFA" w:rsidP="00391907">
            <w:pPr>
              <w:pStyle w:val="Odstavecseseznamem"/>
              <w:numPr>
                <w:ilvl w:val="0"/>
                <w:numId w:val="9"/>
              </w:numPr>
              <w:autoSpaceDE w:val="0"/>
              <w:autoSpaceDN w:val="0"/>
              <w:adjustRightInd w:val="0"/>
              <w:ind w:left="357" w:hanging="357"/>
              <w:jc w:val="both"/>
              <w:rPr>
                <w:rFonts w:eastAsiaTheme="majorEastAsia"/>
              </w:rPr>
            </w:pPr>
            <w:r w:rsidRPr="005A0E7C">
              <w:rPr>
                <w:rFonts w:eastAsiaTheme="majorEastAsia"/>
              </w:rPr>
              <w:t>Strategické plánování v oblasti lidských zdrojů</w:t>
            </w:r>
          </w:p>
          <w:p w14:paraId="72C652B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p>
          <w:p w14:paraId="3D5F298A" w14:textId="77777777" w:rsidR="00DD3EFA" w:rsidRPr="005A0E7C" w:rsidRDefault="00DD3EFA" w:rsidP="00B15ECB">
            <w:pPr>
              <w:spacing w:before="60" w:after="60"/>
              <w:rPr>
                <w:u w:val="single"/>
              </w:rPr>
            </w:pPr>
          </w:p>
        </w:tc>
        <w:tc>
          <w:tcPr>
            <w:tcW w:w="249" w:type="dxa"/>
            <w:tcBorders>
              <w:top w:val="nil"/>
              <w:bottom w:val="nil"/>
            </w:tcBorders>
            <w:shd w:val="clear" w:color="auto" w:fill="66CCFF"/>
          </w:tcPr>
          <w:p w14:paraId="06C979DD" w14:textId="77777777" w:rsidR="00DD3EFA" w:rsidRPr="005A0E7C" w:rsidRDefault="00DD3EFA" w:rsidP="00B15ECB">
            <w:pPr>
              <w:rPr>
                <w:b/>
              </w:rPr>
            </w:pPr>
          </w:p>
        </w:tc>
      </w:tr>
      <w:tr w:rsidR="00DD3EFA" w:rsidRPr="005A0E7C" w14:paraId="3CA36755" w14:textId="77777777" w:rsidTr="00B15ECB">
        <w:trPr>
          <w:trHeight w:val="46"/>
        </w:trPr>
        <w:tc>
          <w:tcPr>
            <w:tcW w:w="249" w:type="dxa"/>
            <w:tcBorders>
              <w:top w:val="nil"/>
              <w:bottom w:val="nil"/>
              <w:right w:val="nil"/>
            </w:tcBorders>
            <w:shd w:val="clear" w:color="auto" w:fill="66CCFF"/>
          </w:tcPr>
          <w:p w14:paraId="21851693"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09BFC76B"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D520853" w14:textId="77777777" w:rsidR="00DD3EFA" w:rsidRPr="005A0E7C" w:rsidRDefault="00DD3EFA" w:rsidP="00B15ECB">
            <w:pPr>
              <w:rPr>
                <w:b/>
              </w:rPr>
            </w:pPr>
          </w:p>
        </w:tc>
        <w:tc>
          <w:tcPr>
            <w:tcW w:w="249" w:type="dxa"/>
            <w:tcBorders>
              <w:top w:val="nil"/>
              <w:left w:val="nil"/>
              <w:bottom w:val="nil"/>
            </w:tcBorders>
            <w:shd w:val="clear" w:color="auto" w:fill="66CCFF"/>
          </w:tcPr>
          <w:p w14:paraId="6F161152" w14:textId="77777777" w:rsidR="00DD3EFA" w:rsidRPr="005A0E7C" w:rsidRDefault="00DD3EFA" w:rsidP="00B15ECB">
            <w:pPr>
              <w:rPr>
                <w:b/>
              </w:rPr>
            </w:pPr>
          </w:p>
        </w:tc>
      </w:tr>
      <w:tr w:rsidR="00DD3EFA" w:rsidRPr="005A0E7C" w14:paraId="5C7CB572" w14:textId="77777777" w:rsidTr="00B15ECB">
        <w:trPr>
          <w:trHeight w:val="1274"/>
        </w:trPr>
        <w:tc>
          <w:tcPr>
            <w:tcW w:w="249" w:type="dxa"/>
            <w:tcBorders>
              <w:top w:val="nil"/>
              <w:bottom w:val="nil"/>
            </w:tcBorders>
            <w:shd w:val="clear" w:color="auto" w:fill="66CCFF"/>
          </w:tcPr>
          <w:p w14:paraId="63BFFB1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711CCE5"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60EE57F6" w14:textId="77777777" w:rsidR="00DD3EFA" w:rsidRPr="005A0E7C" w:rsidRDefault="00DD3EFA" w:rsidP="00B15ECB">
            <w:pPr>
              <w:spacing w:before="60" w:after="60"/>
              <w:rPr>
                <w:rFonts w:eastAsiaTheme="majorEastAsia"/>
                <w:i/>
                <w:u w:val="single"/>
              </w:rPr>
            </w:pPr>
            <w:r w:rsidRPr="005A0E7C">
              <w:t>Účast dospělých na dalších vzdělávání v ČR  činila dle údajů Eurostatu v roce 2016 8,8 % a pohybovala se tak 2 p.b. pod průměrem EU-28 a 6,2 p. b. pod benchmarkem pro rok 2020 stanoveným ve Strategickém rámci evropské spolupráce v oblasti vzdělávání a odborné přípravy  (ten činí 15 %). Účast dospělých na dalším vzdělávání navíc v ČR od roku 2011 (i přes poměrně výraznou podporu z ESI fondů) klesla z 11,6 % na zmiňovaných 8,8 % v roce 2016. Obecně další vzdělávání, především další profesní vzdělávání, je významným faktorem pro růst produktivity práce a zvyšování konkurenceschopnosti ekonomiky. Vysokou roli hraje ve skandinávských zemích nebo Velké Británii.</w:t>
            </w:r>
          </w:p>
        </w:tc>
        <w:tc>
          <w:tcPr>
            <w:tcW w:w="249" w:type="dxa"/>
            <w:tcBorders>
              <w:top w:val="nil"/>
              <w:bottom w:val="nil"/>
            </w:tcBorders>
            <w:shd w:val="clear" w:color="auto" w:fill="66CCFF"/>
          </w:tcPr>
          <w:p w14:paraId="32B1725A" w14:textId="77777777" w:rsidR="00DD3EFA" w:rsidRPr="005A0E7C" w:rsidRDefault="00DD3EFA" w:rsidP="00B15ECB">
            <w:pPr>
              <w:rPr>
                <w:b/>
              </w:rPr>
            </w:pPr>
          </w:p>
        </w:tc>
      </w:tr>
      <w:tr w:rsidR="00DD3EFA" w:rsidRPr="005A0E7C" w14:paraId="6FB45FCA" w14:textId="77777777" w:rsidTr="00B15ECB">
        <w:trPr>
          <w:trHeight w:val="1274"/>
        </w:trPr>
        <w:tc>
          <w:tcPr>
            <w:tcW w:w="249" w:type="dxa"/>
            <w:tcBorders>
              <w:top w:val="nil"/>
              <w:bottom w:val="nil"/>
            </w:tcBorders>
            <w:shd w:val="clear" w:color="auto" w:fill="66CCFF"/>
          </w:tcPr>
          <w:p w14:paraId="3749AC9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06EA5A0"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4FD4A844" w14:textId="77777777" w:rsidR="00DD3EFA" w:rsidRPr="005A0E7C" w:rsidRDefault="00DD3EFA" w:rsidP="00B15ECB">
            <w:pPr>
              <w:spacing w:before="60" w:after="60"/>
              <w:rPr>
                <w:rFonts w:eastAsiaTheme="majorEastAsia"/>
              </w:rPr>
            </w:pPr>
            <w:r w:rsidRPr="005A0E7C">
              <w:rPr>
                <w:rFonts w:eastAsiaTheme="majorEastAsia"/>
              </w:rPr>
              <w:t>DPV podporované zaměstnavateli</w:t>
            </w:r>
          </w:p>
          <w:p w14:paraId="2C481AF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Účast zaměstnanců na DPV podporovaném zaměstnavateli je stále nízká, v zásadě zájem o vzdělávání projevuje omezený okruh zaměstnavatelů (doloženo i v rámci příjemců příspěvků z projektů ESF). Především malé a střední podniky nepovažují další profesní vzdělávání za prioritu a často nemají ani vlastní plán rozvoje lidských zdrojů pro oblast zvyšování kvalifikace a odborných dovedností. U vyloženě malých podniků je problémem rovněž zastupitelnost zaměstnanců při účasti na DPV. </w:t>
            </w:r>
          </w:p>
          <w:p w14:paraId="653E21AE" w14:textId="77777777" w:rsidR="00DD3EFA" w:rsidRPr="005A0E7C" w:rsidRDefault="00DD3EFA" w:rsidP="00B15ECB">
            <w:pPr>
              <w:spacing w:before="60" w:after="60"/>
              <w:rPr>
                <w:rFonts w:eastAsiaTheme="majorEastAsia"/>
              </w:rPr>
            </w:pPr>
            <w:r w:rsidRPr="005A0E7C">
              <w:rPr>
                <w:rFonts w:eastAsiaTheme="majorEastAsia"/>
              </w:rPr>
              <w:t>Rekvalifikace</w:t>
            </w:r>
          </w:p>
          <w:p w14:paraId="1B9F0EC4" w14:textId="77777777" w:rsidR="00DD3EFA" w:rsidRPr="005A0E7C" w:rsidRDefault="00DD3EFA" w:rsidP="00B15ECB">
            <w:pPr>
              <w:spacing w:before="60" w:after="60"/>
              <w:rPr>
                <w:rFonts w:eastAsiaTheme="majorEastAsia"/>
              </w:rPr>
            </w:pPr>
            <w:r w:rsidRPr="005A0E7C">
              <w:rPr>
                <w:rFonts w:eastAsiaTheme="majorEastAsia"/>
              </w:rPr>
              <w:t>Na základě dobré praxe členských států EU v rámci sítí k zaměstnanosti (např. Mutual Learning Program, Transnational Tematic Network nebo PES to PES dialogue) je obecně deklarován názor, že další profesní vzdělávání realizované rekvalifikacemi nebo stážemi či praxí spojenou s rekvalifikacemi a případně doprovázené mentoringem má větší význam a dopad na zaměstnanost a zaměstnatelnost než samotné poskytování mzdových příspěvků, proto by se na tato opatření mělo přenést těžiště podpory. Oproti tomu naopak počet rekvalifikací realizovaných ÚP ČR v dlouhodobé perspektivě spíše klesal. Nezaměstnanost je sice rekordně nízká, nicméně stále existuje značné množství dlouhodobě nezaměstnaných a jiných ohrožených skupin v evidenci a je třeba rekvalifikační kurzy lépe cílit tak, aby měly přímou vazbu na volná pracovní místa</w:t>
            </w:r>
            <w:r w:rsidRPr="005A0E7C">
              <w:t xml:space="preserve"> </w:t>
            </w:r>
            <w:r w:rsidRPr="005A0E7C">
              <w:rPr>
                <w:rFonts w:eastAsiaTheme="majorEastAsia"/>
              </w:rPr>
              <w:t xml:space="preserve">a potřeby trhu práce. To vyžaduje více kapacit pro zabezpečování rekvalifikací na straně ÚP ČR (vazba na podoblast „Modernizace institucí TP“). </w:t>
            </w:r>
          </w:p>
          <w:p w14:paraId="40064706" w14:textId="77777777" w:rsidR="00DD3EFA" w:rsidRPr="005A0E7C" w:rsidRDefault="00DD3EFA" w:rsidP="00B15ECB">
            <w:pPr>
              <w:spacing w:before="60" w:after="60"/>
              <w:rPr>
                <w:rFonts w:eastAsiaTheme="majorEastAsia"/>
              </w:rPr>
            </w:pPr>
          </w:p>
          <w:p w14:paraId="4BDF9881" w14:textId="77777777" w:rsidR="00DD3EFA" w:rsidRPr="005A0E7C" w:rsidRDefault="00DD3EFA" w:rsidP="00B15ECB">
            <w:pPr>
              <w:spacing w:before="60" w:after="60"/>
              <w:rPr>
                <w:rFonts w:eastAsiaTheme="majorEastAsia"/>
              </w:rPr>
            </w:pPr>
            <w:r w:rsidRPr="005A0E7C">
              <w:rPr>
                <w:rFonts w:eastAsiaTheme="majorEastAsia"/>
              </w:rPr>
              <w:t>Kariérové poradenství a budování kariérových dovedností</w:t>
            </w:r>
          </w:p>
          <w:p w14:paraId="5BEA7935" w14:textId="77777777" w:rsidR="00DD3EFA" w:rsidRPr="005A0E7C" w:rsidRDefault="00DD3EFA" w:rsidP="00B15ECB">
            <w:pPr>
              <w:spacing w:before="60" w:after="60"/>
            </w:pPr>
            <w:r w:rsidRPr="005A0E7C">
              <w:rPr>
                <w:rFonts w:eastAsiaTheme="majorEastAsia"/>
              </w:rPr>
              <w:t>V oblasti kariérového poradenství je kromě samotného systému, který zahrnuje online platformy i kamenná centra, potřeba rozvíjet především schopnost jednotlivce vytvářet kariérové dovednosti</w:t>
            </w:r>
            <w:r w:rsidRPr="005A0E7C">
              <w:t xml:space="preserve">, které poskytují strukturované způsoby jak shromažďovat, analyzovat a syntetizovat vzdělávací a profesní informace, stejně jako si osvojovat určité dovednosti, na základě toho si stanovovat cíle a provádět důležitá rozhodnutí týkající se studia, volby a změny povolání. </w:t>
            </w:r>
          </w:p>
          <w:p w14:paraId="4D38D91E" w14:textId="77777777" w:rsidR="00DD3EFA" w:rsidRPr="005A0E7C" w:rsidRDefault="00DD3EFA" w:rsidP="00B15ECB">
            <w:pPr>
              <w:spacing w:before="60" w:after="60"/>
              <w:rPr>
                <w:rFonts w:eastAsiaTheme="majorEastAsia"/>
              </w:rPr>
            </w:pPr>
          </w:p>
          <w:p w14:paraId="18EE3F33" w14:textId="77777777" w:rsidR="00DD3EFA" w:rsidRPr="005A0E7C" w:rsidRDefault="00DD3EFA" w:rsidP="00B15ECB">
            <w:pPr>
              <w:spacing w:before="60" w:after="60"/>
              <w:rPr>
                <w:i/>
              </w:rPr>
            </w:pPr>
            <w:r w:rsidRPr="005A0E7C">
              <w:rPr>
                <w:rFonts w:eastAsiaTheme="majorEastAsia"/>
              </w:rPr>
              <w:t>Je potřeba dále podpořit proces uznávání výsledků neformálního a informálního učení podle příslušného zákona a s využitím Národní soustavy kvalifikací. V rámci studijní a pracovní mobility je pak třeba využívat ještě více přínosy Evropského rámce kvalifikací.</w:t>
            </w:r>
          </w:p>
        </w:tc>
        <w:tc>
          <w:tcPr>
            <w:tcW w:w="249" w:type="dxa"/>
            <w:tcBorders>
              <w:top w:val="nil"/>
              <w:bottom w:val="nil"/>
            </w:tcBorders>
            <w:shd w:val="clear" w:color="auto" w:fill="66CCFF"/>
          </w:tcPr>
          <w:p w14:paraId="06FB3F34" w14:textId="77777777" w:rsidR="00DD3EFA" w:rsidRPr="005A0E7C" w:rsidRDefault="00DD3EFA" w:rsidP="00B15ECB">
            <w:pPr>
              <w:rPr>
                <w:b/>
              </w:rPr>
            </w:pPr>
          </w:p>
        </w:tc>
      </w:tr>
      <w:tr w:rsidR="00DD3EFA" w:rsidRPr="005A0E7C" w14:paraId="1188F6E2" w14:textId="77777777" w:rsidTr="00B15ECB">
        <w:trPr>
          <w:trHeight w:val="1274"/>
        </w:trPr>
        <w:tc>
          <w:tcPr>
            <w:tcW w:w="249" w:type="dxa"/>
            <w:tcBorders>
              <w:top w:val="nil"/>
              <w:bottom w:val="nil"/>
            </w:tcBorders>
            <w:shd w:val="clear" w:color="auto" w:fill="66CCFF"/>
          </w:tcPr>
          <w:p w14:paraId="75CBC78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5B2B60D"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53FEDE1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39C3D73" w14:textId="77777777" w:rsidR="00DD3EFA" w:rsidRPr="005A0E7C" w:rsidRDefault="00DD3EFA" w:rsidP="00B15ECB">
            <w:pPr>
              <w:spacing w:before="60" w:after="60"/>
            </w:pPr>
            <w:r w:rsidRPr="005A0E7C">
              <w:t>Relevantní pilíř (strategický cíl) ze SR PZ 2030:</w:t>
            </w:r>
          </w:p>
          <w:p w14:paraId="4BEE5E16" w14:textId="77777777" w:rsidR="00DD3EFA" w:rsidRPr="005A0E7C" w:rsidRDefault="00DD3EFA" w:rsidP="00391907">
            <w:pPr>
              <w:pStyle w:val="Odstavecseseznamem"/>
              <w:numPr>
                <w:ilvl w:val="0"/>
                <w:numId w:val="17"/>
              </w:numPr>
              <w:spacing w:before="60" w:after="60"/>
              <w:jc w:val="both"/>
              <w:rPr>
                <w:rFonts w:eastAsiaTheme="majorEastAsia"/>
                <w:u w:val="single"/>
              </w:rPr>
            </w:pPr>
            <w:r w:rsidRPr="005A0E7C">
              <w:rPr>
                <w:rFonts w:eastAsiaTheme="majorEastAsia"/>
                <w:u w:val="single"/>
              </w:rPr>
              <w:t>Adaptace</w:t>
            </w:r>
            <w:r w:rsidRPr="005A0E7C">
              <w:rPr>
                <w:rFonts w:eastAsiaTheme="majorEastAsia"/>
              </w:rPr>
              <w:t xml:space="preserve"> – politika zaměstnanosti bude podporovat adaptaci všech aktérů trhu práce na měnící se podmínky, zejména na dopady 4. průmyslové revoluce, zaměstnavatelé, zaměstnanci i veřejná správa (včetně právního prostředí) bude adaptována na tyto změny.</w:t>
            </w:r>
          </w:p>
        </w:tc>
        <w:tc>
          <w:tcPr>
            <w:tcW w:w="249" w:type="dxa"/>
            <w:tcBorders>
              <w:top w:val="nil"/>
              <w:bottom w:val="nil"/>
            </w:tcBorders>
            <w:shd w:val="clear" w:color="auto" w:fill="66CCFF"/>
          </w:tcPr>
          <w:p w14:paraId="129C4ED5" w14:textId="77777777" w:rsidR="00DD3EFA" w:rsidRPr="005A0E7C" w:rsidRDefault="00DD3EFA" w:rsidP="00B15ECB">
            <w:pPr>
              <w:rPr>
                <w:b/>
              </w:rPr>
            </w:pPr>
          </w:p>
        </w:tc>
      </w:tr>
      <w:tr w:rsidR="00DD3EFA" w:rsidRPr="005A0E7C" w14:paraId="78E3154B" w14:textId="77777777" w:rsidTr="00B15ECB">
        <w:trPr>
          <w:trHeight w:val="1274"/>
        </w:trPr>
        <w:tc>
          <w:tcPr>
            <w:tcW w:w="249" w:type="dxa"/>
            <w:tcBorders>
              <w:top w:val="nil"/>
              <w:bottom w:val="nil"/>
            </w:tcBorders>
            <w:shd w:val="clear" w:color="auto" w:fill="66CCFF"/>
          </w:tcPr>
          <w:p w14:paraId="4E73E3B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EF4A6DF"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1AB2915B" w14:textId="77777777" w:rsidR="00DD3EFA" w:rsidRPr="005A0E7C" w:rsidRDefault="00DD3EFA" w:rsidP="00B15ECB">
            <w:pPr>
              <w:spacing w:before="60" w:after="60"/>
              <w:rPr>
                <w:rFonts w:eastAsiaTheme="majorEastAsia"/>
              </w:rPr>
            </w:pPr>
            <w:r w:rsidRPr="005A0E7C">
              <w:rPr>
                <w:rFonts w:eastAsiaTheme="majorEastAsia"/>
              </w:rPr>
              <w:t>Vize SR PZ 2030: „Trh práce a aktéři na něm se pohybující jsou schopni adaptovat se na rychle se měnící podmínky panující na trhu práce, zejména v kontextu stárnutí populace a výzev souvisejících se 4. průmyslovou revolucí, a to za využití vhodných nástrojů umožňujících efektivní transformaci české ekonomiky a v ní působící pracovní síly směrem k digitalizované ekonomice s vyšší přidanou hodnotou, včetně záchytných mechanismů pro ty, kteří nebudou těchto změn schopni.“</w:t>
            </w:r>
          </w:p>
          <w:p w14:paraId="4F7F0974" w14:textId="77777777" w:rsidR="00DD3EFA" w:rsidRPr="005A0E7C" w:rsidRDefault="00DD3EFA" w:rsidP="00B15ECB">
            <w:pPr>
              <w:spacing w:before="60" w:after="60"/>
              <w:rPr>
                <w:rFonts w:eastAsiaTheme="majorEastAsia"/>
              </w:rPr>
            </w:pPr>
          </w:p>
          <w:p w14:paraId="579A8639" w14:textId="16D8565A" w:rsidR="00DD3EFA" w:rsidRPr="005A0E7C" w:rsidRDefault="00DD3EFA" w:rsidP="00B15ECB">
            <w:pPr>
              <w:spacing w:before="60" w:after="60"/>
              <w:rPr>
                <w:rFonts w:eastAsiaTheme="majorEastAsia"/>
                <w:i/>
                <w:u w:val="single"/>
              </w:rPr>
            </w:pPr>
            <w:r w:rsidRPr="005A0E7C">
              <w:rPr>
                <w:rFonts w:eastAsiaTheme="majorEastAsia"/>
              </w:rPr>
              <w:t xml:space="preserve">Tedy ve vazbě na vytčené relevantní strategické cíle. Bude existovat systém podpory celoživotního učení, ve vztahu k politice zaměstnanosti zejména dalšího profesního vzdělávání, podporovaný celoživotním poradenským procesem, a to pro všechny osoby pohybující se na trhu práce (nezaměstnaní, zaměstnaní) či osoby, které na trh práce </w:t>
            </w:r>
            <w:r w:rsidR="006C35FA" w:rsidRPr="005A0E7C">
              <w:rPr>
                <w:rFonts w:eastAsiaTheme="majorEastAsia"/>
              </w:rPr>
              <w:t>budou</w:t>
            </w:r>
            <w:r w:rsidRPr="005A0E7C">
              <w:rPr>
                <w:rFonts w:eastAsiaTheme="majorEastAsia"/>
              </w:rPr>
              <w:t xml:space="preserve"> vstupovat. Budou existovat nástroje APZ, které budou podporovat ekonomickou transformaci a adaptaci pracovní síly na měnící se podmínky, zejména s cílem podpory její kvalifikace, zapracování a získávání nezbytných kompetencí. Dojde ke zvýšení účasti dospělé populace na dalším vzdělávání a bude existovat systém národní soustavy povolání a kvalifikací založený zejména na kompetenčních modelech a kompetencích vyžadovaných budoucím trhem práce.</w:t>
            </w:r>
          </w:p>
        </w:tc>
        <w:tc>
          <w:tcPr>
            <w:tcW w:w="249" w:type="dxa"/>
            <w:tcBorders>
              <w:top w:val="nil"/>
              <w:bottom w:val="nil"/>
            </w:tcBorders>
            <w:shd w:val="clear" w:color="auto" w:fill="66CCFF"/>
          </w:tcPr>
          <w:p w14:paraId="5E1C25CD" w14:textId="77777777" w:rsidR="00DD3EFA" w:rsidRPr="005A0E7C" w:rsidRDefault="00DD3EFA" w:rsidP="00B15ECB">
            <w:pPr>
              <w:rPr>
                <w:b/>
              </w:rPr>
            </w:pPr>
          </w:p>
        </w:tc>
      </w:tr>
      <w:tr w:rsidR="00DD3EFA" w:rsidRPr="005A0E7C" w14:paraId="74CC2004" w14:textId="77777777" w:rsidTr="00B15ECB">
        <w:trPr>
          <w:trHeight w:val="1274"/>
        </w:trPr>
        <w:tc>
          <w:tcPr>
            <w:tcW w:w="249" w:type="dxa"/>
            <w:tcBorders>
              <w:top w:val="nil"/>
              <w:bottom w:val="nil"/>
            </w:tcBorders>
            <w:shd w:val="clear" w:color="auto" w:fill="66CCFF"/>
          </w:tcPr>
          <w:p w14:paraId="3AB4C6B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4377C98"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1FB3BC92" w14:textId="77777777" w:rsidR="00DD3EFA" w:rsidRPr="005A0E7C" w:rsidRDefault="00DD3EFA" w:rsidP="00B15ECB">
            <w:pPr>
              <w:spacing w:before="60" w:after="60"/>
              <w:rPr>
                <w:rFonts w:eastAsiaTheme="majorEastAsia"/>
                <w:i/>
                <w:u w:val="single"/>
              </w:rPr>
            </w:pPr>
            <w:r w:rsidRPr="005A0E7C">
              <w:rPr>
                <w:rFonts w:eastAsiaTheme="majorEastAsia"/>
              </w:rPr>
              <w:t>Odhadovaný podíl ESIF na plnění tohoto specifického cíle předpokládáme v rozsahu cca 80 – 100 %.</w:t>
            </w:r>
          </w:p>
        </w:tc>
        <w:tc>
          <w:tcPr>
            <w:tcW w:w="249" w:type="dxa"/>
            <w:tcBorders>
              <w:top w:val="nil"/>
              <w:bottom w:val="nil"/>
            </w:tcBorders>
            <w:shd w:val="clear" w:color="auto" w:fill="66CCFF"/>
          </w:tcPr>
          <w:p w14:paraId="4D55EF5A" w14:textId="77777777" w:rsidR="00DD3EFA" w:rsidRPr="005A0E7C" w:rsidRDefault="00DD3EFA" w:rsidP="00B15ECB">
            <w:pPr>
              <w:rPr>
                <w:b/>
              </w:rPr>
            </w:pPr>
          </w:p>
        </w:tc>
      </w:tr>
      <w:tr w:rsidR="00DD3EFA" w:rsidRPr="005A0E7C" w14:paraId="2D04EA61" w14:textId="77777777" w:rsidTr="00B15ECB">
        <w:trPr>
          <w:trHeight w:val="269"/>
        </w:trPr>
        <w:tc>
          <w:tcPr>
            <w:tcW w:w="249" w:type="dxa"/>
            <w:tcBorders>
              <w:top w:val="nil"/>
              <w:bottom w:val="nil"/>
            </w:tcBorders>
            <w:shd w:val="clear" w:color="auto" w:fill="66CCFF"/>
          </w:tcPr>
          <w:p w14:paraId="55F52ED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A13C667"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23AF2966" w14:textId="77777777" w:rsidR="00DD3EFA" w:rsidRPr="005A0E7C" w:rsidRDefault="00DD3EFA" w:rsidP="00B15ECB">
            <w:pPr>
              <w:spacing w:before="60" w:after="60"/>
              <w:rPr>
                <w:rFonts w:eastAsiaTheme="majorEastAsia"/>
              </w:rPr>
            </w:pPr>
            <w:r w:rsidRPr="005A0E7C">
              <w:rPr>
                <w:rFonts w:eastAsiaTheme="majorEastAsia"/>
              </w:rPr>
              <w:t>Oproti minulému období bude více podporován rozvoj kariérového poradenství jako systému, který hraje podstatnou roli při rozhodování žáků i dospělých při volbě oboru studia nebo povolání, či jejich změny. Systematicky budou podporovány všechny formy kariérového poradenství (web, online, face to face aj.).</w:t>
            </w:r>
          </w:p>
          <w:p w14:paraId="11D3E894" w14:textId="77777777" w:rsidR="00DD3EFA" w:rsidRPr="005A0E7C" w:rsidRDefault="00DD3EFA" w:rsidP="00B15ECB">
            <w:pPr>
              <w:spacing w:before="60" w:after="60"/>
              <w:rPr>
                <w:i/>
              </w:rPr>
            </w:pPr>
            <w:r w:rsidRPr="005A0E7C">
              <w:rPr>
                <w:rFonts w:eastAsiaTheme="majorEastAsia"/>
              </w:rPr>
              <w:t>Budou podporovány nástroje a opatření směřující k podpoře získávání kvalifikací a kompetencí, a to jak před vstupem do zaměstnání, tak v jeho průběhu, včetně podpory zapracování a podpory profesní mobility ve všech fázích profesního života jedince.</w:t>
            </w:r>
          </w:p>
        </w:tc>
        <w:tc>
          <w:tcPr>
            <w:tcW w:w="249" w:type="dxa"/>
            <w:tcBorders>
              <w:top w:val="nil"/>
              <w:bottom w:val="nil"/>
            </w:tcBorders>
            <w:shd w:val="clear" w:color="auto" w:fill="66CCFF"/>
          </w:tcPr>
          <w:p w14:paraId="098E23ED" w14:textId="77777777" w:rsidR="00DD3EFA" w:rsidRPr="005A0E7C" w:rsidRDefault="00DD3EFA" w:rsidP="00B15ECB">
            <w:pPr>
              <w:rPr>
                <w:b/>
              </w:rPr>
            </w:pPr>
          </w:p>
        </w:tc>
      </w:tr>
      <w:tr w:rsidR="00DD3EFA" w:rsidRPr="005A0E7C" w14:paraId="4EAC2455" w14:textId="77777777" w:rsidTr="00B15ECB">
        <w:trPr>
          <w:trHeight w:val="272"/>
        </w:trPr>
        <w:tc>
          <w:tcPr>
            <w:tcW w:w="249" w:type="dxa"/>
            <w:tcBorders>
              <w:top w:val="nil"/>
              <w:bottom w:val="nil"/>
              <w:right w:val="nil"/>
            </w:tcBorders>
            <w:shd w:val="clear" w:color="auto" w:fill="66CCFF"/>
          </w:tcPr>
          <w:p w14:paraId="30A05651"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21C3B6B"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020311D"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4E091D0C" w14:textId="77777777" w:rsidR="00DD3EFA" w:rsidRPr="005A0E7C" w:rsidRDefault="00DD3EFA" w:rsidP="00B15ECB">
            <w:pPr>
              <w:rPr>
                <w:b/>
              </w:rPr>
            </w:pPr>
          </w:p>
        </w:tc>
      </w:tr>
      <w:tr w:rsidR="00DD3EFA" w:rsidRPr="005A0E7C" w14:paraId="15901A8E" w14:textId="77777777" w:rsidTr="00B15ECB">
        <w:trPr>
          <w:trHeight w:val="835"/>
        </w:trPr>
        <w:tc>
          <w:tcPr>
            <w:tcW w:w="249" w:type="dxa"/>
            <w:tcBorders>
              <w:top w:val="nil"/>
              <w:bottom w:val="nil"/>
            </w:tcBorders>
            <w:shd w:val="clear" w:color="auto" w:fill="66CCFF"/>
          </w:tcPr>
          <w:p w14:paraId="3CFABBF4"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7A0948C4"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51399232"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28AA5FE8" w14:textId="77777777" w:rsidR="00DD3EFA" w:rsidRPr="005A0E7C" w:rsidRDefault="00DD3EFA" w:rsidP="00391907">
            <w:pPr>
              <w:pStyle w:val="Odstavecseseznamem"/>
              <w:numPr>
                <w:ilvl w:val="0"/>
                <w:numId w:val="18"/>
              </w:numPr>
              <w:spacing w:before="60" w:after="60"/>
              <w:rPr>
                <w:rFonts w:eastAsiaTheme="majorEastAsia"/>
              </w:rPr>
            </w:pPr>
            <w:r w:rsidRPr="005A0E7C">
              <w:rPr>
                <w:rFonts w:eastAsiaTheme="majorEastAsia"/>
              </w:rPr>
              <w:t>Adaptace</w:t>
            </w:r>
          </w:p>
          <w:p w14:paraId="2B2E15A8" w14:textId="77777777" w:rsidR="00DD3EFA" w:rsidRPr="005A0E7C" w:rsidRDefault="00DD3EFA" w:rsidP="00391907">
            <w:pPr>
              <w:pStyle w:val="Odstavecseseznamem"/>
              <w:numPr>
                <w:ilvl w:val="1"/>
                <w:numId w:val="18"/>
              </w:numPr>
              <w:spacing w:before="60" w:after="60"/>
              <w:rPr>
                <w:rFonts w:eastAsiaTheme="majorEastAsia"/>
              </w:rPr>
            </w:pPr>
            <w:r w:rsidRPr="005A0E7C">
              <w:rPr>
                <w:rFonts w:eastAsiaTheme="majorEastAsia"/>
              </w:rPr>
              <w:t>Adaptace pracovní síly</w:t>
            </w:r>
          </w:p>
          <w:p w14:paraId="2201A7B9" w14:textId="77777777" w:rsidR="00DD3EFA" w:rsidRPr="005A0E7C" w:rsidRDefault="00DD3EFA" w:rsidP="00391907">
            <w:pPr>
              <w:pStyle w:val="Odstavecseseznamem"/>
              <w:numPr>
                <w:ilvl w:val="1"/>
                <w:numId w:val="18"/>
              </w:numPr>
              <w:spacing w:before="60" w:after="60"/>
              <w:rPr>
                <w:rFonts w:eastAsiaTheme="majorEastAsia"/>
              </w:rPr>
            </w:pPr>
            <w:r w:rsidRPr="005A0E7C">
              <w:rPr>
                <w:rFonts w:eastAsiaTheme="majorEastAsia"/>
              </w:rPr>
              <w:t>Adaptace zaměstnavatelů</w:t>
            </w:r>
          </w:p>
          <w:p w14:paraId="348C27F1"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7FE52A2E" w14:textId="77777777" w:rsidR="00DD3EFA" w:rsidRPr="005A0E7C" w:rsidRDefault="00DD3EFA" w:rsidP="00B15ECB">
            <w:pPr>
              <w:rPr>
                <w:b/>
              </w:rPr>
            </w:pPr>
          </w:p>
        </w:tc>
      </w:tr>
      <w:tr w:rsidR="00DD3EFA" w:rsidRPr="005A0E7C" w14:paraId="70C862CF" w14:textId="77777777" w:rsidTr="00B15ECB">
        <w:trPr>
          <w:trHeight w:val="377"/>
        </w:trPr>
        <w:tc>
          <w:tcPr>
            <w:tcW w:w="249" w:type="dxa"/>
            <w:tcBorders>
              <w:top w:val="nil"/>
              <w:bottom w:val="nil"/>
              <w:right w:val="nil"/>
            </w:tcBorders>
            <w:shd w:val="clear" w:color="auto" w:fill="66CCFF"/>
          </w:tcPr>
          <w:p w14:paraId="5457662B"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7F75C6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79FF07F"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3DDA0A42" w14:textId="77777777" w:rsidR="00DD3EFA" w:rsidRPr="005A0E7C" w:rsidRDefault="00DD3EFA" w:rsidP="00B15ECB">
            <w:pPr>
              <w:rPr>
                <w:b/>
              </w:rPr>
            </w:pPr>
          </w:p>
        </w:tc>
      </w:tr>
      <w:tr w:rsidR="00DD3EFA" w:rsidRPr="005A0E7C" w14:paraId="74DB3A27" w14:textId="77777777" w:rsidTr="00B15ECB">
        <w:trPr>
          <w:trHeight w:val="1202"/>
        </w:trPr>
        <w:tc>
          <w:tcPr>
            <w:tcW w:w="249" w:type="dxa"/>
            <w:tcBorders>
              <w:top w:val="nil"/>
              <w:bottom w:val="nil"/>
            </w:tcBorders>
            <w:shd w:val="clear" w:color="auto" w:fill="66CCFF"/>
          </w:tcPr>
          <w:p w14:paraId="5283A16C"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1ED4A0C0"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5E27AA88"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32C619DE" w14:textId="77777777" w:rsidR="00DD3EFA" w:rsidRPr="005A0E7C" w:rsidRDefault="00DD3EFA" w:rsidP="00B15ECB">
            <w:pPr>
              <w:rPr>
                <w:b/>
              </w:rPr>
            </w:pPr>
          </w:p>
        </w:tc>
      </w:tr>
      <w:tr w:rsidR="00DD3EFA" w:rsidRPr="005A0E7C" w14:paraId="3D97DDD6" w14:textId="77777777" w:rsidTr="00B15ECB">
        <w:trPr>
          <w:trHeight w:val="1202"/>
        </w:trPr>
        <w:tc>
          <w:tcPr>
            <w:tcW w:w="249" w:type="dxa"/>
            <w:tcBorders>
              <w:top w:val="nil"/>
              <w:bottom w:val="nil"/>
            </w:tcBorders>
            <w:shd w:val="clear" w:color="auto" w:fill="66CCFF"/>
          </w:tcPr>
          <w:p w14:paraId="1952E89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CB1135D"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5040A6F5"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B51EC7B"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 hlediska rozvoje regionů a sídel bude další profesní vzdělávání hrát důležitou roli v ekonomicky slabších venkovských oblastech, kdy může výrazně přispět ke zvýšení kvalifikace pracovní síly, podpořit kariérové dovednosti a profesní mobilitu. Za tímto účelem je rovněž v rámci IROPu podporována infrastruktura pro celoživotní vzdělávání.  Ve strukturálně postižených regionech napomůže při vyrovnávání nesouladu mezi nabídkou a pracovní poptávkou na trhu práce. V obou typech území bude ještě více propagován význam uznávání výsledků neformálního a informálního učení.</w:t>
            </w:r>
          </w:p>
          <w:p w14:paraId="70E9FE9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Ve strukturálně postižených krajích není vzhledem k nedostatečné vzdělanosti pracovní síla dobře připravena na obory nabízené v regionech. Vzdělávání a rekvalifikace jsou chápany jako klíčové předpoklady pro vyřešení tohoto problému skrze potřebné zvýšení kvalifikace a lepší přípravu pracovníků na žádané pracovní pozice v těchto oblastech.</w:t>
            </w:r>
          </w:p>
          <w:p w14:paraId="5BD94491" w14:textId="77777777" w:rsidR="00DD3EFA" w:rsidRPr="005A0E7C" w:rsidRDefault="00DD3EFA" w:rsidP="00B15ECB">
            <w:pPr>
              <w:pStyle w:val="slovanodstavec"/>
              <w:tabs>
                <w:tab w:val="left" w:pos="284"/>
              </w:tabs>
              <w:suppressAutoHyphens/>
              <w:spacing w:line="240" w:lineRule="auto"/>
              <w:rPr>
                <w:rFonts w:ascii="Times New Roman" w:hAnsi="Times New Roman"/>
                <w:b/>
              </w:rPr>
            </w:pPr>
            <w:r w:rsidRPr="005A0E7C">
              <w:rPr>
                <w:rFonts w:ascii="Times New Roman" w:hAnsi="Times New Roman"/>
              </w:rPr>
              <w:t>Obdobný problém je přítomný také v případě regionálních center a jejich zázemí. V oblasti trhu práce nejsou dostatečně sladěny požadavky (mikro) regionálního trhu práce a struktury vzdělávacích oborů a možnosti rekvalifikací či průběžného vzdělávání stávajících pracovníků. Vzhledem k často úzkému zaměření několika málo zaměstnavatelů v řadě regionálních center je zapotřebí, aby se stávající i potencionální pracovníci mohli vyškolit a získat zkušenosti v několika relativně úzkých oborech a specializacích. K tomuto je zapotřebí aktivní spolupráce mezi územními partnery, zaměstnavateli a vzdělávacími subjekty pro dosažení specificky zacíleného vzdělávání (včetně například organizací adekvátně zaměřených školení, kurzů, rekvalifikací a spoluprací mezi zaměstnavateli a školami v regionu).</w:t>
            </w:r>
            <w:r w:rsidRPr="005A0E7C">
              <w:rPr>
                <w:rFonts w:ascii="Times New Roman" w:hAnsi="Times New Roman"/>
                <w:b/>
              </w:rPr>
              <w:tab/>
            </w:r>
          </w:p>
          <w:p w14:paraId="39285ACC" w14:textId="77777777" w:rsidR="00DD3EFA" w:rsidRPr="005A0E7C" w:rsidRDefault="00DD3EFA" w:rsidP="00B15ECB">
            <w:pPr>
              <w:spacing w:before="60" w:after="60"/>
              <w:rPr>
                <w:rFonts w:eastAsiaTheme="majorEastAsia"/>
                <w:i/>
              </w:rPr>
            </w:pPr>
            <w:r w:rsidRPr="005A0E7C">
              <w:t>V oblastech, kde je významný potenciál dalšího růstu či rozvoje cestovního ruchu, je třeba se zaměřit na další profesní vzdělávání pracovníků ve službách cestovního ruchu (ať už na stávajících či pro nová pracovní místa), stejně jako na rozvoj kompetencí pro podnikání v této oblasti.</w:t>
            </w:r>
          </w:p>
        </w:tc>
        <w:tc>
          <w:tcPr>
            <w:tcW w:w="249" w:type="dxa"/>
            <w:tcBorders>
              <w:top w:val="nil"/>
              <w:bottom w:val="nil"/>
            </w:tcBorders>
            <w:shd w:val="clear" w:color="auto" w:fill="66CCFF"/>
          </w:tcPr>
          <w:p w14:paraId="5C302211" w14:textId="77777777" w:rsidR="00DD3EFA" w:rsidRPr="005A0E7C" w:rsidRDefault="00DD3EFA" w:rsidP="00B15ECB">
            <w:pPr>
              <w:rPr>
                <w:b/>
              </w:rPr>
            </w:pPr>
          </w:p>
        </w:tc>
      </w:tr>
      <w:tr w:rsidR="00DD3EFA" w:rsidRPr="005A0E7C" w14:paraId="4B713E68" w14:textId="77777777" w:rsidTr="00B15ECB">
        <w:trPr>
          <w:trHeight w:val="1202"/>
        </w:trPr>
        <w:tc>
          <w:tcPr>
            <w:tcW w:w="249" w:type="dxa"/>
            <w:tcBorders>
              <w:top w:val="nil"/>
              <w:bottom w:val="nil"/>
            </w:tcBorders>
            <w:shd w:val="clear" w:color="auto" w:fill="66CCFF"/>
          </w:tcPr>
          <w:p w14:paraId="062637A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331E481"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2C17CC6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80882D4"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98FC479" w14:textId="77777777" w:rsidR="00DD3EFA" w:rsidRPr="005A0E7C" w:rsidRDefault="00DD3EFA" w:rsidP="00B15ECB">
            <w:pPr>
              <w:rPr>
                <w:b/>
              </w:rPr>
            </w:pPr>
          </w:p>
        </w:tc>
      </w:tr>
      <w:tr w:rsidR="00DD3EFA" w:rsidRPr="005A0E7C" w14:paraId="413CFE4C" w14:textId="77777777" w:rsidTr="00B15ECB">
        <w:trPr>
          <w:trHeight w:val="1202"/>
        </w:trPr>
        <w:tc>
          <w:tcPr>
            <w:tcW w:w="249" w:type="dxa"/>
            <w:tcBorders>
              <w:top w:val="nil"/>
              <w:bottom w:val="nil"/>
            </w:tcBorders>
            <w:shd w:val="clear" w:color="auto" w:fill="66CCFF"/>
          </w:tcPr>
          <w:p w14:paraId="5273FD9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6D358BA"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34FFA22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DFB7533"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Podpoře adaptability pracovní síly, resp. vzdělávání zaměstnanců, je třeba věnovat zvýšenou pozornost zejména v souvislosti s přípravou na potenciální dopady 4. průmyslové revoluce, tedy v oblasti zvyšování požadavků na kvalifikaci zaměstnanců v důsledku vyšší digitalizace a robotizace jak výrobních procesů, tak služeb. Podpora DPV umožňuje rozvoj digitálních a IT kompetencí a dovedností v ekonomice. Pokud jde o kariérové poradenství, je žádoucí vytvořit národní portál kariérového poradentství.</w:t>
            </w:r>
          </w:p>
          <w:p w14:paraId="42CBFB9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souvislosti s nástupem Společnosti 4.0 (včetně Průmyslu 4.0) je nezbytné v oblasti DPV zmapovat vzdělávací kurzy a další iniciativy v oblasti digitálního vzdělávání a rozvoje digitálních kompetencí a v případě potřeby rozšířit jejich nabídku, tak aby reflektovala nové trendy v oblasti digitalizace, robotizace a umělé inteligence ve výrobních procesech a službách, ale i dalších oblastech trhu práce. V případě nezaměstnaných a zaměstnanců firem, zejména malých a středních podniků a OSVČ sehraje klíčovou úlohu podpora především přenositelných digitálních kompetencí, využitelných na více pozicích i ve více profesích, ale i digitálních kompetencí nepřenositelných.</w:t>
            </w:r>
          </w:p>
          <w:p w14:paraId="2680D14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Podstatné je rovněž nalezení a podpora vhodného designu nástrojů podpory dalšího profesního a celoživotního vzdělávání, a to jak pro osoby nezaměstnané, tak zaměstnané, včetně podpory OSVČ a pracovníků, kteří budou vykonávat pracovní činnost v alternativních formách organizace práce budoucích trhů práce (např. prostřednictvím online platforem). </w:t>
            </w:r>
          </w:p>
        </w:tc>
        <w:tc>
          <w:tcPr>
            <w:tcW w:w="249" w:type="dxa"/>
            <w:tcBorders>
              <w:top w:val="nil"/>
              <w:bottom w:val="nil"/>
            </w:tcBorders>
            <w:shd w:val="clear" w:color="auto" w:fill="66CCFF"/>
          </w:tcPr>
          <w:p w14:paraId="36E9C525" w14:textId="77777777" w:rsidR="00DD3EFA" w:rsidRPr="005A0E7C" w:rsidRDefault="00DD3EFA" w:rsidP="00B15ECB">
            <w:pPr>
              <w:rPr>
                <w:b/>
              </w:rPr>
            </w:pPr>
          </w:p>
        </w:tc>
      </w:tr>
      <w:tr w:rsidR="00DD3EFA" w:rsidRPr="005A0E7C" w14:paraId="290BC010" w14:textId="77777777" w:rsidTr="00B15ECB">
        <w:trPr>
          <w:trHeight w:val="1202"/>
        </w:trPr>
        <w:tc>
          <w:tcPr>
            <w:tcW w:w="249" w:type="dxa"/>
            <w:tcBorders>
              <w:top w:val="nil"/>
              <w:bottom w:val="nil"/>
            </w:tcBorders>
            <w:shd w:val="clear" w:color="auto" w:fill="66CCFF"/>
          </w:tcPr>
          <w:p w14:paraId="5BF48BF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FAB55B5"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7B03D0B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C6A5BF6"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Demografické stárnutí</w:t>
            </w:r>
          </w:p>
          <w:p w14:paraId="7756CCCC"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Zvyšující se rychlost technologické změny</w:t>
            </w:r>
          </w:p>
          <w:p w14:paraId="57FBA58B"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Virtualizace světa</w:t>
            </w:r>
          </w:p>
          <w:p w14:paraId="6C0AB403"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Rostoucí mobilita</w:t>
            </w:r>
          </w:p>
          <w:p w14:paraId="71A8D438" w14:textId="77777777" w:rsidR="00DD3EFA" w:rsidRPr="005A0E7C" w:rsidRDefault="00DD3EFA" w:rsidP="00B15ECB">
            <w:pPr>
              <w:rPr>
                <w:rFonts w:eastAsiaTheme="majorEastAsia"/>
              </w:rPr>
            </w:pPr>
          </w:p>
        </w:tc>
        <w:tc>
          <w:tcPr>
            <w:tcW w:w="249" w:type="dxa"/>
            <w:tcBorders>
              <w:top w:val="nil"/>
              <w:bottom w:val="nil"/>
            </w:tcBorders>
            <w:shd w:val="clear" w:color="auto" w:fill="66CCFF"/>
          </w:tcPr>
          <w:p w14:paraId="74E24F5E" w14:textId="77777777" w:rsidR="00DD3EFA" w:rsidRPr="005A0E7C" w:rsidRDefault="00DD3EFA" w:rsidP="00B15ECB">
            <w:pPr>
              <w:rPr>
                <w:b/>
              </w:rPr>
            </w:pPr>
          </w:p>
        </w:tc>
      </w:tr>
      <w:tr w:rsidR="00DD3EFA" w:rsidRPr="005A0E7C" w14:paraId="118A555A" w14:textId="77777777" w:rsidTr="00B15ECB">
        <w:trPr>
          <w:trHeight w:val="1202"/>
        </w:trPr>
        <w:tc>
          <w:tcPr>
            <w:tcW w:w="249" w:type="dxa"/>
            <w:tcBorders>
              <w:top w:val="nil"/>
              <w:bottom w:val="nil"/>
            </w:tcBorders>
            <w:shd w:val="clear" w:color="auto" w:fill="66CCFF"/>
          </w:tcPr>
          <w:p w14:paraId="42D3E37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5CAABF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5B340B1B" w14:textId="77777777" w:rsidR="00DD3EFA" w:rsidRPr="005A0E7C" w:rsidRDefault="00DD3EFA" w:rsidP="00B15ECB">
            <w:pPr>
              <w:spacing w:before="60" w:after="60"/>
            </w:pPr>
            <w:r w:rsidRPr="005A0E7C">
              <w:t>Cíl politiky 4 Sociálnější Evropa – provádění evropského pilíře sociálních práv</w:t>
            </w:r>
          </w:p>
          <w:p w14:paraId="769AE59E" w14:textId="77777777" w:rsidR="00DD3EFA" w:rsidRPr="005A0E7C" w:rsidRDefault="00DD3EFA" w:rsidP="00B15ECB">
            <w:pPr>
              <w:spacing w:before="60" w:after="60"/>
            </w:pPr>
            <w:r w:rsidRPr="005A0E7C">
              <w:t>Specifický cíl ESF+: iii) prosazovat účast žen na trhu práce, lepší rovnováhu mezi prací a osobním životem – včetně přístupu k péči o děti, zdravého a přiměřeného pracovního prostředí s ohledem na zdravotní rizika a přizpůsobení pracovníků, podniků a podnikatelů změnám – a aktivní a zdravé stárnutí;</w:t>
            </w:r>
          </w:p>
          <w:p w14:paraId="2F67E44C" w14:textId="77777777" w:rsidR="00DD3EFA" w:rsidRPr="005A0E7C" w:rsidRDefault="00DD3EFA" w:rsidP="00B15ECB">
            <w:pPr>
              <w:spacing w:before="60" w:after="60"/>
              <w:rPr>
                <w:rFonts w:eastAsiaTheme="majorEastAsia"/>
                <w:i/>
              </w:rPr>
            </w:pPr>
            <w:r w:rsidRPr="005A0E7C">
              <w:t>(pozn. znění cílů dle návrhů nařízení ze strany EK, při dosavadním vyjednávání v PS Rady byla shoda na rozdělení tohoto cíle na dva samostatné – jednoho pro rovnost žen a mužů a druhého pro adaptabilitu podniků a pracovníků)</w:t>
            </w:r>
          </w:p>
        </w:tc>
        <w:tc>
          <w:tcPr>
            <w:tcW w:w="249" w:type="dxa"/>
            <w:tcBorders>
              <w:top w:val="nil"/>
              <w:bottom w:val="nil"/>
            </w:tcBorders>
            <w:shd w:val="clear" w:color="auto" w:fill="66CCFF"/>
          </w:tcPr>
          <w:p w14:paraId="3FAE01DD" w14:textId="77777777" w:rsidR="00DD3EFA" w:rsidRPr="005A0E7C" w:rsidRDefault="00DD3EFA" w:rsidP="00B15ECB">
            <w:pPr>
              <w:rPr>
                <w:b/>
              </w:rPr>
            </w:pPr>
          </w:p>
        </w:tc>
      </w:tr>
      <w:tr w:rsidR="00DD3EFA" w:rsidRPr="005A0E7C" w14:paraId="6542956D" w14:textId="77777777" w:rsidTr="00B15ECB">
        <w:trPr>
          <w:trHeight w:val="1202"/>
        </w:trPr>
        <w:tc>
          <w:tcPr>
            <w:tcW w:w="249" w:type="dxa"/>
            <w:tcBorders>
              <w:top w:val="nil"/>
              <w:bottom w:val="nil"/>
            </w:tcBorders>
            <w:shd w:val="clear" w:color="auto" w:fill="66CCFF"/>
          </w:tcPr>
          <w:p w14:paraId="02F91DE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9FD40AC"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73A6D5D5" w14:textId="77777777" w:rsidR="00DD3EFA" w:rsidRPr="005A0E7C" w:rsidRDefault="00DD3EFA" w:rsidP="00B15ECB">
            <w:pPr>
              <w:rPr>
                <w:rFonts w:eastAsiaTheme="majorEastAsia"/>
              </w:rPr>
            </w:pPr>
            <w:r w:rsidRPr="005A0E7C">
              <w:rPr>
                <w:rFonts w:eastAsiaTheme="majorEastAsia"/>
              </w:rPr>
              <w:t xml:space="preserve">SDR 2018, Doporučení č. 2 (zvýrazněna část týkající se trhu práce a zaměstnanosti): </w:t>
            </w:r>
          </w:p>
          <w:p w14:paraId="62664AEE" w14:textId="77777777" w:rsidR="00DD3EFA" w:rsidRPr="005A0E7C" w:rsidRDefault="00DD3EFA" w:rsidP="00B15ECB">
            <w:pPr>
              <w:rPr>
                <w:rFonts w:eastAsiaTheme="majorEastAsia"/>
              </w:rPr>
            </w:pPr>
          </w:p>
          <w:p w14:paraId="095584B9" w14:textId="77777777" w:rsidR="00DD3EFA" w:rsidRPr="005A0E7C" w:rsidRDefault="00DD3EFA" w:rsidP="00B15ECB">
            <w:pPr>
              <w:rPr>
                <w:rFonts w:eastAsiaTheme="majorEastAsia"/>
              </w:rPr>
            </w:pPr>
            <w:r w:rsidRPr="005A0E7C">
              <w:rPr>
                <w:rFonts w:eastAsiaTheme="majorEastAsia"/>
              </w:rPr>
              <w:t xml:space="preserve">„Snížit administrativní zátěž pro investice, mimo jiné zrychlením povolovacích postupů u infrastrukturních projektů. Odstranit překážky brzdící výzkum, vývoj a inovace, zejména zvýšením inovační kapacity domácích podniků. Posílit schopnost vzdělávacího systému poskytovat kvalitní inkluzivní vzdělávání, mimo jiné podporou učitelského povolání. </w:t>
            </w:r>
            <w:r w:rsidRPr="005A0E7C">
              <w:rPr>
                <w:rFonts w:eastAsiaTheme="majorEastAsia"/>
                <w:b/>
              </w:rPr>
              <w:t>Podporovat zaměstnávání žen, osob s nízkou kvalifikací a osob se zdravotním postižením, mimo jiné zvýšením účinnosti aktivních politik na trhu práce.</w:t>
            </w:r>
            <w:r w:rsidRPr="005A0E7C">
              <w:rPr>
                <w:rFonts w:eastAsiaTheme="majorEastAsia"/>
              </w:rPr>
              <w:t>“</w:t>
            </w:r>
          </w:p>
          <w:p w14:paraId="30D17524"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E87A7F0" w14:textId="77777777" w:rsidR="00DD3EFA" w:rsidRPr="005A0E7C" w:rsidRDefault="00DD3EFA" w:rsidP="00B15ECB">
            <w:pPr>
              <w:rPr>
                <w:b/>
              </w:rPr>
            </w:pPr>
          </w:p>
        </w:tc>
      </w:tr>
      <w:tr w:rsidR="00DD3EFA" w:rsidRPr="005A0E7C" w14:paraId="6F6C3381" w14:textId="77777777" w:rsidTr="00B15ECB">
        <w:trPr>
          <w:trHeight w:val="180"/>
        </w:trPr>
        <w:tc>
          <w:tcPr>
            <w:tcW w:w="249" w:type="dxa"/>
            <w:tcBorders>
              <w:top w:val="nil"/>
              <w:bottom w:val="nil"/>
              <w:right w:val="nil"/>
            </w:tcBorders>
            <w:shd w:val="clear" w:color="auto" w:fill="66CCFF"/>
          </w:tcPr>
          <w:p w14:paraId="466B5E86" w14:textId="77777777" w:rsidR="00DD3EFA" w:rsidRPr="005A0E7C" w:rsidRDefault="00DD3EFA" w:rsidP="00B15ECB">
            <w:pPr>
              <w:rPr>
                <w:b/>
              </w:rPr>
            </w:pPr>
          </w:p>
        </w:tc>
        <w:tc>
          <w:tcPr>
            <w:tcW w:w="2548" w:type="dxa"/>
            <w:tcBorders>
              <w:left w:val="nil"/>
              <w:right w:val="nil"/>
            </w:tcBorders>
            <w:shd w:val="clear" w:color="auto" w:fill="66CCFF"/>
          </w:tcPr>
          <w:p w14:paraId="2016120C" w14:textId="77777777" w:rsidR="00DD3EFA" w:rsidRPr="005A0E7C" w:rsidRDefault="00DD3EFA" w:rsidP="00B15ECB">
            <w:pPr>
              <w:rPr>
                <w:b/>
              </w:rPr>
            </w:pPr>
          </w:p>
        </w:tc>
        <w:tc>
          <w:tcPr>
            <w:tcW w:w="5978" w:type="dxa"/>
            <w:tcBorders>
              <w:left w:val="nil"/>
              <w:right w:val="nil"/>
            </w:tcBorders>
            <w:shd w:val="clear" w:color="auto" w:fill="66CCFF"/>
          </w:tcPr>
          <w:p w14:paraId="09BF2842" w14:textId="77777777" w:rsidR="00DD3EFA" w:rsidRPr="005A0E7C" w:rsidRDefault="00DD3EFA" w:rsidP="00B15ECB">
            <w:pPr>
              <w:rPr>
                <w:b/>
              </w:rPr>
            </w:pPr>
          </w:p>
        </w:tc>
        <w:tc>
          <w:tcPr>
            <w:tcW w:w="249" w:type="dxa"/>
            <w:tcBorders>
              <w:top w:val="nil"/>
              <w:left w:val="nil"/>
              <w:bottom w:val="nil"/>
            </w:tcBorders>
            <w:shd w:val="clear" w:color="auto" w:fill="66CCFF"/>
          </w:tcPr>
          <w:p w14:paraId="057833E9" w14:textId="77777777" w:rsidR="00DD3EFA" w:rsidRPr="005A0E7C" w:rsidRDefault="00DD3EFA" w:rsidP="00B15ECB">
            <w:pPr>
              <w:rPr>
                <w:b/>
              </w:rPr>
            </w:pPr>
          </w:p>
        </w:tc>
      </w:tr>
      <w:tr w:rsidR="00DD3EFA" w:rsidRPr="005A0E7C" w14:paraId="42359D74" w14:textId="77777777" w:rsidTr="00B15ECB">
        <w:trPr>
          <w:trHeight w:val="938"/>
        </w:trPr>
        <w:tc>
          <w:tcPr>
            <w:tcW w:w="249" w:type="dxa"/>
            <w:tcBorders>
              <w:top w:val="nil"/>
              <w:bottom w:val="nil"/>
            </w:tcBorders>
            <w:shd w:val="clear" w:color="auto" w:fill="66CCFF"/>
          </w:tcPr>
          <w:p w14:paraId="2500CF1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B16005F"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061913E2"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0B1C70A3"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Evropský pilíř sociálních práv</w:t>
            </w:r>
          </w:p>
          <w:p w14:paraId="5D19E525"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Nová agenda dovedností pro Evropu (New Skills Agenda)</w:t>
            </w:r>
          </w:p>
          <w:p w14:paraId="4578A4AB"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Evropa 2020 : strategie Evropské unie pro růst a zaměstnanost</w:t>
            </w:r>
          </w:p>
          <w:p w14:paraId="405200FF"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Strategický rámec Česká republika 2030</w:t>
            </w:r>
          </w:p>
          <w:p w14:paraId="24FD1E6A"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celoživotního učení (2007)</w:t>
            </w:r>
          </w:p>
          <w:p w14:paraId="1D8491F1"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politiky zaměstnanosti do roku 2020 (2015), aktualizace 2017</w:t>
            </w:r>
          </w:p>
          <w:p w14:paraId="01DF7E55"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Národní program reforem</w:t>
            </w:r>
          </w:p>
          <w:p w14:paraId="75FE23B2"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Koncepce politiky zaměstnanosti 2013 – 2020</w:t>
            </w:r>
          </w:p>
          <w:p w14:paraId="31AC52F0"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Zákon o uznávání výsledků neformálního a informálního učení</w:t>
            </w:r>
          </w:p>
          <w:p w14:paraId="3AF6818D"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Akční plán Práce 4.0</w:t>
            </w:r>
          </w:p>
          <w:p w14:paraId="1DD4D930"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Akční plán Strategie boje proti sociálnímu vyloučení na období 2016 až 2020</w:t>
            </w:r>
          </w:p>
          <w:p w14:paraId="099CCD8C"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b/>
              </w:rPr>
            </w:pPr>
            <w:r w:rsidRPr="005A0E7C">
              <w:rPr>
                <w:rFonts w:ascii="Times New Roman" w:hAnsi="Times New Roman"/>
                <w:b/>
              </w:rPr>
              <w:t>Strategický rámec politiky zaměstnanosti do roku 2030 (v přípravě)</w:t>
            </w:r>
          </w:p>
          <w:p w14:paraId="5F8635CB"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p>
          <w:p w14:paraId="3ACAA6F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Strategie digitální gramotnosti ČR na období 2015 – 2020</w:t>
            </w:r>
          </w:p>
          <w:p w14:paraId="0B73C24C"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Analýzy:</w:t>
            </w:r>
          </w:p>
          <w:p w14:paraId="72F1A769" w14:textId="77777777" w:rsidR="00DD3EFA" w:rsidRPr="005A0E7C" w:rsidRDefault="00DD3EFA" w:rsidP="00391907">
            <w:pPr>
              <w:pStyle w:val="slovanodstavec"/>
              <w:numPr>
                <w:ilvl w:val="0"/>
                <w:numId w:val="10"/>
              </w:numPr>
              <w:tabs>
                <w:tab w:val="left" w:pos="284"/>
              </w:tabs>
              <w:suppressAutoHyphens/>
              <w:spacing w:after="0" w:line="240" w:lineRule="auto"/>
              <w:ind w:left="357" w:hanging="357"/>
              <w:rPr>
                <w:rFonts w:ascii="Times New Roman" w:hAnsi="Times New Roman"/>
              </w:rPr>
            </w:pPr>
            <w:r w:rsidRPr="005A0E7C">
              <w:rPr>
                <w:rFonts w:ascii="Times New Roman" w:hAnsi="Times New Roman"/>
              </w:rPr>
              <w:t>Analýza nabídky a poptávky na trhu práce</w:t>
            </w:r>
          </w:p>
          <w:p w14:paraId="3BB0642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Analýza vývoje zaměstnanosti a nezaměstnanosti</w:t>
            </w:r>
          </w:p>
        </w:tc>
        <w:tc>
          <w:tcPr>
            <w:tcW w:w="249" w:type="dxa"/>
            <w:tcBorders>
              <w:top w:val="nil"/>
              <w:bottom w:val="nil"/>
            </w:tcBorders>
            <w:shd w:val="clear" w:color="auto" w:fill="66CCFF"/>
          </w:tcPr>
          <w:p w14:paraId="78FDF890" w14:textId="77777777" w:rsidR="00DD3EFA" w:rsidRPr="005A0E7C" w:rsidRDefault="00DD3EFA" w:rsidP="00B15ECB">
            <w:pPr>
              <w:rPr>
                <w:b/>
              </w:rPr>
            </w:pPr>
          </w:p>
        </w:tc>
      </w:tr>
      <w:tr w:rsidR="00DD3EFA" w:rsidRPr="005A0E7C" w14:paraId="456ECB00" w14:textId="77777777" w:rsidTr="00B15ECB">
        <w:trPr>
          <w:trHeight w:val="938"/>
        </w:trPr>
        <w:tc>
          <w:tcPr>
            <w:tcW w:w="249" w:type="dxa"/>
            <w:tcBorders>
              <w:top w:val="nil"/>
              <w:bottom w:val="nil"/>
            </w:tcBorders>
            <w:shd w:val="clear" w:color="auto" w:fill="66CCFF"/>
          </w:tcPr>
          <w:p w14:paraId="1DE64FC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78F103C"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366E953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B5EC9B3" w14:textId="77777777" w:rsidR="00DD3EFA" w:rsidRPr="005A0E7C" w:rsidRDefault="00DD3EFA" w:rsidP="00B15ECB">
            <w:pPr>
              <w:rPr>
                <w:rFonts w:eastAsiaTheme="majorEastAsia"/>
              </w:rPr>
            </w:pPr>
            <w:r w:rsidRPr="005A0E7C">
              <w:rPr>
                <w:rFonts w:eastAsiaTheme="majorEastAsia"/>
              </w:rPr>
              <w:t>Popis se týká SR PZ 2030:</w:t>
            </w:r>
          </w:p>
          <w:p w14:paraId="0E6CC1C1" w14:textId="77777777" w:rsidR="00DD3EFA" w:rsidRPr="005A0E7C" w:rsidRDefault="00DD3EFA" w:rsidP="00B15ECB">
            <w:pPr>
              <w:rPr>
                <w:rFonts w:eastAsiaTheme="majorEastAsia"/>
              </w:rPr>
            </w:pPr>
            <w:r w:rsidRPr="005A0E7C">
              <w:rPr>
                <w:rFonts w:eastAsiaTheme="majorEastAsia"/>
              </w:rPr>
              <w:t>SR PZ 2030 obsahuje část analyzující vývoj trhu práce v posledních deseti letech, a to s ohledem na nutnost popsat vývoj trhu práce v průběhu celého střednědobého hospodářského cyklu a identifikovat tak dlouhodobější trendy vývoje a proměny trhu práce. Zároveň obsahuje část „východiska“ stojící na pomezí strategické a analytické části, vycházející z již provedených analýz a predikcí očekávaného vývoje trhu práce, zejména ve vazbě na dopady 4. průmyslové revoluce.</w:t>
            </w:r>
          </w:p>
        </w:tc>
        <w:tc>
          <w:tcPr>
            <w:tcW w:w="249" w:type="dxa"/>
            <w:tcBorders>
              <w:top w:val="nil"/>
              <w:bottom w:val="nil"/>
            </w:tcBorders>
            <w:shd w:val="clear" w:color="auto" w:fill="66CCFF"/>
          </w:tcPr>
          <w:p w14:paraId="7D51C7E6" w14:textId="77777777" w:rsidR="00DD3EFA" w:rsidRPr="005A0E7C" w:rsidRDefault="00DD3EFA" w:rsidP="00B15ECB">
            <w:pPr>
              <w:rPr>
                <w:b/>
              </w:rPr>
            </w:pPr>
          </w:p>
        </w:tc>
      </w:tr>
      <w:tr w:rsidR="00DD3EFA" w:rsidRPr="005A0E7C" w14:paraId="68F11303" w14:textId="77777777" w:rsidTr="00B15ECB">
        <w:trPr>
          <w:trHeight w:val="938"/>
        </w:trPr>
        <w:tc>
          <w:tcPr>
            <w:tcW w:w="249" w:type="dxa"/>
            <w:tcBorders>
              <w:top w:val="nil"/>
              <w:bottom w:val="nil"/>
            </w:tcBorders>
            <w:shd w:val="clear" w:color="auto" w:fill="66CCFF"/>
          </w:tcPr>
          <w:p w14:paraId="466E8FF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A97110A"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3075799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5C637E0" w14:textId="77777777" w:rsidR="00DD3EFA" w:rsidRPr="005A0E7C" w:rsidRDefault="00DD3EFA" w:rsidP="00B15ECB">
            <w:pPr>
              <w:rPr>
                <w:rFonts w:eastAsiaTheme="majorEastAsia"/>
              </w:rPr>
            </w:pPr>
            <w:r w:rsidRPr="005A0E7C">
              <w:rPr>
                <w:rFonts w:eastAsiaTheme="majorEastAsia"/>
              </w:rPr>
              <w:t>Popis se týká SR PZ 2030</w:t>
            </w:r>
          </w:p>
          <w:p w14:paraId="405A51AF" w14:textId="77777777" w:rsidR="00DD3EFA" w:rsidRPr="005A0E7C" w:rsidRDefault="00DD3EFA" w:rsidP="00B15ECB">
            <w:pPr>
              <w:rPr>
                <w:rFonts w:eastAsiaTheme="majorEastAsia"/>
              </w:rPr>
            </w:pPr>
            <w:r w:rsidRPr="005A0E7C">
              <w:rPr>
                <w:rFonts w:eastAsiaTheme="majorEastAsia"/>
              </w:rPr>
              <w:t>SR PZ 2030 je strategickým rámcem s platností na celé období 20. let 21. století. Cíle a opatření jsou proto definována rámcově a budou pro kratší období 2 až tří let zpřesňována prostřednictvím akčních plánů.</w:t>
            </w:r>
          </w:p>
        </w:tc>
        <w:tc>
          <w:tcPr>
            <w:tcW w:w="249" w:type="dxa"/>
            <w:tcBorders>
              <w:top w:val="nil"/>
              <w:bottom w:val="nil"/>
            </w:tcBorders>
            <w:shd w:val="clear" w:color="auto" w:fill="66CCFF"/>
          </w:tcPr>
          <w:p w14:paraId="63FC8116" w14:textId="77777777" w:rsidR="00DD3EFA" w:rsidRPr="005A0E7C" w:rsidRDefault="00DD3EFA" w:rsidP="00B15ECB">
            <w:pPr>
              <w:rPr>
                <w:b/>
              </w:rPr>
            </w:pPr>
          </w:p>
        </w:tc>
      </w:tr>
      <w:tr w:rsidR="00DD3EFA" w:rsidRPr="005A0E7C" w14:paraId="324F0B45" w14:textId="77777777" w:rsidTr="00B15ECB">
        <w:trPr>
          <w:trHeight w:val="938"/>
        </w:trPr>
        <w:tc>
          <w:tcPr>
            <w:tcW w:w="249" w:type="dxa"/>
            <w:tcBorders>
              <w:top w:val="nil"/>
              <w:bottom w:val="nil"/>
            </w:tcBorders>
            <w:shd w:val="clear" w:color="auto" w:fill="66CCFF"/>
          </w:tcPr>
          <w:p w14:paraId="03735B1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B7B5F7E"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470B5D8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A11094C" w14:textId="77777777" w:rsidR="00DD3EFA" w:rsidRPr="005A0E7C" w:rsidRDefault="00DD3EFA" w:rsidP="00B15ECB">
            <w:pPr>
              <w:rPr>
                <w:rFonts w:eastAsiaTheme="majorEastAsia"/>
              </w:rPr>
            </w:pPr>
            <w:r w:rsidRPr="005A0E7C">
              <w:rPr>
                <w:rFonts w:eastAsiaTheme="majorEastAsia"/>
              </w:rPr>
              <w:t>Popis se týká SR PZ 2030</w:t>
            </w:r>
          </w:p>
          <w:p w14:paraId="1A9E73FD" w14:textId="77777777" w:rsidR="00DD3EFA" w:rsidRPr="005A0E7C" w:rsidRDefault="00DD3EFA" w:rsidP="00B15ECB">
            <w:pPr>
              <w:rPr>
                <w:rFonts w:eastAsiaTheme="majorEastAsia"/>
              </w:rPr>
            </w:pPr>
            <w:r w:rsidRPr="005A0E7C">
              <w:rPr>
                <w:rFonts w:eastAsiaTheme="majorEastAsia"/>
              </w:rPr>
              <w:t>SR PZ bude implementován prováděcími akčními plány s časovým horizontem dvou až tří let. Ty budou již obsahovat konkrétní opatření s určením gestora, finančních nákladů (bude-i možné vyčíslit) i termínem plnění. Akční plány budou připraveny na období po roce 2020, do roku 2020 jsou implementovány stávající strategické materiály.</w:t>
            </w:r>
          </w:p>
        </w:tc>
        <w:tc>
          <w:tcPr>
            <w:tcW w:w="249" w:type="dxa"/>
            <w:tcBorders>
              <w:top w:val="nil"/>
              <w:bottom w:val="nil"/>
            </w:tcBorders>
            <w:shd w:val="clear" w:color="auto" w:fill="66CCFF"/>
          </w:tcPr>
          <w:p w14:paraId="4BD48069" w14:textId="77777777" w:rsidR="00DD3EFA" w:rsidRPr="005A0E7C" w:rsidRDefault="00DD3EFA" w:rsidP="00B15ECB">
            <w:pPr>
              <w:rPr>
                <w:b/>
              </w:rPr>
            </w:pPr>
          </w:p>
        </w:tc>
      </w:tr>
      <w:tr w:rsidR="00DD3EFA" w:rsidRPr="005A0E7C" w14:paraId="410401A9" w14:textId="77777777" w:rsidTr="00B15ECB">
        <w:trPr>
          <w:trHeight w:val="938"/>
        </w:trPr>
        <w:tc>
          <w:tcPr>
            <w:tcW w:w="249" w:type="dxa"/>
            <w:tcBorders>
              <w:top w:val="nil"/>
              <w:bottom w:val="nil"/>
            </w:tcBorders>
            <w:shd w:val="clear" w:color="auto" w:fill="66CCFF"/>
          </w:tcPr>
          <w:p w14:paraId="1D7028B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2D6B55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31F8BC87" w14:textId="77777777" w:rsidR="00DD3EFA" w:rsidRPr="005A0E7C" w:rsidRDefault="00DD3EFA" w:rsidP="00B15ECB">
            <w:pPr>
              <w:rPr>
                <w:rFonts w:eastAsiaTheme="majorEastAsia"/>
              </w:rPr>
            </w:pPr>
            <w:r w:rsidRPr="005A0E7C">
              <w:rPr>
                <w:rFonts w:eastAsiaTheme="majorEastAsia"/>
              </w:rPr>
              <w:t>Popis se týká SR PZ 2030</w:t>
            </w:r>
          </w:p>
          <w:p w14:paraId="2E6557BE" w14:textId="77777777" w:rsidR="00DD3EFA" w:rsidRPr="005A0E7C" w:rsidRDefault="00DD3EFA" w:rsidP="00B15ECB">
            <w:pPr>
              <w:rPr>
                <w:i/>
              </w:rPr>
            </w:pPr>
            <w:r w:rsidRPr="005A0E7C">
              <w:rPr>
                <w:rFonts w:eastAsiaTheme="majorEastAsia"/>
              </w:rPr>
              <w:t>SR PZ 2030 bude pravidelně monitorován v rámci standardních mechanismů. MPSV pravidelně vypracovává s pololetní frekvencí Analýzu vývoje zaměstnanosti a nezaměstnanosti a pravidelně vydává veřejně dostupné statistiky, včetně časových řad, umožňující průběžné monitorování stavu trhu práce a tedy i naplňování cílů SR PZ 2030. Pravidelně budou vyhodnocovány konkrétní akční plány.</w:t>
            </w:r>
          </w:p>
        </w:tc>
        <w:tc>
          <w:tcPr>
            <w:tcW w:w="249" w:type="dxa"/>
            <w:tcBorders>
              <w:top w:val="nil"/>
              <w:bottom w:val="nil"/>
            </w:tcBorders>
            <w:shd w:val="clear" w:color="auto" w:fill="66CCFF"/>
          </w:tcPr>
          <w:p w14:paraId="00E3DF8E" w14:textId="77777777" w:rsidR="00DD3EFA" w:rsidRPr="005A0E7C" w:rsidRDefault="00DD3EFA" w:rsidP="00B15ECB">
            <w:pPr>
              <w:rPr>
                <w:b/>
              </w:rPr>
            </w:pPr>
          </w:p>
        </w:tc>
      </w:tr>
      <w:tr w:rsidR="00DD3EFA" w:rsidRPr="005A0E7C" w14:paraId="474A645A" w14:textId="77777777" w:rsidTr="00B15ECB">
        <w:trPr>
          <w:trHeight w:val="130"/>
        </w:trPr>
        <w:tc>
          <w:tcPr>
            <w:tcW w:w="249" w:type="dxa"/>
            <w:tcBorders>
              <w:top w:val="nil"/>
              <w:bottom w:val="nil"/>
              <w:right w:val="nil"/>
            </w:tcBorders>
            <w:shd w:val="clear" w:color="auto" w:fill="66CCFF"/>
          </w:tcPr>
          <w:p w14:paraId="51C07747" w14:textId="77777777" w:rsidR="00DD3EFA" w:rsidRPr="005A0E7C" w:rsidRDefault="00DD3EFA" w:rsidP="00B15ECB">
            <w:pPr>
              <w:rPr>
                <w:b/>
              </w:rPr>
            </w:pPr>
          </w:p>
        </w:tc>
        <w:tc>
          <w:tcPr>
            <w:tcW w:w="2548" w:type="dxa"/>
            <w:tcBorders>
              <w:left w:val="nil"/>
              <w:right w:val="nil"/>
            </w:tcBorders>
            <w:shd w:val="clear" w:color="auto" w:fill="66CCFF"/>
          </w:tcPr>
          <w:p w14:paraId="5FACBDA7" w14:textId="77777777" w:rsidR="00DD3EFA" w:rsidRPr="005A0E7C" w:rsidRDefault="00DD3EFA" w:rsidP="00B15ECB">
            <w:pPr>
              <w:rPr>
                <w:b/>
              </w:rPr>
            </w:pPr>
          </w:p>
        </w:tc>
        <w:tc>
          <w:tcPr>
            <w:tcW w:w="5978" w:type="dxa"/>
            <w:tcBorders>
              <w:left w:val="nil"/>
              <w:right w:val="nil"/>
            </w:tcBorders>
            <w:shd w:val="clear" w:color="auto" w:fill="66CCFF"/>
          </w:tcPr>
          <w:p w14:paraId="00F487D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rPr>
            </w:pPr>
          </w:p>
        </w:tc>
        <w:tc>
          <w:tcPr>
            <w:tcW w:w="249" w:type="dxa"/>
            <w:tcBorders>
              <w:top w:val="nil"/>
              <w:left w:val="nil"/>
              <w:bottom w:val="nil"/>
            </w:tcBorders>
            <w:shd w:val="clear" w:color="auto" w:fill="66CCFF"/>
          </w:tcPr>
          <w:p w14:paraId="400CD4BE" w14:textId="77777777" w:rsidR="00DD3EFA" w:rsidRPr="005A0E7C" w:rsidRDefault="00DD3EFA" w:rsidP="00B15ECB">
            <w:pPr>
              <w:rPr>
                <w:b/>
              </w:rPr>
            </w:pPr>
          </w:p>
        </w:tc>
      </w:tr>
      <w:tr w:rsidR="00DD3EFA" w:rsidRPr="005A0E7C" w14:paraId="152F2C51" w14:textId="77777777" w:rsidTr="00B15ECB">
        <w:trPr>
          <w:trHeight w:val="1258"/>
        </w:trPr>
        <w:tc>
          <w:tcPr>
            <w:tcW w:w="249" w:type="dxa"/>
            <w:tcBorders>
              <w:top w:val="nil"/>
              <w:bottom w:val="nil"/>
              <w:right w:val="nil"/>
            </w:tcBorders>
            <w:shd w:val="clear" w:color="auto" w:fill="66CCFF"/>
          </w:tcPr>
          <w:p w14:paraId="0BF8A225" w14:textId="77777777" w:rsidR="00DD3EFA" w:rsidRPr="005A0E7C" w:rsidRDefault="00DD3EFA" w:rsidP="00B15ECB">
            <w:pPr>
              <w:rPr>
                <w:b/>
              </w:rPr>
            </w:pPr>
          </w:p>
        </w:tc>
        <w:tc>
          <w:tcPr>
            <w:tcW w:w="8526" w:type="dxa"/>
            <w:gridSpan w:val="2"/>
            <w:shd w:val="clear" w:color="auto" w:fill="FFFFFF" w:themeFill="background1"/>
          </w:tcPr>
          <w:p w14:paraId="5C7129ED"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p w14:paraId="7C6243AF" w14:textId="77777777" w:rsidR="00DD3EFA" w:rsidRPr="005A0E7C" w:rsidRDefault="00DD3EFA" w:rsidP="00B15ECB">
            <w:pPr>
              <w:rPr>
                <w:rFonts w:eastAsiaTheme="majorEastAsia"/>
                <w:b/>
              </w:rPr>
            </w:pPr>
          </w:p>
          <w:p w14:paraId="60CB819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7A366E37" w14:textId="77777777" w:rsidR="00DD3EFA" w:rsidRPr="005A0E7C" w:rsidRDefault="00DD3EFA" w:rsidP="00B15ECB">
            <w:pPr>
              <w:rPr>
                <w:b/>
              </w:rPr>
            </w:pPr>
          </w:p>
        </w:tc>
      </w:tr>
      <w:tr w:rsidR="00DD3EFA" w:rsidRPr="005A0E7C" w14:paraId="08BF2E6E" w14:textId="77777777" w:rsidTr="00B15ECB">
        <w:trPr>
          <w:trHeight w:val="1258"/>
        </w:trPr>
        <w:tc>
          <w:tcPr>
            <w:tcW w:w="249" w:type="dxa"/>
            <w:tcBorders>
              <w:top w:val="nil"/>
              <w:bottom w:val="nil"/>
              <w:right w:val="nil"/>
            </w:tcBorders>
            <w:shd w:val="clear" w:color="auto" w:fill="66CCFF"/>
          </w:tcPr>
          <w:p w14:paraId="4DC3EE7A" w14:textId="77777777" w:rsidR="00DD3EFA" w:rsidRPr="005A0E7C" w:rsidRDefault="00DD3EFA" w:rsidP="00B15ECB">
            <w:pPr>
              <w:rPr>
                <w:b/>
              </w:rPr>
            </w:pPr>
          </w:p>
        </w:tc>
        <w:tc>
          <w:tcPr>
            <w:tcW w:w="2548" w:type="dxa"/>
            <w:shd w:val="clear" w:color="auto" w:fill="FFFFFF" w:themeFill="background1"/>
          </w:tcPr>
          <w:p w14:paraId="70A089FF" w14:textId="77777777" w:rsidR="00DD3EFA" w:rsidRPr="005A0E7C" w:rsidRDefault="00DD3EFA" w:rsidP="00B15ECB">
            <w:pPr>
              <w:rPr>
                <w:rFonts w:eastAsiaTheme="majorEastAsia"/>
                <w:b/>
              </w:rPr>
            </w:pPr>
            <w:r w:rsidRPr="005A0E7C">
              <w:rPr>
                <w:rFonts w:eastAsiaTheme="majorEastAsia"/>
                <w:b/>
              </w:rPr>
              <w:t>Věcný posun oblasti</w:t>
            </w:r>
          </w:p>
          <w:p w14:paraId="59DAE702"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3DDD1CC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p>
          <w:p w14:paraId="66A6E5F2" w14:textId="77777777" w:rsidR="00DD3EFA" w:rsidRPr="005A0E7C" w:rsidRDefault="00DD3EFA" w:rsidP="00B15ECB">
            <w:pPr>
              <w:pStyle w:val="Default"/>
              <w:rPr>
                <w:rFonts w:ascii="Times New Roman" w:hAnsi="Times New Roman" w:cs="Times New Roman"/>
                <w:i/>
                <w:color w:val="auto"/>
                <w:sz w:val="20"/>
                <w:szCs w:val="20"/>
              </w:rPr>
            </w:pPr>
            <w:r w:rsidRPr="005A0E7C">
              <w:rPr>
                <w:rFonts w:ascii="Times New Roman" w:hAnsi="Times New Roman" w:cs="Times New Roman"/>
                <w:color w:val="auto"/>
                <w:sz w:val="20"/>
                <w:szCs w:val="20"/>
              </w:rPr>
              <w:t xml:space="preserve">Programy financované z ESF významně přispěly ke snížení zaostávání ČR v oblasti účasti zaměstnanců na dalším vzdělávání. Míra zapojení do dalšího vzdělávání se od roku 2011 neustále zvyšuje. Oblast podpory dalšího vzdělávání zaměstnanců v podnicích byla podporována z fondů EU již v období 2004-2006. Podpora vzdělávání v podnicích se v období 2007-2013 ukázala i jako významné protikrizové opatření v období hospodářského poklesu ČR a náhlého úbytku zakázek. Dle Evaluace dopadu oblasti podpory 1.1 OP LZZ s využitím kvalitativních metod mělo podpořené vzdělávání ve firmách stimulační charakter na rozvoj zejména v situacích, kdy firmy reagovaly na konkrétní potřebu či změnu v organizaci (technologickou, produktovou aj.), a u kterých byla provedena kvalitní analýza vzdělávacích potřeb. Intervence velmi dobře fungovaly v odborných vzdělávacích kurzech v oblasti IT a technických oborů pro zaměstnance s nižším stupněm vzdělání (zejména SŠ s a bez maturity). V případě odborných kurzů v oblasti soft skills a jazykového vzdělávání byly nejvýznamnější efekty identifikovány na příkladu zaměstnanců nižších věkových kategorií s úrovní vzdělání VŠ nebo VOŠ. Jako významný faktor pozitivních účinků projektů se jeví také intenzivní zapojení managementu společnosti do přípravy a realizace projektu a podpora vzdělávání nadřízených pracovníků zaměstnanců, kteří byli do projektu zapojeni. Výstupy z evaluací intervencí podporovaných v operačních programech v gesci MPSV v obdobích 2014-2020, 2007-2013 a 2004-2006 jsou k dispozici na odkaze: </w:t>
            </w:r>
            <w:hyperlink r:id="rId17" w:history="1">
              <w:r w:rsidRPr="005A0E7C">
                <w:rPr>
                  <w:rStyle w:val="Hypertextovodkaz"/>
                  <w:rFonts w:ascii="Times New Roman" w:hAnsi="Times New Roman" w:cs="Times New Roman"/>
                  <w:color w:val="auto"/>
                  <w:sz w:val="20"/>
                  <w:szCs w:val="20"/>
                </w:rPr>
                <w:t>https://www.esfcr.cz/evaluace</w:t>
              </w:r>
            </w:hyperlink>
            <w:r w:rsidRPr="005A0E7C">
              <w:rPr>
                <w:rFonts w:ascii="Times New Roman" w:hAnsi="Times New Roman" w:cs="Times New Roman"/>
                <w:color w:val="auto"/>
                <w:sz w:val="20"/>
                <w:szCs w:val="20"/>
              </w:rPr>
              <w:t xml:space="preserve">. Zmínit lze např. </w:t>
            </w:r>
            <w:r w:rsidRPr="005A0E7C">
              <w:rPr>
                <w:rFonts w:ascii="Times New Roman" w:hAnsi="Times New Roman" w:cs="Times New Roman"/>
                <w:i/>
                <w:color w:val="auto"/>
                <w:sz w:val="20"/>
                <w:szCs w:val="20"/>
              </w:rPr>
              <w:t xml:space="preserve">Evaluaci dopadu oblasti podpory 1.1 OP LZZ s využitím kvalitativních metod </w:t>
            </w:r>
            <w:r w:rsidRPr="005A0E7C">
              <w:rPr>
                <w:rFonts w:ascii="Times New Roman" w:hAnsi="Times New Roman" w:cs="Times New Roman"/>
                <w:color w:val="auto"/>
                <w:sz w:val="20"/>
                <w:szCs w:val="20"/>
              </w:rPr>
              <w:t>nebo</w:t>
            </w:r>
            <w:r w:rsidRPr="005A0E7C">
              <w:rPr>
                <w:rFonts w:ascii="Times New Roman" w:hAnsi="Times New Roman" w:cs="Times New Roman"/>
                <w:i/>
                <w:color w:val="auto"/>
                <w:sz w:val="20"/>
                <w:szCs w:val="20"/>
              </w:rPr>
              <w:t xml:space="preserve"> Kontrafaktuální dopadovou evaluaci OP LZZ, oblast podpory 1.1 – test udržitelnosti pracovních míst. </w:t>
            </w:r>
          </w:p>
          <w:p w14:paraId="2BD07053" w14:textId="77777777" w:rsidR="00DD3EFA" w:rsidRPr="005A0E7C" w:rsidRDefault="00DD3EFA" w:rsidP="00B15ECB">
            <w:pPr>
              <w:pStyle w:val="Default"/>
              <w:rPr>
                <w:rFonts w:ascii="Times New Roman" w:hAnsi="Times New Roman" w:cs="Times New Roman"/>
                <w:color w:val="auto"/>
                <w:sz w:val="20"/>
                <w:szCs w:val="20"/>
              </w:rPr>
            </w:pPr>
            <w:r w:rsidRPr="005A0E7C">
              <w:rPr>
                <w:rFonts w:ascii="Times New Roman" w:hAnsi="Times New Roman" w:cs="Times New Roman"/>
                <w:color w:val="auto"/>
                <w:sz w:val="20"/>
                <w:szCs w:val="20"/>
              </w:rPr>
              <w:t>Strategická evaluace OPZ I – relevance z 30. března 2017 konstatovala platnost intervenční logiky v dané oblasti.</w:t>
            </w:r>
          </w:p>
        </w:tc>
        <w:tc>
          <w:tcPr>
            <w:tcW w:w="249" w:type="dxa"/>
            <w:tcBorders>
              <w:top w:val="nil"/>
              <w:left w:val="nil"/>
              <w:bottom w:val="nil"/>
            </w:tcBorders>
            <w:shd w:val="clear" w:color="auto" w:fill="66CCFF"/>
          </w:tcPr>
          <w:p w14:paraId="7671D9D8" w14:textId="77777777" w:rsidR="00DD3EFA" w:rsidRPr="005A0E7C" w:rsidRDefault="00DD3EFA" w:rsidP="00B15ECB">
            <w:pPr>
              <w:rPr>
                <w:b/>
              </w:rPr>
            </w:pPr>
          </w:p>
        </w:tc>
      </w:tr>
      <w:tr w:rsidR="00DD3EFA" w:rsidRPr="005A0E7C" w14:paraId="2E583AAC" w14:textId="77777777" w:rsidTr="00B15ECB">
        <w:trPr>
          <w:trHeight w:val="1258"/>
        </w:trPr>
        <w:tc>
          <w:tcPr>
            <w:tcW w:w="249" w:type="dxa"/>
            <w:tcBorders>
              <w:top w:val="nil"/>
              <w:bottom w:val="nil"/>
              <w:right w:val="nil"/>
            </w:tcBorders>
            <w:shd w:val="clear" w:color="auto" w:fill="66CCFF"/>
          </w:tcPr>
          <w:p w14:paraId="2964E849" w14:textId="77777777" w:rsidR="00DD3EFA" w:rsidRPr="005A0E7C" w:rsidRDefault="00DD3EFA" w:rsidP="00B15ECB">
            <w:pPr>
              <w:rPr>
                <w:b/>
              </w:rPr>
            </w:pPr>
          </w:p>
        </w:tc>
        <w:tc>
          <w:tcPr>
            <w:tcW w:w="2548" w:type="dxa"/>
            <w:shd w:val="clear" w:color="auto" w:fill="FFFFFF" w:themeFill="background1"/>
          </w:tcPr>
          <w:p w14:paraId="1F300673" w14:textId="77777777" w:rsidR="00DD3EFA" w:rsidRPr="005A0E7C" w:rsidRDefault="00DD3EFA" w:rsidP="00B15ECB">
            <w:pPr>
              <w:rPr>
                <w:rFonts w:eastAsiaTheme="majorEastAsia"/>
                <w:b/>
              </w:rPr>
            </w:pPr>
            <w:r w:rsidRPr="005A0E7C">
              <w:rPr>
                <w:rFonts w:eastAsiaTheme="majorEastAsia"/>
                <w:b/>
              </w:rPr>
              <w:t>Synergické a multiplikační efekty</w:t>
            </w:r>
          </w:p>
          <w:p w14:paraId="107419A9"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51091E7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Synergická vazba nebyla v dané oblasti identifikována.  </w:t>
            </w:r>
          </w:p>
          <w:p w14:paraId="65E3A72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období 2014-2020 je v rámci OPZ sledována v dané oblasti komplementární vazba „odborné a další vzdělávání“ – pro plnění této vazby byly nastaveny dostatečné koordinační mechanismy, je zajišťována doplňkovost jednotlivých operací s relevantními aktivitami v rámci výzev OP VVV. Zároveň je možné identifikovat problém nedostatku projektů systémového charakteru v oblasti dalšího vzdělávání.</w:t>
            </w:r>
          </w:p>
          <w:p w14:paraId="69908C2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Podrobnější informace o plnění komplementárních vazeb v OPZ jsou uvedeny v Přehledu plnění synergických a komplementárních vazeb v MS2014, který je každoročně vyplňován jednotlivými ŘO podle Metodického pokynu pro monitorování implementace ESIF v ČR v programovém období 2014-2020.</w:t>
            </w:r>
          </w:p>
        </w:tc>
        <w:tc>
          <w:tcPr>
            <w:tcW w:w="249" w:type="dxa"/>
            <w:tcBorders>
              <w:top w:val="nil"/>
              <w:left w:val="nil"/>
              <w:bottom w:val="nil"/>
            </w:tcBorders>
            <w:shd w:val="clear" w:color="auto" w:fill="66CCFF"/>
          </w:tcPr>
          <w:p w14:paraId="695CF60D" w14:textId="77777777" w:rsidR="00DD3EFA" w:rsidRPr="005A0E7C" w:rsidRDefault="00DD3EFA" w:rsidP="00B15ECB">
            <w:pPr>
              <w:rPr>
                <w:b/>
              </w:rPr>
            </w:pPr>
          </w:p>
        </w:tc>
      </w:tr>
      <w:tr w:rsidR="00DD3EFA" w:rsidRPr="005A0E7C" w14:paraId="50022D12" w14:textId="77777777" w:rsidTr="00B15ECB">
        <w:trPr>
          <w:trHeight w:val="180"/>
        </w:trPr>
        <w:tc>
          <w:tcPr>
            <w:tcW w:w="249" w:type="dxa"/>
            <w:tcBorders>
              <w:top w:val="nil"/>
              <w:bottom w:val="nil"/>
              <w:right w:val="nil"/>
            </w:tcBorders>
            <w:shd w:val="clear" w:color="auto" w:fill="66CCFF"/>
          </w:tcPr>
          <w:p w14:paraId="09CFAC2F"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7F0D366D"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38EDEC02" w14:textId="77777777" w:rsidR="00DD3EFA" w:rsidRPr="005A0E7C" w:rsidRDefault="00DD3EFA" w:rsidP="00B15ECB">
            <w:pPr>
              <w:rPr>
                <w:b/>
              </w:rPr>
            </w:pPr>
          </w:p>
        </w:tc>
        <w:tc>
          <w:tcPr>
            <w:tcW w:w="249" w:type="dxa"/>
            <w:tcBorders>
              <w:top w:val="nil"/>
              <w:left w:val="nil"/>
              <w:bottom w:val="nil"/>
            </w:tcBorders>
            <w:shd w:val="clear" w:color="auto" w:fill="66CCFF"/>
          </w:tcPr>
          <w:p w14:paraId="1A83DEAC" w14:textId="77777777" w:rsidR="00DD3EFA" w:rsidRPr="005A0E7C" w:rsidRDefault="00DD3EFA" w:rsidP="00B15ECB">
            <w:pPr>
              <w:rPr>
                <w:b/>
              </w:rPr>
            </w:pPr>
          </w:p>
        </w:tc>
      </w:tr>
      <w:tr w:rsidR="00DD3EFA" w:rsidRPr="005A0E7C" w14:paraId="2BE7F060" w14:textId="77777777" w:rsidTr="00B15ECB">
        <w:trPr>
          <w:trHeight w:val="990"/>
        </w:trPr>
        <w:tc>
          <w:tcPr>
            <w:tcW w:w="249" w:type="dxa"/>
            <w:tcBorders>
              <w:top w:val="nil"/>
              <w:bottom w:val="nil"/>
            </w:tcBorders>
            <w:shd w:val="clear" w:color="auto" w:fill="66CCFF"/>
          </w:tcPr>
          <w:p w14:paraId="7E87FB67"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41C4A5E3"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301CDEE4"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5E9F9A1B" w14:textId="77777777" w:rsidR="00DD3EFA" w:rsidRPr="005A0E7C" w:rsidRDefault="00DD3EFA" w:rsidP="00B15ECB">
            <w:pPr>
              <w:rPr>
                <w:b/>
              </w:rPr>
            </w:pPr>
          </w:p>
        </w:tc>
      </w:tr>
      <w:tr w:rsidR="00DD3EFA" w:rsidRPr="005A0E7C" w14:paraId="30C6BE7E" w14:textId="77777777" w:rsidTr="00B15ECB">
        <w:trPr>
          <w:trHeight w:val="1260"/>
        </w:trPr>
        <w:tc>
          <w:tcPr>
            <w:tcW w:w="249" w:type="dxa"/>
            <w:tcBorders>
              <w:top w:val="nil"/>
              <w:bottom w:val="nil"/>
            </w:tcBorders>
            <w:shd w:val="clear" w:color="auto" w:fill="66CCFF"/>
          </w:tcPr>
          <w:p w14:paraId="7BFD624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2B0EC2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185F84D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 xml:space="preserve">K zajištění souladu kvalifikace pracovní síly s požadavky trhu práce a zvýšení adaptability zaměstnanců byly podpořeny zejména projekty v oblasti profesního podnikového vzdělávání financované z PO 1 IP 1.3 OPZ. Celkem bylo v IP 1.3 ke konci roku 2018 podpořeno 47 264 osob, z toho 25 900 osob již získalo doklad o kvalifikaci. </w:t>
            </w:r>
          </w:p>
          <w:p w14:paraId="2377A6DD"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 xml:space="preserve">Mezi žadateli je velký zájem zejména o projekty se zjednodušeným vykazováním výdajů (jednotkové náklady na vzdělávání – ve dvou dosud vyhlášených výzvách bylo podpořeno celkem 1 220 projektů). </w:t>
            </w:r>
          </w:p>
          <w:p w14:paraId="40492AB3"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ke konci roku 2018:</w:t>
            </w:r>
          </w:p>
          <w:p w14:paraId="51F7FAA1"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8,85 mld. Kč</w:t>
            </w:r>
          </w:p>
          <w:p w14:paraId="3156D804"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6,66 mld. Kč (75 %)</w:t>
            </w:r>
          </w:p>
          <w:p w14:paraId="6BA9F003"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vyúčtovaný v ŽoP: 2,4 mld. Kč (27 %)</w:t>
            </w:r>
          </w:p>
          <w:p w14:paraId="716985C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p>
          <w:p w14:paraId="783DB8F2"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 xml:space="preserve">Oblastí, která podporuje kvalitu DPV jako systém, je v OPZ IP 1.4 </w:t>
            </w:r>
            <w:r w:rsidRPr="005A0E7C">
              <w:rPr>
                <w:rFonts w:ascii="Times New Roman" w:eastAsiaTheme="minorHAnsi" w:hAnsi="Times New Roman"/>
                <w:i/>
              </w:rPr>
              <w:t xml:space="preserve">Modernizace institucí trhu práce, jako jsou veřejné a soukromé služby zaměstnanosti a přispívání k adaptaci na potřeby trhu práce, </w:t>
            </w:r>
            <w:r w:rsidRPr="005A0E7C">
              <w:rPr>
                <w:rFonts w:ascii="Times New Roman" w:eastAsiaTheme="minorHAnsi" w:hAnsi="Times New Roman"/>
              </w:rPr>
              <w:t xml:space="preserve">SC 1.4.2 </w:t>
            </w:r>
            <w:r w:rsidRPr="005A0E7C">
              <w:rPr>
                <w:rFonts w:ascii="Times New Roman" w:eastAsiaTheme="minorHAnsi" w:hAnsi="Times New Roman"/>
                <w:i/>
              </w:rPr>
              <w:t>Zvýšit kvalitu systému dalšího vzdělávání</w:t>
            </w:r>
            <w:r w:rsidRPr="005A0E7C">
              <w:rPr>
                <w:rFonts w:ascii="Times New Roman" w:eastAsiaTheme="minorHAnsi" w:hAnsi="Times New Roman"/>
              </w:rPr>
              <w:t xml:space="preserve"> – zatím bylo v oblasti rozvoje DPV podpořeno 5 projektů, další cca 5 je v přípravě. </w:t>
            </w:r>
          </w:p>
          <w:p w14:paraId="72ED08C8"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ke konci roku 2018:</w:t>
            </w:r>
          </w:p>
          <w:p w14:paraId="0A76DE04"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1,1 mld. Kč</w:t>
            </w:r>
          </w:p>
          <w:p w14:paraId="0D2FEE96"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431 mil. Kč (39 %)</w:t>
            </w:r>
          </w:p>
          <w:p w14:paraId="02E0ADA3" w14:textId="77777777" w:rsidR="00DD3EFA" w:rsidRPr="005A0E7C" w:rsidRDefault="00DD3EFA" w:rsidP="00B15ECB">
            <w:pPr>
              <w:spacing w:before="60" w:after="60"/>
              <w:rPr>
                <w:rFonts w:eastAsiaTheme="majorEastAsia"/>
                <w:i/>
              </w:rPr>
            </w:pPr>
            <w:r w:rsidRPr="005A0E7C">
              <w:t>Objem vyúčtovaný v ŽoP: 40 mil. Kč (3,7 %)</w:t>
            </w:r>
          </w:p>
        </w:tc>
        <w:tc>
          <w:tcPr>
            <w:tcW w:w="249" w:type="dxa"/>
            <w:tcBorders>
              <w:top w:val="nil"/>
              <w:bottom w:val="nil"/>
            </w:tcBorders>
            <w:shd w:val="clear" w:color="auto" w:fill="66CCFF"/>
          </w:tcPr>
          <w:p w14:paraId="00720216" w14:textId="77777777" w:rsidR="00DD3EFA" w:rsidRPr="005A0E7C" w:rsidRDefault="00DD3EFA" w:rsidP="00B15ECB">
            <w:pPr>
              <w:rPr>
                <w:b/>
              </w:rPr>
            </w:pPr>
          </w:p>
        </w:tc>
      </w:tr>
      <w:tr w:rsidR="00DD3EFA" w:rsidRPr="005A0E7C" w14:paraId="0851E98C" w14:textId="77777777" w:rsidTr="00B15ECB">
        <w:trPr>
          <w:trHeight w:val="850"/>
        </w:trPr>
        <w:tc>
          <w:tcPr>
            <w:tcW w:w="249" w:type="dxa"/>
            <w:tcBorders>
              <w:top w:val="nil"/>
              <w:bottom w:val="nil"/>
            </w:tcBorders>
            <w:shd w:val="clear" w:color="auto" w:fill="66CCFF"/>
          </w:tcPr>
          <w:p w14:paraId="5386B09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131B98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1BA8682F" w14:textId="77777777" w:rsidR="00DD3EFA" w:rsidRPr="005A0E7C" w:rsidRDefault="00DD3EFA" w:rsidP="00B15ECB">
            <w:pPr>
              <w:spacing w:before="60" w:after="60"/>
              <w:rPr>
                <w:rFonts w:eastAsiaTheme="majorEastAsia"/>
              </w:rPr>
            </w:pPr>
            <w:r w:rsidRPr="005A0E7C">
              <w:rPr>
                <w:rFonts w:eastAsiaTheme="majorEastAsia"/>
              </w:rPr>
              <w:t xml:space="preserve">Z výše uvedených údajů o čerpání je zřejmé, že poptávka příjemců je dostatečná a odpovídá vyčleněné alokaci pro období 2024-2020. Poptávka přesahuje alokaci výzev pravidelně v oblasti podpory dalšího vzdělávání zaměstnanců v podnicích. Lze předpokládat zachování vysoké poptávky příjemců, a to zejména v souvislosti s nástupem Společnosti 4.0 (včetně průmyslu 4.0), které si vyžádají výrazné změny v kvalifikacích stávajících zaměstnanců. Oblastí s malou poptávkou příjemců je naopak oblast systémové podpory dalšího profesního vzdělávání, a to vzhledem k nedostatečnému koncepčnímu a strategickému uchopení systému dalšího vzdělávání v ČR. </w:t>
            </w:r>
          </w:p>
        </w:tc>
        <w:tc>
          <w:tcPr>
            <w:tcW w:w="249" w:type="dxa"/>
            <w:tcBorders>
              <w:top w:val="nil"/>
              <w:bottom w:val="nil"/>
            </w:tcBorders>
            <w:shd w:val="clear" w:color="auto" w:fill="66CCFF"/>
          </w:tcPr>
          <w:p w14:paraId="26B1A69F" w14:textId="77777777" w:rsidR="00DD3EFA" w:rsidRPr="005A0E7C" w:rsidRDefault="00DD3EFA" w:rsidP="00B15ECB">
            <w:pPr>
              <w:rPr>
                <w:b/>
              </w:rPr>
            </w:pPr>
          </w:p>
        </w:tc>
      </w:tr>
      <w:tr w:rsidR="00DD3EFA" w:rsidRPr="005A0E7C" w14:paraId="28BAD510" w14:textId="77777777" w:rsidTr="00B15ECB">
        <w:trPr>
          <w:trHeight w:val="925"/>
        </w:trPr>
        <w:tc>
          <w:tcPr>
            <w:tcW w:w="249" w:type="dxa"/>
            <w:tcBorders>
              <w:top w:val="nil"/>
              <w:bottom w:val="nil"/>
            </w:tcBorders>
            <w:shd w:val="clear" w:color="auto" w:fill="66CCFF"/>
          </w:tcPr>
          <w:p w14:paraId="497953C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E901B2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096DF4BF" w14:textId="77777777" w:rsidR="00DD3EFA" w:rsidRPr="005A0E7C" w:rsidRDefault="00DD3EFA" w:rsidP="00B15ECB">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p w14:paraId="5A52ED7F"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A6DFE20" w14:textId="77777777" w:rsidR="00DD3EFA" w:rsidRPr="005A0E7C" w:rsidRDefault="00DD3EFA" w:rsidP="00B15ECB">
            <w:pPr>
              <w:rPr>
                <w:b/>
              </w:rPr>
            </w:pPr>
          </w:p>
        </w:tc>
      </w:tr>
      <w:tr w:rsidR="00DD3EFA" w:rsidRPr="005A0E7C" w14:paraId="30C940C8" w14:textId="77777777" w:rsidTr="00B15ECB">
        <w:trPr>
          <w:trHeight w:val="1001"/>
        </w:trPr>
        <w:tc>
          <w:tcPr>
            <w:tcW w:w="249" w:type="dxa"/>
            <w:tcBorders>
              <w:top w:val="nil"/>
              <w:bottom w:val="nil"/>
            </w:tcBorders>
            <w:shd w:val="clear" w:color="auto" w:fill="66CCFF"/>
          </w:tcPr>
          <w:p w14:paraId="228C8C9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F99B0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76BC204B" w14:textId="77777777" w:rsidR="00DD3EFA" w:rsidRPr="005A0E7C" w:rsidRDefault="00DD3EFA" w:rsidP="00B15ECB">
            <w:pPr>
              <w:spacing w:before="60" w:after="60"/>
              <w:rPr>
                <w:rFonts w:eastAsiaTheme="majorEastAsia"/>
              </w:rPr>
            </w:pPr>
            <w:r w:rsidRPr="005A0E7C">
              <w:rPr>
                <w:rFonts w:eastAsiaTheme="majorEastAsia"/>
              </w:rPr>
              <w:t>Nepříznivá ekonomická situace – jedná se o externí vliv, který lze ovlivnit je těžko, nicméně systém predikcí by měl umožnit alespoň částečně identifikovat případné problémy a včasně na ně reagovat, zároveň podpora adaptace trhu práce na nové podmínky posiluje obecně konkurenceschopnost hospodářství snižující míru rizika.</w:t>
            </w:r>
          </w:p>
          <w:p w14:paraId="2A2FE086" w14:textId="77777777" w:rsidR="00DD3EFA" w:rsidRPr="005A0E7C" w:rsidRDefault="00DD3EFA" w:rsidP="00B15ECB">
            <w:pPr>
              <w:spacing w:before="60" w:after="60"/>
              <w:rPr>
                <w:rFonts w:eastAsiaTheme="majorEastAsia"/>
              </w:rPr>
            </w:pPr>
          </w:p>
          <w:p w14:paraId="09C53127" w14:textId="77777777" w:rsidR="00DD3EFA" w:rsidRPr="005A0E7C" w:rsidRDefault="00DD3EFA" w:rsidP="00B15ECB">
            <w:pPr>
              <w:spacing w:before="60" w:after="60"/>
              <w:rPr>
                <w:rFonts w:eastAsiaTheme="majorEastAsia"/>
              </w:rPr>
            </w:pPr>
            <w:r w:rsidRPr="005A0E7C">
              <w:rPr>
                <w:rFonts w:eastAsiaTheme="majorEastAsia"/>
              </w:rPr>
              <w:t>(Neočekávaná) Změna trendů vývoje trhu práce – SR PZ 2030, z nichž vychází tato karta a cíle však vychází z dlouhodobých trendů trhu práce, jež nejsou tolik závislé na ekonomickém cyklu.</w:t>
            </w:r>
          </w:p>
          <w:p w14:paraId="6CFB48AE" w14:textId="77777777" w:rsidR="00DD3EFA" w:rsidRPr="005A0E7C" w:rsidRDefault="00DD3EFA" w:rsidP="00B15ECB">
            <w:pPr>
              <w:spacing w:before="60" w:after="60"/>
              <w:rPr>
                <w:rFonts w:eastAsiaTheme="majorEastAsia"/>
              </w:rPr>
            </w:pPr>
          </w:p>
          <w:p w14:paraId="7F203F28" w14:textId="77777777" w:rsidR="00DD3EFA" w:rsidRPr="005A0E7C" w:rsidRDefault="00DD3EFA" w:rsidP="00B15ECB">
            <w:pPr>
              <w:spacing w:before="60" w:after="60"/>
              <w:rPr>
                <w:rFonts w:eastAsiaTheme="majorEastAsia"/>
              </w:rPr>
            </w:pPr>
            <w:r w:rsidRPr="005A0E7C">
              <w:rPr>
                <w:rFonts w:eastAsiaTheme="majorEastAsia"/>
              </w:rPr>
              <w:t>Změna politických preferencí</w:t>
            </w:r>
          </w:p>
          <w:p w14:paraId="1323DCCB" w14:textId="77777777" w:rsidR="00DD3EFA" w:rsidRPr="005A0E7C" w:rsidRDefault="00DD3EFA" w:rsidP="00B15ECB">
            <w:pPr>
              <w:spacing w:before="60" w:after="60"/>
              <w:rPr>
                <w:rFonts w:eastAsiaTheme="majorEastAsia"/>
              </w:rPr>
            </w:pPr>
          </w:p>
          <w:p w14:paraId="61DA0394" w14:textId="77777777" w:rsidR="00DD3EFA" w:rsidRPr="005A0E7C" w:rsidRDefault="00DD3EFA" w:rsidP="00B15ECB">
            <w:pPr>
              <w:spacing w:before="60" w:after="60"/>
              <w:rPr>
                <w:rFonts w:eastAsiaTheme="majorEastAsia"/>
                <w:i/>
              </w:rPr>
            </w:pPr>
            <w:r w:rsidRPr="005A0E7C">
              <w:rPr>
                <w:rFonts w:eastAsiaTheme="majorEastAsia"/>
              </w:rPr>
              <w:t>Nedostatečný zájem jednotlivců i zaměstnavatelů o podporu dalšího vzdělávání – nutno eliminovat prostřednictvím nastavení (designu) vhodné podpory</w:t>
            </w:r>
          </w:p>
        </w:tc>
        <w:tc>
          <w:tcPr>
            <w:tcW w:w="249" w:type="dxa"/>
            <w:tcBorders>
              <w:top w:val="nil"/>
              <w:bottom w:val="nil"/>
            </w:tcBorders>
            <w:shd w:val="clear" w:color="auto" w:fill="66CCFF"/>
          </w:tcPr>
          <w:p w14:paraId="03C82893" w14:textId="77777777" w:rsidR="00DD3EFA" w:rsidRPr="005A0E7C" w:rsidRDefault="00DD3EFA" w:rsidP="00B15ECB">
            <w:pPr>
              <w:rPr>
                <w:b/>
              </w:rPr>
            </w:pPr>
          </w:p>
        </w:tc>
      </w:tr>
      <w:tr w:rsidR="00DD3EFA" w:rsidRPr="005A0E7C" w14:paraId="7F8AC9EC"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33C70708"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5659798"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5758C51"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1994E10F" w14:textId="77777777" w:rsidR="00DD3EFA" w:rsidRPr="005A0E7C" w:rsidRDefault="00DD3EFA" w:rsidP="00B15ECB">
            <w:pPr>
              <w:rPr>
                <w:b/>
              </w:rPr>
            </w:pPr>
          </w:p>
        </w:tc>
      </w:tr>
      <w:tr w:rsidR="00DD3EFA" w:rsidRPr="005A0E7C" w14:paraId="6D31135A" w14:textId="77777777" w:rsidTr="00B15ECB">
        <w:trPr>
          <w:trHeight w:val="1559"/>
        </w:trPr>
        <w:tc>
          <w:tcPr>
            <w:tcW w:w="249" w:type="dxa"/>
            <w:tcBorders>
              <w:top w:val="single" w:sz="4" w:space="0" w:color="auto"/>
              <w:bottom w:val="nil"/>
            </w:tcBorders>
            <w:shd w:val="clear" w:color="auto" w:fill="66CCFF"/>
          </w:tcPr>
          <w:p w14:paraId="0A715BE6"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39DF2F17"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421E6976" w14:textId="77777777" w:rsidR="00DD3EFA" w:rsidRPr="005A0E7C" w:rsidRDefault="00DD3EFA" w:rsidP="00B15ECB">
            <w:pPr>
              <w:spacing w:before="60" w:after="60"/>
              <w:rPr>
                <w:rFonts w:eastAsiaTheme="majorEastAsia"/>
                <w:i/>
              </w:rPr>
            </w:pPr>
            <w:r w:rsidRPr="005A0E7C">
              <w:rPr>
                <w:rFonts w:eastAsiaTheme="majorEastAsia"/>
                <w:i/>
              </w:rPr>
              <w:t>Popsat další možné zdroje pro financování cíle v budoucím období, a zhodnotit reálnou možnost jejich využití.</w:t>
            </w:r>
          </w:p>
          <w:p w14:paraId="23C0A11F"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2FF1E027" w14:textId="77777777" w:rsidR="00DD3EFA" w:rsidRPr="005A0E7C" w:rsidRDefault="00DD3EFA" w:rsidP="00B15ECB">
            <w:pPr>
              <w:rPr>
                <w:b/>
              </w:rPr>
            </w:pPr>
          </w:p>
        </w:tc>
      </w:tr>
      <w:tr w:rsidR="00DD3EFA" w:rsidRPr="005A0E7C" w14:paraId="7BE8B7F2" w14:textId="77777777" w:rsidTr="00B15ECB">
        <w:trPr>
          <w:trHeight w:val="1968"/>
        </w:trPr>
        <w:tc>
          <w:tcPr>
            <w:tcW w:w="249" w:type="dxa"/>
            <w:tcBorders>
              <w:top w:val="nil"/>
              <w:bottom w:val="nil"/>
            </w:tcBorders>
            <w:shd w:val="clear" w:color="auto" w:fill="66CCFF"/>
          </w:tcPr>
          <w:p w14:paraId="0EC06613" w14:textId="77777777" w:rsidR="00DD3EFA" w:rsidRPr="005A0E7C" w:rsidRDefault="00DD3EFA" w:rsidP="00B15ECB">
            <w:pPr>
              <w:rPr>
                <w:b/>
              </w:rPr>
            </w:pPr>
          </w:p>
        </w:tc>
        <w:tc>
          <w:tcPr>
            <w:tcW w:w="2548" w:type="dxa"/>
            <w:tcBorders>
              <w:top w:val="nil"/>
            </w:tcBorders>
            <w:shd w:val="clear" w:color="auto" w:fill="FFFFFF" w:themeFill="background1"/>
          </w:tcPr>
          <w:p w14:paraId="06189C7B"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7937C949" w14:textId="77777777" w:rsidR="00DD3EFA" w:rsidRPr="005A0E7C" w:rsidRDefault="00DD3EFA" w:rsidP="00B15ECB">
            <w:pPr>
              <w:spacing w:before="60" w:after="60"/>
              <w:rPr>
                <w:rFonts w:eastAsiaTheme="majorEastAsia"/>
              </w:rPr>
            </w:pPr>
            <w:r w:rsidRPr="005A0E7C">
              <w:rPr>
                <w:rFonts w:eastAsiaTheme="majorEastAsia"/>
              </w:rPr>
              <w:t xml:space="preserve">Žádné významnější prostředky v jiných unijních programech nad rámec ESF+ nejsou k dispozici. </w:t>
            </w:r>
          </w:p>
          <w:p w14:paraId="6C31F4F8" w14:textId="77777777" w:rsidR="00DD3EFA" w:rsidRPr="005A0E7C" w:rsidRDefault="00DD3EFA" w:rsidP="00B15ECB">
            <w:pPr>
              <w:spacing w:before="60" w:after="60"/>
            </w:pPr>
            <w:r w:rsidRPr="005A0E7C">
              <w:t xml:space="preserve">Zůstává pouze Evropský fond pro přizpůsobení se globalizaci, který se však zaměřuje výhradně na podporu pracovníků, kteří byli propuštěni v důsledku významných změn ve struktuře světového obchodu způsobených globalizací se značným negativním dopadem na regionální nebo místní ekonomiky. </w:t>
            </w:r>
          </w:p>
          <w:p w14:paraId="538FCD3F" w14:textId="77777777" w:rsidR="00DD3EFA" w:rsidRPr="005A0E7C" w:rsidRDefault="00DD3EFA" w:rsidP="00B15ECB">
            <w:pPr>
              <w:spacing w:before="60" w:after="60"/>
              <w:rPr>
                <w:rFonts w:eastAsiaTheme="majorEastAsia"/>
              </w:rPr>
            </w:pPr>
            <w:r w:rsidRPr="005A0E7C">
              <w:t>Program na podporu zaměstnanosti a sociálních inovací (EaSI) byl pro období 2021-2027 nově začleněn do ESF+.</w:t>
            </w:r>
          </w:p>
        </w:tc>
        <w:tc>
          <w:tcPr>
            <w:tcW w:w="249" w:type="dxa"/>
            <w:tcBorders>
              <w:top w:val="nil"/>
              <w:bottom w:val="nil"/>
            </w:tcBorders>
            <w:shd w:val="clear" w:color="auto" w:fill="66CCFF"/>
          </w:tcPr>
          <w:p w14:paraId="4EC1CD2B" w14:textId="77777777" w:rsidR="00DD3EFA" w:rsidRPr="005A0E7C" w:rsidRDefault="00DD3EFA" w:rsidP="00B15ECB">
            <w:pPr>
              <w:rPr>
                <w:b/>
              </w:rPr>
            </w:pPr>
          </w:p>
        </w:tc>
      </w:tr>
      <w:tr w:rsidR="00DD3EFA" w:rsidRPr="005A0E7C" w14:paraId="4AD529D5" w14:textId="77777777" w:rsidTr="00B15ECB">
        <w:trPr>
          <w:trHeight w:val="1968"/>
        </w:trPr>
        <w:tc>
          <w:tcPr>
            <w:tcW w:w="249" w:type="dxa"/>
            <w:tcBorders>
              <w:top w:val="nil"/>
              <w:bottom w:val="nil"/>
            </w:tcBorders>
            <w:shd w:val="clear" w:color="auto" w:fill="66CCFF"/>
          </w:tcPr>
          <w:p w14:paraId="29E5AA23" w14:textId="77777777" w:rsidR="00DD3EFA" w:rsidRPr="005A0E7C" w:rsidRDefault="00DD3EFA" w:rsidP="00B15ECB">
            <w:pPr>
              <w:rPr>
                <w:b/>
              </w:rPr>
            </w:pPr>
          </w:p>
        </w:tc>
        <w:tc>
          <w:tcPr>
            <w:tcW w:w="2548" w:type="dxa"/>
            <w:tcBorders>
              <w:top w:val="nil"/>
            </w:tcBorders>
            <w:shd w:val="clear" w:color="auto" w:fill="FFFFFF" w:themeFill="background1"/>
          </w:tcPr>
          <w:p w14:paraId="6ABCD7DB"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69B1CFE9" w14:textId="77777777" w:rsidR="00DD3EFA" w:rsidRPr="005A0E7C" w:rsidRDefault="00DD3EFA" w:rsidP="00B15ECB">
            <w:pPr>
              <w:spacing w:before="60" w:after="60"/>
              <w:rPr>
                <w:rFonts w:eastAsiaTheme="majorEastAsia"/>
              </w:rPr>
            </w:pPr>
            <w:r w:rsidRPr="005A0E7C">
              <w:rPr>
                <w:rFonts w:eastAsiaTheme="majorEastAsia"/>
              </w:rPr>
              <w:t>Částečně lze na vzdělávání zaměstnanců přispívat z prostředků na aktivní politiku zaměstnanosti (za podmínky dostupnosti prostředků).</w:t>
            </w:r>
          </w:p>
          <w:p w14:paraId="6582184D" w14:textId="77777777" w:rsidR="00DD3EFA" w:rsidRPr="005A0E7C" w:rsidRDefault="00DD3EFA" w:rsidP="00B15ECB">
            <w:pPr>
              <w:spacing w:before="60" w:after="60"/>
              <w:rPr>
                <w:rFonts w:eastAsiaTheme="majorEastAsia"/>
              </w:rPr>
            </w:pPr>
            <w:r w:rsidRPr="005A0E7C">
              <w:rPr>
                <w:rFonts w:eastAsiaTheme="majorEastAsia"/>
              </w:rPr>
              <w:t>Politika zaměstnanosti je financována státním rozpočtem, přičemž však prostředky uvolňované zejména na aktivní politiku zaměstnanosti nejsou, přes opakované požadavky MPSV, dostatečné.</w:t>
            </w:r>
          </w:p>
          <w:p w14:paraId="4AEB2913" w14:textId="77777777" w:rsidR="00DD3EFA" w:rsidRPr="005A0E7C" w:rsidRDefault="00DD3EFA" w:rsidP="00B15ECB">
            <w:pPr>
              <w:spacing w:before="60" w:after="60"/>
              <w:rPr>
                <w:rFonts w:eastAsiaTheme="majorEastAsia"/>
                <w:i/>
              </w:rPr>
            </w:pPr>
            <w:r w:rsidRPr="005A0E7C">
              <w:rPr>
                <w:rFonts w:eastAsiaTheme="majorEastAsia"/>
              </w:rPr>
              <w:t xml:space="preserve">MPSV, resp. UP ČR, v procesu přípravy státního rozpočtu vyjádřilo potřebu 5,3 mld. Kč na realizaci APZ v roce 2019, nicméně pro rok 2019 činí konečný schválený rozpočet na APZ pouze 2,3 mld. Kč, včetně nespotřebovaných výdajů. </w:t>
            </w:r>
          </w:p>
        </w:tc>
        <w:tc>
          <w:tcPr>
            <w:tcW w:w="249" w:type="dxa"/>
            <w:tcBorders>
              <w:top w:val="nil"/>
              <w:bottom w:val="nil"/>
            </w:tcBorders>
            <w:shd w:val="clear" w:color="auto" w:fill="66CCFF"/>
          </w:tcPr>
          <w:p w14:paraId="3A939558" w14:textId="77777777" w:rsidR="00DD3EFA" w:rsidRPr="005A0E7C" w:rsidRDefault="00DD3EFA" w:rsidP="00B15ECB">
            <w:pPr>
              <w:rPr>
                <w:b/>
              </w:rPr>
            </w:pPr>
          </w:p>
        </w:tc>
      </w:tr>
      <w:tr w:rsidR="00DD3EFA" w:rsidRPr="005A0E7C" w14:paraId="2AA534DC" w14:textId="77777777" w:rsidTr="00B15ECB">
        <w:trPr>
          <w:trHeight w:val="1968"/>
        </w:trPr>
        <w:tc>
          <w:tcPr>
            <w:tcW w:w="249" w:type="dxa"/>
            <w:tcBorders>
              <w:top w:val="nil"/>
              <w:bottom w:val="nil"/>
            </w:tcBorders>
            <w:shd w:val="clear" w:color="auto" w:fill="66CCFF"/>
          </w:tcPr>
          <w:p w14:paraId="6EB2BA8D" w14:textId="77777777" w:rsidR="00DD3EFA" w:rsidRPr="005A0E7C" w:rsidRDefault="00DD3EFA" w:rsidP="00B15ECB">
            <w:pPr>
              <w:rPr>
                <w:b/>
              </w:rPr>
            </w:pPr>
          </w:p>
        </w:tc>
        <w:tc>
          <w:tcPr>
            <w:tcW w:w="2548" w:type="dxa"/>
            <w:tcBorders>
              <w:top w:val="nil"/>
            </w:tcBorders>
            <w:shd w:val="clear" w:color="auto" w:fill="FFFFFF" w:themeFill="background1"/>
          </w:tcPr>
          <w:p w14:paraId="59AB9BD2"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2785B702" w14:textId="77777777" w:rsidR="00DD3EFA" w:rsidRPr="005A0E7C" w:rsidRDefault="00DD3EFA" w:rsidP="00B15ECB">
            <w:pPr>
              <w:spacing w:before="60" w:after="60"/>
              <w:rPr>
                <w:rFonts w:eastAsiaTheme="majorEastAsia"/>
                <w:i/>
              </w:rPr>
            </w:pPr>
            <w:r w:rsidRPr="005A0E7C">
              <w:rPr>
                <w:rFonts w:eastAsiaTheme="majorEastAsia"/>
              </w:rPr>
              <w:t xml:space="preserve">Možná je částečná participace zaměstnavatelů na podpoře vzdělávání jejich zaměstnanců (max. do výše národního spolufinancování), jiné významné zdroje mimo veřejné rozpočty na podporu této oblasti nejsou k dispozici. </w:t>
            </w:r>
          </w:p>
        </w:tc>
        <w:tc>
          <w:tcPr>
            <w:tcW w:w="249" w:type="dxa"/>
            <w:tcBorders>
              <w:top w:val="nil"/>
              <w:bottom w:val="nil"/>
            </w:tcBorders>
            <w:shd w:val="clear" w:color="auto" w:fill="66CCFF"/>
          </w:tcPr>
          <w:p w14:paraId="4FCA9AE5" w14:textId="77777777" w:rsidR="00DD3EFA" w:rsidRPr="005A0E7C" w:rsidRDefault="00DD3EFA" w:rsidP="00B15ECB">
            <w:pPr>
              <w:rPr>
                <w:b/>
              </w:rPr>
            </w:pPr>
          </w:p>
        </w:tc>
      </w:tr>
      <w:tr w:rsidR="00DD3EFA" w:rsidRPr="005A0E7C" w14:paraId="4C00D1A9" w14:textId="77777777" w:rsidTr="00B15ECB">
        <w:trPr>
          <w:trHeight w:val="1968"/>
        </w:trPr>
        <w:tc>
          <w:tcPr>
            <w:tcW w:w="249" w:type="dxa"/>
            <w:tcBorders>
              <w:top w:val="nil"/>
              <w:bottom w:val="nil"/>
            </w:tcBorders>
            <w:shd w:val="clear" w:color="auto" w:fill="66CCFF"/>
          </w:tcPr>
          <w:p w14:paraId="1EE9A474" w14:textId="77777777" w:rsidR="00DD3EFA" w:rsidRPr="005A0E7C" w:rsidRDefault="00DD3EFA" w:rsidP="00B15ECB">
            <w:pPr>
              <w:rPr>
                <w:b/>
              </w:rPr>
            </w:pPr>
          </w:p>
        </w:tc>
        <w:tc>
          <w:tcPr>
            <w:tcW w:w="2548" w:type="dxa"/>
            <w:tcBorders>
              <w:top w:val="nil"/>
            </w:tcBorders>
            <w:shd w:val="clear" w:color="auto" w:fill="FFFFFF" w:themeFill="background1"/>
          </w:tcPr>
          <w:p w14:paraId="0456C964"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1078AD3D" w14:textId="77777777" w:rsidR="00DD3EFA" w:rsidRPr="005A0E7C" w:rsidRDefault="00DD3EFA" w:rsidP="00B15ECB">
            <w:pPr>
              <w:spacing w:before="60" w:after="60"/>
              <w:rPr>
                <w:rFonts w:eastAsiaTheme="majorEastAsia"/>
              </w:rPr>
            </w:pPr>
            <w:r w:rsidRPr="005A0E7C">
              <w:rPr>
                <w:rFonts w:eastAsiaTheme="majorEastAsia"/>
              </w:rPr>
              <w:t>Využití finančních nástrojů v dané oblasti není možné, protože podpořené projekty negenerují podstatnější příjmy, které by mohly být využity ke vrácení poskytnuté podpory. V případě podpory vzdělávání zaměstnanců v podnicích se dostatečným motivačním prvkem jeví přenesení tíže národního spolufinancování na příjemce (aktuálně 15 % v méně rozvinutých regionech, avšak pro období 2021-2027 navrhla EK podstatné navýšení národního spolufinancování)</w:t>
            </w:r>
          </w:p>
        </w:tc>
        <w:tc>
          <w:tcPr>
            <w:tcW w:w="249" w:type="dxa"/>
            <w:tcBorders>
              <w:top w:val="nil"/>
              <w:bottom w:val="nil"/>
            </w:tcBorders>
            <w:shd w:val="clear" w:color="auto" w:fill="66CCFF"/>
          </w:tcPr>
          <w:p w14:paraId="009AC193" w14:textId="77777777" w:rsidR="00DD3EFA" w:rsidRPr="005A0E7C" w:rsidRDefault="00DD3EFA" w:rsidP="00B15ECB">
            <w:pPr>
              <w:rPr>
                <w:b/>
              </w:rPr>
            </w:pPr>
          </w:p>
        </w:tc>
      </w:tr>
      <w:tr w:rsidR="00DD3EFA" w:rsidRPr="005A0E7C" w14:paraId="340F4A18" w14:textId="77777777" w:rsidTr="00B15ECB">
        <w:trPr>
          <w:trHeight w:val="150"/>
        </w:trPr>
        <w:tc>
          <w:tcPr>
            <w:tcW w:w="249" w:type="dxa"/>
            <w:tcBorders>
              <w:top w:val="nil"/>
              <w:right w:val="nil"/>
            </w:tcBorders>
            <w:shd w:val="clear" w:color="auto" w:fill="66CCFF"/>
          </w:tcPr>
          <w:p w14:paraId="56780F25" w14:textId="77777777" w:rsidR="00DD3EFA" w:rsidRPr="005A0E7C" w:rsidRDefault="00DD3EFA" w:rsidP="00B15ECB">
            <w:pPr>
              <w:rPr>
                <w:b/>
              </w:rPr>
            </w:pPr>
          </w:p>
        </w:tc>
        <w:tc>
          <w:tcPr>
            <w:tcW w:w="2548" w:type="dxa"/>
            <w:tcBorders>
              <w:left w:val="nil"/>
              <w:right w:val="nil"/>
            </w:tcBorders>
            <w:shd w:val="clear" w:color="auto" w:fill="66CCFF"/>
          </w:tcPr>
          <w:p w14:paraId="56E9E012" w14:textId="77777777" w:rsidR="00DD3EFA" w:rsidRPr="005A0E7C" w:rsidRDefault="00DD3EFA" w:rsidP="00B15ECB">
            <w:pPr>
              <w:rPr>
                <w:b/>
              </w:rPr>
            </w:pPr>
          </w:p>
        </w:tc>
        <w:tc>
          <w:tcPr>
            <w:tcW w:w="5978" w:type="dxa"/>
            <w:tcBorders>
              <w:left w:val="nil"/>
              <w:right w:val="nil"/>
            </w:tcBorders>
            <w:shd w:val="clear" w:color="auto" w:fill="66CCFF"/>
          </w:tcPr>
          <w:p w14:paraId="65460660" w14:textId="77777777" w:rsidR="00DD3EFA" w:rsidRPr="005A0E7C" w:rsidRDefault="00DD3EFA" w:rsidP="00B15ECB">
            <w:pPr>
              <w:rPr>
                <w:b/>
              </w:rPr>
            </w:pPr>
          </w:p>
        </w:tc>
        <w:tc>
          <w:tcPr>
            <w:tcW w:w="249" w:type="dxa"/>
            <w:tcBorders>
              <w:top w:val="nil"/>
              <w:left w:val="nil"/>
            </w:tcBorders>
            <w:shd w:val="clear" w:color="auto" w:fill="66CCFF"/>
          </w:tcPr>
          <w:p w14:paraId="4A6F8A09" w14:textId="77777777" w:rsidR="00DD3EFA" w:rsidRPr="005A0E7C" w:rsidRDefault="00DD3EFA" w:rsidP="00B15ECB">
            <w:pPr>
              <w:rPr>
                <w:b/>
              </w:rPr>
            </w:pPr>
          </w:p>
        </w:tc>
      </w:tr>
    </w:tbl>
    <w:p w14:paraId="499A57DB" w14:textId="77777777" w:rsidR="00DD3EFA" w:rsidRPr="005A0E7C" w:rsidRDefault="00DD3EFA" w:rsidP="00B15ECB">
      <w:pPr>
        <w:rPr>
          <w:rFonts w:ascii="Times New Roman" w:hAnsi="Times New Roman" w:cs="Times New Roman"/>
          <w:b/>
          <w:sz w:val="20"/>
          <w:szCs w:val="20"/>
        </w:rPr>
      </w:pPr>
    </w:p>
    <w:p w14:paraId="41293DEE" w14:textId="77777777" w:rsidR="00DD3EFA" w:rsidRPr="005A0E7C" w:rsidRDefault="00DD3EFA" w:rsidP="00B15ECB">
      <w:pPr>
        <w:rPr>
          <w:rFonts w:ascii="Times New Roman" w:hAnsi="Times New Roman" w:cs="Times New Roman"/>
          <w:sz w:val="20"/>
          <w:szCs w:val="20"/>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A758102" w14:textId="77777777" w:rsidTr="00B15ECB">
        <w:trPr>
          <w:trHeight w:val="180"/>
        </w:trPr>
        <w:tc>
          <w:tcPr>
            <w:tcW w:w="249" w:type="dxa"/>
            <w:tcBorders>
              <w:bottom w:val="nil"/>
              <w:right w:val="nil"/>
            </w:tcBorders>
            <w:shd w:val="clear" w:color="auto" w:fill="66CCFF"/>
          </w:tcPr>
          <w:p w14:paraId="6639B757" w14:textId="77777777" w:rsidR="00DD3EFA" w:rsidRPr="005A0E7C" w:rsidRDefault="00DD3EFA" w:rsidP="00B15ECB">
            <w:pPr>
              <w:rPr>
                <w:b/>
              </w:rPr>
            </w:pPr>
          </w:p>
        </w:tc>
        <w:tc>
          <w:tcPr>
            <w:tcW w:w="2548" w:type="dxa"/>
            <w:tcBorders>
              <w:left w:val="nil"/>
              <w:right w:val="nil"/>
            </w:tcBorders>
            <w:shd w:val="clear" w:color="auto" w:fill="66CCFF"/>
          </w:tcPr>
          <w:p w14:paraId="4F3B6350" w14:textId="77777777" w:rsidR="00DD3EFA" w:rsidRPr="005A0E7C" w:rsidRDefault="00DD3EFA" w:rsidP="00B15ECB">
            <w:pPr>
              <w:rPr>
                <w:b/>
              </w:rPr>
            </w:pPr>
          </w:p>
        </w:tc>
        <w:tc>
          <w:tcPr>
            <w:tcW w:w="5978" w:type="dxa"/>
            <w:tcBorders>
              <w:left w:val="nil"/>
              <w:right w:val="nil"/>
            </w:tcBorders>
            <w:shd w:val="clear" w:color="auto" w:fill="66CCFF"/>
          </w:tcPr>
          <w:p w14:paraId="345DE4AE" w14:textId="77777777" w:rsidR="00DD3EFA" w:rsidRPr="005A0E7C" w:rsidRDefault="00DD3EFA" w:rsidP="00B15ECB">
            <w:pPr>
              <w:rPr>
                <w:b/>
              </w:rPr>
            </w:pPr>
          </w:p>
        </w:tc>
        <w:tc>
          <w:tcPr>
            <w:tcW w:w="249" w:type="dxa"/>
            <w:tcBorders>
              <w:left w:val="nil"/>
              <w:bottom w:val="nil"/>
            </w:tcBorders>
            <w:shd w:val="clear" w:color="auto" w:fill="66CCFF"/>
          </w:tcPr>
          <w:p w14:paraId="111AC147" w14:textId="77777777" w:rsidR="00DD3EFA" w:rsidRPr="005A0E7C" w:rsidRDefault="00DD3EFA" w:rsidP="00B15ECB">
            <w:pPr>
              <w:rPr>
                <w:b/>
              </w:rPr>
            </w:pPr>
          </w:p>
        </w:tc>
      </w:tr>
      <w:tr w:rsidR="00DD3EFA" w:rsidRPr="005A0E7C" w14:paraId="26339AEE" w14:textId="77777777" w:rsidTr="00B15ECB">
        <w:trPr>
          <w:trHeight w:val="561"/>
        </w:trPr>
        <w:tc>
          <w:tcPr>
            <w:tcW w:w="249" w:type="dxa"/>
            <w:tcBorders>
              <w:top w:val="nil"/>
              <w:bottom w:val="nil"/>
            </w:tcBorders>
            <w:shd w:val="clear" w:color="auto" w:fill="66CCFF"/>
          </w:tcPr>
          <w:p w14:paraId="18E2F6C1" w14:textId="77777777" w:rsidR="00DD3EFA" w:rsidRPr="005A0E7C" w:rsidRDefault="00DD3EFA" w:rsidP="00B15ECB">
            <w:pPr>
              <w:rPr>
                <w:b/>
              </w:rPr>
            </w:pPr>
          </w:p>
        </w:tc>
        <w:tc>
          <w:tcPr>
            <w:tcW w:w="2548" w:type="dxa"/>
            <w:shd w:val="clear" w:color="auto" w:fill="0070C0"/>
          </w:tcPr>
          <w:p w14:paraId="56211976" w14:textId="77777777" w:rsidR="00DD3EFA" w:rsidRPr="005A0E7C" w:rsidRDefault="00DD3EFA" w:rsidP="00B15ECB">
            <w:pPr>
              <w:spacing w:before="60" w:after="60"/>
              <w:rPr>
                <w:rFonts w:eastAsiaTheme="majorEastAsia"/>
                <w:b/>
              </w:rPr>
            </w:pPr>
            <w:r w:rsidRPr="005A0E7C">
              <w:rPr>
                <w:rFonts w:eastAsiaTheme="majorEastAsia"/>
                <w:b/>
              </w:rPr>
              <w:t>Strategický cíl NKR:</w:t>
            </w:r>
          </w:p>
          <w:p w14:paraId="4EDAAB6B" w14:textId="77777777" w:rsidR="00DD3EFA" w:rsidRPr="005A0E7C" w:rsidRDefault="00DD3EFA" w:rsidP="00B15ECB">
            <w:pPr>
              <w:spacing w:before="60" w:after="60"/>
              <w:rPr>
                <w:rFonts w:eastAsiaTheme="majorEastAsia"/>
                <w:b/>
              </w:rPr>
            </w:pPr>
            <w:r w:rsidRPr="005A0E7C">
              <w:rPr>
                <w:rFonts w:eastAsiaTheme="majorEastAsia"/>
                <w:b/>
              </w:rPr>
              <w:t>Konkurenceschopná a soudržná společnost</w:t>
            </w:r>
          </w:p>
        </w:tc>
        <w:tc>
          <w:tcPr>
            <w:tcW w:w="5978" w:type="dxa"/>
            <w:shd w:val="clear" w:color="auto" w:fill="0070C0"/>
          </w:tcPr>
          <w:p w14:paraId="35EF02C3" w14:textId="77777777" w:rsidR="00DD3EFA" w:rsidRPr="005A0E7C" w:rsidRDefault="00DD3EFA" w:rsidP="00B15ECB">
            <w:pPr>
              <w:spacing w:before="60" w:after="60"/>
              <w:rPr>
                <w:rFonts w:eastAsiaTheme="majorEastAsia"/>
                <w:b/>
                <w:u w:val="single"/>
              </w:rPr>
            </w:pPr>
            <w:r w:rsidRPr="005A0E7C">
              <w:rPr>
                <w:rFonts w:eastAsiaTheme="majorEastAsia"/>
                <w:b/>
                <w:u w:val="single"/>
              </w:rPr>
              <w:t>Specifický cíl NKR</w:t>
            </w:r>
            <w:r w:rsidRPr="005A0E7C">
              <w:rPr>
                <w:rStyle w:val="Znakapoznpodarou"/>
                <w:rFonts w:eastAsiaTheme="majorEastAsia"/>
                <w:u w:val="single"/>
              </w:rPr>
              <w:footnoteReference w:id="6"/>
            </w:r>
            <w:r w:rsidRPr="005A0E7C">
              <w:rPr>
                <w:rFonts w:eastAsiaTheme="majorEastAsia"/>
                <w:b/>
                <w:u w:val="single"/>
              </w:rPr>
              <w:t>:</w:t>
            </w:r>
          </w:p>
          <w:p w14:paraId="7F640D3D" w14:textId="77777777" w:rsidR="00DD3EFA" w:rsidRPr="005A0E7C" w:rsidRDefault="00DD3EFA" w:rsidP="00B15ECB">
            <w:pPr>
              <w:spacing w:before="60" w:after="60"/>
              <w:rPr>
                <w:rFonts w:eastAsiaTheme="majorEastAsia"/>
                <w:b/>
              </w:rPr>
            </w:pPr>
            <w:r w:rsidRPr="005A0E7C">
              <w:rPr>
                <w:rFonts w:eastAsiaTheme="majorEastAsia"/>
                <w:b/>
              </w:rPr>
              <w:t>Podpora a využití pracovní mobility</w:t>
            </w:r>
          </w:p>
          <w:p w14:paraId="3C5CD6FE" w14:textId="77777777" w:rsidR="00DD3EFA" w:rsidRPr="005A0E7C" w:rsidRDefault="00DD3EFA" w:rsidP="00B15ECB">
            <w:pPr>
              <w:spacing w:before="60" w:after="60"/>
              <w:rPr>
                <w:rFonts w:eastAsiaTheme="majorEastAsia"/>
                <w:b/>
                <w:u w:val="single"/>
              </w:rPr>
            </w:pPr>
          </w:p>
        </w:tc>
        <w:tc>
          <w:tcPr>
            <w:tcW w:w="249" w:type="dxa"/>
            <w:tcBorders>
              <w:top w:val="nil"/>
              <w:bottom w:val="nil"/>
            </w:tcBorders>
            <w:shd w:val="clear" w:color="auto" w:fill="66CCFF"/>
          </w:tcPr>
          <w:p w14:paraId="50B0B599" w14:textId="77777777" w:rsidR="00DD3EFA" w:rsidRPr="005A0E7C" w:rsidRDefault="00DD3EFA" w:rsidP="00B15ECB">
            <w:pPr>
              <w:rPr>
                <w:b/>
              </w:rPr>
            </w:pPr>
          </w:p>
        </w:tc>
      </w:tr>
      <w:tr w:rsidR="00DD3EFA" w:rsidRPr="005A0E7C" w14:paraId="13531EE2" w14:textId="77777777" w:rsidTr="00B15ECB">
        <w:trPr>
          <w:trHeight w:val="180"/>
        </w:trPr>
        <w:tc>
          <w:tcPr>
            <w:tcW w:w="249" w:type="dxa"/>
            <w:tcBorders>
              <w:top w:val="nil"/>
              <w:bottom w:val="nil"/>
              <w:right w:val="nil"/>
            </w:tcBorders>
            <w:shd w:val="clear" w:color="auto" w:fill="66CCFF"/>
          </w:tcPr>
          <w:p w14:paraId="24CB68F7" w14:textId="77777777" w:rsidR="00DD3EFA" w:rsidRPr="005A0E7C" w:rsidRDefault="00DD3EFA" w:rsidP="00B15ECB">
            <w:pPr>
              <w:rPr>
                <w:b/>
              </w:rPr>
            </w:pPr>
          </w:p>
        </w:tc>
        <w:tc>
          <w:tcPr>
            <w:tcW w:w="2548" w:type="dxa"/>
            <w:tcBorders>
              <w:left w:val="nil"/>
              <w:right w:val="nil"/>
            </w:tcBorders>
            <w:shd w:val="clear" w:color="auto" w:fill="66CCFF"/>
          </w:tcPr>
          <w:p w14:paraId="2A8690AB" w14:textId="77777777" w:rsidR="00DD3EFA" w:rsidRPr="005A0E7C" w:rsidRDefault="00DD3EFA" w:rsidP="00B15ECB">
            <w:pPr>
              <w:rPr>
                <w:b/>
              </w:rPr>
            </w:pPr>
          </w:p>
        </w:tc>
        <w:tc>
          <w:tcPr>
            <w:tcW w:w="5978" w:type="dxa"/>
            <w:tcBorders>
              <w:left w:val="nil"/>
              <w:right w:val="nil"/>
            </w:tcBorders>
            <w:shd w:val="clear" w:color="auto" w:fill="66CCFF"/>
          </w:tcPr>
          <w:p w14:paraId="0768A7CC" w14:textId="77777777" w:rsidR="00DD3EFA" w:rsidRPr="005A0E7C" w:rsidRDefault="00DD3EFA" w:rsidP="00B15ECB">
            <w:pPr>
              <w:rPr>
                <w:b/>
              </w:rPr>
            </w:pPr>
          </w:p>
        </w:tc>
        <w:tc>
          <w:tcPr>
            <w:tcW w:w="249" w:type="dxa"/>
            <w:tcBorders>
              <w:top w:val="nil"/>
              <w:left w:val="nil"/>
              <w:bottom w:val="nil"/>
            </w:tcBorders>
            <w:shd w:val="clear" w:color="auto" w:fill="66CCFF"/>
          </w:tcPr>
          <w:p w14:paraId="54F9EF03" w14:textId="77777777" w:rsidR="00DD3EFA" w:rsidRPr="005A0E7C" w:rsidRDefault="00DD3EFA" w:rsidP="00B15ECB">
            <w:pPr>
              <w:rPr>
                <w:b/>
              </w:rPr>
            </w:pPr>
          </w:p>
        </w:tc>
      </w:tr>
      <w:tr w:rsidR="00DD3EFA" w:rsidRPr="005A0E7C" w14:paraId="58A9F2CC" w14:textId="77777777" w:rsidTr="00B15ECB">
        <w:trPr>
          <w:trHeight w:val="892"/>
        </w:trPr>
        <w:tc>
          <w:tcPr>
            <w:tcW w:w="249" w:type="dxa"/>
            <w:tcBorders>
              <w:top w:val="nil"/>
              <w:bottom w:val="nil"/>
            </w:tcBorders>
            <w:shd w:val="clear" w:color="auto" w:fill="66CCFF"/>
          </w:tcPr>
          <w:p w14:paraId="76D480F1" w14:textId="77777777" w:rsidR="00DD3EFA" w:rsidRPr="005A0E7C" w:rsidRDefault="00DD3EFA" w:rsidP="00B15ECB">
            <w:pPr>
              <w:rPr>
                <w:b/>
              </w:rPr>
            </w:pPr>
          </w:p>
        </w:tc>
        <w:tc>
          <w:tcPr>
            <w:tcW w:w="2548" w:type="dxa"/>
            <w:shd w:val="clear" w:color="auto" w:fill="FFFFFF" w:themeFill="background1"/>
          </w:tcPr>
          <w:p w14:paraId="51638A45"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72BC687B" w14:textId="77777777" w:rsidR="00DD3EFA" w:rsidRPr="005A0E7C" w:rsidRDefault="00DD3EFA" w:rsidP="00B15ECB">
            <w:pPr>
              <w:autoSpaceDE w:val="0"/>
              <w:autoSpaceDN w:val="0"/>
              <w:adjustRightInd w:val="0"/>
              <w:rPr>
                <w:rFonts w:eastAsiaTheme="majorEastAsia"/>
              </w:rPr>
            </w:pPr>
            <w:r w:rsidRPr="005A0E7C">
              <w:rPr>
                <w:rFonts w:eastAsiaTheme="majorEastAsia"/>
              </w:rPr>
              <w:t>V oborech, kde bude docházet k nedostatku pracovní síly, je nutné podporovat přistěhovalectví vysoce kvalifikovaných pracovníků. Je potřeba ještě více využít přeshraniční pracovní migrace s využitím platformy EURES, především směrem do ČR (oproti nyní převládajícímu trendu z ČR do jiných zemí EU).</w:t>
            </w:r>
          </w:p>
          <w:p w14:paraId="41013AB5" w14:textId="77777777" w:rsidR="00DD3EFA" w:rsidRPr="005A0E7C" w:rsidRDefault="00DD3EFA" w:rsidP="00B15ECB">
            <w:pPr>
              <w:spacing w:before="60" w:after="60"/>
            </w:pPr>
          </w:p>
          <w:p w14:paraId="67360DB0"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eastAsiaTheme="majorEastAsia" w:hAnsi="Times New Roman"/>
              </w:rPr>
              <w:t xml:space="preserve">ČR by se měla zaměřit na prevenci odchodu kvalifikované pracovní síly z ČR do zahraničí a měla by podpořit taková preventivní a proaktivní opatření ve spolupráci se zástupci vysokých škol a zaměstnavatelů, aby nedocházelo k citelnému odlivu mozků. </w:t>
            </w:r>
          </w:p>
          <w:p w14:paraId="1FB81446"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Intervence v této podoblasti se zaměří na: </w:t>
            </w:r>
          </w:p>
          <w:p w14:paraId="73EE7427" w14:textId="77777777" w:rsidR="00DD3EFA" w:rsidRPr="005A0E7C" w:rsidRDefault="00DD3EFA" w:rsidP="00391907">
            <w:pPr>
              <w:pStyle w:val="slovanodstavec"/>
              <w:numPr>
                <w:ilvl w:val="0"/>
                <w:numId w:val="11"/>
              </w:numPr>
              <w:tabs>
                <w:tab w:val="clear" w:pos="567"/>
                <w:tab w:val="left" w:pos="284"/>
              </w:tabs>
              <w:suppressAutoHyphens/>
              <w:spacing w:line="240" w:lineRule="auto"/>
              <w:rPr>
                <w:rFonts w:ascii="Times New Roman" w:hAnsi="Times New Roman"/>
              </w:rPr>
            </w:pPr>
            <w:r w:rsidRPr="005A0E7C">
              <w:rPr>
                <w:rFonts w:ascii="Times New Roman" w:hAnsi="Times New Roman"/>
              </w:rPr>
              <w:t>využití potenciálu kvalifikovaných cizinců a prevenci odlivu mozků do zahraničí (tzv. „brain gain“ versus „brain drain“).</w:t>
            </w:r>
          </w:p>
          <w:p w14:paraId="1DEAFB40" w14:textId="77777777" w:rsidR="00DD3EFA" w:rsidRPr="005A0E7C" w:rsidRDefault="00DD3EFA" w:rsidP="00391907">
            <w:pPr>
              <w:pStyle w:val="slovanodstavec"/>
              <w:numPr>
                <w:ilvl w:val="0"/>
                <w:numId w:val="11"/>
              </w:numPr>
              <w:tabs>
                <w:tab w:val="clear" w:pos="567"/>
                <w:tab w:val="left" w:pos="284"/>
              </w:tabs>
              <w:suppressAutoHyphens/>
              <w:spacing w:line="240" w:lineRule="auto"/>
              <w:rPr>
                <w:rFonts w:ascii="Times New Roman" w:hAnsi="Times New Roman"/>
              </w:rPr>
            </w:pPr>
            <w:r w:rsidRPr="005A0E7C">
              <w:rPr>
                <w:rFonts w:ascii="Times New Roman" w:hAnsi="Times New Roman"/>
              </w:rPr>
              <w:t>podporu pracovní mobility v rámci ČR (dojíždění a stěhování se za prací)</w:t>
            </w:r>
          </w:p>
          <w:p w14:paraId="5AB57C1F" w14:textId="77777777" w:rsidR="00DD3EFA" w:rsidRPr="005A0E7C" w:rsidRDefault="00DD3EFA" w:rsidP="00391907">
            <w:pPr>
              <w:pStyle w:val="slovanodstavec"/>
              <w:numPr>
                <w:ilvl w:val="0"/>
                <w:numId w:val="11"/>
              </w:numPr>
              <w:tabs>
                <w:tab w:val="clear" w:pos="567"/>
                <w:tab w:val="left" w:pos="284"/>
              </w:tabs>
              <w:suppressAutoHyphens/>
              <w:spacing w:line="240" w:lineRule="auto"/>
              <w:rPr>
                <w:rFonts w:ascii="Times New Roman" w:hAnsi="Times New Roman"/>
              </w:rPr>
            </w:pPr>
            <w:r w:rsidRPr="005A0E7C">
              <w:rPr>
                <w:rFonts w:ascii="Times New Roman" w:hAnsi="Times New Roman"/>
              </w:rPr>
              <w:t>Podporu návratu vysoce kvalifikovaných a zkušených odborníků ze zahraničí do ČR (finanční, profesní, věcná motivace)</w:t>
            </w:r>
          </w:p>
          <w:p w14:paraId="7F67A21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u w:val="single"/>
              </w:rPr>
            </w:pPr>
          </w:p>
        </w:tc>
        <w:tc>
          <w:tcPr>
            <w:tcW w:w="249" w:type="dxa"/>
            <w:tcBorders>
              <w:top w:val="nil"/>
              <w:bottom w:val="nil"/>
            </w:tcBorders>
            <w:shd w:val="clear" w:color="auto" w:fill="66CCFF"/>
          </w:tcPr>
          <w:p w14:paraId="45C2AE6A" w14:textId="77777777" w:rsidR="00DD3EFA" w:rsidRPr="005A0E7C" w:rsidRDefault="00DD3EFA" w:rsidP="00B15ECB">
            <w:pPr>
              <w:rPr>
                <w:b/>
              </w:rPr>
            </w:pPr>
          </w:p>
        </w:tc>
      </w:tr>
      <w:tr w:rsidR="00DD3EFA" w:rsidRPr="005A0E7C" w14:paraId="448E3ED6" w14:textId="77777777" w:rsidTr="00B15ECB">
        <w:trPr>
          <w:trHeight w:val="46"/>
        </w:trPr>
        <w:tc>
          <w:tcPr>
            <w:tcW w:w="249" w:type="dxa"/>
            <w:tcBorders>
              <w:top w:val="nil"/>
              <w:bottom w:val="nil"/>
              <w:right w:val="nil"/>
            </w:tcBorders>
            <w:shd w:val="clear" w:color="auto" w:fill="66CCFF"/>
          </w:tcPr>
          <w:p w14:paraId="0AD4513B"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0E3D051A"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5F9608E" w14:textId="77777777" w:rsidR="00DD3EFA" w:rsidRPr="005A0E7C" w:rsidRDefault="00DD3EFA" w:rsidP="00B15ECB">
            <w:pPr>
              <w:rPr>
                <w:b/>
              </w:rPr>
            </w:pPr>
          </w:p>
        </w:tc>
        <w:tc>
          <w:tcPr>
            <w:tcW w:w="249" w:type="dxa"/>
            <w:tcBorders>
              <w:top w:val="nil"/>
              <w:left w:val="nil"/>
              <w:bottom w:val="nil"/>
            </w:tcBorders>
            <w:shd w:val="clear" w:color="auto" w:fill="66CCFF"/>
          </w:tcPr>
          <w:p w14:paraId="5AFA0492" w14:textId="77777777" w:rsidR="00DD3EFA" w:rsidRPr="005A0E7C" w:rsidRDefault="00DD3EFA" w:rsidP="00B15ECB">
            <w:pPr>
              <w:rPr>
                <w:b/>
              </w:rPr>
            </w:pPr>
          </w:p>
        </w:tc>
      </w:tr>
      <w:tr w:rsidR="00DD3EFA" w:rsidRPr="005A0E7C" w14:paraId="72F54D1D" w14:textId="77777777" w:rsidTr="00B15ECB">
        <w:trPr>
          <w:trHeight w:val="1274"/>
        </w:trPr>
        <w:tc>
          <w:tcPr>
            <w:tcW w:w="249" w:type="dxa"/>
            <w:tcBorders>
              <w:top w:val="nil"/>
              <w:bottom w:val="nil"/>
            </w:tcBorders>
            <w:shd w:val="clear" w:color="auto" w:fill="66CCFF"/>
          </w:tcPr>
          <w:p w14:paraId="200D83D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188933F"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F85A92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Odliv pracovní síly v kontextu rekordně nízké nezaměstnanosti představuje pro řadu firem, ale i vědeckých institucí, vážný problém a je brzdou dalšího ekonomického růstu a částečně i pokroku v oblasti inovací.</w:t>
            </w:r>
          </w:p>
          <w:p w14:paraId="35B84CF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Dochází také do jisté míry k exploataci českých vysokých škol, kdy se pracovníci, kteří vystudovali na náklady státního rozpočtu ČR, posléze přemístí za profesí do jiné země. Obdobně odcházejí i pracovníci, kteří získali například atestaci v daném oboru na náklady ze státního rozpočtu.</w:t>
            </w:r>
          </w:p>
        </w:tc>
        <w:tc>
          <w:tcPr>
            <w:tcW w:w="249" w:type="dxa"/>
            <w:tcBorders>
              <w:top w:val="nil"/>
              <w:bottom w:val="nil"/>
            </w:tcBorders>
            <w:shd w:val="clear" w:color="auto" w:fill="66CCFF"/>
          </w:tcPr>
          <w:p w14:paraId="7A6E4260" w14:textId="77777777" w:rsidR="00DD3EFA" w:rsidRPr="005A0E7C" w:rsidRDefault="00DD3EFA" w:rsidP="00B15ECB">
            <w:pPr>
              <w:rPr>
                <w:b/>
              </w:rPr>
            </w:pPr>
          </w:p>
        </w:tc>
      </w:tr>
      <w:tr w:rsidR="00DD3EFA" w:rsidRPr="005A0E7C" w14:paraId="3BF6DB7B" w14:textId="77777777" w:rsidTr="00B15ECB">
        <w:trPr>
          <w:trHeight w:val="1274"/>
        </w:trPr>
        <w:tc>
          <w:tcPr>
            <w:tcW w:w="249" w:type="dxa"/>
            <w:tcBorders>
              <w:top w:val="nil"/>
              <w:bottom w:val="nil"/>
            </w:tcBorders>
            <w:shd w:val="clear" w:color="auto" w:fill="66CCFF"/>
          </w:tcPr>
          <w:p w14:paraId="479C55A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38E0AAE"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0B3CA575" w14:textId="77777777" w:rsidR="00DD3EFA" w:rsidRPr="005A0E7C" w:rsidRDefault="00DD3EFA" w:rsidP="00B15ECB">
            <w:pPr>
              <w:spacing w:before="60" w:after="60"/>
              <w:rPr>
                <w:rFonts w:eastAsiaTheme="majorEastAsia"/>
                <w:i/>
                <w:u w:val="single"/>
              </w:rPr>
            </w:pPr>
            <w:r w:rsidRPr="005A0E7C">
              <w:rPr>
                <w:rFonts w:eastAsiaTheme="majorEastAsia"/>
              </w:rPr>
              <w:t>Vzhledem k přetrvávajícímu nízkému ohodnocení práce v ČR nadále dochází k odlivu pracovních sil do zahraničí, především do ekonomicky silnějších členských států EU. Firmy, které nejsou ochotné mzdy výrazně zvyšovat, pak hledají zaměstnance v zahraničí.</w:t>
            </w:r>
          </w:p>
          <w:p w14:paraId="30A430BA" w14:textId="77777777" w:rsidR="00DD3EFA" w:rsidRPr="005A0E7C" w:rsidRDefault="00DD3EFA" w:rsidP="00B15ECB">
            <w:pPr>
              <w:spacing w:before="60" w:after="60"/>
              <w:rPr>
                <w:i/>
              </w:rPr>
            </w:pPr>
          </w:p>
        </w:tc>
        <w:tc>
          <w:tcPr>
            <w:tcW w:w="249" w:type="dxa"/>
            <w:tcBorders>
              <w:top w:val="nil"/>
              <w:bottom w:val="nil"/>
            </w:tcBorders>
            <w:shd w:val="clear" w:color="auto" w:fill="66CCFF"/>
          </w:tcPr>
          <w:p w14:paraId="25EE2464" w14:textId="77777777" w:rsidR="00DD3EFA" w:rsidRPr="005A0E7C" w:rsidRDefault="00DD3EFA" w:rsidP="00B15ECB">
            <w:pPr>
              <w:rPr>
                <w:b/>
              </w:rPr>
            </w:pPr>
          </w:p>
        </w:tc>
      </w:tr>
      <w:tr w:rsidR="00DD3EFA" w:rsidRPr="005A0E7C" w14:paraId="77F44300" w14:textId="77777777" w:rsidTr="00B15ECB">
        <w:trPr>
          <w:trHeight w:val="1274"/>
        </w:trPr>
        <w:tc>
          <w:tcPr>
            <w:tcW w:w="249" w:type="dxa"/>
            <w:tcBorders>
              <w:top w:val="nil"/>
              <w:bottom w:val="nil"/>
            </w:tcBorders>
            <w:shd w:val="clear" w:color="auto" w:fill="66CCFF"/>
          </w:tcPr>
          <w:p w14:paraId="084EDEA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4C01511"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67F4FEB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CDBE47B" w14:textId="77777777" w:rsidR="00DD3EFA" w:rsidRPr="005A0E7C" w:rsidRDefault="00DD3EFA" w:rsidP="00B15ECB">
            <w:pPr>
              <w:spacing w:before="60" w:after="60"/>
              <w:rPr>
                <w:rFonts w:eastAsiaTheme="majorEastAsia"/>
              </w:rPr>
            </w:pPr>
            <w:r w:rsidRPr="005A0E7C">
              <w:rPr>
                <w:rFonts w:eastAsiaTheme="majorEastAsia"/>
              </w:rPr>
              <w:t xml:space="preserve">Relevantním pilířem (strategickým cílem) ze SR PZ 2030 je pilíř: </w:t>
            </w:r>
          </w:p>
          <w:p w14:paraId="5AD91926" w14:textId="77777777" w:rsidR="00DD3EFA" w:rsidRPr="005A0E7C" w:rsidRDefault="00DD3EFA" w:rsidP="00B15ECB">
            <w:pPr>
              <w:spacing w:before="60" w:after="60"/>
              <w:rPr>
                <w:rFonts w:eastAsiaTheme="majorEastAsia"/>
                <w:i/>
                <w:u w:val="single"/>
              </w:rPr>
            </w:pPr>
            <w:r w:rsidRPr="005A0E7C">
              <w:rPr>
                <w:rFonts w:eastAsiaTheme="majorEastAsia"/>
                <w:u w:val="single"/>
              </w:rPr>
              <w:t>Adaptace</w:t>
            </w:r>
            <w:r w:rsidRPr="005A0E7C">
              <w:rPr>
                <w:rFonts w:eastAsiaTheme="majorEastAsia"/>
              </w:rPr>
              <w:t xml:space="preserve"> – politika zaměstnanosti bude podporovat adaptaci všech aktérů trhu práce na měnící se podmínky, zejména na dopady 4. průmyslové revoluce, zaměstnavatelé, zaměstnanci i veřejná správa (včetně právního prostředí) bude adaptována na tyto změny.</w:t>
            </w:r>
          </w:p>
        </w:tc>
        <w:tc>
          <w:tcPr>
            <w:tcW w:w="249" w:type="dxa"/>
            <w:tcBorders>
              <w:top w:val="nil"/>
              <w:bottom w:val="nil"/>
            </w:tcBorders>
            <w:shd w:val="clear" w:color="auto" w:fill="66CCFF"/>
          </w:tcPr>
          <w:p w14:paraId="55A6B82C" w14:textId="77777777" w:rsidR="00DD3EFA" w:rsidRPr="005A0E7C" w:rsidRDefault="00DD3EFA" w:rsidP="00B15ECB">
            <w:pPr>
              <w:rPr>
                <w:b/>
              </w:rPr>
            </w:pPr>
          </w:p>
        </w:tc>
      </w:tr>
      <w:tr w:rsidR="00DD3EFA" w:rsidRPr="005A0E7C" w14:paraId="26D5875E" w14:textId="77777777" w:rsidTr="00B15ECB">
        <w:trPr>
          <w:trHeight w:val="1274"/>
        </w:trPr>
        <w:tc>
          <w:tcPr>
            <w:tcW w:w="249" w:type="dxa"/>
            <w:tcBorders>
              <w:top w:val="nil"/>
              <w:bottom w:val="nil"/>
            </w:tcBorders>
            <w:shd w:val="clear" w:color="auto" w:fill="66CCFF"/>
          </w:tcPr>
          <w:p w14:paraId="70BB611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F88A691"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186AE238" w14:textId="77777777" w:rsidR="00DD3EFA" w:rsidRPr="005A0E7C" w:rsidRDefault="00DD3EFA" w:rsidP="00B15ECB">
            <w:pPr>
              <w:spacing w:before="60" w:after="60"/>
              <w:rPr>
                <w:rFonts w:eastAsiaTheme="majorEastAsia"/>
              </w:rPr>
            </w:pPr>
            <w:r w:rsidRPr="005A0E7C">
              <w:rPr>
                <w:rFonts w:eastAsiaTheme="majorEastAsia"/>
              </w:rPr>
              <w:t>Vize SR PZ 2030: Český trh práce bude, opíraje se o kooperující a efektivní služby zaměstnanosti, schopen reakce na globální trendy, bude zabezpečovat jak rovný přístup k důstojnému zaměstnání pro všechny skupiny osob, tak dostatek vhodné pracovní síly pro národní hospodářství.</w:t>
            </w:r>
          </w:p>
          <w:p w14:paraId="57753424" w14:textId="77777777" w:rsidR="00DD3EFA" w:rsidRPr="005A0E7C" w:rsidRDefault="00DD3EFA" w:rsidP="00B15ECB">
            <w:pPr>
              <w:spacing w:before="60" w:after="60"/>
              <w:rPr>
                <w:rFonts w:eastAsiaTheme="majorEastAsia"/>
                <w:i/>
                <w:u w:val="single"/>
              </w:rPr>
            </w:pPr>
            <w:r w:rsidRPr="005A0E7C">
              <w:rPr>
                <w:rFonts w:eastAsiaTheme="majorEastAsia"/>
              </w:rPr>
              <w:t>Pilíř 3 - Adaptace ze SR PZ 2030 obsahuje komplexní podporu adaptace aktérů českého trhu práce a celého trhu práce na měnící se podmínky. A to včetně potřeby zajištění dostatečného počtu vhodně kvalifikovaných pracovníků. Cílem pilíře je tedy i podpora cílené pracovní mobility a potřeby zajistit dostatek pracovních sil nejenom z vnitřních zdrojů, ale v případě potřeby i ze zdrojů externích (zahraničních). Cílem je tedy zajištění adekvátního počtu zahraničních zaměstnanců v profesích, které jsou pro národní hospodářství důležité, a v nichž není možné zajistit dostatek pracovníků prostřednictvím interních domácích zdrojů.</w:t>
            </w:r>
          </w:p>
        </w:tc>
        <w:tc>
          <w:tcPr>
            <w:tcW w:w="249" w:type="dxa"/>
            <w:tcBorders>
              <w:top w:val="nil"/>
              <w:bottom w:val="nil"/>
            </w:tcBorders>
            <w:shd w:val="clear" w:color="auto" w:fill="66CCFF"/>
          </w:tcPr>
          <w:p w14:paraId="465E32F4" w14:textId="77777777" w:rsidR="00DD3EFA" w:rsidRPr="005A0E7C" w:rsidRDefault="00DD3EFA" w:rsidP="00B15ECB">
            <w:pPr>
              <w:rPr>
                <w:b/>
              </w:rPr>
            </w:pPr>
          </w:p>
        </w:tc>
      </w:tr>
      <w:tr w:rsidR="00DD3EFA" w:rsidRPr="005A0E7C" w14:paraId="52D3023F" w14:textId="77777777" w:rsidTr="00B15ECB">
        <w:trPr>
          <w:trHeight w:val="1274"/>
        </w:trPr>
        <w:tc>
          <w:tcPr>
            <w:tcW w:w="249" w:type="dxa"/>
            <w:tcBorders>
              <w:top w:val="nil"/>
              <w:bottom w:val="nil"/>
            </w:tcBorders>
            <w:shd w:val="clear" w:color="auto" w:fill="66CCFF"/>
          </w:tcPr>
          <w:p w14:paraId="68B6FAF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EC78D95"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588F6684" w14:textId="77777777" w:rsidR="00DD3EFA" w:rsidRPr="005A0E7C" w:rsidRDefault="00DD3EFA" w:rsidP="00B15ECB">
            <w:pPr>
              <w:spacing w:before="60" w:after="60"/>
              <w:rPr>
                <w:rFonts w:eastAsiaTheme="majorEastAsia"/>
                <w:i/>
                <w:u w:val="single"/>
              </w:rPr>
            </w:pPr>
            <w:r w:rsidRPr="005A0E7C">
              <w:rPr>
                <w:rFonts w:eastAsiaTheme="majorEastAsia"/>
              </w:rPr>
              <w:t>Odhadovaný podíl ESIF na plnění tohoto specifického cíle předpokládáme v rozsahu cca 80 – 100 %.</w:t>
            </w:r>
          </w:p>
        </w:tc>
        <w:tc>
          <w:tcPr>
            <w:tcW w:w="249" w:type="dxa"/>
            <w:tcBorders>
              <w:top w:val="nil"/>
              <w:bottom w:val="nil"/>
            </w:tcBorders>
            <w:shd w:val="clear" w:color="auto" w:fill="66CCFF"/>
          </w:tcPr>
          <w:p w14:paraId="105CCA8B" w14:textId="77777777" w:rsidR="00DD3EFA" w:rsidRPr="005A0E7C" w:rsidRDefault="00DD3EFA" w:rsidP="00B15ECB">
            <w:pPr>
              <w:rPr>
                <w:b/>
              </w:rPr>
            </w:pPr>
          </w:p>
        </w:tc>
      </w:tr>
      <w:tr w:rsidR="00DD3EFA" w:rsidRPr="005A0E7C" w14:paraId="501C1A49" w14:textId="77777777" w:rsidTr="00B15ECB">
        <w:trPr>
          <w:trHeight w:val="1274"/>
        </w:trPr>
        <w:tc>
          <w:tcPr>
            <w:tcW w:w="249" w:type="dxa"/>
            <w:tcBorders>
              <w:top w:val="nil"/>
              <w:bottom w:val="nil"/>
            </w:tcBorders>
            <w:shd w:val="clear" w:color="auto" w:fill="66CCFF"/>
          </w:tcPr>
          <w:p w14:paraId="040A1D3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3101AF5"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6BE6D728" w14:textId="77777777" w:rsidR="00DD3EFA" w:rsidRPr="005A0E7C" w:rsidRDefault="00DD3EFA" w:rsidP="00B15ECB">
            <w:pPr>
              <w:spacing w:before="60" w:after="60"/>
              <w:rPr>
                <w:rFonts w:eastAsiaTheme="majorEastAsia"/>
              </w:rPr>
            </w:pPr>
            <w:r w:rsidRPr="005A0E7C">
              <w:rPr>
                <w:rFonts w:eastAsiaTheme="majorEastAsia"/>
              </w:rPr>
              <w:t>Navržená podoblast dosud nebyla financována z ESI fondů.</w:t>
            </w:r>
          </w:p>
        </w:tc>
        <w:tc>
          <w:tcPr>
            <w:tcW w:w="249" w:type="dxa"/>
            <w:tcBorders>
              <w:top w:val="nil"/>
              <w:bottom w:val="nil"/>
            </w:tcBorders>
            <w:shd w:val="clear" w:color="auto" w:fill="66CCFF"/>
          </w:tcPr>
          <w:p w14:paraId="11D9158A" w14:textId="77777777" w:rsidR="00DD3EFA" w:rsidRPr="005A0E7C" w:rsidRDefault="00DD3EFA" w:rsidP="00B15ECB">
            <w:pPr>
              <w:rPr>
                <w:b/>
              </w:rPr>
            </w:pPr>
          </w:p>
        </w:tc>
      </w:tr>
      <w:tr w:rsidR="00DD3EFA" w:rsidRPr="005A0E7C" w14:paraId="597785DC" w14:textId="77777777" w:rsidTr="00B15ECB">
        <w:trPr>
          <w:trHeight w:val="272"/>
        </w:trPr>
        <w:tc>
          <w:tcPr>
            <w:tcW w:w="249" w:type="dxa"/>
            <w:tcBorders>
              <w:top w:val="nil"/>
              <w:bottom w:val="nil"/>
              <w:right w:val="nil"/>
            </w:tcBorders>
            <w:shd w:val="clear" w:color="auto" w:fill="66CCFF"/>
          </w:tcPr>
          <w:p w14:paraId="6129437A"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70E7AD0"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18A28B8"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3C490CA9" w14:textId="77777777" w:rsidR="00DD3EFA" w:rsidRPr="005A0E7C" w:rsidRDefault="00DD3EFA" w:rsidP="00B15ECB">
            <w:pPr>
              <w:rPr>
                <w:b/>
              </w:rPr>
            </w:pPr>
          </w:p>
        </w:tc>
      </w:tr>
      <w:tr w:rsidR="00DD3EFA" w:rsidRPr="005A0E7C" w14:paraId="542A1F72" w14:textId="77777777" w:rsidTr="00B15ECB">
        <w:trPr>
          <w:trHeight w:val="835"/>
        </w:trPr>
        <w:tc>
          <w:tcPr>
            <w:tcW w:w="249" w:type="dxa"/>
            <w:tcBorders>
              <w:top w:val="nil"/>
              <w:bottom w:val="nil"/>
            </w:tcBorders>
            <w:shd w:val="clear" w:color="auto" w:fill="66CCFF"/>
          </w:tcPr>
          <w:p w14:paraId="59573A4A"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263FBE8"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50C3B0A6"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7E5CA114" w14:textId="77777777" w:rsidR="00DD3EFA" w:rsidRPr="005A0E7C" w:rsidRDefault="00DD3EFA" w:rsidP="00391907">
            <w:pPr>
              <w:pStyle w:val="Odstavecseseznamem"/>
              <w:numPr>
                <w:ilvl w:val="0"/>
                <w:numId w:val="19"/>
              </w:numPr>
              <w:spacing w:before="60" w:after="60"/>
              <w:rPr>
                <w:rFonts w:eastAsiaTheme="majorEastAsia"/>
              </w:rPr>
            </w:pPr>
            <w:r w:rsidRPr="005A0E7C">
              <w:rPr>
                <w:rFonts w:eastAsiaTheme="majorEastAsia"/>
              </w:rPr>
              <w:t>Adaptace</w:t>
            </w:r>
          </w:p>
          <w:p w14:paraId="429C65C4" w14:textId="77777777" w:rsidR="00DD3EFA" w:rsidRPr="005A0E7C" w:rsidRDefault="00DD3EFA" w:rsidP="00391907">
            <w:pPr>
              <w:pStyle w:val="Odstavecseseznamem"/>
              <w:numPr>
                <w:ilvl w:val="1"/>
                <w:numId w:val="19"/>
              </w:numPr>
              <w:spacing w:before="60" w:after="60"/>
              <w:rPr>
                <w:rFonts w:eastAsiaTheme="majorEastAsia"/>
              </w:rPr>
            </w:pPr>
            <w:r w:rsidRPr="005A0E7C">
              <w:rPr>
                <w:rFonts w:eastAsiaTheme="majorEastAsia"/>
              </w:rPr>
              <w:t>Adaptace pracovní síly</w:t>
            </w:r>
          </w:p>
          <w:p w14:paraId="04F8E075" w14:textId="77777777" w:rsidR="00DD3EFA" w:rsidRPr="005A0E7C" w:rsidRDefault="00DD3EFA" w:rsidP="00391907">
            <w:pPr>
              <w:pStyle w:val="Odstavecseseznamem"/>
              <w:numPr>
                <w:ilvl w:val="1"/>
                <w:numId w:val="19"/>
              </w:numPr>
              <w:spacing w:before="60" w:after="60"/>
              <w:rPr>
                <w:rFonts w:eastAsiaTheme="majorEastAsia"/>
              </w:rPr>
            </w:pPr>
            <w:r w:rsidRPr="005A0E7C">
              <w:rPr>
                <w:rFonts w:eastAsiaTheme="majorEastAsia"/>
              </w:rPr>
              <w:t>Adaptace zaměstnavatelů</w:t>
            </w:r>
          </w:p>
          <w:p w14:paraId="5AC78A38" w14:textId="77777777" w:rsidR="00DD3EFA" w:rsidRPr="005A0E7C" w:rsidRDefault="00DD3EFA" w:rsidP="00391907">
            <w:pPr>
              <w:pStyle w:val="Odstavecseseznamem"/>
              <w:numPr>
                <w:ilvl w:val="1"/>
                <w:numId w:val="19"/>
              </w:numPr>
              <w:spacing w:before="60" w:after="60"/>
              <w:rPr>
                <w:rFonts w:eastAsiaTheme="majorEastAsia"/>
              </w:rPr>
            </w:pPr>
            <w:r w:rsidRPr="005A0E7C">
              <w:rPr>
                <w:rFonts w:eastAsiaTheme="majorEastAsia"/>
              </w:rPr>
              <w:t>Adaptace prostředí</w:t>
            </w:r>
          </w:p>
          <w:p w14:paraId="340E7C82"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ACB4BDD" w14:textId="77777777" w:rsidR="00DD3EFA" w:rsidRPr="005A0E7C" w:rsidRDefault="00DD3EFA" w:rsidP="00B15ECB">
            <w:pPr>
              <w:rPr>
                <w:b/>
              </w:rPr>
            </w:pPr>
          </w:p>
        </w:tc>
      </w:tr>
      <w:tr w:rsidR="00DD3EFA" w:rsidRPr="005A0E7C" w14:paraId="70B85115" w14:textId="77777777" w:rsidTr="00B15ECB">
        <w:trPr>
          <w:trHeight w:val="377"/>
        </w:trPr>
        <w:tc>
          <w:tcPr>
            <w:tcW w:w="249" w:type="dxa"/>
            <w:tcBorders>
              <w:top w:val="nil"/>
              <w:bottom w:val="nil"/>
              <w:right w:val="nil"/>
            </w:tcBorders>
            <w:shd w:val="clear" w:color="auto" w:fill="66CCFF"/>
          </w:tcPr>
          <w:p w14:paraId="6F054129"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7A1BF8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33E4F3A"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18723718" w14:textId="77777777" w:rsidR="00DD3EFA" w:rsidRPr="005A0E7C" w:rsidRDefault="00DD3EFA" w:rsidP="00B15ECB">
            <w:pPr>
              <w:rPr>
                <w:b/>
              </w:rPr>
            </w:pPr>
          </w:p>
        </w:tc>
      </w:tr>
      <w:tr w:rsidR="00DD3EFA" w:rsidRPr="005A0E7C" w14:paraId="7D8DB659" w14:textId="77777777" w:rsidTr="00B15ECB">
        <w:trPr>
          <w:trHeight w:val="1202"/>
        </w:trPr>
        <w:tc>
          <w:tcPr>
            <w:tcW w:w="249" w:type="dxa"/>
            <w:tcBorders>
              <w:top w:val="nil"/>
              <w:bottom w:val="nil"/>
            </w:tcBorders>
            <w:shd w:val="clear" w:color="auto" w:fill="66CCFF"/>
          </w:tcPr>
          <w:p w14:paraId="6A0B89C3"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57B0F6D9"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3AFACA15"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42276D02" w14:textId="77777777" w:rsidR="00DD3EFA" w:rsidRPr="005A0E7C" w:rsidRDefault="00DD3EFA" w:rsidP="00B15ECB">
            <w:pPr>
              <w:rPr>
                <w:b/>
              </w:rPr>
            </w:pPr>
          </w:p>
        </w:tc>
      </w:tr>
      <w:tr w:rsidR="00DD3EFA" w:rsidRPr="005A0E7C" w14:paraId="104E11C8" w14:textId="77777777" w:rsidTr="00B15ECB">
        <w:trPr>
          <w:trHeight w:val="1202"/>
        </w:trPr>
        <w:tc>
          <w:tcPr>
            <w:tcW w:w="249" w:type="dxa"/>
            <w:tcBorders>
              <w:top w:val="nil"/>
              <w:bottom w:val="nil"/>
            </w:tcBorders>
            <w:shd w:val="clear" w:color="auto" w:fill="66CCFF"/>
          </w:tcPr>
          <w:p w14:paraId="40995F4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6E8223E"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2276985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ABFFA95" w14:textId="77777777" w:rsidR="00DD3EFA" w:rsidRPr="005A0E7C" w:rsidRDefault="00DD3EFA" w:rsidP="00B15ECB">
            <w:pPr>
              <w:spacing w:before="60" w:after="60"/>
              <w:rPr>
                <w:rFonts w:eastAsiaTheme="majorEastAsia"/>
                <w:i/>
              </w:rPr>
            </w:pPr>
            <w:r w:rsidRPr="005A0E7C">
              <w:t>K masivnějšímu odlivu pracovní síly (nikoliv však kvalifikované) dochází v příhraničních regionech s Německem a Rakouskem. Při hranicích se SRN k větší mobilitě dochází v Plzeňském, Jihočeském a Karlovarském kraji (především Chebsko, méně Sokolovsko) než v kraji Ústeckém. Typickým jevem je tzv. „pendlerství“, kdy zaměstnanec bydlí v ČR a dojíždí každý den do práce do příhraničních oblastí. Pokud jde o kvalifikovanou pracovní sílu, lze říci, že strukturálně postižené regiony jsou ohroženy odlivem kvalifikované síly nejen do zahraničí, ale i do ekonomicky vyspělejších regionů ČR.</w:t>
            </w:r>
          </w:p>
        </w:tc>
        <w:tc>
          <w:tcPr>
            <w:tcW w:w="249" w:type="dxa"/>
            <w:tcBorders>
              <w:top w:val="nil"/>
              <w:bottom w:val="nil"/>
            </w:tcBorders>
            <w:shd w:val="clear" w:color="auto" w:fill="66CCFF"/>
          </w:tcPr>
          <w:p w14:paraId="71FCF4F3" w14:textId="77777777" w:rsidR="00DD3EFA" w:rsidRPr="005A0E7C" w:rsidRDefault="00DD3EFA" w:rsidP="00B15ECB">
            <w:pPr>
              <w:rPr>
                <w:b/>
              </w:rPr>
            </w:pPr>
          </w:p>
        </w:tc>
      </w:tr>
      <w:tr w:rsidR="00DD3EFA" w:rsidRPr="005A0E7C" w14:paraId="175B15DA" w14:textId="77777777" w:rsidTr="00B15ECB">
        <w:trPr>
          <w:trHeight w:val="1202"/>
        </w:trPr>
        <w:tc>
          <w:tcPr>
            <w:tcW w:w="249" w:type="dxa"/>
            <w:tcBorders>
              <w:top w:val="nil"/>
              <w:bottom w:val="nil"/>
            </w:tcBorders>
            <w:shd w:val="clear" w:color="auto" w:fill="66CCFF"/>
          </w:tcPr>
          <w:p w14:paraId="1E0CD0B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CB0CD81"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55C8CED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3B2F2A2"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5312E7FF" w14:textId="77777777" w:rsidR="00DD3EFA" w:rsidRPr="005A0E7C" w:rsidRDefault="00DD3EFA" w:rsidP="00B15ECB">
            <w:pPr>
              <w:rPr>
                <w:b/>
              </w:rPr>
            </w:pPr>
          </w:p>
        </w:tc>
      </w:tr>
      <w:tr w:rsidR="00DD3EFA" w:rsidRPr="005A0E7C" w14:paraId="7AF2ED86" w14:textId="77777777" w:rsidTr="00B15ECB">
        <w:trPr>
          <w:trHeight w:val="1202"/>
        </w:trPr>
        <w:tc>
          <w:tcPr>
            <w:tcW w:w="249" w:type="dxa"/>
            <w:tcBorders>
              <w:top w:val="nil"/>
              <w:bottom w:val="nil"/>
            </w:tcBorders>
            <w:shd w:val="clear" w:color="auto" w:fill="66CCFF"/>
          </w:tcPr>
          <w:p w14:paraId="1C621B7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AC4AB2C"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65E7BC5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631D531" w14:textId="77777777" w:rsidR="00DD3EFA" w:rsidRPr="005A0E7C" w:rsidRDefault="00DD3EFA" w:rsidP="00B15ECB">
            <w:pPr>
              <w:spacing w:before="60" w:after="60"/>
              <w:rPr>
                <w:rFonts w:eastAsiaTheme="majorEastAsia"/>
                <w:i/>
              </w:rPr>
            </w:pPr>
            <w:r w:rsidRPr="005A0E7C">
              <w:rPr>
                <w:rFonts w:eastAsiaTheme="majorEastAsia"/>
              </w:rPr>
              <w:t>Dopady 4. průmyslové revoluce na trh práce se mimo jiné očekávají i v podobě významné proměny kvalifikací. Tato změna může vyvolat, zejména v případě jejího rychlého nástupu, nedostatek vhodné domácí pracovní síly v potřebných profesích, zejména v oblastech high-tech technologií, IT, robotiky, umělé inteligence apod.</w:t>
            </w:r>
          </w:p>
        </w:tc>
        <w:tc>
          <w:tcPr>
            <w:tcW w:w="249" w:type="dxa"/>
            <w:tcBorders>
              <w:top w:val="nil"/>
              <w:bottom w:val="nil"/>
            </w:tcBorders>
            <w:shd w:val="clear" w:color="auto" w:fill="66CCFF"/>
          </w:tcPr>
          <w:p w14:paraId="40CC5C04" w14:textId="77777777" w:rsidR="00DD3EFA" w:rsidRPr="005A0E7C" w:rsidRDefault="00DD3EFA" w:rsidP="00B15ECB">
            <w:pPr>
              <w:rPr>
                <w:b/>
              </w:rPr>
            </w:pPr>
          </w:p>
        </w:tc>
      </w:tr>
      <w:tr w:rsidR="00DD3EFA" w:rsidRPr="005A0E7C" w14:paraId="52857DFE" w14:textId="77777777" w:rsidTr="00B15ECB">
        <w:trPr>
          <w:trHeight w:val="1202"/>
        </w:trPr>
        <w:tc>
          <w:tcPr>
            <w:tcW w:w="249" w:type="dxa"/>
            <w:tcBorders>
              <w:top w:val="nil"/>
              <w:bottom w:val="nil"/>
            </w:tcBorders>
            <w:shd w:val="clear" w:color="auto" w:fill="66CCFF"/>
          </w:tcPr>
          <w:p w14:paraId="548F395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597D4FD"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7CD2B69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AB3A00A"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Demografické stárnutí</w:t>
            </w:r>
          </w:p>
          <w:p w14:paraId="180F69BD"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Zvyšující se rychlost technologické změny</w:t>
            </w:r>
          </w:p>
          <w:p w14:paraId="225843CA"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Virtualizace světa</w:t>
            </w:r>
          </w:p>
          <w:p w14:paraId="2F2D64D7"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Rostoucí mobilita</w:t>
            </w:r>
          </w:p>
        </w:tc>
        <w:tc>
          <w:tcPr>
            <w:tcW w:w="249" w:type="dxa"/>
            <w:tcBorders>
              <w:top w:val="nil"/>
              <w:bottom w:val="nil"/>
            </w:tcBorders>
            <w:shd w:val="clear" w:color="auto" w:fill="66CCFF"/>
          </w:tcPr>
          <w:p w14:paraId="7B825861" w14:textId="77777777" w:rsidR="00DD3EFA" w:rsidRPr="005A0E7C" w:rsidRDefault="00DD3EFA" w:rsidP="00B15ECB">
            <w:pPr>
              <w:rPr>
                <w:b/>
              </w:rPr>
            </w:pPr>
          </w:p>
        </w:tc>
      </w:tr>
      <w:tr w:rsidR="00DD3EFA" w:rsidRPr="005A0E7C" w14:paraId="2199585F" w14:textId="77777777" w:rsidTr="00B15ECB">
        <w:trPr>
          <w:trHeight w:val="1202"/>
        </w:trPr>
        <w:tc>
          <w:tcPr>
            <w:tcW w:w="249" w:type="dxa"/>
            <w:tcBorders>
              <w:top w:val="nil"/>
              <w:bottom w:val="nil"/>
            </w:tcBorders>
            <w:shd w:val="clear" w:color="auto" w:fill="66CCFF"/>
          </w:tcPr>
          <w:p w14:paraId="663F63B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8E27480"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129C0B60" w14:textId="77777777" w:rsidR="00DD3EFA" w:rsidRPr="005A0E7C" w:rsidRDefault="00DD3EFA" w:rsidP="00B15ECB">
            <w:pPr>
              <w:spacing w:before="60" w:after="60"/>
            </w:pPr>
            <w:r w:rsidRPr="005A0E7C">
              <w:t>Cíl politiky 4 Sociálnější Evropa – provádění evropského pilíře sociálních práv</w:t>
            </w:r>
          </w:p>
          <w:p w14:paraId="076D102F" w14:textId="77777777" w:rsidR="00DD3EFA" w:rsidRPr="005A0E7C" w:rsidRDefault="00DD3EFA" w:rsidP="00B15ECB">
            <w:pPr>
              <w:spacing w:before="60" w:after="60"/>
            </w:pPr>
            <w:r w:rsidRPr="005A0E7C">
              <w:t xml:space="preserve">Specifický cíl ESF+: částečně ii) modernizovat instituce a služby trhu práce s cílem posoudit a předvídat potřeby dovedností a zajistit včasnou, individuálně uzpůsobenou pomoc i podporu při vytváření souladu mezi nabídkou a poptávkou na trhu práce, jakož i během přechodů mezi zaměstnáními a během mobility; - pro danou oblast není přímo relevantní žádný specifický cíl </w:t>
            </w:r>
          </w:p>
          <w:p w14:paraId="7E12984A" w14:textId="77777777" w:rsidR="00DD3EFA" w:rsidRPr="005A0E7C" w:rsidRDefault="00DD3EFA" w:rsidP="00B15ECB">
            <w:pPr>
              <w:spacing w:before="60" w:after="60"/>
              <w:rPr>
                <w:rFonts w:eastAsiaTheme="majorEastAsia"/>
                <w:i/>
              </w:rPr>
            </w:pPr>
            <w:r w:rsidRPr="005A0E7C">
              <w:t>(pozn. znění cílů dle návrhů nařízení ze strany EK)</w:t>
            </w:r>
          </w:p>
        </w:tc>
        <w:tc>
          <w:tcPr>
            <w:tcW w:w="249" w:type="dxa"/>
            <w:tcBorders>
              <w:top w:val="nil"/>
              <w:bottom w:val="nil"/>
            </w:tcBorders>
            <w:shd w:val="clear" w:color="auto" w:fill="66CCFF"/>
          </w:tcPr>
          <w:p w14:paraId="2A693815" w14:textId="77777777" w:rsidR="00DD3EFA" w:rsidRPr="005A0E7C" w:rsidRDefault="00DD3EFA" w:rsidP="00B15ECB">
            <w:pPr>
              <w:rPr>
                <w:b/>
              </w:rPr>
            </w:pPr>
          </w:p>
        </w:tc>
      </w:tr>
      <w:tr w:rsidR="00DD3EFA" w:rsidRPr="005A0E7C" w14:paraId="64E931F9" w14:textId="77777777" w:rsidTr="00B15ECB">
        <w:trPr>
          <w:trHeight w:val="1202"/>
        </w:trPr>
        <w:tc>
          <w:tcPr>
            <w:tcW w:w="249" w:type="dxa"/>
            <w:tcBorders>
              <w:top w:val="nil"/>
              <w:bottom w:val="nil"/>
            </w:tcBorders>
            <w:shd w:val="clear" w:color="auto" w:fill="66CCFF"/>
          </w:tcPr>
          <w:p w14:paraId="12DFE6B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2A2C8C8"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29FD7361" w14:textId="77777777" w:rsidR="00DD3EFA" w:rsidRPr="005A0E7C" w:rsidRDefault="00DD3EFA" w:rsidP="00B15ECB">
            <w:pPr>
              <w:spacing w:before="60" w:after="60"/>
              <w:rPr>
                <w:rFonts w:eastAsiaTheme="majorEastAsia"/>
              </w:rPr>
            </w:pPr>
            <w:r w:rsidRPr="005A0E7C">
              <w:rPr>
                <w:rFonts w:eastAsiaTheme="majorEastAsia"/>
              </w:rPr>
              <w:t xml:space="preserve">V rámci SDR 2018 není obsaženo doporučení pro tuto oblast. </w:t>
            </w:r>
          </w:p>
        </w:tc>
        <w:tc>
          <w:tcPr>
            <w:tcW w:w="249" w:type="dxa"/>
            <w:tcBorders>
              <w:top w:val="nil"/>
              <w:bottom w:val="nil"/>
            </w:tcBorders>
            <w:shd w:val="clear" w:color="auto" w:fill="66CCFF"/>
          </w:tcPr>
          <w:p w14:paraId="7B401817" w14:textId="77777777" w:rsidR="00DD3EFA" w:rsidRPr="005A0E7C" w:rsidRDefault="00DD3EFA" w:rsidP="00B15ECB">
            <w:pPr>
              <w:rPr>
                <w:b/>
              </w:rPr>
            </w:pPr>
          </w:p>
        </w:tc>
      </w:tr>
      <w:tr w:rsidR="00DD3EFA" w:rsidRPr="005A0E7C" w14:paraId="4D78EDDE" w14:textId="77777777" w:rsidTr="00B15ECB">
        <w:trPr>
          <w:trHeight w:val="180"/>
        </w:trPr>
        <w:tc>
          <w:tcPr>
            <w:tcW w:w="249" w:type="dxa"/>
            <w:tcBorders>
              <w:top w:val="nil"/>
              <w:bottom w:val="nil"/>
              <w:right w:val="nil"/>
            </w:tcBorders>
            <w:shd w:val="clear" w:color="auto" w:fill="66CCFF"/>
          </w:tcPr>
          <w:p w14:paraId="612F14F7" w14:textId="77777777" w:rsidR="00DD3EFA" w:rsidRPr="005A0E7C" w:rsidRDefault="00DD3EFA" w:rsidP="00B15ECB">
            <w:pPr>
              <w:rPr>
                <w:b/>
              </w:rPr>
            </w:pPr>
          </w:p>
        </w:tc>
        <w:tc>
          <w:tcPr>
            <w:tcW w:w="2548" w:type="dxa"/>
            <w:tcBorders>
              <w:left w:val="nil"/>
              <w:right w:val="nil"/>
            </w:tcBorders>
            <w:shd w:val="clear" w:color="auto" w:fill="66CCFF"/>
          </w:tcPr>
          <w:p w14:paraId="66443D11" w14:textId="77777777" w:rsidR="00DD3EFA" w:rsidRPr="005A0E7C" w:rsidRDefault="00DD3EFA" w:rsidP="00B15ECB">
            <w:pPr>
              <w:rPr>
                <w:b/>
              </w:rPr>
            </w:pPr>
          </w:p>
        </w:tc>
        <w:tc>
          <w:tcPr>
            <w:tcW w:w="5978" w:type="dxa"/>
            <w:tcBorders>
              <w:left w:val="nil"/>
              <w:right w:val="nil"/>
            </w:tcBorders>
            <w:shd w:val="clear" w:color="auto" w:fill="66CCFF"/>
          </w:tcPr>
          <w:p w14:paraId="62E7A03F" w14:textId="77777777" w:rsidR="00DD3EFA" w:rsidRPr="005A0E7C" w:rsidRDefault="00DD3EFA" w:rsidP="00B15ECB">
            <w:pPr>
              <w:rPr>
                <w:b/>
              </w:rPr>
            </w:pPr>
          </w:p>
        </w:tc>
        <w:tc>
          <w:tcPr>
            <w:tcW w:w="249" w:type="dxa"/>
            <w:tcBorders>
              <w:top w:val="nil"/>
              <w:left w:val="nil"/>
              <w:bottom w:val="nil"/>
            </w:tcBorders>
            <w:shd w:val="clear" w:color="auto" w:fill="66CCFF"/>
          </w:tcPr>
          <w:p w14:paraId="6AFB8061" w14:textId="77777777" w:rsidR="00DD3EFA" w:rsidRPr="005A0E7C" w:rsidRDefault="00DD3EFA" w:rsidP="00B15ECB">
            <w:pPr>
              <w:rPr>
                <w:b/>
              </w:rPr>
            </w:pPr>
          </w:p>
        </w:tc>
      </w:tr>
      <w:tr w:rsidR="00DD3EFA" w:rsidRPr="005A0E7C" w14:paraId="03EF63D1" w14:textId="77777777" w:rsidTr="00B15ECB">
        <w:trPr>
          <w:trHeight w:val="938"/>
        </w:trPr>
        <w:tc>
          <w:tcPr>
            <w:tcW w:w="249" w:type="dxa"/>
            <w:tcBorders>
              <w:top w:val="nil"/>
              <w:bottom w:val="nil"/>
            </w:tcBorders>
            <w:shd w:val="clear" w:color="auto" w:fill="66CCFF"/>
          </w:tcPr>
          <w:p w14:paraId="334A356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0EF0BB4"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2DA0D215"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0DA8335E" w14:textId="77777777" w:rsidR="00DD3EFA" w:rsidRPr="005A0E7C" w:rsidRDefault="00DD3EFA" w:rsidP="00B15ECB">
            <w:pPr>
              <w:pStyle w:val="slovanodstavec"/>
              <w:tabs>
                <w:tab w:val="clear" w:pos="567"/>
                <w:tab w:val="left" w:pos="284"/>
              </w:tabs>
              <w:suppressAutoHyphens/>
              <w:spacing w:after="16" w:line="240" w:lineRule="auto"/>
              <w:rPr>
                <w:rFonts w:ascii="Times New Roman" w:hAnsi="Times New Roman"/>
              </w:rPr>
            </w:pPr>
            <w:r w:rsidRPr="005A0E7C">
              <w:rPr>
                <w:rFonts w:ascii="Times New Roman" w:hAnsi="Times New Roman"/>
              </w:rPr>
              <w:t>Strategie politiky zaměstnanosti do roku 2020 (2015)</w:t>
            </w:r>
          </w:p>
          <w:p w14:paraId="08C7586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Strategický rámec Česká republika 2030</w:t>
            </w:r>
          </w:p>
          <w:p w14:paraId="6297CE5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b/>
              </w:rPr>
              <w:t>Strategický rámec politiky zaměstnanosti do roku 2030 (v přípravě)</w:t>
            </w:r>
          </w:p>
        </w:tc>
        <w:tc>
          <w:tcPr>
            <w:tcW w:w="249" w:type="dxa"/>
            <w:tcBorders>
              <w:top w:val="nil"/>
              <w:bottom w:val="nil"/>
            </w:tcBorders>
            <w:shd w:val="clear" w:color="auto" w:fill="66CCFF"/>
          </w:tcPr>
          <w:p w14:paraId="74D3FF20" w14:textId="77777777" w:rsidR="00DD3EFA" w:rsidRPr="005A0E7C" w:rsidRDefault="00DD3EFA" w:rsidP="00B15ECB">
            <w:pPr>
              <w:rPr>
                <w:b/>
              </w:rPr>
            </w:pPr>
          </w:p>
        </w:tc>
      </w:tr>
      <w:tr w:rsidR="00DD3EFA" w:rsidRPr="005A0E7C" w14:paraId="53C77C2D" w14:textId="77777777" w:rsidTr="00B15ECB">
        <w:trPr>
          <w:trHeight w:val="938"/>
        </w:trPr>
        <w:tc>
          <w:tcPr>
            <w:tcW w:w="249" w:type="dxa"/>
            <w:tcBorders>
              <w:top w:val="nil"/>
              <w:bottom w:val="nil"/>
            </w:tcBorders>
            <w:shd w:val="clear" w:color="auto" w:fill="66CCFF"/>
          </w:tcPr>
          <w:p w14:paraId="11D4FFB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3624767"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5C59F7E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2896A8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6CC8D40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obsahuje část analyzující vývoj trhu práce v posledních deseti letech, a to s ohledem na nutnost popsat vývoj trhu práce v průběhu celého střednědobého hospodářského cyklu a identifikovat tak dlouhodobější trendy vývoje a proměny trhu práce. Zároveň obsahuje část „východiska“ stojící na pomezí strategické a analytické části, vycházející z již provedených analýz a predikcí očekávaného vývoje trhu práce, zejména ve vazbě na dopady 4. průmyslové revoluce.</w:t>
            </w:r>
          </w:p>
        </w:tc>
        <w:tc>
          <w:tcPr>
            <w:tcW w:w="249" w:type="dxa"/>
            <w:tcBorders>
              <w:top w:val="nil"/>
              <w:bottom w:val="nil"/>
            </w:tcBorders>
            <w:shd w:val="clear" w:color="auto" w:fill="66CCFF"/>
          </w:tcPr>
          <w:p w14:paraId="6F7AC43E" w14:textId="77777777" w:rsidR="00DD3EFA" w:rsidRPr="005A0E7C" w:rsidRDefault="00DD3EFA" w:rsidP="00B15ECB">
            <w:pPr>
              <w:rPr>
                <w:b/>
              </w:rPr>
            </w:pPr>
          </w:p>
        </w:tc>
      </w:tr>
      <w:tr w:rsidR="00DD3EFA" w:rsidRPr="005A0E7C" w14:paraId="64FB7B86" w14:textId="77777777" w:rsidTr="00B15ECB">
        <w:trPr>
          <w:trHeight w:val="938"/>
        </w:trPr>
        <w:tc>
          <w:tcPr>
            <w:tcW w:w="249" w:type="dxa"/>
            <w:tcBorders>
              <w:top w:val="nil"/>
              <w:bottom w:val="nil"/>
            </w:tcBorders>
            <w:shd w:val="clear" w:color="auto" w:fill="66CCFF"/>
          </w:tcPr>
          <w:p w14:paraId="26F3BBB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F752E8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7D85C83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05F504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3397B3B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je strategickým rámcem s platností na celé období 20. let 21. století. Cíle a opatření jsou proto definována rámcově a budou pro kratší období 2 až tří let zpřesňována prostřednictvím akčních plánů.</w:t>
            </w:r>
          </w:p>
        </w:tc>
        <w:tc>
          <w:tcPr>
            <w:tcW w:w="249" w:type="dxa"/>
            <w:tcBorders>
              <w:top w:val="nil"/>
              <w:bottom w:val="nil"/>
            </w:tcBorders>
            <w:shd w:val="clear" w:color="auto" w:fill="66CCFF"/>
          </w:tcPr>
          <w:p w14:paraId="5DD58FD3" w14:textId="77777777" w:rsidR="00DD3EFA" w:rsidRPr="005A0E7C" w:rsidRDefault="00DD3EFA" w:rsidP="00B15ECB">
            <w:pPr>
              <w:rPr>
                <w:b/>
              </w:rPr>
            </w:pPr>
          </w:p>
        </w:tc>
      </w:tr>
      <w:tr w:rsidR="00DD3EFA" w:rsidRPr="005A0E7C" w14:paraId="531CD82D" w14:textId="77777777" w:rsidTr="00B15ECB">
        <w:trPr>
          <w:trHeight w:val="938"/>
        </w:trPr>
        <w:tc>
          <w:tcPr>
            <w:tcW w:w="249" w:type="dxa"/>
            <w:tcBorders>
              <w:top w:val="nil"/>
              <w:bottom w:val="nil"/>
            </w:tcBorders>
            <w:shd w:val="clear" w:color="auto" w:fill="66CCFF"/>
          </w:tcPr>
          <w:p w14:paraId="1EBEB6C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5767D69"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7DB5D07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30ACB8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102EEEB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bude implementován prováděcími akčními plány s časovým horizontem dvou až tří let. Ty budou již obsahovat konkrétní opatření s určením gestora, finančních nákladů (bude-i možné vyčíslit) i termínem plnění. Akční plány budou připraveny na období po roce 2020, do roku 2020 jsou implementovány stávající strategické materiály.</w:t>
            </w:r>
          </w:p>
        </w:tc>
        <w:tc>
          <w:tcPr>
            <w:tcW w:w="249" w:type="dxa"/>
            <w:tcBorders>
              <w:top w:val="nil"/>
              <w:bottom w:val="nil"/>
            </w:tcBorders>
            <w:shd w:val="clear" w:color="auto" w:fill="66CCFF"/>
          </w:tcPr>
          <w:p w14:paraId="73886879" w14:textId="77777777" w:rsidR="00DD3EFA" w:rsidRPr="005A0E7C" w:rsidRDefault="00DD3EFA" w:rsidP="00B15ECB">
            <w:pPr>
              <w:rPr>
                <w:b/>
              </w:rPr>
            </w:pPr>
          </w:p>
        </w:tc>
      </w:tr>
      <w:tr w:rsidR="00DD3EFA" w:rsidRPr="005A0E7C" w14:paraId="00265417" w14:textId="77777777" w:rsidTr="00B15ECB">
        <w:trPr>
          <w:trHeight w:val="938"/>
        </w:trPr>
        <w:tc>
          <w:tcPr>
            <w:tcW w:w="249" w:type="dxa"/>
            <w:tcBorders>
              <w:top w:val="nil"/>
              <w:bottom w:val="nil"/>
            </w:tcBorders>
            <w:shd w:val="clear" w:color="auto" w:fill="66CCFF"/>
          </w:tcPr>
          <w:p w14:paraId="149E17A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FFF462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4F340FA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rPr>
              <w:t>Popis se týká</w:t>
            </w:r>
            <w:r w:rsidRPr="005A0E7C">
              <w:rPr>
                <w:rFonts w:ascii="Times New Roman" w:hAnsi="Times New Roman"/>
                <w:u w:val="single"/>
              </w:rPr>
              <w:t xml:space="preserve"> SR PZ 2030</w:t>
            </w:r>
          </w:p>
          <w:p w14:paraId="1B4860D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SR PZ 2030 bude pravidelně monitorován v rámci standardních mechanismů. MPSV pravidelně vypracovává s pololetní frekvencí Analýzu vývoje zaměstnanosti a nezaměstnanosti a pravidelně vydává veřejně dostupné statistiky, včetně časových řad, umožňující průběžné monitorování stavu trhu práce a tedy i naplňování cílů SR PZ 2030. Pravidelně budou vyhodnocovány konkrétní akční plány.</w:t>
            </w:r>
          </w:p>
        </w:tc>
        <w:tc>
          <w:tcPr>
            <w:tcW w:w="249" w:type="dxa"/>
            <w:tcBorders>
              <w:top w:val="nil"/>
              <w:bottom w:val="nil"/>
            </w:tcBorders>
            <w:shd w:val="clear" w:color="auto" w:fill="66CCFF"/>
          </w:tcPr>
          <w:p w14:paraId="42B6F6C9" w14:textId="77777777" w:rsidR="00DD3EFA" w:rsidRPr="005A0E7C" w:rsidRDefault="00DD3EFA" w:rsidP="00B15ECB">
            <w:pPr>
              <w:rPr>
                <w:b/>
              </w:rPr>
            </w:pPr>
          </w:p>
        </w:tc>
      </w:tr>
      <w:tr w:rsidR="00DD3EFA" w:rsidRPr="005A0E7C" w14:paraId="4C368E04" w14:textId="77777777" w:rsidTr="00B15ECB">
        <w:trPr>
          <w:trHeight w:val="130"/>
        </w:trPr>
        <w:tc>
          <w:tcPr>
            <w:tcW w:w="249" w:type="dxa"/>
            <w:tcBorders>
              <w:top w:val="nil"/>
              <w:bottom w:val="nil"/>
              <w:right w:val="nil"/>
            </w:tcBorders>
            <w:shd w:val="clear" w:color="auto" w:fill="66CCFF"/>
          </w:tcPr>
          <w:p w14:paraId="5974AC61" w14:textId="77777777" w:rsidR="00DD3EFA" w:rsidRPr="005A0E7C" w:rsidRDefault="00DD3EFA" w:rsidP="00B15ECB">
            <w:pPr>
              <w:rPr>
                <w:b/>
              </w:rPr>
            </w:pPr>
          </w:p>
        </w:tc>
        <w:tc>
          <w:tcPr>
            <w:tcW w:w="2548" w:type="dxa"/>
            <w:tcBorders>
              <w:left w:val="nil"/>
              <w:right w:val="nil"/>
            </w:tcBorders>
            <w:shd w:val="clear" w:color="auto" w:fill="66CCFF"/>
          </w:tcPr>
          <w:p w14:paraId="6C05DDA7" w14:textId="77777777" w:rsidR="00DD3EFA" w:rsidRPr="005A0E7C" w:rsidRDefault="00DD3EFA" w:rsidP="00B15ECB">
            <w:pPr>
              <w:rPr>
                <w:b/>
              </w:rPr>
            </w:pPr>
          </w:p>
        </w:tc>
        <w:tc>
          <w:tcPr>
            <w:tcW w:w="5978" w:type="dxa"/>
            <w:tcBorders>
              <w:left w:val="nil"/>
              <w:right w:val="nil"/>
            </w:tcBorders>
            <w:shd w:val="clear" w:color="auto" w:fill="66CCFF"/>
          </w:tcPr>
          <w:p w14:paraId="381544C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rPr>
            </w:pPr>
          </w:p>
        </w:tc>
        <w:tc>
          <w:tcPr>
            <w:tcW w:w="249" w:type="dxa"/>
            <w:tcBorders>
              <w:top w:val="nil"/>
              <w:left w:val="nil"/>
              <w:bottom w:val="nil"/>
            </w:tcBorders>
            <w:shd w:val="clear" w:color="auto" w:fill="66CCFF"/>
          </w:tcPr>
          <w:p w14:paraId="22FC82E7" w14:textId="77777777" w:rsidR="00DD3EFA" w:rsidRPr="005A0E7C" w:rsidRDefault="00DD3EFA" w:rsidP="00B15ECB">
            <w:pPr>
              <w:rPr>
                <w:b/>
              </w:rPr>
            </w:pPr>
          </w:p>
        </w:tc>
      </w:tr>
      <w:tr w:rsidR="00DD3EFA" w:rsidRPr="005A0E7C" w14:paraId="43DD331B" w14:textId="77777777" w:rsidTr="00B15ECB">
        <w:trPr>
          <w:trHeight w:val="1258"/>
        </w:trPr>
        <w:tc>
          <w:tcPr>
            <w:tcW w:w="249" w:type="dxa"/>
            <w:tcBorders>
              <w:top w:val="nil"/>
              <w:bottom w:val="nil"/>
              <w:right w:val="nil"/>
            </w:tcBorders>
            <w:shd w:val="clear" w:color="auto" w:fill="66CCFF"/>
          </w:tcPr>
          <w:p w14:paraId="63F30ED6" w14:textId="77777777" w:rsidR="00DD3EFA" w:rsidRPr="005A0E7C" w:rsidRDefault="00DD3EFA" w:rsidP="00B15ECB">
            <w:pPr>
              <w:rPr>
                <w:b/>
              </w:rPr>
            </w:pPr>
          </w:p>
        </w:tc>
        <w:tc>
          <w:tcPr>
            <w:tcW w:w="8526" w:type="dxa"/>
            <w:gridSpan w:val="2"/>
            <w:shd w:val="clear" w:color="auto" w:fill="FFFFFF" w:themeFill="background1"/>
          </w:tcPr>
          <w:p w14:paraId="7E8D0A58"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p w14:paraId="03D2D3A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4A0F3125" w14:textId="77777777" w:rsidR="00DD3EFA" w:rsidRPr="005A0E7C" w:rsidRDefault="00DD3EFA" w:rsidP="00B15ECB">
            <w:pPr>
              <w:rPr>
                <w:b/>
              </w:rPr>
            </w:pPr>
          </w:p>
        </w:tc>
      </w:tr>
      <w:tr w:rsidR="00DD3EFA" w:rsidRPr="005A0E7C" w14:paraId="4E9972CB" w14:textId="77777777" w:rsidTr="00B15ECB">
        <w:trPr>
          <w:trHeight w:val="1258"/>
        </w:trPr>
        <w:tc>
          <w:tcPr>
            <w:tcW w:w="249" w:type="dxa"/>
            <w:tcBorders>
              <w:top w:val="nil"/>
              <w:bottom w:val="nil"/>
              <w:right w:val="nil"/>
            </w:tcBorders>
            <w:shd w:val="clear" w:color="auto" w:fill="66CCFF"/>
          </w:tcPr>
          <w:p w14:paraId="17FE6469" w14:textId="77777777" w:rsidR="00DD3EFA" w:rsidRPr="005A0E7C" w:rsidRDefault="00DD3EFA" w:rsidP="00B15ECB">
            <w:pPr>
              <w:rPr>
                <w:b/>
              </w:rPr>
            </w:pPr>
          </w:p>
        </w:tc>
        <w:tc>
          <w:tcPr>
            <w:tcW w:w="2548" w:type="dxa"/>
            <w:shd w:val="clear" w:color="auto" w:fill="FFFFFF" w:themeFill="background1"/>
          </w:tcPr>
          <w:p w14:paraId="155EBC35" w14:textId="77777777" w:rsidR="00DD3EFA" w:rsidRPr="005A0E7C" w:rsidRDefault="00DD3EFA" w:rsidP="00B15ECB">
            <w:pPr>
              <w:rPr>
                <w:rFonts w:eastAsiaTheme="majorEastAsia"/>
                <w:b/>
              </w:rPr>
            </w:pPr>
            <w:r w:rsidRPr="005A0E7C">
              <w:rPr>
                <w:rFonts w:eastAsiaTheme="majorEastAsia"/>
                <w:b/>
              </w:rPr>
              <w:t>Věcný posun oblasti</w:t>
            </w:r>
          </w:p>
          <w:p w14:paraId="6E66E93C"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7D0E9489" w14:textId="77777777" w:rsidR="00DD3EFA" w:rsidRPr="005A0E7C" w:rsidRDefault="00DD3EFA" w:rsidP="00B15ECB">
            <w:pPr>
              <w:spacing w:before="60" w:after="60"/>
              <w:rPr>
                <w:i/>
              </w:rPr>
            </w:pPr>
            <w:r w:rsidRPr="005A0E7C">
              <w:t xml:space="preserve">Výstupy z evaluací intervencí podporovaných v operačních programech v gesci MPSV v obdobích 2014-2020, 2007-2013 a 2004-2006 jsou k dispozici na odkaze: </w:t>
            </w:r>
            <w:hyperlink r:id="rId18" w:history="1">
              <w:r w:rsidRPr="005A0E7C">
                <w:rPr>
                  <w:rStyle w:val="Hypertextovodkaz"/>
                </w:rPr>
                <w:t>https://www.esfcr.cz/evaluace</w:t>
              </w:r>
            </w:hyperlink>
            <w:r w:rsidRPr="005A0E7C">
              <w:t xml:space="preserve">. Tato oblast však dosud z ESF nebyla specificky podporována. </w:t>
            </w:r>
          </w:p>
        </w:tc>
        <w:tc>
          <w:tcPr>
            <w:tcW w:w="249" w:type="dxa"/>
            <w:tcBorders>
              <w:top w:val="nil"/>
              <w:left w:val="nil"/>
              <w:bottom w:val="nil"/>
            </w:tcBorders>
            <w:shd w:val="clear" w:color="auto" w:fill="66CCFF"/>
          </w:tcPr>
          <w:p w14:paraId="336541C8" w14:textId="77777777" w:rsidR="00DD3EFA" w:rsidRPr="005A0E7C" w:rsidRDefault="00DD3EFA" w:rsidP="00B15ECB">
            <w:pPr>
              <w:rPr>
                <w:b/>
              </w:rPr>
            </w:pPr>
          </w:p>
        </w:tc>
      </w:tr>
      <w:tr w:rsidR="00DD3EFA" w:rsidRPr="005A0E7C" w14:paraId="3D84DC8A" w14:textId="77777777" w:rsidTr="00B15ECB">
        <w:trPr>
          <w:trHeight w:val="1258"/>
        </w:trPr>
        <w:tc>
          <w:tcPr>
            <w:tcW w:w="249" w:type="dxa"/>
            <w:tcBorders>
              <w:top w:val="nil"/>
              <w:bottom w:val="nil"/>
              <w:right w:val="nil"/>
            </w:tcBorders>
            <w:shd w:val="clear" w:color="auto" w:fill="66CCFF"/>
          </w:tcPr>
          <w:p w14:paraId="6FD5A71E" w14:textId="77777777" w:rsidR="00DD3EFA" w:rsidRPr="005A0E7C" w:rsidRDefault="00DD3EFA" w:rsidP="00B15ECB">
            <w:pPr>
              <w:rPr>
                <w:b/>
              </w:rPr>
            </w:pPr>
          </w:p>
        </w:tc>
        <w:tc>
          <w:tcPr>
            <w:tcW w:w="2548" w:type="dxa"/>
            <w:shd w:val="clear" w:color="auto" w:fill="FFFFFF" w:themeFill="background1"/>
          </w:tcPr>
          <w:p w14:paraId="72790DC6" w14:textId="77777777" w:rsidR="00DD3EFA" w:rsidRPr="005A0E7C" w:rsidRDefault="00DD3EFA" w:rsidP="00B15ECB">
            <w:pPr>
              <w:rPr>
                <w:rFonts w:eastAsiaTheme="majorEastAsia"/>
                <w:b/>
              </w:rPr>
            </w:pPr>
            <w:r w:rsidRPr="005A0E7C">
              <w:rPr>
                <w:rFonts w:eastAsiaTheme="majorEastAsia"/>
                <w:b/>
              </w:rPr>
              <w:t>Synergické a multiplikační efekty</w:t>
            </w:r>
          </w:p>
          <w:p w14:paraId="29126A14"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27C5290" w14:textId="77777777" w:rsidR="00DD3EFA" w:rsidRPr="005A0E7C" w:rsidRDefault="00DD3EFA" w:rsidP="00B15ECB">
            <w:pPr>
              <w:spacing w:before="60" w:after="60"/>
            </w:pPr>
            <w:r w:rsidRPr="005A0E7C">
              <w:t>Není relevantní, oblast zatím nebyla z ESF podporována</w:t>
            </w:r>
          </w:p>
        </w:tc>
        <w:tc>
          <w:tcPr>
            <w:tcW w:w="249" w:type="dxa"/>
            <w:tcBorders>
              <w:top w:val="nil"/>
              <w:left w:val="nil"/>
              <w:bottom w:val="nil"/>
            </w:tcBorders>
            <w:shd w:val="clear" w:color="auto" w:fill="66CCFF"/>
          </w:tcPr>
          <w:p w14:paraId="36783B39" w14:textId="77777777" w:rsidR="00DD3EFA" w:rsidRPr="005A0E7C" w:rsidRDefault="00DD3EFA" w:rsidP="00B15ECB">
            <w:pPr>
              <w:rPr>
                <w:b/>
              </w:rPr>
            </w:pPr>
          </w:p>
        </w:tc>
      </w:tr>
      <w:tr w:rsidR="00DD3EFA" w:rsidRPr="005A0E7C" w14:paraId="21C5FA64" w14:textId="77777777" w:rsidTr="00B15ECB">
        <w:trPr>
          <w:trHeight w:val="180"/>
        </w:trPr>
        <w:tc>
          <w:tcPr>
            <w:tcW w:w="249" w:type="dxa"/>
            <w:tcBorders>
              <w:top w:val="nil"/>
              <w:bottom w:val="nil"/>
              <w:right w:val="nil"/>
            </w:tcBorders>
            <w:shd w:val="clear" w:color="auto" w:fill="66CCFF"/>
          </w:tcPr>
          <w:p w14:paraId="2D0D6403"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75C2A4AC"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473455AB" w14:textId="77777777" w:rsidR="00DD3EFA" w:rsidRPr="005A0E7C" w:rsidRDefault="00DD3EFA" w:rsidP="00B15ECB">
            <w:pPr>
              <w:rPr>
                <w:b/>
              </w:rPr>
            </w:pPr>
          </w:p>
        </w:tc>
        <w:tc>
          <w:tcPr>
            <w:tcW w:w="249" w:type="dxa"/>
            <w:tcBorders>
              <w:top w:val="nil"/>
              <w:left w:val="nil"/>
              <w:bottom w:val="nil"/>
            </w:tcBorders>
            <w:shd w:val="clear" w:color="auto" w:fill="66CCFF"/>
          </w:tcPr>
          <w:p w14:paraId="3DC74C46" w14:textId="77777777" w:rsidR="00DD3EFA" w:rsidRPr="005A0E7C" w:rsidRDefault="00DD3EFA" w:rsidP="00B15ECB">
            <w:pPr>
              <w:rPr>
                <w:b/>
              </w:rPr>
            </w:pPr>
          </w:p>
        </w:tc>
      </w:tr>
      <w:tr w:rsidR="00DD3EFA" w:rsidRPr="005A0E7C" w14:paraId="3C1DABFF" w14:textId="77777777" w:rsidTr="00B15ECB">
        <w:trPr>
          <w:trHeight w:val="990"/>
        </w:trPr>
        <w:tc>
          <w:tcPr>
            <w:tcW w:w="249" w:type="dxa"/>
            <w:tcBorders>
              <w:top w:val="nil"/>
              <w:bottom w:val="nil"/>
            </w:tcBorders>
            <w:shd w:val="clear" w:color="auto" w:fill="66CCFF"/>
          </w:tcPr>
          <w:p w14:paraId="43238374"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4476CAAA"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1C49A737" w14:textId="77777777" w:rsidR="00DD3EFA" w:rsidRPr="005A0E7C" w:rsidRDefault="00DD3EFA">
            <w:pPr>
              <w:spacing w:before="60" w:after="60"/>
              <w:rPr>
                <w:rFonts w:eastAsiaTheme="majorEastAsia"/>
              </w:rPr>
            </w:pPr>
          </w:p>
        </w:tc>
        <w:tc>
          <w:tcPr>
            <w:tcW w:w="249" w:type="dxa"/>
            <w:tcBorders>
              <w:top w:val="nil"/>
              <w:bottom w:val="nil"/>
            </w:tcBorders>
            <w:shd w:val="clear" w:color="auto" w:fill="66CCFF"/>
          </w:tcPr>
          <w:p w14:paraId="50A09915" w14:textId="77777777" w:rsidR="00DD3EFA" w:rsidRPr="005A0E7C" w:rsidRDefault="00DD3EFA" w:rsidP="00B15ECB">
            <w:pPr>
              <w:rPr>
                <w:b/>
              </w:rPr>
            </w:pPr>
          </w:p>
        </w:tc>
      </w:tr>
      <w:tr w:rsidR="00DD3EFA" w:rsidRPr="005A0E7C" w14:paraId="6E687D2D" w14:textId="77777777" w:rsidTr="00B15ECB">
        <w:trPr>
          <w:trHeight w:val="1260"/>
        </w:trPr>
        <w:tc>
          <w:tcPr>
            <w:tcW w:w="249" w:type="dxa"/>
            <w:tcBorders>
              <w:top w:val="nil"/>
              <w:bottom w:val="nil"/>
            </w:tcBorders>
            <w:shd w:val="clear" w:color="auto" w:fill="66CCFF"/>
          </w:tcPr>
          <w:p w14:paraId="595C28A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9098C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2941419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Prevence odlivu kvalifikovaných pracovníků do zahraniční nebyla dosud z ESIF financována. </w:t>
            </w:r>
          </w:p>
          <w:p w14:paraId="477EF68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 OP VVV je financována pouze výměna vědeckých pracovníků.</w:t>
            </w:r>
          </w:p>
          <w:p w14:paraId="6CC498B8" w14:textId="77777777" w:rsidR="00DD3EFA" w:rsidRPr="005A0E7C" w:rsidRDefault="00DD3EFA" w:rsidP="00B15ECB">
            <w:pPr>
              <w:spacing w:before="60" w:after="60"/>
              <w:rPr>
                <w:rFonts w:eastAsiaTheme="majorEastAsia"/>
                <w:i/>
              </w:rPr>
            </w:pPr>
            <w:r w:rsidRPr="005A0E7C">
              <w:t xml:space="preserve">V OP Z se na tuto oblast zaměřuje IP 1.4 SC 1.4.1 </w:t>
            </w:r>
            <w:r w:rsidRPr="005A0E7C">
              <w:rPr>
                <w:i/>
              </w:rPr>
              <w:t xml:space="preserve">Zvýšit kapacitu, komplexnost a kvalitu služeb poskytovaných institucemi veřejných služeb zaměstnanosti </w:t>
            </w:r>
            <w:r w:rsidRPr="005A0E7C">
              <w:t>je realizován projekt EURES ČR II (Evropské služby zaměstnanosti).</w:t>
            </w:r>
          </w:p>
        </w:tc>
        <w:tc>
          <w:tcPr>
            <w:tcW w:w="249" w:type="dxa"/>
            <w:tcBorders>
              <w:top w:val="nil"/>
              <w:bottom w:val="nil"/>
            </w:tcBorders>
            <w:shd w:val="clear" w:color="auto" w:fill="66CCFF"/>
          </w:tcPr>
          <w:p w14:paraId="4D23B877" w14:textId="77777777" w:rsidR="00DD3EFA" w:rsidRPr="005A0E7C" w:rsidRDefault="00DD3EFA" w:rsidP="00B15ECB">
            <w:pPr>
              <w:rPr>
                <w:b/>
              </w:rPr>
            </w:pPr>
          </w:p>
        </w:tc>
      </w:tr>
      <w:tr w:rsidR="00DD3EFA" w:rsidRPr="005A0E7C" w14:paraId="6972192A" w14:textId="77777777" w:rsidTr="00B15ECB">
        <w:trPr>
          <w:trHeight w:val="850"/>
        </w:trPr>
        <w:tc>
          <w:tcPr>
            <w:tcW w:w="249" w:type="dxa"/>
            <w:tcBorders>
              <w:top w:val="nil"/>
              <w:bottom w:val="nil"/>
            </w:tcBorders>
            <w:shd w:val="clear" w:color="auto" w:fill="66CCFF"/>
          </w:tcPr>
          <w:p w14:paraId="3997204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5BE4A96"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204053EE" w14:textId="77777777" w:rsidR="00DD3EFA" w:rsidRPr="005A0E7C" w:rsidRDefault="00DD3EFA" w:rsidP="00B15ECB">
            <w:pPr>
              <w:spacing w:before="60" w:after="60"/>
              <w:rPr>
                <w:rFonts w:eastAsiaTheme="majorEastAsia"/>
              </w:rPr>
            </w:pPr>
            <w:r w:rsidRPr="005A0E7C">
              <w:rPr>
                <w:rFonts w:eastAsiaTheme="majorEastAsia"/>
              </w:rPr>
              <w:t>Oblast dosud nebyla z ESF podporována, poptávku příjemců nelze spolehlivě odhadnout.</w:t>
            </w:r>
          </w:p>
        </w:tc>
        <w:tc>
          <w:tcPr>
            <w:tcW w:w="249" w:type="dxa"/>
            <w:tcBorders>
              <w:top w:val="nil"/>
              <w:bottom w:val="nil"/>
            </w:tcBorders>
            <w:shd w:val="clear" w:color="auto" w:fill="66CCFF"/>
          </w:tcPr>
          <w:p w14:paraId="5EE0999E" w14:textId="77777777" w:rsidR="00DD3EFA" w:rsidRPr="005A0E7C" w:rsidRDefault="00DD3EFA" w:rsidP="00B15ECB">
            <w:pPr>
              <w:rPr>
                <w:b/>
              </w:rPr>
            </w:pPr>
          </w:p>
        </w:tc>
      </w:tr>
      <w:tr w:rsidR="00DD3EFA" w:rsidRPr="005A0E7C" w14:paraId="5ED50E2F" w14:textId="77777777" w:rsidTr="00B15ECB">
        <w:trPr>
          <w:trHeight w:val="925"/>
        </w:trPr>
        <w:tc>
          <w:tcPr>
            <w:tcW w:w="249" w:type="dxa"/>
            <w:tcBorders>
              <w:top w:val="nil"/>
              <w:bottom w:val="nil"/>
            </w:tcBorders>
            <w:shd w:val="clear" w:color="auto" w:fill="66CCFF"/>
          </w:tcPr>
          <w:p w14:paraId="593C472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881CC3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2685987B" w14:textId="77777777" w:rsidR="00DD3EFA" w:rsidRPr="005A0E7C" w:rsidRDefault="00DD3EFA" w:rsidP="00B15ECB">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tc>
        <w:tc>
          <w:tcPr>
            <w:tcW w:w="249" w:type="dxa"/>
            <w:tcBorders>
              <w:top w:val="nil"/>
              <w:bottom w:val="nil"/>
            </w:tcBorders>
            <w:shd w:val="clear" w:color="auto" w:fill="66CCFF"/>
          </w:tcPr>
          <w:p w14:paraId="6E376971" w14:textId="77777777" w:rsidR="00DD3EFA" w:rsidRPr="005A0E7C" w:rsidRDefault="00DD3EFA" w:rsidP="00B15ECB">
            <w:pPr>
              <w:rPr>
                <w:b/>
              </w:rPr>
            </w:pPr>
          </w:p>
        </w:tc>
      </w:tr>
      <w:tr w:rsidR="00DD3EFA" w:rsidRPr="005A0E7C" w14:paraId="6C994EEB" w14:textId="77777777" w:rsidTr="00B15ECB">
        <w:trPr>
          <w:trHeight w:val="1001"/>
        </w:trPr>
        <w:tc>
          <w:tcPr>
            <w:tcW w:w="249" w:type="dxa"/>
            <w:tcBorders>
              <w:top w:val="nil"/>
              <w:bottom w:val="nil"/>
            </w:tcBorders>
            <w:shd w:val="clear" w:color="auto" w:fill="66CCFF"/>
          </w:tcPr>
          <w:p w14:paraId="2E8DFDE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852AF8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3723DC3A" w14:textId="44B43177" w:rsidR="00DD3EFA" w:rsidRPr="005A0E7C" w:rsidRDefault="00DD3EFA" w:rsidP="00B15ECB">
            <w:pPr>
              <w:spacing w:before="60" w:after="60"/>
              <w:rPr>
                <w:rFonts w:eastAsiaTheme="majorEastAsia"/>
              </w:rPr>
            </w:pPr>
            <w:r w:rsidRPr="005A0E7C">
              <w:rPr>
                <w:rFonts w:eastAsiaTheme="majorEastAsia"/>
              </w:rPr>
              <w:t xml:space="preserve">Nepříznivá ekonomická situace – jedná se o externí vliv, který lze ovlivnit je těžko, nicméně systém predikcí by měl umožnit alespoň částečně identifikovat případné problémy a včasně na ně </w:t>
            </w:r>
            <w:r w:rsidR="006C35FA" w:rsidRPr="005A0E7C">
              <w:rPr>
                <w:rFonts w:eastAsiaTheme="majorEastAsia"/>
              </w:rPr>
              <w:t>reagovat</w:t>
            </w:r>
            <w:r w:rsidRPr="005A0E7C">
              <w:rPr>
                <w:rFonts w:eastAsiaTheme="majorEastAsia"/>
              </w:rPr>
              <w:t>, zároveň podpora adaptace trhu práce na nové podmínky posiluje obecně konkurenceschopnost hospodářství snižující míru rizika.</w:t>
            </w:r>
          </w:p>
          <w:p w14:paraId="75C47A47" w14:textId="77777777" w:rsidR="00DD3EFA" w:rsidRPr="005A0E7C" w:rsidRDefault="00DD3EFA" w:rsidP="00B15ECB">
            <w:pPr>
              <w:spacing w:before="60" w:after="60"/>
              <w:rPr>
                <w:rFonts w:eastAsiaTheme="majorEastAsia"/>
              </w:rPr>
            </w:pPr>
          </w:p>
          <w:p w14:paraId="0D93F480" w14:textId="77777777" w:rsidR="00DD3EFA" w:rsidRPr="005A0E7C" w:rsidRDefault="00DD3EFA" w:rsidP="00B15ECB">
            <w:pPr>
              <w:spacing w:before="60" w:after="60"/>
              <w:rPr>
                <w:rFonts w:eastAsiaTheme="majorEastAsia"/>
              </w:rPr>
            </w:pPr>
            <w:r w:rsidRPr="005A0E7C">
              <w:rPr>
                <w:rFonts w:eastAsiaTheme="majorEastAsia"/>
              </w:rPr>
              <w:t>(Neočekávaná) Změna trendů vývoje trhu práce – SR PZ 2030, z nichž vychází tato karta a cíle však vychází z dlouhodobých trendů trhu práce, jež nejsou tolik závislé na ekonomickém cyklu.</w:t>
            </w:r>
          </w:p>
          <w:p w14:paraId="00178BF9" w14:textId="77777777" w:rsidR="00DD3EFA" w:rsidRPr="005A0E7C" w:rsidRDefault="00DD3EFA" w:rsidP="00B15ECB">
            <w:pPr>
              <w:spacing w:before="60" w:after="60"/>
              <w:rPr>
                <w:rFonts w:eastAsiaTheme="majorEastAsia"/>
              </w:rPr>
            </w:pPr>
          </w:p>
          <w:p w14:paraId="22618F26" w14:textId="77777777" w:rsidR="00DD3EFA" w:rsidRPr="005A0E7C" w:rsidRDefault="00DD3EFA" w:rsidP="00B15ECB">
            <w:pPr>
              <w:spacing w:before="60" w:after="60"/>
              <w:rPr>
                <w:rFonts w:eastAsiaTheme="majorEastAsia"/>
              </w:rPr>
            </w:pPr>
            <w:r w:rsidRPr="005A0E7C">
              <w:rPr>
                <w:rFonts w:eastAsiaTheme="majorEastAsia"/>
              </w:rPr>
              <w:t>Změna politických preferencí</w:t>
            </w:r>
          </w:p>
          <w:p w14:paraId="13BD676C" w14:textId="77777777" w:rsidR="00DD3EFA" w:rsidRPr="005A0E7C" w:rsidRDefault="00DD3EFA" w:rsidP="00B15ECB">
            <w:pPr>
              <w:spacing w:before="60" w:after="60"/>
              <w:rPr>
                <w:rFonts w:eastAsiaTheme="majorEastAsia"/>
              </w:rPr>
            </w:pPr>
          </w:p>
          <w:p w14:paraId="64354757" w14:textId="74484701" w:rsidR="00DD3EFA" w:rsidRPr="005A0E7C" w:rsidRDefault="00DD3EFA" w:rsidP="00B15ECB">
            <w:pPr>
              <w:spacing w:before="60" w:after="60"/>
              <w:rPr>
                <w:rFonts w:eastAsiaTheme="majorEastAsia"/>
                <w:i/>
              </w:rPr>
            </w:pPr>
            <w:r w:rsidRPr="005A0E7C">
              <w:rPr>
                <w:rFonts w:eastAsiaTheme="majorEastAsia"/>
              </w:rPr>
              <w:t xml:space="preserve">Bezpečnostní </w:t>
            </w:r>
            <w:r w:rsidR="006C35FA" w:rsidRPr="005A0E7C">
              <w:rPr>
                <w:rFonts w:eastAsiaTheme="majorEastAsia"/>
              </w:rPr>
              <w:t>bariéry</w:t>
            </w:r>
            <w:r w:rsidRPr="005A0E7C">
              <w:rPr>
                <w:rFonts w:eastAsiaTheme="majorEastAsia"/>
              </w:rPr>
              <w:t xml:space="preserve"> – zejména v případě přílivu pracovníků mimo EU a to včetně sociálních dopadů</w:t>
            </w:r>
          </w:p>
          <w:p w14:paraId="6AFEBBC8"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976C611" w14:textId="77777777" w:rsidR="00DD3EFA" w:rsidRPr="005A0E7C" w:rsidRDefault="00DD3EFA" w:rsidP="00B15ECB">
            <w:pPr>
              <w:rPr>
                <w:b/>
              </w:rPr>
            </w:pPr>
          </w:p>
        </w:tc>
      </w:tr>
      <w:tr w:rsidR="00DD3EFA" w:rsidRPr="005A0E7C" w14:paraId="6B288779"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07577EB"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5865799"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DDB71A2"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76A320A6" w14:textId="77777777" w:rsidR="00DD3EFA" w:rsidRPr="005A0E7C" w:rsidRDefault="00DD3EFA" w:rsidP="00B15ECB">
            <w:pPr>
              <w:rPr>
                <w:b/>
              </w:rPr>
            </w:pPr>
          </w:p>
        </w:tc>
      </w:tr>
      <w:tr w:rsidR="00DD3EFA" w:rsidRPr="005A0E7C" w14:paraId="7B0903DB" w14:textId="77777777" w:rsidTr="00B15ECB">
        <w:trPr>
          <w:trHeight w:val="1559"/>
        </w:trPr>
        <w:tc>
          <w:tcPr>
            <w:tcW w:w="249" w:type="dxa"/>
            <w:tcBorders>
              <w:top w:val="single" w:sz="4" w:space="0" w:color="auto"/>
              <w:bottom w:val="nil"/>
            </w:tcBorders>
            <w:shd w:val="clear" w:color="auto" w:fill="66CCFF"/>
          </w:tcPr>
          <w:p w14:paraId="0CE220E0"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5A13E4D9"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483F50DE"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400E2E0A" w14:textId="77777777" w:rsidR="00DD3EFA" w:rsidRPr="005A0E7C" w:rsidRDefault="00DD3EFA" w:rsidP="00B15ECB">
            <w:pPr>
              <w:rPr>
                <w:b/>
              </w:rPr>
            </w:pPr>
          </w:p>
        </w:tc>
      </w:tr>
      <w:tr w:rsidR="00DD3EFA" w:rsidRPr="005A0E7C" w14:paraId="03355A7F" w14:textId="77777777" w:rsidTr="00B15ECB">
        <w:trPr>
          <w:trHeight w:val="1396"/>
        </w:trPr>
        <w:tc>
          <w:tcPr>
            <w:tcW w:w="249" w:type="dxa"/>
            <w:tcBorders>
              <w:top w:val="nil"/>
              <w:bottom w:val="nil"/>
            </w:tcBorders>
            <w:shd w:val="clear" w:color="auto" w:fill="66CCFF"/>
          </w:tcPr>
          <w:p w14:paraId="23E5DAAD" w14:textId="77777777" w:rsidR="00DD3EFA" w:rsidRPr="005A0E7C" w:rsidRDefault="00DD3EFA" w:rsidP="00B15ECB">
            <w:pPr>
              <w:rPr>
                <w:b/>
              </w:rPr>
            </w:pPr>
          </w:p>
        </w:tc>
        <w:tc>
          <w:tcPr>
            <w:tcW w:w="2548" w:type="dxa"/>
            <w:tcBorders>
              <w:top w:val="nil"/>
            </w:tcBorders>
            <w:shd w:val="clear" w:color="auto" w:fill="FFFFFF" w:themeFill="background1"/>
          </w:tcPr>
          <w:p w14:paraId="4402EAE6"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3EFA6168" w14:textId="77777777" w:rsidR="00DD3EFA" w:rsidRPr="005A0E7C" w:rsidRDefault="00DD3EFA" w:rsidP="00B15ECB">
            <w:pPr>
              <w:spacing w:before="60" w:after="60"/>
              <w:rPr>
                <w:rFonts w:eastAsiaTheme="majorEastAsia"/>
              </w:rPr>
            </w:pPr>
            <w:r w:rsidRPr="005A0E7C">
              <w:rPr>
                <w:rFonts w:eastAsiaTheme="majorEastAsia"/>
              </w:rPr>
              <w:t xml:space="preserve">Žádné významnější prostředky v jiných unijních programech nad rámec ESF+ nejsou k dispozici. </w:t>
            </w:r>
          </w:p>
          <w:p w14:paraId="2677A32E" w14:textId="77777777" w:rsidR="00DD3EFA" w:rsidRPr="005A0E7C" w:rsidRDefault="00DD3EFA" w:rsidP="00B15ECB">
            <w:pPr>
              <w:spacing w:before="60" w:after="60"/>
              <w:rPr>
                <w:rFonts w:eastAsiaTheme="majorEastAsia"/>
                <w:i/>
              </w:rPr>
            </w:pPr>
            <w:r w:rsidRPr="005A0E7C">
              <w:t>Program na podporu zaměstnanosti a sociálních inovací (EaSI) byl pro období 2021-2027 nově začleněn do ESF+.</w:t>
            </w:r>
          </w:p>
        </w:tc>
        <w:tc>
          <w:tcPr>
            <w:tcW w:w="249" w:type="dxa"/>
            <w:tcBorders>
              <w:top w:val="nil"/>
              <w:bottom w:val="nil"/>
            </w:tcBorders>
            <w:shd w:val="clear" w:color="auto" w:fill="66CCFF"/>
          </w:tcPr>
          <w:p w14:paraId="56BBF1BA" w14:textId="77777777" w:rsidR="00DD3EFA" w:rsidRPr="005A0E7C" w:rsidRDefault="00DD3EFA" w:rsidP="00B15ECB">
            <w:pPr>
              <w:rPr>
                <w:b/>
              </w:rPr>
            </w:pPr>
          </w:p>
        </w:tc>
      </w:tr>
      <w:tr w:rsidR="00DD3EFA" w:rsidRPr="005A0E7C" w14:paraId="034047BA" w14:textId="77777777" w:rsidTr="00B15ECB">
        <w:trPr>
          <w:trHeight w:val="990"/>
        </w:trPr>
        <w:tc>
          <w:tcPr>
            <w:tcW w:w="249" w:type="dxa"/>
            <w:tcBorders>
              <w:top w:val="nil"/>
              <w:bottom w:val="nil"/>
            </w:tcBorders>
            <w:shd w:val="clear" w:color="auto" w:fill="66CCFF"/>
          </w:tcPr>
          <w:p w14:paraId="30DD5929" w14:textId="77777777" w:rsidR="00DD3EFA" w:rsidRPr="005A0E7C" w:rsidRDefault="00DD3EFA" w:rsidP="00B15ECB">
            <w:pPr>
              <w:rPr>
                <w:b/>
              </w:rPr>
            </w:pPr>
          </w:p>
        </w:tc>
        <w:tc>
          <w:tcPr>
            <w:tcW w:w="2548" w:type="dxa"/>
            <w:tcBorders>
              <w:top w:val="nil"/>
            </w:tcBorders>
            <w:shd w:val="clear" w:color="auto" w:fill="FFFFFF" w:themeFill="background1"/>
          </w:tcPr>
          <w:p w14:paraId="36B23504"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6DA8B0FE" w14:textId="77777777" w:rsidR="00DD3EFA" w:rsidRPr="005A0E7C" w:rsidRDefault="00DD3EFA" w:rsidP="00B15ECB">
            <w:pPr>
              <w:spacing w:before="60" w:after="60"/>
              <w:rPr>
                <w:rFonts w:eastAsiaTheme="majorEastAsia"/>
                <w:i/>
              </w:rPr>
            </w:pPr>
            <w:r w:rsidRPr="005A0E7C">
              <w:t>Na národní úrovni byly realizovány pilotní programy zaměřené na nábor kvalifikované pracovní síly z vybraných zemí, které byly financovány ze státního rozpočtu.</w:t>
            </w:r>
          </w:p>
        </w:tc>
        <w:tc>
          <w:tcPr>
            <w:tcW w:w="249" w:type="dxa"/>
            <w:tcBorders>
              <w:top w:val="nil"/>
              <w:bottom w:val="nil"/>
            </w:tcBorders>
            <w:shd w:val="clear" w:color="auto" w:fill="66CCFF"/>
          </w:tcPr>
          <w:p w14:paraId="7B9AF89B" w14:textId="77777777" w:rsidR="00DD3EFA" w:rsidRPr="005A0E7C" w:rsidRDefault="00DD3EFA" w:rsidP="00B15ECB">
            <w:pPr>
              <w:rPr>
                <w:b/>
              </w:rPr>
            </w:pPr>
          </w:p>
        </w:tc>
      </w:tr>
      <w:tr w:rsidR="00DD3EFA" w:rsidRPr="005A0E7C" w14:paraId="0016BD90" w14:textId="77777777" w:rsidTr="00B15ECB">
        <w:trPr>
          <w:trHeight w:val="835"/>
        </w:trPr>
        <w:tc>
          <w:tcPr>
            <w:tcW w:w="249" w:type="dxa"/>
            <w:tcBorders>
              <w:top w:val="nil"/>
              <w:bottom w:val="nil"/>
            </w:tcBorders>
            <w:shd w:val="clear" w:color="auto" w:fill="66CCFF"/>
          </w:tcPr>
          <w:p w14:paraId="540C4FF5" w14:textId="77777777" w:rsidR="00DD3EFA" w:rsidRPr="005A0E7C" w:rsidRDefault="00DD3EFA" w:rsidP="00B15ECB">
            <w:pPr>
              <w:rPr>
                <w:b/>
              </w:rPr>
            </w:pPr>
          </w:p>
        </w:tc>
        <w:tc>
          <w:tcPr>
            <w:tcW w:w="2548" w:type="dxa"/>
            <w:tcBorders>
              <w:top w:val="nil"/>
            </w:tcBorders>
            <w:shd w:val="clear" w:color="auto" w:fill="FFFFFF" w:themeFill="background1"/>
          </w:tcPr>
          <w:p w14:paraId="77645C58"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603793DA" w14:textId="77777777" w:rsidR="00DD3EFA" w:rsidRPr="005A0E7C" w:rsidRDefault="00DD3EFA" w:rsidP="00B15ECB">
            <w:pPr>
              <w:spacing w:before="60" w:after="60"/>
              <w:rPr>
                <w:rFonts w:eastAsiaTheme="majorEastAsia"/>
              </w:rPr>
            </w:pPr>
            <w:r w:rsidRPr="005A0E7C">
              <w:rPr>
                <w:rFonts w:eastAsiaTheme="majorEastAsia"/>
              </w:rPr>
              <w:t xml:space="preserve">Jiné významnější zdroje mimo veřejné rozpočty nejsou k dispozici. </w:t>
            </w:r>
          </w:p>
        </w:tc>
        <w:tc>
          <w:tcPr>
            <w:tcW w:w="249" w:type="dxa"/>
            <w:tcBorders>
              <w:top w:val="nil"/>
              <w:bottom w:val="nil"/>
            </w:tcBorders>
            <w:shd w:val="clear" w:color="auto" w:fill="66CCFF"/>
          </w:tcPr>
          <w:p w14:paraId="4F300403" w14:textId="77777777" w:rsidR="00DD3EFA" w:rsidRPr="005A0E7C" w:rsidRDefault="00DD3EFA" w:rsidP="00B15ECB">
            <w:pPr>
              <w:rPr>
                <w:b/>
              </w:rPr>
            </w:pPr>
          </w:p>
        </w:tc>
      </w:tr>
      <w:tr w:rsidR="00DD3EFA" w:rsidRPr="005A0E7C" w14:paraId="7F85C127" w14:textId="77777777" w:rsidTr="00B15ECB">
        <w:trPr>
          <w:trHeight w:val="975"/>
        </w:trPr>
        <w:tc>
          <w:tcPr>
            <w:tcW w:w="249" w:type="dxa"/>
            <w:tcBorders>
              <w:top w:val="nil"/>
              <w:bottom w:val="nil"/>
            </w:tcBorders>
            <w:shd w:val="clear" w:color="auto" w:fill="66CCFF"/>
          </w:tcPr>
          <w:p w14:paraId="0372E1F5" w14:textId="77777777" w:rsidR="00DD3EFA" w:rsidRPr="005A0E7C" w:rsidRDefault="00DD3EFA" w:rsidP="00B15ECB">
            <w:pPr>
              <w:rPr>
                <w:b/>
              </w:rPr>
            </w:pPr>
          </w:p>
        </w:tc>
        <w:tc>
          <w:tcPr>
            <w:tcW w:w="2548" w:type="dxa"/>
            <w:tcBorders>
              <w:top w:val="nil"/>
            </w:tcBorders>
            <w:shd w:val="clear" w:color="auto" w:fill="FFFFFF" w:themeFill="background1"/>
          </w:tcPr>
          <w:p w14:paraId="695320A9"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3518E4C8" w14:textId="77777777" w:rsidR="00DD3EFA" w:rsidRPr="005A0E7C" w:rsidRDefault="00DD3EFA" w:rsidP="00B15ECB">
            <w:pPr>
              <w:spacing w:before="60" w:after="60"/>
              <w:rPr>
                <w:rFonts w:eastAsiaTheme="majorEastAsia"/>
              </w:rPr>
            </w:pPr>
            <w:r w:rsidRPr="005A0E7C">
              <w:rPr>
                <w:rFonts w:eastAsiaTheme="majorEastAsia"/>
              </w:rPr>
              <w:t>Využití finančních nástrojů v dané oblasti není možné, protože podpořené projekty negenerují podstatnější příjmy, které by mohly být využity ke vrácení poskytnuté podpory.</w:t>
            </w:r>
          </w:p>
        </w:tc>
        <w:tc>
          <w:tcPr>
            <w:tcW w:w="249" w:type="dxa"/>
            <w:tcBorders>
              <w:top w:val="nil"/>
              <w:bottom w:val="nil"/>
            </w:tcBorders>
            <w:shd w:val="clear" w:color="auto" w:fill="66CCFF"/>
          </w:tcPr>
          <w:p w14:paraId="170D97D0" w14:textId="77777777" w:rsidR="00DD3EFA" w:rsidRPr="005A0E7C" w:rsidRDefault="00DD3EFA" w:rsidP="00B15ECB">
            <w:pPr>
              <w:rPr>
                <w:b/>
              </w:rPr>
            </w:pPr>
          </w:p>
        </w:tc>
      </w:tr>
      <w:tr w:rsidR="00DD3EFA" w:rsidRPr="005A0E7C" w14:paraId="7ED3AC93" w14:textId="77777777" w:rsidTr="00B15ECB">
        <w:trPr>
          <w:trHeight w:val="150"/>
        </w:trPr>
        <w:tc>
          <w:tcPr>
            <w:tcW w:w="249" w:type="dxa"/>
            <w:tcBorders>
              <w:top w:val="nil"/>
              <w:right w:val="nil"/>
            </w:tcBorders>
            <w:shd w:val="clear" w:color="auto" w:fill="66CCFF"/>
          </w:tcPr>
          <w:p w14:paraId="494FF705" w14:textId="77777777" w:rsidR="00DD3EFA" w:rsidRPr="005A0E7C" w:rsidRDefault="00DD3EFA" w:rsidP="00B15ECB">
            <w:pPr>
              <w:rPr>
                <w:b/>
              </w:rPr>
            </w:pPr>
          </w:p>
        </w:tc>
        <w:tc>
          <w:tcPr>
            <w:tcW w:w="2548" w:type="dxa"/>
            <w:tcBorders>
              <w:left w:val="nil"/>
              <w:right w:val="nil"/>
            </w:tcBorders>
            <w:shd w:val="clear" w:color="auto" w:fill="66CCFF"/>
          </w:tcPr>
          <w:p w14:paraId="1BC44C6A" w14:textId="77777777" w:rsidR="00DD3EFA" w:rsidRPr="005A0E7C" w:rsidRDefault="00DD3EFA" w:rsidP="00B15ECB">
            <w:pPr>
              <w:rPr>
                <w:b/>
              </w:rPr>
            </w:pPr>
          </w:p>
        </w:tc>
        <w:tc>
          <w:tcPr>
            <w:tcW w:w="5978" w:type="dxa"/>
            <w:tcBorders>
              <w:left w:val="nil"/>
              <w:right w:val="nil"/>
            </w:tcBorders>
            <w:shd w:val="clear" w:color="auto" w:fill="66CCFF"/>
          </w:tcPr>
          <w:p w14:paraId="54B450EE" w14:textId="77777777" w:rsidR="00DD3EFA" w:rsidRPr="005A0E7C" w:rsidRDefault="00DD3EFA" w:rsidP="00B15ECB">
            <w:pPr>
              <w:rPr>
                <w:b/>
              </w:rPr>
            </w:pPr>
          </w:p>
        </w:tc>
        <w:tc>
          <w:tcPr>
            <w:tcW w:w="249" w:type="dxa"/>
            <w:tcBorders>
              <w:top w:val="nil"/>
              <w:left w:val="nil"/>
            </w:tcBorders>
            <w:shd w:val="clear" w:color="auto" w:fill="66CCFF"/>
          </w:tcPr>
          <w:p w14:paraId="24918CCF" w14:textId="77777777" w:rsidR="00DD3EFA" w:rsidRPr="005A0E7C" w:rsidRDefault="00DD3EFA" w:rsidP="00B15ECB">
            <w:pPr>
              <w:rPr>
                <w:b/>
              </w:rPr>
            </w:pPr>
          </w:p>
        </w:tc>
      </w:tr>
    </w:tbl>
    <w:p w14:paraId="19907944" w14:textId="77777777" w:rsidR="00DD3EFA" w:rsidRPr="005A0E7C" w:rsidRDefault="00DD3EFA" w:rsidP="00B15ECB">
      <w:pPr>
        <w:rPr>
          <w:rFonts w:ascii="Times New Roman" w:hAnsi="Times New Roman" w:cs="Times New Roman"/>
          <w:b/>
          <w:sz w:val="20"/>
          <w:szCs w:val="20"/>
        </w:rPr>
      </w:pPr>
    </w:p>
    <w:p w14:paraId="5688F4E7"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p w14:paraId="5F281B88" w14:textId="77777777" w:rsidR="00D762E9" w:rsidRPr="00C107A7" w:rsidRDefault="00D762E9" w:rsidP="00C107A7">
      <w:pPr>
        <w:pStyle w:val="Nadpis1"/>
        <w:numPr>
          <w:ilvl w:val="0"/>
          <w:numId w:val="1"/>
        </w:numPr>
        <w:rPr>
          <w:rFonts w:ascii="Times New Roman" w:hAnsi="Times New Roman" w:cs="Times New Roman"/>
        </w:rPr>
      </w:pPr>
      <w:bookmarkStart w:id="2" w:name="_Toc9511881"/>
      <w:r w:rsidRPr="00C107A7">
        <w:rPr>
          <w:rFonts w:ascii="Times New Roman" w:hAnsi="Times New Roman" w:cs="Times New Roman"/>
        </w:rPr>
        <w:t>Vzdělávání</w:t>
      </w:r>
      <w:bookmarkEnd w:id="2"/>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308956E3" w14:textId="77777777" w:rsidTr="00B15ECB">
        <w:trPr>
          <w:trHeight w:val="180"/>
        </w:trPr>
        <w:tc>
          <w:tcPr>
            <w:tcW w:w="249" w:type="dxa"/>
            <w:tcBorders>
              <w:bottom w:val="nil"/>
              <w:right w:val="nil"/>
            </w:tcBorders>
            <w:shd w:val="clear" w:color="auto" w:fill="66CCFF"/>
          </w:tcPr>
          <w:p w14:paraId="20B5138A" w14:textId="77777777" w:rsidR="00DD3EFA" w:rsidRPr="005A0E7C" w:rsidRDefault="00DD3EFA" w:rsidP="00B15ECB">
            <w:pPr>
              <w:rPr>
                <w:b/>
              </w:rPr>
            </w:pPr>
          </w:p>
        </w:tc>
        <w:tc>
          <w:tcPr>
            <w:tcW w:w="2548" w:type="dxa"/>
            <w:tcBorders>
              <w:left w:val="nil"/>
              <w:right w:val="nil"/>
            </w:tcBorders>
            <w:shd w:val="clear" w:color="auto" w:fill="66CCFF"/>
          </w:tcPr>
          <w:p w14:paraId="5DBB5485" w14:textId="77777777" w:rsidR="00DD3EFA" w:rsidRPr="005A0E7C" w:rsidRDefault="00DD3EFA" w:rsidP="00B15ECB">
            <w:pPr>
              <w:rPr>
                <w:b/>
              </w:rPr>
            </w:pPr>
          </w:p>
        </w:tc>
        <w:tc>
          <w:tcPr>
            <w:tcW w:w="5978" w:type="dxa"/>
            <w:tcBorders>
              <w:left w:val="nil"/>
              <w:right w:val="nil"/>
            </w:tcBorders>
            <w:shd w:val="clear" w:color="auto" w:fill="66CCFF"/>
          </w:tcPr>
          <w:p w14:paraId="76A665C7" w14:textId="77777777" w:rsidR="00DD3EFA" w:rsidRPr="005A0E7C" w:rsidRDefault="00DD3EFA" w:rsidP="00B15ECB">
            <w:pPr>
              <w:rPr>
                <w:b/>
              </w:rPr>
            </w:pPr>
          </w:p>
        </w:tc>
        <w:tc>
          <w:tcPr>
            <w:tcW w:w="249" w:type="dxa"/>
            <w:tcBorders>
              <w:left w:val="nil"/>
              <w:bottom w:val="nil"/>
            </w:tcBorders>
            <w:shd w:val="clear" w:color="auto" w:fill="66CCFF"/>
          </w:tcPr>
          <w:p w14:paraId="689B7FF9" w14:textId="77777777" w:rsidR="00DD3EFA" w:rsidRPr="005A0E7C" w:rsidRDefault="00DD3EFA">
            <w:pPr>
              <w:rPr>
                <w:b/>
              </w:rPr>
            </w:pPr>
          </w:p>
        </w:tc>
      </w:tr>
      <w:tr w:rsidR="00DD3EFA" w:rsidRPr="005A0E7C" w14:paraId="12C7B78D" w14:textId="77777777" w:rsidTr="00B15ECB">
        <w:trPr>
          <w:trHeight w:val="561"/>
        </w:trPr>
        <w:tc>
          <w:tcPr>
            <w:tcW w:w="249" w:type="dxa"/>
            <w:tcBorders>
              <w:top w:val="nil"/>
              <w:bottom w:val="nil"/>
            </w:tcBorders>
            <w:shd w:val="clear" w:color="auto" w:fill="66CCFF"/>
          </w:tcPr>
          <w:p w14:paraId="1FD71DBB" w14:textId="77777777" w:rsidR="00DD3EFA" w:rsidRPr="005A0E7C" w:rsidRDefault="00DD3EFA">
            <w:pPr>
              <w:rPr>
                <w:b/>
              </w:rPr>
            </w:pPr>
          </w:p>
        </w:tc>
        <w:tc>
          <w:tcPr>
            <w:tcW w:w="2548" w:type="dxa"/>
            <w:shd w:val="clear" w:color="auto" w:fill="0070C0"/>
          </w:tcPr>
          <w:p w14:paraId="1A9C4B8E"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790B3809"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5978" w:type="dxa"/>
            <w:shd w:val="clear" w:color="auto" w:fill="0070C0"/>
          </w:tcPr>
          <w:p w14:paraId="3E71ACFA"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7"/>
            </w:r>
            <w:r w:rsidRPr="005A0E7C">
              <w:rPr>
                <w:rFonts w:eastAsiaTheme="majorEastAsia"/>
                <w:b/>
                <w:color w:val="FFFFFF" w:themeColor="background1"/>
                <w:u w:val="single"/>
              </w:rPr>
              <w:t xml:space="preserve">: </w:t>
            </w:r>
          </w:p>
          <w:p w14:paraId="3AE8484F"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Zlepšení vzdělávacího systému s ohledem na moderní kompetence a potřeby trhu práce, mimo jiné s ohledem na digitalizaci průmyslu a společnosti.</w:t>
            </w:r>
          </w:p>
        </w:tc>
        <w:tc>
          <w:tcPr>
            <w:tcW w:w="249" w:type="dxa"/>
            <w:tcBorders>
              <w:top w:val="nil"/>
              <w:bottom w:val="nil"/>
            </w:tcBorders>
            <w:shd w:val="clear" w:color="auto" w:fill="66CCFF"/>
          </w:tcPr>
          <w:p w14:paraId="7C2AD8AF" w14:textId="77777777" w:rsidR="00DD3EFA" w:rsidRPr="005A0E7C" w:rsidRDefault="00DD3EFA">
            <w:pPr>
              <w:rPr>
                <w:b/>
              </w:rPr>
            </w:pPr>
          </w:p>
        </w:tc>
      </w:tr>
      <w:tr w:rsidR="00DD3EFA" w:rsidRPr="005A0E7C" w14:paraId="09CDCE09" w14:textId="77777777" w:rsidTr="00B15ECB">
        <w:trPr>
          <w:trHeight w:val="180"/>
        </w:trPr>
        <w:tc>
          <w:tcPr>
            <w:tcW w:w="249" w:type="dxa"/>
            <w:tcBorders>
              <w:top w:val="nil"/>
              <w:bottom w:val="nil"/>
              <w:right w:val="nil"/>
            </w:tcBorders>
            <w:shd w:val="clear" w:color="auto" w:fill="66CCFF"/>
          </w:tcPr>
          <w:p w14:paraId="12D94703" w14:textId="77777777" w:rsidR="00DD3EFA" w:rsidRPr="005A0E7C" w:rsidRDefault="00DD3EFA">
            <w:pPr>
              <w:rPr>
                <w:b/>
              </w:rPr>
            </w:pPr>
          </w:p>
        </w:tc>
        <w:tc>
          <w:tcPr>
            <w:tcW w:w="2548" w:type="dxa"/>
            <w:tcBorders>
              <w:left w:val="nil"/>
              <w:right w:val="nil"/>
            </w:tcBorders>
            <w:shd w:val="clear" w:color="auto" w:fill="66CCFF"/>
          </w:tcPr>
          <w:p w14:paraId="3485E6B4" w14:textId="77777777" w:rsidR="00DD3EFA" w:rsidRPr="005A0E7C" w:rsidRDefault="00DD3EFA" w:rsidP="00B15ECB">
            <w:pPr>
              <w:rPr>
                <w:b/>
              </w:rPr>
            </w:pPr>
          </w:p>
        </w:tc>
        <w:tc>
          <w:tcPr>
            <w:tcW w:w="5978" w:type="dxa"/>
            <w:tcBorders>
              <w:left w:val="nil"/>
              <w:right w:val="nil"/>
            </w:tcBorders>
            <w:shd w:val="clear" w:color="auto" w:fill="66CCFF"/>
          </w:tcPr>
          <w:p w14:paraId="0FF04C1A" w14:textId="77777777" w:rsidR="00DD3EFA" w:rsidRPr="005A0E7C" w:rsidRDefault="00DD3EFA" w:rsidP="00B15ECB">
            <w:pPr>
              <w:rPr>
                <w:b/>
              </w:rPr>
            </w:pPr>
          </w:p>
        </w:tc>
        <w:tc>
          <w:tcPr>
            <w:tcW w:w="249" w:type="dxa"/>
            <w:tcBorders>
              <w:top w:val="nil"/>
              <w:left w:val="nil"/>
              <w:bottom w:val="nil"/>
            </w:tcBorders>
            <w:shd w:val="clear" w:color="auto" w:fill="66CCFF"/>
          </w:tcPr>
          <w:p w14:paraId="10A44A94" w14:textId="77777777" w:rsidR="00DD3EFA" w:rsidRPr="005A0E7C" w:rsidRDefault="00DD3EFA">
            <w:pPr>
              <w:rPr>
                <w:b/>
              </w:rPr>
            </w:pPr>
          </w:p>
        </w:tc>
      </w:tr>
      <w:tr w:rsidR="00DD3EFA" w:rsidRPr="005A0E7C" w14:paraId="767E038A" w14:textId="77777777" w:rsidTr="00B15ECB">
        <w:trPr>
          <w:trHeight w:val="892"/>
        </w:trPr>
        <w:tc>
          <w:tcPr>
            <w:tcW w:w="249" w:type="dxa"/>
            <w:tcBorders>
              <w:top w:val="nil"/>
              <w:bottom w:val="nil"/>
            </w:tcBorders>
            <w:shd w:val="clear" w:color="auto" w:fill="66CCFF"/>
          </w:tcPr>
          <w:p w14:paraId="3765E093" w14:textId="77777777" w:rsidR="00DD3EFA" w:rsidRPr="005A0E7C" w:rsidRDefault="00DD3EFA">
            <w:pPr>
              <w:rPr>
                <w:b/>
              </w:rPr>
            </w:pPr>
          </w:p>
        </w:tc>
        <w:tc>
          <w:tcPr>
            <w:tcW w:w="2548" w:type="dxa"/>
            <w:shd w:val="clear" w:color="auto" w:fill="FFFFFF" w:themeFill="background1"/>
          </w:tcPr>
          <w:p w14:paraId="5A652ECF"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76C19902" w14:textId="77777777" w:rsidR="00DD3EFA" w:rsidRPr="005A0E7C" w:rsidRDefault="00DD3EFA">
            <w:r w:rsidRPr="005A0E7C">
              <w:t>Specifický cíl je zaměřen na následující témata:</w:t>
            </w:r>
          </w:p>
          <w:p w14:paraId="7C17CB72" w14:textId="77777777" w:rsidR="00DD3EFA" w:rsidRPr="005A0E7C" w:rsidRDefault="00DD3EFA" w:rsidP="00391907">
            <w:pPr>
              <w:pStyle w:val="Odstavecseseznamem"/>
              <w:numPr>
                <w:ilvl w:val="0"/>
                <w:numId w:val="22"/>
              </w:numPr>
              <w:spacing w:after="160" w:line="259" w:lineRule="auto"/>
              <w:jc w:val="both"/>
            </w:pPr>
            <w:r w:rsidRPr="005A0E7C">
              <w:t>spolupráce škol se zaměstnavateli při přípravě a realizaci výuky, odborné stáže pedagogů, žáků, studentů a akademických pracovníků v praxi, účast odborníků z praxe ve výuce,</w:t>
            </w:r>
          </w:p>
          <w:p w14:paraId="37E4E002" w14:textId="77777777" w:rsidR="00DD3EFA" w:rsidRPr="005A0E7C" w:rsidRDefault="00DD3EFA" w:rsidP="00391907">
            <w:pPr>
              <w:pStyle w:val="Odstavecseseznamem"/>
              <w:numPr>
                <w:ilvl w:val="0"/>
                <w:numId w:val="22"/>
              </w:numPr>
              <w:spacing w:after="160" w:line="259" w:lineRule="auto"/>
              <w:jc w:val="both"/>
            </w:pPr>
            <w:r w:rsidRPr="005A0E7C">
              <w:t>rozvoj klíčových kompetencí v širším pojetí propojení znalostí, dovedností a postojů potřebných pro aktivní občanský, profesní i osobní život,</w:t>
            </w:r>
          </w:p>
          <w:p w14:paraId="62726F7C" w14:textId="77777777" w:rsidR="00DD3EFA" w:rsidRPr="005A0E7C" w:rsidRDefault="00DD3EFA" w:rsidP="00391907">
            <w:pPr>
              <w:pStyle w:val="Odstavecseseznamem"/>
              <w:numPr>
                <w:ilvl w:val="0"/>
                <w:numId w:val="22"/>
              </w:numPr>
              <w:spacing w:after="160" w:line="259" w:lineRule="auto"/>
              <w:jc w:val="both"/>
            </w:pPr>
            <w:r w:rsidRPr="005A0E7C">
              <w:t>podpora všeobecné složky vzdělání s důrazem na zajištění kvality na všech úrovních vzdělávání,</w:t>
            </w:r>
          </w:p>
          <w:p w14:paraId="5B2BE22E" w14:textId="77777777" w:rsidR="00DD3EFA" w:rsidRPr="005A0E7C" w:rsidRDefault="00DD3EFA" w:rsidP="00391907">
            <w:pPr>
              <w:pStyle w:val="Odstavecseseznamem"/>
              <w:numPr>
                <w:ilvl w:val="0"/>
                <w:numId w:val="22"/>
              </w:numPr>
              <w:spacing w:after="160" w:line="259" w:lineRule="auto"/>
              <w:jc w:val="both"/>
            </w:pPr>
            <w:r w:rsidRPr="005A0E7C">
              <w:t xml:space="preserve">rozvoj vzdělávání pro udržitelný rozvoj v široké škále vzájemně propojených environmetálních, ekonomických a sociálních otázek, </w:t>
            </w:r>
          </w:p>
          <w:p w14:paraId="3D90DB66" w14:textId="77777777" w:rsidR="00DD3EFA" w:rsidRPr="005A0E7C" w:rsidRDefault="00DD3EFA" w:rsidP="00391907">
            <w:pPr>
              <w:pStyle w:val="Odstavecseseznamem"/>
              <w:numPr>
                <w:ilvl w:val="0"/>
                <w:numId w:val="22"/>
              </w:numPr>
              <w:spacing w:after="160" w:line="259" w:lineRule="auto"/>
              <w:jc w:val="both"/>
            </w:pPr>
            <w:r w:rsidRPr="005A0E7C">
              <w:t>inovace ve výuce a modernizace vyučovacích metod a forem vedoucích k rozvoji kritického a kreativního myšlení dětí, žáků a studentů na všech úrovních vzdělávání,</w:t>
            </w:r>
          </w:p>
          <w:p w14:paraId="793DA5FA" w14:textId="77777777" w:rsidR="00DD3EFA" w:rsidRPr="005A0E7C" w:rsidRDefault="00DD3EFA" w:rsidP="00391907">
            <w:pPr>
              <w:pStyle w:val="Odstavecseseznamem"/>
              <w:numPr>
                <w:ilvl w:val="0"/>
                <w:numId w:val="22"/>
              </w:numPr>
              <w:spacing w:after="160" w:line="259" w:lineRule="auto"/>
              <w:jc w:val="both"/>
            </w:pPr>
            <w:r w:rsidRPr="005A0E7C">
              <w:t>výuka v prostředí nových technologií pro žáky a studenty všech oborů (nástroje, metody a formy výuky naplňující koncept digitální gramotnosti a informatického myšlení),</w:t>
            </w:r>
          </w:p>
          <w:p w14:paraId="4D15646D" w14:textId="77777777" w:rsidR="00DD3EFA" w:rsidRPr="005A0E7C" w:rsidRDefault="00DD3EFA" w:rsidP="00391907">
            <w:pPr>
              <w:pStyle w:val="Odstavecseseznamem"/>
              <w:numPr>
                <w:ilvl w:val="0"/>
                <w:numId w:val="22"/>
              </w:numPr>
              <w:spacing w:after="160" w:line="259" w:lineRule="auto"/>
              <w:jc w:val="both"/>
            </w:pPr>
            <w:r w:rsidRPr="005A0E7C">
              <w:t>zvýšení motivace, odpovědnosti a obecně well-beingu žáků a studentů,</w:t>
            </w:r>
          </w:p>
          <w:p w14:paraId="48BA8622" w14:textId="77777777" w:rsidR="00DD3EFA" w:rsidRPr="005A0E7C" w:rsidRDefault="00DD3EFA" w:rsidP="00391907">
            <w:pPr>
              <w:pStyle w:val="Odstavecseseznamem"/>
              <w:numPr>
                <w:ilvl w:val="0"/>
                <w:numId w:val="22"/>
              </w:numPr>
              <w:spacing w:after="160" w:line="259" w:lineRule="auto"/>
              <w:jc w:val="both"/>
            </w:pPr>
            <w:r w:rsidRPr="005A0E7C">
              <w:t>modernizace ICT vybavení škol,</w:t>
            </w:r>
          </w:p>
          <w:p w14:paraId="36B8ACB4" w14:textId="77777777" w:rsidR="00DD3EFA" w:rsidRPr="005A0E7C" w:rsidRDefault="00DD3EFA" w:rsidP="00391907">
            <w:pPr>
              <w:pStyle w:val="Odstavecseseznamem"/>
              <w:numPr>
                <w:ilvl w:val="0"/>
                <w:numId w:val="22"/>
              </w:numPr>
              <w:jc w:val="both"/>
            </w:pPr>
            <w:r w:rsidRPr="005A0E7C">
              <w:t>budování a modernizace infrastruktury odborných učeben škol a školských zařízení,</w:t>
            </w:r>
          </w:p>
          <w:p w14:paraId="65C653E0" w14:textId="77777777" w:rsidR="00DD3EFA" w:rsidRPr="005A0E7C" w:rsidRDefault="00DD3EFA" w:rsidP="00391907">
            <w:pPr>
              <w:pStyle w:val="Odstavecseseznamem"/>
              <w:numPr>
                <w:ilvl w:val="0"/>
                <w:numId w:val="22"/>
              </w:numPr>
              <w:jc w:val="both"/>
            </w:pPr>
            <w:r w:rsidRPr="005A0E7C">
              <w:t xml:space="preserve">rozšiřování kapacit škol (kmenových učeben) v místě s nárůstem počtu obyvatel a s nedostatkem těchto kapacit, </w:t>
            </w:r>
          </w:p>
          <w:p w14:paraId="048C9417" w14:textId="77777777" w:rsidR="00DD3EFA" w:rsidRPr="005A0E7C" w:rsidRDefault="00DD3EFA" w:rsidP="00391907">
            <w:pPr>
              <w:pStyle w:val="Odstavecseseznamem"/>
              <w:numPr>
                <w:ilvl w:val="0"/>
                <w:numId w:val="22"/>
              </w:numPr>
              <w:spacing w:after="160" w:line="259" w:lineRule="auto"/>
              <w:jc w:val="both"/>
            </w:pPr>
            <w:r w:rsidRPr="005A0E7C">
              <w:t>zlepšení materiálně technických podmínek pro vzdělávání žáků a studentů,</w:t>
            </w:r>
          </w:p>
          <w:p w14:paraId="2019F66C" w14:textId="77777777" w:rsidR="00DD3EFA" w:rsidRPr="005A0E7C" w:rsidRDefault="00DD3EFA" w:rsidP="00391907">
            <w:pPr>
              <w:pStyle w:val="Odstavecseseznamem"/>
              <w:numPr>
                <w:ilvl w:val="0"/>
                <w:numId w:val="22"/>
              </w:numPr>
              <w:spacing w:after="160" w:line="259" w:lineRule="auto"/>
              <w:jc w:val="both"/>
            </w:pPr>
            <w:r w:rsidRPr="005A0E7C">
              <w:rPr>
                <w:iCs/>
                <w:shd w:val="clear" w:color="auto" w:fill="FFFFFF"/>
              </w:rPr>
              <w:t>zlepšení infrastrukturních podmínek vysokých škol</w:t>
            </w:r>
            <w:r w:rsidRPr="005A0E7C">
              <w:rPr>
                <w:shd w:val="clear" w:color="auto" w:fill="FFFFFF"/>
              </w:rPr>
              <w:t>,</w:t>
            </w:r>
          </w:p>
          <w:p w14:paraId="1F0F4C54" w14:textId="77777777" w:rsidR="00DD3EFA" w:rsidRPr="005A0E7C" w:rsidRDefault="00DD3EFA" w:rsidP="00391907">
            <w:pPr>
              <w:pStyle w:val="Odstavecseseznamem"/>
              <w:numPr>
                <w:ilvl w:val="0"/>
                <w:numId w:val="22"/>
              </w:numPr>
              <w:spacing w:after="160" w:line="259" w:lineRule="auto"/>
              <w:jc w:val="both"/>
            </w:pPr>
            <w:r w:rsidRPr="005A0E7C">
              <w:t>podpora STEM znalostí a dovedností na všech úrovních vzdělávání,</w:t>
            </w:r>
          </w:p>
          <w:p w14:paraId="28EFE3BF" w14:textId="77777777" w:rsidR="00DD3EFA" w:rsidRPr="005A0E7C" w:rsidRDefault="00DD3EFA" w:rsidP="00391907">
            <w:pPr>
              <w:pStyle w:val="Odstavecseseznamem"/>
              <w:numPr>
                <w:ilvl w:val="0"/>
                <w:numId w:val="22"/>
              </w:numPr>
              <w:spacing w:after="160" w:line="259" w:lineRule="auto"/>
              <w:jc w:val="both"/>
            </w:pPr>
            <w:r w:rsidRPr="005A0E7C">
              <w:t>rozvoj kariérového poradenství na všech úrovních vzdělávání,</w:t>
            </w:r>
          </w:p>
          <w:p w14:paraId="1600D6D4" w14:textId="77777777" w:rsidR="00DD3EFA" w:rsidRPr="005A0E7C" w:rsidRDefault="00DD3EFA" w:rsidP="00391907">
            <w:pPr>
              <w:pStyle w:val="Odstavecseseznamem"/>
              <w:numPr>
                <w:ilvl w:val="0"/>
                <w:numId w:val="22"/>
              </w:numPr>
              <w:spacing w:after="160" w:line="259" w:lineRule="auto"/>
              <w:jc w:val="both"/>
            </w:pPr>
            <w:r w:rsidRPr="005A0E7C">
              <w:t>rozvoj prvků interdisciplinarity vysokoškolského vzdělávání,</w:t>
            </w:r>
          </w:p>
          <w:p w14:paraId="393E3E96" w14:textId="77777777" w:rsidR="00DD3EFA" w:rsidRPr="005A0E7C" w:rsidRDefault="00DD3EFA" w:rsidP="00391907">
            <w:pPr>
              <w:pStyle w:val="Odstavecseseznamem"/>
              <w:numPr>
                <w:ilvl w:val="0"/>
                <w:numId w:val="22"/>
              </w:numPr>
              <w:spacing w:after="160" w:line="259" w:lineRule="auto"/>
              <w:jc w:val="both"/>
            </w:pPr>
            <w:r w:rsidRPr="005A0E7C">
              <w:t>rozšíření a zajištění kvality výuky v cizích jazycích na všech úrovních vzdělávání,</w:t>
            </w:r>
          </w:p>
          <w:p w14:paraId="23F3C37B" w14:textId="77777777" w:rsidR="00DD3EFA" w:rsidRPr="005A0E7C" w:rsidRDefault="00DD3EFA" w:rsidP="00391907">
            <w:pPr>
              <w:pStyle w:val="Odstavecseseznamem"/>
              <w:numPr>
                <w:ilvl w:val="0"/>
                <w:numId w:val="22"/>
              </w:numPr>
              <w:spacing w:after="160" w:line="259" w:lineRule="auto"/>
              <w:jc w:val="both"/>
            </w:pPr>
            <w:r w:rsidRPr="005A0E7C">
              <w:t>podpora distančních forem vzdělávání především na úrovni terciárního vzdělávání,</w:t>
            </w:r>
          </w:p>
          <w:p w14:paraId="599F07FE" w14:textId="77777777" w:rsidR="00DD3EFA" w:rsidRPr="005A0E7C" w:rsidRDefault="00DD3EFA" w:rsidP="00391907">
            <w:pPr>
              <w:pStyle w:val="Odstavecseseznamem"/>
              <w:numPr>
                <w:ilvl w:val="0"/>
                <w:numId w:val="22"/>
              </w:numPr>
              <w:spacing w:after="160" w:line="259" w:lineRule="auto"/>
              <w:jc w:val="both"/>
            </w:pPr>
            <w:r w:rsidRPr="005A0E7C">
              <w:t>modernizace vzdělávání v doktorských studijních programech,</w:t>
            </w:r>
          </w:p>
          <w:p w14:paraId="450291F6" w14:textId="77777777" w:rsidR="00DD3EFA" w:rsidRPr="005A0E7C" w:rsidRDefault="00DD3EFA" w:rsidP="00391907">
            <w:pPr>
              <w:pStyle w:val="Odstavecseseznamem"/>
              <w:numPr>
                <w:ilvl w:val="0"/>
                <w:numId w:val="22"/>
              </w:numPr>
              <w:spacing w:after="160" w:line="259" w:lineRule="auto"/>
              <w:jc w:val="both"/>
            </w:pPr>
            <w:r w:rsidRPr="005A0E7C">
              <w:t>uznávání výsledků neformálního vzdělávání a informálního učení ve formálním vzdělávání,</w:t>
            </w:r>
          </w:p>
          <w:p w14:paraId="0EA6596B" w14:textId="77777777" w:rsidR="00DD3EFA" w:rsidRPr="005A0E7C" w:rsidRDefault="00DD3EFA" w:rsidP="00391907">
            <w:pPr>
              <w:pStyle w:val="Odstavecseseznamem"/>
              <w:numPr>
                <w:ilvl w:val="0"/>
                <w:numId w:val="22"/>
              </w:numPr>
              <w:spacing w:after="160" w:line="259" w:lineRule="auto"/>
              <w:jc w:val="both"/>
            </w:pPr>
            <w:r w:rsidRPr="005A0E7C">
              <w:t>posilování profesně orientovaného vysokoškolského vzdělávání a nabídka profesně zaměřených kurzů celoživotního vzdělávání,</w:t>
            </w:r>
          </w:p>
          <w:p w14:paraId="1EC1298D" w14:textId="77777777" w:rsidR="00DD3EFA" w:rsidRPr="005A0E7C" w:rsidRDefault="00DD3EFA" w:rsidP="00391907">
            <w:pPr>
              <w:pStyle w:val="Odstavecseseznamem"/>
              <w:numPr>
                <w:ilvl w:val="0"/>
                <w:numId w:val="22"/>
              </w:numPr>
              <w:spacing w:line="259" w:lineRule="auto"/>
              <w:jc w:val="both"/>
            </w:pPr>
            <w:r w:rsidRPr="005A0E7C">
              <w:t>stanovení strategických priorit a cílů v oblasti celoživotního učení s výrazně vyšší aktivnější rolí škol a školských zařízení jako potenciálních poskytovatelů dalšího vzdělávání,</w:t>
            </w:r>
          </w:p>
          <w:p w14:paraId="7363CB3B" w14:textId="77777777" w:rsidR="00DD3EFA" w:rsidRPr="005A0E7C" w:rsidRDefault="00DD3EFA" w:rsidP="00391907">
            <w:pPr>
              <w:numPr>
                <w:ilvl w:val="0"/>
                <w:numId w:val="22"/>
              </w:numPr>
              <w:spacing w:after="160" w:line="259" w:lineRule="auto"/>
              <w:contextualSpacing/>
              <w:jc w:val="both"/>
            </w:pPr>
            <w:r w:rsidRPr="005A0E7C">
              <w:t>prevence extremismu a radikalismu, včetně protipředsudkového vzdělávání dětí, žáků a studentů, pedagogických pracovníků a ostatních pracovníků ve vzdělávání,</w:t>
            </w:r>
          </w:p>
          <w:p w14:paraId="56787B70" w14:textId="77777777" w:rsidR="00DD3EFA" w:rsidRPr="005A0E7C" w:rsidRDefault="00DD3EFA" w:rsidP="00391907">
            <w:pPr>
              <w:numPr>
                <w:ilvl w:val="0"/>
                <w:numId w:val="22"/>
              </w:numPr>
              <w:spacing w:after="160" w:line="259" w:lineRule="auto"/>
              <w:contextualSpacing/>
              <w:jc w:val="both"/>
            </w:pPr>
            <w:r w:rsidRPr="005A0E7C">
              <w:t>podpora kvalitní inkluzivní nabídky neformálního vzdělávání v oblastech rozvíjející STEM a klíčové kompetence potřebné pro aktivní občanský, profesní i osobní život.</w:t>
            </w:r>
          </w:p>
        </w:tc>
        <w:tc>
          <w:tcPr>
            <w:tcW w:w="249" w:type="dxa"/>
            <w:tcBorders>
              <w:top w:val="nil"/>
              <w:bottom w:val="nil"/>
            </w:tcBorders>
            <w:shd w:val="clear" w:color="auto" w:fill="66CCFF"/>
          </w:tcPr>
          <w:p w14:paraId="67244BD4" w14:textId="77777777" w:rsidR="00DD3EFA" w:rsidRPr="005A0E7C" w:rsidRDefault="00DD3EFA">
            <w:pPr>
              <w:rPr>
                <w:b/>
              </w:rPr>
            </w:pPr>
          </w:p>
        </w:tc>
      </w:tr>
      <w:tr w:rsidR="00DD3EFA" w:rsidRPr="005A0E7C" w14:paraId="28E2F2E5" w14:textId="77777777" w:rsidTr="00B15ECB">
        <w:trPr>
          <w:trHeight w:val="46"/>
        </w:trPr>
        <w:tc>
          <w:tcPr>
            <w:tcW w:w="249" w:type="dxa"/>
            <w:tcBorders>
              <w:top w:val="nil"/>
              <w:bottom w:val="nil"/>
              <w:right w:val="nil"/>
            </w:tcBorders>
            <w:shd w:val="clear" w:color="auto" w:fill="66CCFF"/>
          </w:tcPr>
          <w:p w14:paraId="5B5ACB2E" w14:textId="77777777" w:rsidR="00DD3EFA" w:rsidRPr="005A0E7C" w:rsidRDefault="00DD3EFA">
            <w:pPr>
              <w:rPr>
                <w:b/>
              </w:rPr>
            </w:pPr>
          </w:p>
        </w:tc>
        <w:tc>
          <w:tcPr>
            <w:tcW w:w="2548" w:type="dxa"/>
            <w:tcBorders>
              <w:left w:val="nil"/>
              <w:bottom w:val="single" w:sz="4" w:space="0" w:color="auto"/>
              <w:right w:val="nil"/>
            </w:tcBorders>
            <w:shd w:val="clear" w:color="auto" w:fill="66CCFF"/>
          </w:tcPr>
          <w:p w14:paraId="45317BE7"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66B1EBE" w14:textId="77777777" w:rsidR="00DD3EFA" w:rsidRPr="005A0E7C" w:rsidRDefault="00DD3EFA" w:rsidP="00B15ECB">
            <w:pPr>
              <w:rPr>
                <w:b/>
              </w:rPr>
            </w:pPr>
          </w:p>
        </w:tc>
        <w:tc>
          <w:tcPr>
            <w:tcW w:w="249" w:type="dxa"/>
            <w:tcBorders>
              <w:top w:val="nil"/>
              <w:left w:val="nil"/>
              <w:bottom w:val="nil"/>
            </w:tcBorders>
            <w:shd w:val="clear" w:color="auto" w:fill="66CCFF"/>
          </w:tcPr>
          <w:p w14:paraId="26871FFD" w14:textId="77777777" w:rsidR="00DD3EFA" w:rsidRPr="005A0E7C" w:rsidRDefault="00DD3EFA">
            <w:pPr>
              <w:rPr>
                <w:b/>
              </w:rPr>
            </w:pPr>
          </w:p>
        </w:tc>
      </w:tr>
      <w:tr w:rsidR="00DD3EFA" w:rsidRPr="005A0E7C" w14:paraId="131A22C1" w14:textId="77777777" w:rsidTr="00B15ECB">
        <w:trPr>
          <w:trHeight w:val="1274"/>
        </w:trPr>
        <w:tc>
          <w:tcPr>
            <w:tcW w:w="249" w:type="dxa"/>
            <w:tcBorders>
              <w:top w:val="nil"/>
              <w:bottom w:val="nil"/>
            </w:tcBorders>
            <w:shd w:val="clear" w:color="auto" w:fill="66CCFF"/>
          </w:tcPr>
          <w:p w14:paraId="258D07B2" w14:textId="77777777" w:rsidR="00DD3EFA" w:rsidRPr="005A0E7C" w:rsidRDefault="00DD3EFA">
            <w:pPr>
              <w:rPr>
                <w:b/>
              </w:rPr>
            </w:pPr>
          </w:p>
        </w:tc>
        <w:tc>
          <w:tcPr>
            <w:tcW w:w="2548" w:type="dxa"/>
            <w:tcBorders>
              <w:bottom w:val="single" w:sz="4" w:space="0" w:color="auto"/>
            </w:tcBorders>
            <w:shd w:val="clear" w:color="auto" w:fill="FFFFFF" w:themeFill="background1"/>
          </w:tcPr>
          <w:p w14:paraId="2E6CFC99"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623579E" w14:textId="77777777" w:rsidR="00DD3EFA" w:rsidRPr="005A0E7C" w:rsidRDefault="00DD3EFA">
            <w:r w:rsidRPr="005A0E7C">
              <w:t>Zásadní je především podporovat procesy vzdělávání a výuky nezbytné pro Společnost 4.0. Vzdělávací systém v ČR bude rozvíjet kognitivní schopnosti i praktické kompetence, ale také poskytovat robustní základ všeobecného vzdělání a rozvíjet dovednosti, jak s těmito znalostmi pracovat (etiku, logiku, systémové a kritické myšlení), aby se lidé v pozdějším životě byli schopni přizpůsobit měnícím se podmínkám a mohli se průběžně specializovat, včetně schopnosti kritické práce se zdroji. Bude kladen důraz na zvýšení jazykových kompetencí. Samotný koncept vzdělávání ve vztahu ke Společnosti 4.0 ovšem nesmí být redukován jen na rozsáhlejší využívání vzdělávacích technologií, jde především o rozvíjení schopnosti žáků a studentů myslet systémově a komplexně, produkovat inovace a rozpoznávat příležitosti a problémy, vyrovnávat se s komplexitou a nejednoznačností informací apod. K tomu je zapotřebí pěstovat také rozmanitost aktivních a participativních vzdělávacích přístupů a metod. Naopak je potřeba snížit velké množství osvojovaných faktů, které brání kreativitě a hlubšímu poznání vyučovaného tématu. Za problematiku vyžadující podporu lze rovněž mimo potřebu zvyšování kompetencí označit i problematiku motivace a odpovědnosti žáků a studentů.</w:t>
            </w:r>
          </w:p>
          <w:p w14:paraId="34E520AA" w14:textId="77777777" w:rsidR="00DD3EFA" w:rsidRPr="005A0E7C" w:rsidRDefault="00DD3EFA">
            <w:r w:rsidRPr="005A0E7C">
              <w:t>Rovněž do vysokoškolského vzdělávání by se měla promítnout důležitost oblasti klíčových kompetencí. Je potřeba klást důraz na doplnění studijních programů o prvek přenositelných kompetencí, včetně jazykových a ICT kompetencí. Nadále je potřeba pokračovat v podporování kvalitní praxe studentů, zapojování odborníků z praxe a podpory spolupráce vysokých škol s podnikatelskou sférou v oblasti výzkumu a vývoje. Zásadním cílem v oblasti vysokoškolské politiky je důraz na kvalitu výuky.</w:t>
            </w:r>
          </w:p>
          <w:p w14:paraId="5522F28C" w14:textId="77777777" w:rsidR="00DD3EFA" w:rsidRPr="005A0E7C" w:rsidRDefault="00DD3EFA">
            <w:r w:rsidRPr="005A0E7C">
              <w:t>Systém celoživotního učení by měl být založen na možnosti volby různých vzdělávacích cest a jejich prostupnosti. Důležitá je podpora celoživotního vzdělávání u celé populace, a to občanského i profesního, včetně zapojení věkových skupin 55+ (i 65+) do vzdělávání. Vize moderního vzdělávání vychází z principu celoživotního učení a směřuje k vybudování otevřeného prostředí, které umožňuje každému jedinci bez rozdílu a bez překážek vzdělávat se po celý život.  Budou se na něm podílet poskytovatelé z veřejného, soukromého i neziskového sektoru.</w:t>
            </w:r>
          </w:p>
          <w:p w14:paraId="38BFC811" w14:textId="77777777" w:rsidR="00DD3EFA" w:rsidRPr="005A0E7C" w:rsidRDefault="00DD3EFA"/>
        </w:tc>
        <w:tc>
          <w:tcPr>
            <w:tcW w:w="249" w:type="dxa"/>
            <w:tcBorders>
              <w:top w:val="nil"/>
              <w:bottom w:val="nil"/>
            </w:tcBorders>
            <w:shd w:val="clear" w:color="auto" w:fill="66CCFF"/>
          </w:tcPr>
          <w:p w14:paraId="306AFA89" w14:textId="77777777" w:rsidR="00DD3EFA" w:rsidRPr="005A0E7C" w:rsidRDefault="00DD3EFA">
            <w:pPr>
              <w:rPr>
                <w:b/>
              </w:rPr>
            </w:pPr>
          </w:p>
        </w:tc>
      </w:tr>
      <w:tr w:rsidR="00DD3EFA" w:rsidRPr="005A0E7C" w14:paraId="73726182" w14:textId="77777777" w:rsidTr="00B15ECB">
        <w:trPr>
          <w:trHeight w:val="1274"/>
        </w:trPr>
        <w:tc>
          <w:tcPr>
            <w:tcW w:w="249" w:type="dxa"/>
            <w:tcBorders>
              <w:top w:val="nil"/>
              <w:bottom w:val="nil"/>
            </w:tcBorders>
            <w:shd w:val="clear" w:color="auto" w:fill="66CCFF"/>
          </w:tcPr>
          <w:p w14:paraId="6CB3F671" w14:textId="77777777" w:rsidR="00DD3EFA" w:rsidRPr="005A0E7C" w:rsidRDefault="00DD3EFA">
            <w:pPr>
              <w:rPr>
                <w:b/>
              </w:rPr>
            </w:pPr>
          </w:p>
        </w:tc>
        <w:tc>
          <w:tcPr>
            <w:tcW w:w="2548" w:type="dxa"/>
            <w:tcBorders>
              <w:bottom w:val="single" w:sz="4" w:space="0" w:color="auto"/>
            </w:tcBorders>
            <w:shd w:val="clear" w:color="auto" w:fill="FFFFFF" w:themeFill="background1"/>
          </w:tcPr>
          <w:p w14:paraId="4F022CF5"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2183A007" w14:textId="77777777" w:rsidR="00DD3EFA" w:rsidRPr="005A0E7C" w:rsidRDefault="00DD3EFA">
            <w:r w:rsidRPr="005A0E7C">
              <w:t xml:space="preserve">V posledních desetiletích došlo a dochází ve světě k velkým změnám, souvisejících především s automatizací a digitalizací světa práce, které budou dále pokračovat a jež kladou značné nároky na systém vzdělávání a profesní přípravu. Tradiční organizace práce se pod vlivem nových procesů, které budou navzájem více propojené a kontinuální, promění ze striktně hierarchické formy s jasnou strukturou na organizaci, která bude výrazně plošná s decentralizovaným rozhodováním. Pracovní týmy budou v daleko větší míře vznikat ad hoc a budou zaměřené na splnění určitého úkolu nebo problému. Často budou založené na virtuálních vazbách, takže mezi sebou budou moci komunikovat zaměstnanci nejen v rámci jedné pobočky, ale i odborníci z jiných firem či samostatní specialisté.  Roste význam kognitivních dovedností, jakými jsou řešení nerutinních problémů, systémové myšlení, kritické myšlení, orientace v digitálním prostředí, ale také dovedností nekognitivních – cílevědomost, angažovanost, schopnost konstruktivní komunikace a spolupráce.  </w:t>
            </w:r>
          </w:p>
          <w:p w14:paraId="519EEB08" w14:textId="77777777" w:rsidR="00DD3EFA" w:rsidRPr="005A0E7C" w:rsidRDefault="00DD3EFA">
            <w:r w:rsidRPr="005A0E7C">
              <w:t>V tomto ohledu v rámci evropských cílů v oblasti vzdělávání a vzdělávacích politik vzniklo vymezení klíčových kompetencí (schopností), které jsou definovány jako kombinace znalostí, dovedností a postojů odpovídajících určitému kontextu. Klíčovými schopnostmi jsou schopnosti, jež všichni potřebují ke svému osobnímu naplnění a rozvoji, aktivnímu občanství, sociálnímu začlenění a pro pracovní život. Vzhledem ke stále rostoucímu významu těchto kompetencí jim bude potřeba v rámci školního vzdělávání vyhradit více prostoru ve smyslu jejich prolnutí napříč všemi vzdělávacími obory. Tomu je nutné přizpůsobit formy a metody výuky. V současné době ve vyučování stále dominuje frontální výuka, při které si část učitelů zachovává zažité postoje.</w:t>
            </w:r>
          </w:p>
          <w:p w14:paraId="58AB7E7A" w14:textId="77777777" w:rsidR="00DD3EFA" w:rsidRPr="005A0E7C" w:rsidRDefault="00DD3EFA">
            <w:r w:rsidRPr="005A0E7C">
              <w:t xml:space="preserve">Společenské uplatnění bude vedle odborných znalostí a dovedností předpokládat dostatečně široké portfolio kompetencí, které musí být rozvíjeno jak v rámci základního vzdělávání, tak i za zkvalitnění všeobecné složky vzdělávání ve vzdělávání středoškolském. Ze zmíněných kompetencí je nutné zmínit především následující: komunikaci v mateřském jazyce, komunikaci v cizích jazycích, matematickou schopnost a základní schopnosti v oblasti vědy a technologií, schopnost práce s digitálními technologiemi, schopnost učit se, sociální a občanské schopnosti, smysl pro iniciativu a podnikavost a kulturní povědomí a vyjádření. </w:t>
            </w:r>
          </w:p>
          <w:p w14:paraId="461FEFBA" w14:textId="77777777" w:rsidR="00DD3EFA" w:rsidRPr="005A0E7C" w:rsidRDefault="00DD3EFA">
            <w:r w:rsidRPr="005A0E7C">
              <w:t>Získání odborné kvalifikace by se postupně mělo stát předmětem uvážené volby, která by neměla probíhat v příliš nízkém věku. Vlastnímu odbornému vzdělávání tak musí předcházet dostatečné osvojení si všeobecné složky vzdělávání. Odborné vzdělávání má být v tomto ohledu otevřeno až pozdější specializaci, která však musí být kvalitní a realizována v úzké spolupráci s praxí.</w:t>
            </w:r>
            <w:r w:rsidRPr="005A0E7C" w:rsidDel="00427051">
              <w:t xml:space="preserve"> </w:t>
            </w:r>
            <w:r w:rsidRPr="005A0E7C">
              <w:t>Zkvalitnění odborné přípravy však dále vyžaduje i investiční prostředky s cílem zajistit materiální zázemí pro odbornou přípravu a výcvik k získávání dovedností a pro potřeby dalšího vzdělávání, respektive celoživotního učení.</w:t>
            </w:r>
          </w:p>
          <w:p w14:paraId="523C9181" w14:textId="77777777" w:rsidR="00DD3EFA" w:rsidRPr="005A0E7C" w:rsidRDefault="00DD3EFA"/>
          <w:p w14:paraId="78A6E105" w14:textId="4ACADACE" w:rsidR="00DD3EFA" w:rsidRPr="005A0E7C" w:rsidRDefault="00DD3EFA">
            <w:r w:rsidRPr="005A0E7C">
              <w:t>Výše uvedené se specificky týká vysoce diferencovaného a specializovaného systému středního odborného školství, který je z dlouhodobého hlediska obtížně udržitelný, a to i vzhledem k faktu, že většina absolventů do 5 let od ukončení studia pracuje v jiném než absolvovaném oboru. Jak je doloženo z řady sociologických výzkumů, šance na studium na vysoké škole je výrazně určována typem studované střední školy a studovaného oboru.</w:t>
            </w:r>
            <w:r w:rsidRPr="005A0E7C">
              <w:rPr>
                <w:rStyle w:val="Odkaznakoment"/>
                <w:sz w:val="20"/>
                <w:szCs w:val="20"/>
              </w:rPr>
              <w:t xml:space="preserve"> </w:t>
            </w:r>
            <w:r w:rsidRPr="005A0E7C">
              <w:t xml:space="preserve"> Zároveň se ukazuje, že účast v jednotlivých oborech středního vzdělávání (zejména v oborech vzdělání s maturitní zkouškou versus obory vzdělávání s výučním listem) je, jak již bylo částečně zmíněno výše, výrazně určována sociálním zázemím studenta. Základním cílem budoucí profilace systému je především posilování společných prvků ve středním vzdělávání a zvýšení důrazu na výuku tzv. klíčových kompet</w:t>
            </w:r>
            <w:r w:rsidR="004B12AB">
              <w:t>encí, včetně těch nadoborových.</w:t>
            </w:r>
            <w:r w:rsidRPr="005A0E7C">
              <w:t xml:space="preserve"> Především tímto směrem je nutné vést budoucí profilaci vzdělávací politiky a cíle budoucích intervencí. </w:t>
            </w:r>
          </w:p>
          <w:p w14:paraId="351370E2" w14:textId="77777777" w:rsidR="00DD3EFA" w:rsidRPr="005A0E7C" w:rsidRDefault="00DD3EFA">
            <w:r w:rsidRPr="005A0E7C">
              <w:t xml:space="preserve">Ve vysokém školství proběhla v roce 2016 legislativní reforma vytvářející podmínky pro inovaci a diverzifikaci obsahu vzdělávací nabídky. V současné době totiž vzdělávací nabídka vysokých škol jen částečně zohledňuje měnící se potřeby různorodé studentské populace, společnosti a flexibilního trhu práce. Vysoké školy mají touto reformou zajištěnu vyšší míru autonomie při přípravě studijních programů s ohledem na vybudovaný systém zajišťování kvality. Nově jim také umožňuje akreditaci profesně orientovaných studijních programů zejména na bakalářském stupni studia. Chybějící profesně zaměřené studijní programy musí zajistit zvládnutí praktických dovedností potřebných k výkonu povolání, k čemuž musí sloužit i povinné praxe. Vysoké školy mají vyšší zodpovědnost za to, že jejich studijní programy budou odpovídat nárokům, což se odráží rovněž v požadavku studijní programy hodnotit a podle výsledků hodnocení je upravovat. </w:t>
            </w:r>
          </w:p>
          <w:p w14:paraId="45DE4F84" w14:textId="77777777" w:rsidR="00DD3EFA" w:rsidRPr="005A0E7C" w:rsidRDefault="00DD3EFA">
            <w:r w:rsidRPr="005A0E7C">
              <w:t>Vysokoškolské vzdělávání je dosud nedostatečně otevřené zájemcům, kteří si chtějí doplnit vzdělání v pozdějším věku. Poptávka této skupiny v reakci na požadavky proměňujícího se trhu práce spolu se stárnutím populace roste.  V tomto ohledu české vysoké školství nedostatečně rozvíjí kombinované/distanční formy vzdělávání. V neposlední řadě panují značné disproporce v oblasti zastoupení žen a mužů, a to od výrazné převahy žen v některých oblastech vzdělávání na nižších stupních vysokoškolského vzdělávání po výrazně nižší zastoupení žen v doktorských programech, což má dopady i na kariéry ve vědě a výzkumu.</w:t>
            </w:r>
          </w:p>
          <w:p w14:paraId="7C9D4461" w14:textId="77777777" w:rsidR="00DD3EFA" w:rsidRPr="005A0E7C" w:rsidRDefault="00DD3EFA">
            <w:r w:rsidRPr="005A0E7C">
              <w:t>V oblasti internacionalizace vysokého školství sledujeme stále poměrně nízkou participaci studentů na mezinárodních mobilitních programech, nízký počet zahraničních akademických pracovníků nebo nízký počet studijních programů uskutečňovaných ve spolupráci se zahraničními institucemi.</w:t>
            </w:r>
          </w:p>
          <w:p w14:paraId="38553DBE" w14:textId="77777777" w:rsidR="00DD3EFA" w:rsidRPr="005A0E7C" w:rsidRDefault="00DD3EFA">
            <w:pPr>
              <w:rPr>
                <w:rFonts w:eastAsia="Calibri"/>
              </w:rPr>
            </w:pPr>
            <w:r w:rsidRPr="005A0E7C">
              <w:rPr>
                <w:rFonts w:eastAsia="Calibri"/>
              </w:rPr>
              <w:t xml:space="preserve">Další vzdělávání umožňuje zvýšení specializace a odborných znalostí během kariéry, rekvalifikaci při změně profesní dráhy a doplnění kvalifikace u osob, které předčasně ukončily školní docházku. Dalšího formálního vzdělávání se v ČR účastní pouze jednotky procent dospělých ve věku 25-65 let. V neformálním vzdělávání je účast výrazně vyšší, avšak v komparaci ostatními členskými zeměmi EU jsou tyto podíly spíše podprůměrné. V tomto ohledu je zcela zásadním krokem stanovení zcela nových strategických priorit a cílů v oblasti celoživotního učení s výrazně vyšší aktivnější rolí škol a školských zařízení jako potenciálních poskytovatelů dalšího vzdělávání. Další vzdělávání musí být propojené se službami zaměstnanosti a přispívat ke snižování disproporcí mezi nabídkou a poptávkou na trhu práce. </w:t>
            </w:r>
          </w:p>
          <w:p w14:paraId="392E6948" w14:textId="77777777" w:rsidR="00DD3EFA" w:rsidRPr="005A0E7C" w:rsidRDefault="00DD3EFA">
            <w:pPr>
              <w:rPr>
                <w:i/>
              </w:rPr>
            </w:pPr>
          </w:p>
        </w:tc>
        <w:tc>
          <w:tcPr>
            <w:tcW w:w="249" w:type="dxa"/>
            <w:tcBorders>
              <w:top w:val="nil"/>
              <w:bottom w:val="nil"/>
            </w:tcBorders>
            <w:shd w:val="clear" w:color="auto" w:fill="66CCFF"/>
          </w:tcPr>
          <w:p w14:paraId="4489BF08" w14:textId="77777777" w:rsidR="00DD3EFA" w:rsidRPr="005A0E7C" w:rsidRDefault="00DD3EFA">
            <w:pPr>
              <w:rPr>
                <w:b/>
              </w:rPr>
            </w:pPr>
          </w:p>
        </w:tc>
      </w:tr>
      <w:tr w:rsidR="00DD3EFA" w:rsidRPr="005A0E7C" w14:paraId="7CC385D3" w14:textId="77777777" w:rsidTr="00B15ECB">
        <w:trPr>
          <w:trHeight w:val="1274"/>
        </w:trPr>
        <w:tc>
          <w:tcPr>
            <w:tcW w:w="249" w:type="dxa"/>
            <w:tcBorders>
              <w:top w:val="nil"/>
              <w:bottom w:val="nil"/>
            </w:tcBorders>
            <w:shd w:val="clear" w:color="auto" w:fill="66CCFF"/>
          </w:tcPr>
          <w:p w14:paraId="06139CA2" w14:textId="77777777" w:rsidR="00DD3EFA" w:rsidRPr="005A0E7C" w:rsidRDefault="00DD3EFA">
            <w:pPr>
              <w:rPr>
                <w:b/>
              </w:rPr>
            </w:pPr>
          </w:p>
        </w:tc>
        <w:tc>
          <w:tcPr>
            <w:tcW w:w="2548" w:type="dxa"/>
            <w:tcBorders>
              <w:bottom w:val="single" w:sz="4" w:space="0" w:color="auto"/>
            </w:tcBorders>
            <w:shd w:val="clear" w:color="auto" w:fill="FFFFFF" w:themeFill="background1"/>
          </w:tcPr>
          <w:p w14:paraId="396CB59D"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1A801BC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FB78A86" w14:textId="77777777" w:rsidR="00DD3EFA" w:rsidRPr="005A0E7C" w:rsidRDefault="00DD3EFA" w:rsidP="00B15ECB">
            <w:pPr>
              <w:spacing w:before="60" w:after="60"/>
              <w:rPr>
                <w:rFonts w:eastAsiaTheme="majorEastAsia"/>
              </w:rPr>
            </w:pPr>
            <w:r w:rsidRPr="005A0E7C">
              <w:rPr>
                <w:rFonts w:eastAsiaTheme="majorEastAsia"/>
              </w:rPr>
              <w:t>Posílení kompetencí pedagogů a žáků/studentů na všech typech škol.</w:t>
            </w:r>
          </w:p>
          <w:p w14:paraId="7F4A049A" w14:textId="77777777" w:rsidR="00DD3EFA" w:rsidRPr="005A0E7C" w:rsidRDefault="00DD3EFA" w:rsidP="00B15ECB">
            <w:pPr>
              <w:spacing w:before="60" w:after="60"/>
              <w:rPr>
                <w:rFonts w:eastAsiaTheme="majorEastAsia"/>
              </w:rPr>
            </w:pPr>
            <w:r w:rsidRPr="005A0E7C">
              <w:rPr>
                <w:rFonts w:eastAsiaTheme="majorEastAsia"/>
              </w:rPr>
              <w:t>Zlepšení kvality studijního prostředí na všech typech škol, a to v oblasti kombinovaného/distančního/celoživotního vzdělávání, internacionalizace studia.</w:t>
            </w:r>
          </w:p>
          <w:p w14:paraId="559F848D" w14:textId="77777777" w:rsidR="00DD3EFA" w:rsidRPr="005A0E7C" w:rsidRDefault="00DD3EFA" w:rsidP="00B15ECB">
            <w:pPr>
              <w:spacing w:before="60" w:after="60"/>
              <w:rPr>
                <w:rFonts w:eastAsiaTheme="majorEastAsia"/>
                <w:u w:val="single"/>
              </w:rPr>
            </w:pPr>
            <w:r w:rsidRPr="005A0E7C">
              <w:rPr>
                <w:rFonts w:eastAsiaTheme="majorEastAsia"/>
              </w:rPr>
              <w:t>Zlepšení studijního prostředí na všech typech škol, a to ve vazbě na snížení studijní neúspěšnosti a zvýšení motivace a celkově well-beingu žáků a studentů.</w:t>
            </w:r>
          </w:p>
        </w:tc>
        <w:tc>
          <w:tcPr>
            <w:tcW w:w="249" w:type="dxa"/>
            <w:tcBorders>
              <w:top w:val="nil"/>
              <w:bottom w:val="nil"/>
            </w:tcBorders>
            <w:shd w:val="clear" w:color="auto" w:fill="66CCFF"/>
          </w:tcPr>
          <w:p w14:paraId="63ACF1C2" w14:textId="77777777" w:rsidR="00DD3EFA" w:rsidRPr="005A0E7C" w:rsidRDefault="00DD3EFA">
            <w:pPr>
              <w:rPr>
                <w:b/>
              </w:rPr>
            </w:pPr>
          </w:p>
        </w:tc>
      </w:tr>
      <w:tr w:rsidR="00DD3EFA" w:rsidRPr="005A0E7C" w14:paraId="6E4BC6C5" w14:textId="77777777" w:rsidTr="00B15ECB">
        <w:trPr>
          <w:trHeight w:val="1274"/>
        </w:trPr>
        <w:tc>
          <w:tcPr>
            <w:tcW w:w="249" w:type="dxa"/>
            <w:tcBorders>
              <w:top w:val="nil"/>
              <w:bottom w:val="nil"/>
            </w:tcBorders>
            <w:shd w:val="clear" w:color="auto" w:fill="66CCFF"/>
          </w:tcPr>
          <w:p w14:paraId="73F1F47F" w14:textId="77777777" w:rsidR="00DD3EFA" w:rsidRPr="005A0E7C" w:rsidRDefault="00DD3EFA">
            <w:pPr>
              <w:rPr>
                <w:b/>
              </w:rPr>
            </w:pPr>
          </w:p>
        </w:tc>
        <w:tc>
          <w:tcPr>
            <w:tcW w:w="2548" w:type="dxa"/>
            <w:tcBorders>
              <w:bottom w:val="single" w:sz="4" w:space="0" w:color="auto"/>
            </w:tcBorders>
            <w:shd w:val="clear" w:color="auto" w:fill="FFFFFF" w:themeFill="background1"/>
          </w:tcPr>
          <w:p w14:paraId="243DAE4A"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6D5413FD"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78" w:type="dxa"/>
            <w:tcBorders>
              <w:bottom w:val="single" w:sz="4" w:space="0" w:color="auto"/>
            </w:tcBorders>
            <w:shd w:val="clear" w:color="auto" w:fill="FFFFFF" w:themeFill="background1"/>
          </w:tcPr>
          <w:p w14:paraId="4D8FB936" w14:textId="77777777" w:rsidR="00DD3EFA" w:rsidRPr="005A0E7C" w:rsidRDefault="00DD3EFA">
            <w:pPr>
              <w:spacing w:before="60" w:after="60"/>
              <w:rPr>
                <w:rFonts w:eastAsiaTheme="majorEastAsia"/>
              </w:rPr>
            </w:pPr>
            <w:r w:rsidRPr="005A0E7C">
              <w:rPr>
                <w:rFonts w:eastAsiaTheme="majorEastAsia"/>
              </w:rPr>
              <w:t>Očekávané výsledky/dopady intervencí:</w:t>
            </w:r>
          </w:p>
          <w:p w14:paraId="1DC12077" w14:textId="77777777" w:rsidR="00DD3EFA" w:rsidRPr="005A0E7C" w:rsidRDefault="00DD3EFA" w:rsidP="00391907">
            <w:pPr>
              <w:pStyle w:val="Odstavecseseznamem"/>
              <w:numPr>
                <w:ilvl w:val="0"/>
                <w:numId w:val="23"/>
              </w:numPr>
              <w:spacing w:before="60" w:after="60" w:line="259" w:lineRule="auto"/>
              <w:jc w:val="both"/>
            </w:pPr>
            <w:r w:rsidRPr="005A0E7C">
              <w:t>Zvýšení pedagogických kompetencí pedagogických a akademických pracovníků na všech stupních vzdělávání.</w:t>
            </w:r>
          </w:p>
          <w:p w14:paraId="15073286" w14:textId="77777777" w:rsidR="00DD3EFA" w:rsidRPr="005A0E7C" w:rsidRDefault="00DD3EFA" w:rsidP="00391907">
            <w:pPr>
              <w:pStyle w:val="Odstavecseseznamem"/>
              <w:numPr>
                <w:ilvl w:val="0"/>
                <w:numId w:val="23"/>
              </w:numPr>
              <w:spacing w:before="60" w:after="60" w:line="259" w:lineRule="auto"/>
              <w:jc w:val="both"/>
            </w:pPr>
            <w:r w:rsidRPr="005A0E7C">
              <w:t>Zvýšení úrovně klíčových kompetencí, dále pak kritického a kreativního myšlení</w:t>
            </w:r>
            <w:r w:rsidRPr="005A0E7C" w:rsidDel="00630C1A">
              <w:t xml:space="preserve"> </w:t>
            </w:r>
            <w:r w:rsidRPr="005A0E7C">
              <w:t>dětí, žáků, studentů a pedagogických a akademických pracovníků.</w:t>
            </w:r>
          </w:p>
          <w:p w14:paraId="502A087C" w14:textId="77777777" w:rsidR="00DD3EFA" w:rsidRPr="005A0E7C" w:rsidRDefault="00DD3EFA" w:rsidP="00391907">
            <w:pPr>
              <w:pStyle w:val="Odstavecseseznamem"/>
              <w:numPr>
                <w:ilvl w:val="0"/>
                <w:numId w:val="23"/>
              </w:numPr>
              <w:spacing w:before="60" w:after="60" w:line="259" w:lineRule="auto"/>
              <w:jc w:val="both"/>
            </w:pPr>
            <w:r w:rsidRPr="005A0E7C">
              <w:t>Zlepšení úrovně a dostupnosti ICT vybavení vzdělávacích zařízení.</w:t>
            </w:r>
          </w:p>
          <w:p w14:paraId="779453A9"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rPr>
                <w:rFonts w:eastAsiaTheme="majorEastAsia"/>
              </w:rPr>
              <w:t>Zvýšení podílu kombinované/distanční formy na vyšších stupních vzdělávání.</w:t>
            </w:r>
          </w:p>
          <w:p w14:paraId="105A79B3"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rPr>
                <w:rFonts w:eastAsiaTheme="majorEastAsia"/>
              </w:rPr>
              <w:t xml:space="preserve">Zvýšení účasti studentů na zahraničních mobilitních schématech. </w:t>
            </w:r>
          </w:p>
          <w:p w14:paraId="79FB92E1"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rPr>
                <w:rFonts w:eastAsiaTheme="majorEastAsia"/>
              </w:rPr>
              <w:t xml:space="preserve">Zvýšení počtu studijních programů vyučovaných ve spolupráci se zahraničními institucemi. </w:t>
            </w:r>
          </w:p>
          <w:p w14:paraId="433EAD30"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rPr>
                <w:rFonts w:eastAsiaTheme="majorEastAsia"/>
              </w:rPr>
              <w:t>Zvýšení počtu ředitelů a začínajících učitelů využívajících od zahájení kariéry na škole standardně otevřené učební zdroje, včetně cizojazyčných, sledujících průběžně inovace v metodách a formách vzdělávání.</w:t>
            </w:r>
          </w:p>
          <w:p w14:paraId="5686D032" w14:textId="77777777" w:rsidR="00DD3EFA" w:rsidRPr="005A0E7C" w:rsidRDefault="00DD3EFA" w:rsidP="00391907">
            <w:pPr>
              <w:pStyle w:val="Odstavecseseznamem"/>
              <w:numPr>
                <w:ilvl w:val="0"/>
                <w:numId w:val="23"/>
              </w:numPr>
              <w:spacing w:before="60" w:after="60" w:line="259" w:lineRule="auto"/>
              <w:jc w:val="both"/>
            </w:pPr>
            <w:r w:rsidRPr="005A0E7C">
              <w:rPr>
                <w:rFonts w:eastAsiaTheme="majorEastAsia"/>
              </w:rPr>
              <w:t xml:space="preserve">Zvýšení počtu </w:t>
            </w:r>
            <w:r w:rsidRPr="005A0E7C">
              <w:t>profesně orientovaných studijních programů.</w:t>
            </w:r>
          </w:p>
          <w:p w14:paraId="0CEDEC21"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rPr>
                <w:rFonts w:eastAsiaTheme="majorEastAsia"/>
              </w:rPr>
              <w:t>Snížení podílu žáků a studentů se špatnými vzdělávacími výsledky.</w:t>
            </w:r>
          </w:p>
          <w:p w14:paraId="1E8858ED"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rPr>
                <w:rFonts w:eastAsiaTheme="majorEastAsia"/>
              </w:rPr>
              <w:t>Koncentrace kapacit, zvyšování odborných kapacit (zejména regionálních a místních), zvýšení kvality výzkumu v oblasti vzdělávání a propojení dat.</w:t>
            </w:r>
          </w:p>
        </w:tc>
        <w:tc>
          <w:tcPr>
            <w:tcW w:w="249" w:type="dxa"/>
            <w:tcBorders>
              <w:top w:val="nil"/>
              <w:bottom w:val="nil"/>
            </w:tcBorders>
            <w:shd w:val="clear" w:color="auto" w:fill="66CCFF"/>
          </w:tcPr>
          <w:p w14:paraId="6FC832A5" w14:textId="77777777" w:rsidR="00DD3EFA" w:rsidRPr="005A0E7C" w:rsidRDefault="00DD3EFA">
            <w:pPr>
              <w:rPr>
                <w:b/>
              </w:rPr>
            </w:pPr>
          </w:p>
        </w:tc>
      </w:tr>
      <w:tr w:rsidR="00DD3EFA" w:rsidRPr="005A0E7C" w14:paraId="46EC758C" w14:textId="77777777" w:rsidTr="00B15ECB">
        <w:trPr>
          <w:trHeight w:val="1274"/>
        </w:trPr>
        <w:tc>
          <w:tcPr>
            <w:tcW w:w="249" w:type="dxa"/>
            <w:tcBorders>
              <w:top w:val="nil"/>
              <w:bottom w:val="nil"/>
            </w:tcBorders>
            <w:shd w:val="clear" w:color="auto" w:fill="66CCFF"/>
          </w:tcPr>
          <w:p w14:paraId="6C1563E2" w14:textId="77777777" w:rsidR="00DD3EFA" w:rsidRPr="005A0E7C" w:rsidRDefault="00DD3EFA">
            <w:pPr>
              <w:rPr>
                <w:b/>
              </w:rPr>
            </w:pPr>
          </w:p>
        </w:tc>
        <w:tc>
          <w:tcPr>
            <w:tcW w:w="2548" w:type="dxa"/>
            <w:tcBorders>
              <w:bottom w:val="single" w:sz="4" w:space="0" w:color="auto"/>
            </w:tcBorders>
            <w:shd w:val="clear" w:color="auto" w:fill="FFFFFF" w:themeFill="background1"/>
          </w:tcPr>
          <w:p w14:paraId="0BA5B9BC"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6FD312AC" w14:textId="77777777" w:rsidR="00DD3EFA" w:rsidRPr="005A0E7C" w:rsidRDefault="00DD3EFA">
            <w:pPr>
              <w:pStyle w:val="slovanodstavec"/>
              <w:tabs>
                <w:tab w:val="clear" w:pos="567"/>
                <w:tab w:val="left" w:pos="284"/>
              </w:tabs>
              <w:suppressAutoHyphens/>
              <w:spacing w:line="240" w:lineRule="auto"/>
              <w:rPr>
                <w:rFonts w:ascii="Times New Roman" w:eastAsiaTheme="majorEastAsia" w:hAnsi="Times New Roman"/>
                <w:u w:val="single"/>
              </w:rPr>
            </w:pPr>
            <w:r w:rsidRPr="005A0E7C">
              <w:rPr>
                <w:rFonts w:ascii="Times New Roman" w:hAnsi="Times New Roman"/>
              </w:rPr>
              <w:t>S vysokou mírou pravděpodobnosti lze odhadnout, že předpokládaný procentní podíl ESIF na naplnění se pohybuje na úrovni přesahující 90 %.</w:t>
            </w:r>
          </w:p>
        </w:tc>
        <w:tc>
          <w:tcPr>
            <w:tcW w:w="249" w:type="dxa"/>
            <w:tcBorders>
              <w:top w:val="nil"/>
              <w:bottom w:val="nil"/>
            </w:tcBorders>
            <w:shd w:val="clear" w:color="auto" w:fill="66CCFF"/>
          </w:tcPr>
          <w:p w14:paraId="0F80453A" w14:textId="77777777" w:rsidR="00DD3EFA" w:rsidRPr="005A0E7C" w:rsidRDefault="00DD3EFA">
            <w:pPr>
              <w:rPr>
                <w:b/>
              </w:rPr>
            </w:pPr>
          </w:p>
        </w:tc>
      </w:tr>
      <w:tr w:rsidR="00DD3EFA" w:rsidRPr="005A0E7C" w14:paraId="5D74931E" w14:textId="77777777" w:rsidTr="00B15ECB">
        <w:trPr>
          <w:trHeight w:val="1274"/>
        </w:trPr>
        <w:tc>
          <w:tcPr>
            <w:tcW w:w="249" w:type="dxa"/>
            <w:tcBorders>
              <w:top w:val="nil"/>
              <w:bottom w:val="nil"/>
            </w:tcBorders>
            <w:shd w:val="clear" w:color="auto" w:fill="66CCFF"/>
          </w:tcPr>
          <w:p w14:paraId="78664D87" w14:textId="77777777" w:rsidR="00DD3EFA" w:rsidRPr="005A0E7C" w:rsidRDefault="00DD3EFA">
            <w:pPr>
              <w:rPr>
                <w:b/>
              </w:rPr>
            </w:pPr>
          </w:p>
        </w:tc>
        <w:tc>
          <w:tcPr>
            <w:tcW w:w="2548" w:type="dxa"/>
            <w:tcBorders>
              <w:bottom w:val="single" w:sz="4" w:space="0" w:color="auto"/>
            </w:tcBorders>
            <w:shd w:val="clear" w:color="auto" w:fill="FFFFFF" w:themeFill="background1"/>
          </w:tcPr>
          <w:p w14:paraId="07B933CD"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6704E768" w14:textId="77777777" w:rsidR="00DD3EFA" w:rsidRPr="005A0E7C" w:rsidRDefault="00DD3EFA">
            <w:pPr>
              <w:spacing w:before="60" w:after="60"/>
            </w:pPr>
            <w:r w:rsidRPr="005A0E7C">
              <w:rPr>
                <w:rFonts w:eastAsiaTheme="majorEastAsia"/>
              </w:rPr>
              <w:t>Nové aktivity budou navazovat na aktivity z období 2014–2020. Zaměřeny budou na řešení klíčových problémů definovaných v aktuálních strategických dokumentech, zejména na posílení studijních programů vysokých škol ve společensky potřebných oborech/oblastech. Neméně důležitou oblastí bude podpora dalšího rozvoje vysokoškolských studijních programů s cílem připravit absolventy pro trh práce, s čímž souvisí i podpora celoživotního vzdělávání na vysokých školách. D</w:t>
            </w:r>
            <w:r w:rsidRPr="005A0E7C">
              <w:t>ůraz bude kladen na výrazný kvalitativní posun a reflektování nových trendů. V oblasti regionálního školství bude důraz kladen na podporu produktivní kultury učení přímo ve školách a zvýšení kvality všeobecné i odborné složky vzdělávání napříč všemi stupni. Nezbytné je reformovat proces přípravy budoucích učitelů a posilovat jejich připravenost v oblasti psychologické, didaktické, jazykové s ohledem na potřeby vzdělávání každého dítěte, žáka a studenta. Podporována a rozvíjena bude dále úzká, pravidelná a dlouhodobá spolupráce škol, výměny zkušeností mezi pedagogy a dalšími pracovníky a celková proměna jejich dalšího vzdělávání s cílem zvýšení jejich didkatických kompetencí. Zásadní je rovněž reflexe nových cílů a obsahu vzdělávání v kontextu postupně reformovaného kurikulárního rámce a jeho postupná a kvalitní diseminace. Rovněž je třeba posílit vybavení vzdělávacích zařízení tak, aby jejich zázemí a podmínky, ve kterých ke vzdělávání dochází, odpovídaly výzvám a potřebám ve vazbě společenské proměny 4.0.</w:t>
            </w:r>
          </w:p>
          <w:p w14:paraId="422E79DE" w14:textId="77777777" w:rsidR="00DD3EFA" w:rsidRPr="005A0E7C" w:rsidRDefault="00DD3EFA">
            <w:pPr>
              <w:rPr>
                <w:i/>
              </w:rPr>
            </w:pPr>
            <w:r w:rsidRPr="005A0E7C">
              <w:t>Důležitým principem bude i nadále zachování stávajícího spektra realizátorů vzdělávacího procesu z hlediska jejich veřejnoprávních, církevních a soukromých zřizovatelů.</w:t>
            </w:r>
          </w:p>
        </w:tc>
        <w:tc>
          <w:tcPr>
            <w:tcW w:w="249" w:type="dxa"/>
            <w:tcBorders>
              <w:top w:val="nil"/>
              <w:bottom w:val="nil"/>
            </w:tcBorders>
            <w:shd w:val="clear" w:color="auto" w:fill="66CCFF"/>
          </w:tcPr>
          <w:p w14:paraId="0C060182" w14:textId="77777777" w:rsidR="00DD3EFA" w:rsidRPr="005A0E7C" w:rsidRDefault="00DD3EFA">
            <w:pPr>
              <w:rPr>
                <w:b/>
              </w:rPr>
            </w:pPr>
          </w:p>
        </w:tc>
      </w:tr>
      <w:tr w:rsidR="00DD3EFA" w:rsidRPr="005A0E7C" w14:paraId="20BD5A63" w14:textId="77777777" w:rsidTr="00B15ECB">
        <w:trPr>
          <w:trHeight w:val="272"/>
        </w:trPr>
        <w:tc>
          <w:tcPr>
            <w:tcW w:w="249" w:type="dxa"/>
            <w:tcBorders>
              <w:top w:val="nil"/>
              <w:bottom w:val="nil"/>
              <w:right w:val="nil"/>
            </w:tcBorders>
            <w:shd w:val="clear" w:color="auto" w:fill="66CCFF"/>
          </w:tcPr>
          <w:p w14:paraId="5C3CDD42" w14:textId="77777777" w:rsidR="00DD3EFA" w:rsidRPr="005A0E7C" w:rsidRDefault="00DD3EFA">
            <w:pPr>
              <w:rPr>
                <w:b/>
              </w:rPr>
            </w:pPr>
          </w:p>
        </w:tc>
        <w:tc>
          <w:tcPr>
            <w:tcW w:w="2548" w:type="dxa"/>
            <w:tcBorders>
              <w:top w:val="single" w:sz="4" w:space="0" w:color="auto"/>
              <w:left w:val="nil"/>
              <w:bottom w:val="single" w:sz="4" w:space="0" w:color="auto"/>
              <w:right w:val="nil"/>
            </w:tcBorders>
            <w:shd w:val="clear" w:color="auto" w:fill="66CCFF"/>
          </w:tcPr>
          <w:p w14:paraId="26011461"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2779A31"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1163122F" w14:textId="77777777" w:rsidR="00DD3EFA" w:rsidRPr="005A0E7C" w:rsidRDefault="00DD3EFA">
            <w:pPr>
              <w:rPr>
                <w:b/>
              </w:rPr>
            </w:pPr>
          </w:p>
        </w:tc>
      </w:tr>
      <w:tr w:rsidR="00DD3EFA" w:rsidRPr="005A0E7C" w14:paraId="16ED67AC" w14:textId="77777777" w:rsidTr="00B15ECB">
        <w:trPr>
          <w:trHeight w:val="835"/>
        </w:trPr>
        <w:tc>
          <w:tcPr>
            <w:tcW w:w="249" w:type="dxa"/>
            <w:tcBorders>
              <w:top w:val="nil"/>
              <w:bottom w:val="nil"/>
            </w:tcBorders>
            <w:shd w:val="clear" w:color="auto" w:fill="66CCFF"/>
          </w:tcPr>
          <w:p w14:paraId="1B413C1E" w14:textId="77777777" w:rsidR="00DD3EFA" w:rsidRPr="005A0E7C" w:rsidRDefault="00DD3EFA">
            <w:pPr>
              <w:rPr>
                <w:b/>
              </w:rPr>
            </w:pPr>
          </w:p>
        </w:tc>
        <w:tc>
          <w:tcPr>
            <w:tcW w:w="2548" w:type="dxa"/>
            <w:tcBorders>
              <w:top w:val="single" w:sz="4" w:space="0" w:color="auto"/>
              <w:bottom w:val="single" w:sz="4" w:space="0" w:color="auto"/>
            </w:tcBorders>
            <w:shd w:val="clear" w:color="auto" w:fill="auto"/>
          </w:tcPr>
          <w:p w14:paraId="30AC0E8F"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53B75E9D"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3CB57EA2" w14:textId="77777777" w:rsidR="00DD3EFA" w:rsidRPr="005A0E7C" w:rsidRDefault="00DD3EFA" w:rsidP="00B15ECB">
            <w:pPr>
              <w:spacing w:before="60" w:after="60"/>
            </w:pPr>
            <w:r w:rsidRPr="005A0E7C">
              <w:t>Klíčovým strategickým dokumentem v oblasti vzdělávací politiky ČR je v současnosti účinná Strategie vzdělávací politiky České republiky do roku 2020, která je prováděna dílčími koncepčními  implementačními dokumenty (Dlouhodobý záměr vzdělávání a rozvoje vzdělávací soustavy České republiky na období 2015-2020, Rámec rozvoje vysokého školství do roku 2020, Dlouhodobý záměr vzdělávací a vědecké, výzkumné, vývojové a inovační, umělecké a další tvůrčí činnosti pro oblast vysokých škol na období 2016 – 2020, Strategie digitálního vzdělávání do roku 2020 atd.).</w:t>
            </w:r>
          </w:p>
          <w:p w14:paraId="19C7DF46" w14:textId="77777777" w:rsidR="00DD3EFA" w:rsidRPr="005A0E7C" w:rsidRDefault="00DD3EFA" w:rsidP="00B15ECB">
            <w:pPr>
              <w:spacing w:before="60" w:after="60"/>
            </w:pPr>
            <w:r w:rsidRPr="005A0E7C">
              <w:t>Strategie 2020 zahrnuje dílčí cíle: Posilovat společné prvky v oborech středního vzdělání, Udržet otevřený přístup k rozmanité nabídce terciárního vzdělání, Vytvářet podmínky pro snazší přechod absolventů na trh práce a Podporovat dostupnost a kvalitu dalšího vzdělávání, přičemž právě na tyto cíle návazuje předmětný specifický cíl NKR : Zlepšení výsledků vzdělávacího systému s ohledem na moderní kompetence a potřeby trhu práce, mimo jiné s ohledem na digitalizaci průmyslu a společnosti. Specifikace definovaného cíle NKR v kontextu návaznosti na účinnou Strategii 2020 vychází z její externí evaluace provedné v roce 2017 skupinou nezávislých expertů a dále pak definicí vize a dalších analytických vstupů přípravy Strategie vzdělávací politiky ČR do 2030+.</w:t>
            </w:r>
          </w:p>
        </w:tc>
        <w:tc>
          <w:tcPr>
            <w:tcW w:w="249" w:type="dxa"/>
            <w:tcBorders>
              <w:top w:val="nil"/>
              <w:bottom w:val="nil"/>
            </w:tcBorders>
            <w:shd w:val="clear" w:color="auto" w:fill="66CCFF"/>
          </w:tcPr>
          <w:p w14:paraId="23CD52C7" w14:textId="77777777" w:rsidR="00DD3EFA" w:rsidRPr="005A0E7C" w:rsidRDefault="00DD3EFA">
            <w:pPr>
              <w:rPr>
                <w:b/>
              </w:rPr>
            </w:pPr>
          </w:p>
        </w:tc>
      </w:tr>
      <w:tr w:rsidR="00DD3EFA" w:rsidRPr="005A0E7C" w14:paraId="51F6D98A" w14:textId="77777777" w:rsidTr="00B15ECB">
        <w:trPr>
          <w:trHeight w:val="377"/>
        </w:trPr>
        <w:tc>
          <w:tcPr>
            <w:tcW w:w="249" w:type="dxa"/>
            <w:tcBorders>
              <w:top w:val="nil"/>
              <w:bottom w:val="nil"/>
              <w:right w:val="nil"/>
            </w:tcBorders>
            <w:shd w:val="clear" w:color="auto" w:fill="66CCFF"/>
          </w:tcPr>
          <w:p w14:paraId="2CAF00FC" w14:textId="77777777" w:rsidR="00DD3EFA" w:rsidRPr="005A0E7C" w:rsidRDefault="00DD3EFA">
            <w:pPr>
              <w:rPr>
                <w:b/>
              </w:rPr>
            </w:pPr>
          </w:p>
        </w:tc>
        <w:tc>
          <w:tcPr>
            <w:tcW w:w="2548" w:type="dxa"/>
            <w:tcBorders>
              <w:top w:val="single" w:sz="4" w:space="0" w:color="auto"/>
              <w:left w:val="nil"/>
              <w:bottom w:val="single" w:sz="4" w:space="0" w:color="auto"/>
              <w:right w:val="nil"/>
            </w:tcBorders>
            <w:shd w:val="clear" w:color="auto" w:fill="66CCFF"/>
          </w:tcPr>
          <w:p w14:paraId="50C592A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698A321"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68B7103D" w14:textId="77777777" w:rsidR="00DD3EFA" w:rsidRPr="005A0E7C" w:rsidRDefault="00DD3EFA">
            <w:pPr>
              <w:rPr>
                <w:b/>
              </w:rPr>
            </w:pPr>
          </w:p>
        </w:tc>
      </w:tr>
      <w:tr w:rsidR="00DD3EFA" w:rsidRPr="005A0E7C" w14:paraId="0FAAAA57" w14:textId="77777777" w:rsidTr="00B15ECB">
        <w:trPr>
          <w:trHeight w:val="1202"/>
        </w:trPr>
        <w:tc>
          <w:tcPr>
            <w:tcW w:w="249" w:type="dxa"/>
            <w:tcBorders>
              <w:top w:val="nil"/>
              <w:bottom w:val="nil"/>
            </w:tcBorders>
            <w:shd w:val="clear" w:color="auto" w:fill="66CCFF"/>
          </w:tcPr>
          <w:p w14:paraId="060453C2" w14:textId="77777777" w:rsidR="00DD3EFA" w:rsidRPr="005A0E7C" w:rsidRDefault="00DD3EFA">
            <w:pPr>
              <w:rPr>
                <w:b/>
              </w:rPr>
            </w:pPr>
          </w:p>
        </w:tc>
        <w:tc>
          <w:tcPr>
            <w:tcW w:w="8526" w:type="dxa"/>
            <w:gridSpan w:val="2"/>
            <w:tcBorders>
              <w:top w:val="single" w:sz="4" w:space="0" w:color="auto"/>
              <w:bottom w:val="single" w:sz="4" w:space="0" w:color="auto"/>
            </w:tcBorders>
            <w:shd w:val="clear" w:color="auto" w:fill="FFFFFF" w:themeFill="background1"/>
          </w:tcPr>
          <w:p w14:paraId="6F0DFE09"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06D780D4"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14760BAD" w14:textId="77777777" w:rsidR="00DD3EFA" w:rsidRPr="005A0E7C" w:rsidRDefault="00DD3EFA">
            <w:pPr>
              <w:rPr>
                <w:b/>
              </w:rPr>
            </w:pPr>
          </w:p>
        </w:tc>
      </w:tr>
      <w:tr w:rsidR="00DD3EFA" w:rsidRPr="005A0E7C" w14:paraId="5BE6781D" w14:textId="77777777" w:rsidTr="00B15ECB">
        <w:trPr>
          <w:trHeight w:val="1202"/>
        </w:trPr>
        <w:tc>
          <w:tcPr>
            <w:tcW w:w="249" w:type="dxa"/>
            <w:tcBorders>
              <w:top w:val="nil"/>
              <w:bottom w:val="nil"/>
            </w:tcBorders>
            <w:shd w:val="clear" w:color="auto" w:fill="66CCFF"/>
          </w:tcPr>
          <w:p w14:paraId="215591D1" w14:textId="77777777" w:rsidR="00DD3EFA" w:rsidRPr="005A0E7C" w:rsidRDefault="00DD3EFA">
            <w:pPr>
              <w:rPr>
                <w:b/>
              </w:rPr>
            </w:pPr>
          </w:p>
        </w:tc>
        <w:tc>
          <w:tcPr>
            <w:tcW w:w="2548" w:type="dxa"/>
            <w:tcBorders>
              <w:bottom w:val="single" w:sz="4" w:space="0" w:color="auto"/>
            </w:tcBorders>
            <w:shd w:val="clear" w:color="auto" w:fill="FFFFFF" w:themeFill="background1"/>
          </w:tcPr>
          <w:p w14:paraId="6AC7B9F8"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Územní dimenze</w:t>
            </w:r>
          </w:p>
          <w:p w14:paraId="0B363E0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AF671C7" w14:textId="77777777" w:rsidR="00DD3EFA" w:rsidRPr="005A0E7C" w:rsidRDefault="00DD3EFA">
            <w:pPr>
              <w:rPr>
                <w:iCs/>
              </w:rPr>
            </w:pPr>
            <w:r w:rsidRPr="005A0E7C">
              <w:rPr>
                <w:iCs/>
              </w:rPr>
              <w:t xml:space="preserve">V oblasti vysokého školství územní dimenze nehraje významnou roli, je účelné podporovat všechny kraje. V oblasti regionálního školství se pecifika jednotlivých krajů v oblasti potřeb, problémů i kapacit vzdělávacího systémů odlišují, ale i přesto lze identifikovat obecné trendy a systematické pravidelnosti spojené se vzdělávacími systémy krajů. </w:t>
            </w:r>
            <w:r w:rsidRPr="005A0E7C">
              <w:t>Mezikrajové rozdíly jsou patrné z hodnocení výsledků vzdělávání</w:t>
            </w:r>
            <w:r w:rsidRPr="005A0E7C">
              <w:rPr>
                <w:iCs/>
              </w:rPr>
              <w:t xml:space="preserve"> pomocí reprezentativního testování (PISA, TIMMS, PIRLS), popř. realizace jednotného přijímacího řízení na střední školy, společné části maturitní zkoušky atd., poukazují na zásadní problémy vzdělávacích systémů především ve strukturálně postižených regionech – Karlovarském, Ústeckém, Moravskoslezském kraji, ale i dalších. Lze rovněž konstatovat, že tamější žáci dlouhodobě dosahují průměrně horších výsledků, než by měli mít např. dle indexu ekonomického, sociálního a kulturního statusu, popř. jiných ukazatelů.  Zásadní odlišnosti je potřeba hledat rovněž ve struktuře na úrovni středního vzdělávání v jednotlivých krajích. Typicky jde o podíl všeobecné (gymnázia, doplňkově lycea) vůči odborné větvi vzdělávání, kdy některé kraje vykazují vyšší zastoupení všeobecného středního vzdělávání v populaci (např. Praha a Jihomoravský kraj mají nadprůměrné zastoupení všeobecné větve, naopak např. Ústecký a Liberecký kraj podprůměrný). Dále rovněž v rámci struktury středního odborného školství, kde existují kraje s nadprůměrným zastoupením učňovského školství (Liberecký, Karlovarský, Ústecký kraj), tak s nadprůměrným zastoupením oborů středního odborného vzdělání s maturitní zkouškou. V tomto ohledu je třeba zaměřit se na ty školy, které lze v rámci systému pomocí dílčích indikátorů označit jako ty vyžadující specifickou podporu.</w:t>
            </w:r>
          </w:p>
          <w:p w14:paraId="1B77B3F7" w14:textId="77777777" w:rsidR="00DD3EFA" w:rsidRPr="005A0E7C" w:rsidRDefault="00DD3EFA">
            <w:pPr>
              <w:rPr>
                <w:iCs/>
              </w:rPr>
            </w:pPr>
          </w:p>
        </w:tc>
        <w:tc>
          <w:tcPr>
            <w:tcW w:w="249" w:type="dxa"/>
            <w:tcBorders>
              <w:top w:val="nil"/>
              <w:bottom w:val="nil"/>
            </w:tcBorders>
            <w:shd w:val="clear" w:color="auto" w:fill="66CCFF"/>
          </w:tcPr>
          <w:p w14:paraId="5A3FC7F2" w14:textId="77777777" w:rsidR="00DD3EFA" w:rsidRPr="005A0E7C" w:rsidRDefault="00DD3EFA">
            <w:pPr>
              <w:rPr>
                <w:b/>
              </w:rPr>
            </w:pPr>
          </w:p>
        </w:tc>
      </w:tr>
      <w:tr w:rsidR="00DD3EFA" w:rsidRPr="005A0E7C" w14:paraId="2252F2C2" w14:textId="77777777" w:rsidTr="00B15ECB">
        <w:trPr>
          <w:trHeight w:val="1202"/>
        </w:trPr>
        <w:tc>
          <w:tcPr>
            <w:tcW w:w="249" w:type="dxa"/>
            <w:tcBorders>
              <w:top w:val="nil"/>
              <w:bottom w:val="nil"/>
            </w:tcBorders>
            <w:shd w:val="clear" w:color="auto" w:fill="66CCFF"/>
          </w:tcPr>
          <w:p w14:paraId="339ACB46" w14:textId="77777777" w:rsidR="00DD3EFA" w:rsidRPr="005A0E7C" w:rsidRDefault="00DD3EFA">
            <w:pPr>
              <w:rPr>
                <w:b/>
              </w:rPr>
            </w:pPr>
          </w:p>
        </w:tc>
        <w:tc>
          <w:tcPr>
            <w:tcW w:w="2548" w:type="dxa"/>
            <w:tcBorders>
              <w:bottom w:val="single" w:sz="4" w:space="0" w:color="auto"/>
            </w:tcBorders>
            <w:shd w:val="clear" w:color="auto" w:fill="FFFFFF" w:themeFill="background1"/>
          </w:tcPr>
          <w:p w14:paraId="547514FE"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Adaptace na změnu klimatu</w:t>
            </w:r>
          </w:p>
          <w:p w14:paraId="2AB348F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B01F1E9" w14:textId="77777777" w:rsidR="00DD3EFA" w:rsidRPr="005A0E7C" w:rsidRDefault="00DD3EFA">
            <w:pPr>
              <w:spacing w:before="60" w:after="60"/>
              <w:rPr>
                <w:rFonts w:eastAsiaTheme="majorEastAsia"/>
              </w:rPr>
            </w:pPr>
            <w:r w:rsidRPr="005A0E7C">
              <w:rPr>
                <w:rFonts w:eastAsiaTheme="majorEastAsia"/>
              </w:rPr>
              <w:t xml:space="preserve">Aktivity specifického cíle budou vést k vyšším kompetencím dětí, žáků a studentů v oblasti udržitelného rozvoje. </w:t>
            </w:r>
          </w:p>
        </w:tc>
        <w:tc>
          <w:tcPr>
            <w:tcW w:w="249" w:type="dxa"/>
            <w:tcBorders>
              <w:top w:val="nil"/>
              <w:bottom w:val="nil"/>
            </w:tcBorders>
            <w:shd w:val="clear" w:color="auto" w:fill="66CCFF"/>
          </w:tcPr>
          <w:p w14:paraId="54AA3F80" w14:textId="77777777" w:rsidR="00DD3EFA" w:rsidRPr="005A0E7C" w:rsidRDefault="00DD3EFA">
            <w:pPr>
              <w:rPr>
                <w:b/>
              </w:rPr>
            </w:pPr>
          </w:p>
        </w:tc>
      </w:tr>
      <w:tr w:rsidR="00DD3EFA" w:rsidRPr="005A0E7C" w14:paraId="04A26CED" w14:textId="77777777" w:rsidTr="00B15ECB">
        <w:trPr>
          <w:trHeight w:val="1202"/>
        </w:trPr>
        <w:tc>
          <w:tcPr>
            <w:tcW w:w="249" w:type="dxa"/>
            <w:tcBorders>
              <w:top w:val="nil"/>
              <w:bottom w:val="nil"/>
            </w:tcBorders>
            <w:shd w:val="clear" w:color="auto" w:fill="66CCFF"/>
          </w:tcPr>
          <w:p w14:paraId="6337CD79" w14:textId="77777777" w:rsidR="00DD3EFA" w:rsidRPr="005A0E7C" w:rsidRDefault="00DD3EFA">
            <w:pPr>
              <w:rPr>
                <w:b/>
              </w:rPr>
            </w:pPr>
          </w:p>
        </w:tc>
        <w:tc>
          <w:tcPr>
            <w:tcW w:w="2548" w:type="dxa"/>
            <w:tcBorders>
              <w:bottom w:val="single" w:sz="4" w:space="0" w:color="auto"/>
            </w:tcBorders>
            <w:shd w:val="clear" w:color="auto" w:fill="FFFFFF" w:themeFill="background1"/>
          </w:tcPr>
          <w:p w14:paraId="6ED2825B"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Společnost 4.0.</w:t>
            </w:r>
          </w:p>
          <w:p w14:paraId="1CDFD06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149BB54" w14:textId="77777777" w:rsidR="00DD3EFA" w:rsidRPr="005A0E7C" w:rsidRDefault="00DD3EFA">
            <w:r w:rsidRPr="005A0E7C">
              <w:t>Z hlediska agendy Společnosti 4.0 jsou v této oblasti klíčové specifický rozvoj digitálních kompetencí a informatického myšlení žáků, podpora digitální gramotnosti na všech úrovních vzdělávání a posílení role digitálních technologií ve vzdělávání. Důležitou součástí je také popsaný rozvoj klíčových kompetencí na všech úrovních vzdělávání. Nepostradatelným prvkem je pak samozřejmě rozvoj digitální infrastruktury ve školách. Všechny tyto cíle jsou obsaženy v Akčním plánu pro Společnost 4.0.</w:t>
            </w:r>
          </w:p>
        </w:tc>
        <w:tc>
          <w:tcPr>
            <w:tcW w:w="249" w:type="dxa"/>
            <w:tcBorders>
              <w:top w:val="nil"/>
              <w:bottom w:val="nil"/>
            </w:tcBorders>
            <w:shd w:val="clear" w:color="auto" w:fill="66CCFF"/>
          </w:tcPr>
          <w:p w14:paraId="14A47829" w14:textId="77777777" w:rsidR="00DD3EFA" w:rsidRPr="005A0E7C" w:rsidRDefault="00DD3EFA">
            <w:pPr>
              <w:rPr>
                <w:b/>
              </w:rPr>
            </w:pPr>
          </w:p>
        </w:tc>
      </w:tr>
      <w:tr w:rsidR="00DD3EFA" w:rsidRPr="005A0E7C" w14:paraId="129DAA6C" w14:textId="77777777" w:rsidTr="00B15ECB">
        <w:trPr>
          <w:trHeight w:val="1202"/>
        </w:trPr>
        <w:tc>
          <w:tcPr>
            <w:tcW w:w="249" w:type="dxa"/>
            <w:tcBorders>
              <w:top w:val="nil"/>
              <w:bottom w:val="nil"/>
            </w:tcBorders>
            <w:shd w:val="clear" w:color="auto" w:fill="66CCFF"/>
          </w:tcPr>
          <w:p w14:paraId="66398421" w14:textId="77777777" w:rsidR="00DD3EFA" w:rsidRPr="005A0E7C" w:rsidRDefault="00DD3EFA">
            <w:pPr>
              <w:rPr>
                <w:b/>
              </w:rPr>
            </w:pPr>
          </w:p>
        </w:tc>
        <w:tc>
          <w:tcPr>
            <w:tcW w:w="2548" w:type="dxa"/>
            <w:tcBorders>
              <w:bottom w:val="single" w:sz="4" w:space="0" w:color="auto"/>
            </w:tcBorders>
            <w:shd w:val="clear" w:color="auto" w:fill="FFFFFF" w:themeFill="background1"/>
          </w:tcPr>
          <w:p w14:paraId="478EE37E"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Vazba na megatrendy</w:t>
            </w:r>
          </w:p>
          <w:p w14:paraId="4FBA3C2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6A19249" w14:textId="77777777" w:rsidR="00DD3EFA" w:rsidRPr="005A0E7C" w:rsidRDefault="00DD3EFA" w:rsidP="00B15ECB">
            <w:pPr>
              <w:spacing w:before="60" w:after="60"/>
              <w:rPr>
                <w:rFonts w:eastAsiaTheme="majorEastAsia"/>
              </w:rPr>
            </w:pPr>
            <w:r w:rsidRPr="005A0E7C">
              <w:t>Oblast spadající pod tento specifický cíl</w:t>
            </w:r>
            <w:r w:rsidRPr="005A0E7C">
              <w:rPr>
                <w:rFonts w:eastAsiaTheme="majorEastAsia"/>
                <w:i/>
              </w:rPr>
              <w:t xml:space="preserve"> </w:t>
            </w:r>
            <w:r w:rsidRPr="005A0E7C">
              <w:rPr>
                <w:rFonts w:eastAsiaTheme="majorEastAsia"/>
              </w:rPr>
              <w:t>má přímou vazbu na všech 5 hlavních megatrendů, konkrétně Sociální, Technologický, Ekonomický, Environmentální a Politický. Zejména pak prostřednictvím oblastí, respektive trendů reagujících na zvyšující se rychlost technologické změny, zvyšující se dostupnost technologií, virtualizace světa, rostoucí přístup k informacím, demokratizace společnosti, nebo změnu klimatu a její dopady.</w:t>
            </w:r>
          </w:p>
        </w:tc>
        <w:tc>
          <w:tcPr>
            <w:tcW w:w="249" w:type="dxa"/>
            <w:tcBorders>
              <w:top w:val="nil"/>
              <w:bottom w:val="nil"/>
            </w:tcBorders>
            <w:shd w:val="clear" w:color="auto" w:fill="66CCFF"/>
          </w:tcPr>
          <w:p w14:paraId="6F75BB41" w14:textId="77777777" w:rsidR="00DD3EFA" w:rsidRPr="005A0E7C" w:rsidRDefault="00DD3EFA">
            <w:pPr>
              <w:rPr>
                <w:b/>
              </w:rPr>
            </w:pPr>
          </w:p>
        </w:tc>
      </w:tr>
      <w:tr w:rsidR="00DD3EFA" w:rsidRPr="005A0E7C" w14:paraId="6AE23BD6" w14:textId="77777777" w:rsidTr="00B15ECB">
        <w:trPr>
          <w:trHeight w:val="1202"/>
        </w:trPr>
        <w:tc>
          <w:tcPr>
            <w:tcW w:w="249" w:type="dxa"/>
            <w:tcBorders>
              <w:top w:val="nil"/>
              <w:bottom w:val="nil"/>
            </w:tcBorders>
            <w:shd w:val="clear" w:color="auto" w:fill="66CCFF"/>
          </w:tcPr>
          <w:p w14:paraId="459FA3D0" w14:textId="77777777" w:rsidR="00DD3EFA" w:rsidRPr="005A0E7C" w:rsidRDefault="00DD3EFA">
            <w:pPr>
              <w:rPr>
                <w:b/>
              </w:rPr>
            </w:pPr>
          </w:p>
        </w:tc>
        <w:tc>
          <w:tcPr>
            <w:tcW w:w="2548" w:type="dxa"/>
            <w:tcBorders>
              <w:bottom w:val="single" w:sz="4" w:space="0" w:color="auto"/>
            </w:tcBorders>
            <w:shd w:val="clear" w:color="auto" w:fill="FFFFFF" w:themeFill="background1"/>
          </w:tcPr>
          <w:p w14:paraId="185C2D58"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3444716" w14:textId="77777777" w:rsidR="00DD3EFA" w:rsidRPr="005A0E7C" w:rsidRDefault="00DD3EFA" w:rsidP="00B15ECB">
            <w:pPr>
              <w:spacing w:before="60" w:after="60"/>
              <w:rPr>
                <w:rFonts w:eastAsiaTheme="majorEastAsia"/>
                <w:b/>
              </w:rPr>
            </w:pPr>
            <w:r w:rsidRPr="005A0E7C">
              <w:rPr>
                <w:rFonts w:eastAsiaTheme="majorEastAsia"/>
                <w:b/>
              </w:rPr>
              <w:t>Politický cíl ON:</w:t>
            </w:r>
          </w:p>
          <w:p w14:paraId="0D67E0BA" w14:textId="3E8B3A66" w:rsidR="00DD3EFA" w:rsidRPr="005A0E7C" w:rsidRDefault="00DD3EFA" w:rsidP="00B15ECB">
            <w:pPr>
              <w:spacing w:before="60" w:after="60"/>
              <w:rPr>
                <w:rFonts w:eastAsiaTheme="majorEastAsia"/>
              </w:rPr>
            </w:pPr>
            <w:r w:rsidRPr="005A0E7C">
              <w:rPr>
                <w:rFonts w:eastAsiaTheme="majorEastAsia"/>
              </w:rPr>
              <w:t xml:space="preserve">Sociálnější Evropa díky provádějí </w:t>
            </w:r>
            <w:r w:rsidR="001D74D4" w:rsidRPr="005A0E7C">
              <w:rPr>
                <w:rFonts w:eastAsiaTheme="majorEastAsia"/>
              </w:rPr>
              <w:t>evropského</w:t>
            </w:r>
            <w:r w:rsidRPr="005A0E7C">
              <w:rPr>
                <w:rFonts w:eastAsiaTheme="majorEastAsia"/>
              </w:rPr>
              <w:t xml:space="preserve"> pilíře sociálních práv</w:t>
            </w:r>
          </w:p>
          <w:p w14:paraId="6524E8DB" w14:textId="77777777" w:rsidR="00DD3EFA" w:rsidRPr="005A0E7C" w:rsidRDefault="00DD3EFA" w:rsidP="00B15ECB">
            <w:pPr>
              <w:spacing w:before="60" w:after="60"/>
              <w:rPr>
                <w:rFonts w:eastAsiaTheme="majorEastAsia"/>
                <w:b/>
              </w:rPr>
            </w:pPr>
            <w:r w:rsidRPr="005A0E7C">
              <w:rPr>
                <w:rFonts w:eastAsiaTheme="majorEastAsia"/>
                <w:b/>
              </w:rPr>
              <w:t>Specifické cíle ESF+:</w:t>
            </w:r>
          </w:p>
          <w:p w14:paraId="5405F69E" w14:textId="77777777" w:rsidR="00DD3EFA" w:rsidRPr="005A0E7C" w:rsidRDefault="00DD3EFA" w:rsidP="00B15ECB">
            <w:pPr>
              <w:spacing w:before="60" w:after="60"/>
              <w:rPr>
                <w:rFonts w:eastAsiaTheme="majorEastAsia"/>
              </w:rPr>
            </w:pPr>
            <w:r w:rsidRPr="005A0E7C">
              <w:rPr>
                <w:rFonts w:eastAsiaTheme="majorEastAsia"/>
              </w:rPr>
              <w:t>IV) zvýšit kvalitu, účinnost a relevantnost systémů vzdělávání a odborné přípravy na trhu práce, aby se podařilo získávání klíčových kompetencí včetně digitálních dovedností</w:t>
            </w:r>
          </w:p>
          <w:p w14:paraId="03D2FC2B" w14:textId="54502851" w:rsidR="00DD3EFA" w:rsidRPr="005A0E7C" w:rsidRDefault="00DD3EFA" w:rsidP="00B15ECB">
            <w:pPr>
              <w:spacing w:before="60" w:after="60"/>
              <w:rPr>
                <w:rFonts w:eastAsiaTheme="majorEastAsia"/>
              </w:rPr>
            </w:pPr>
            <w:r w:rsidRPr="005A0E7C">
              <w:rPr>
                <w:rFonts w:eastAsiaTheme="majorEastAsia"/>
              </w:rPr>
              <w:t xml:space="preserve">V) podporovat rovný přístup ke kvalitnímu a inkluzivnímu vzdělávání a odborné přípravy a jejich úspěšnému ukončení, a to zejména pro znevýhodněné skupiny, od předškolního vzdělávání a péče, přes všeobecné vzdělávání a odborné vzdělávání a přípravu až po terciární úroveň, jakož i vzdělávání a </w:t>
            </w:r>
            <w:r w:rsidR="001D74D4" w:rsidRPr="005A0E7C">
              <w:rPr>
                <w:rFonts w:eastAsiaTheme="majorEastAsia"/>
              </w:rPr>
              <w:t>studium</w:t>
            </w:r>
            <w:r w:rsidRPr="005A0E7C">
              <w:rPr>
                <w:rFonts w:eastAsiaTheme="majorEastAsia"/>
              </w:rPr>
              <w:t xml:space="preserve"> dospělých včetně usnadnění vzdělávací mobility pro všechny</w:t>
            </w:r>
          </w:p>
          <w:p w14:paraId="5020BF42" w14:textId="77777777" w:rsidR="00DD3EFA" w:rsidRPr="005A0E7C" w:rsidRDefault="00DD3EFA" w:rsidP="00B15ECB">
            <w:pPr>
              <w:spacing w:before="60" w:after="60"/>
              <w:rPr>
                <w:rFonts w:eastAsiaTheme="majorEastAsia"/>
                <w:i/>
              </w:rPr>
            </w:pPr>
            <w:r w:rsidRPr="005A0E7C">
              <w:rPr>
                <w:rFonts w:eastAsiaTheme="majorEastAsia"/>
              </w:rPr>
              <w:t>VI) podporovat celoživotní učení, zejména flexibilní možnosti rozšiřování dovedností a rekvalifikace pro všechny s ohledem na digitální dovednosti, lépe předvídat změny a nové požadavky na dovednosti vycházející z potřeb trhu práce, usnadnit přechody mezi zaměstnáními a podporovat profesní mobilitu.</w:t>
            </w:r>
          </w:p>
        </w:tc>
        <w:tc>
          <w:tcPr>
            <w:tcW w:w="249" w:type="dxa"/>
            <w:tcBorders>
              <w:top w:val="nil"/>
              <w:bottom w:val="nil"/>
            </w:tcBorders>
            <w:shd w:val="clear" w:color="auto" w:fill="66CCFF"/>
          </w:tcPr>
          <w:p w14:paraId="13562550" w14:textId="77777777" w:rsidR="00DD3EFA" w:rsidRPr="005A0E7C" w:rsidRDefault="00DD3EFA">
            <w:pPr>
              <w:rPr>
                <w:b/>
              </w:rPr>
            </w:pPr>
          </w:p>
        </w:tc>
      </w:tr>
      <w:tr w:rsidR="00DD3EFA" w:rsidRPr="005A0E7C" w14:paraId="7EA4661F" w14:textId="77777777" w:rsidTr="00B15ECB">
        <w:trPr>
          <w:trHeight w:val="1202"/>
        </w:trPr>
        <w:tc>
          <w:tcPr>
            <w:tcW w:w="249" w:type="dxa"/>
            <w:tcBorders>
              <w:top w:val="nil"/>
              <w:bottom w:val="nil"/>
            </w:tcBorders>
            <w:shd w:val="clear" w:color="auto" w:fill="66CCFF"/>
          </w:tcPr>
          <w:p w14:paraId="041E6F6A" w14:textId="77777777" w:rsidR="00DD3EFA" w:rsidRPr="005A0E7C" w:rsidRDefault="00DD3EFA">
            <w:pPr>
              <w:rPr>
                <w:b/>
              </w:rPr>
            </w:pPr>
          </w:p>
        </w:tc>
        <w:tc>
          <w:tcPr>
            <w:tcW w:w="2548" w:type="dxa"/>
            <w:tcBorders>
              <w:bottom w:val="single" w:sz="4" w:space="0" w:color="auto"/>
            </w:tcBorders>
            <w:shd w:val="clear" w:color="auto" w:fill="FFFFFF" w:themeFill="background1"/>
          </w:tcPr>
          <w:p w14:paraId="1EA4F3ED"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392E8A56" w14:textId="77777777" w:rsidR="00DD3EFA" w:rsidRPr="005A0E7C" w:rsidRDefault="00DD3EFA" w:rsidP="00B15ECB">
            <w:pPr>
              <w:spacing w:before="60" w:after="60"/>
              <w:rPr>
                <w:rFonts w:eastAsiaTheme="majorEastAsia"/>
                <w:i/>
              </w:rPr>
            </w:pPr>
            <w:r w:rsidRPr="005A0E7C">
              <w:rPr>
                <w:rFonts w:eastAsiaTheme="majorEastAsia"/>
              </w:rPr>
              <w:t xml:space="preserve">Cíl řeší jedno specifické doporučení rady cílící na podporu kvality odborného vzdělávání. Z doporučení (z roku 2018) lze uvést následující. „S ohledem na rostoucí omezení na českém trhu práce má zásadní význam kvalitní inkluzivní vzdělávání a odborná příprava“. Podpora odborného vzdělávání je specifickým cílem reflektována ve dvou rovinách, a to jak ve vztahu k samotným žákům a studentům, tak ve vztahu k přípravě a dalšímu vzdělávání pedagogických pracovníků. </w:t>
            </w:r>
          </w:p>
        </w:tc>
        <w:tc>
          <w:tcPr>
            <w:tcW w:w="249" w:type="dxa"/>
            <w:tcBorders>
              <w:top w:val="nil"/>
              <w:bottom w:val="nil"/>
            </w:tcBorders>
            <w:shd w:val="clear" w:color="auto" w:fill="66CCFF"/>
          </w:tcPr>
          <w:p w14:paraId="497DEAC5" w14:textId="77777777" w:rsidR="00DD3EFA" w:rsidRPr="005A0E7C" w:rsidRDefault="00DD3EFA">
            <w:pPr>
              <w:rPr>
                <w:b/>
              </w:rPr>
            </w:pPr>
          </w:p>
        </w:tc>
      </w:tr>
      <w:tr w:rsidR="00DD3EFA" w:rsidRPr="005A0E7C" w14:paraId="44394998" w14:textId="77777777" w:rsidTr="00B15ECB">
        <w:trPr>
          <w:trHeight w:val="180"/>
        </w:trPr>
        <w:tc>
          <w:tcPr>
            <w:tcW w:w="249" w:type="dxa"/>
            <w:tcBorders>
              <w:top w:val="nil"/>
              <w:bottom w:val="nil"/>
              <w:right w:val="nil"/>
            </w:tcBorders>
            <w:shd w:val="clear" w:color="auto" w:fill="66CCFF"/>
          </w:tcPr>
          <w:p w14:paraId="03EEBC4F" w14:textId="77777777" w:rsidR="00DD3EFA" w:rsidRPr="005A0E7C" w:rsidRDefault="00DD3EFA">
            <w:pPr>
              <w:rPr>
                <w:b/>
              </w:rPr>
            </w:pPr>
          </w:p>
        </w:tc>
        <w:tc>
          <w:tcPr>
            <w:tcW w:w="2548" w:type="dxa"/>
            <w:tcBorders>
              <w:left w:val="nil"/>
              <w:right w:val="nil"/>
            </w:tcBorders>
            <w:shd w:val="clear" w:color="auto" w:fill="66CCFF"/>
          </w:tcPr>
          <w:p w14:paraId="78BADEB7" w14:textId="77777777" w:rsidR="00DD3EFA" w:rsidRPr="005A0E7C" w:rsidRDefault="00DD3EFA" w:rsidP="00B15ECB">
            <w:pPr>
              <w:rPr>
                <w:b/>
              </w:rPr>
            </w:pPr>
          </w:p>
        </w:tc>
        <w:tc>
          <w:tcPr>
            <w:tcW w:w="5978" w:type="dxa"/>
            <w:tcBorders>
              <w:left w:val="nil"/>
              <w:right w:val="nil"/>
            </w:tcBorders>
            <w:shd w:val="clear" w:color="auto" w:fill="66CCFF"/>
          </w:tcPr>
          <w:p w14:paraId="33FEFF47" w14:textId="77777777" w:rsidR="00DD3EFA" w:rsidRPr="005A0E7C" w:rsidRDefault="00DD3EFA" w:rsidP="00B15ECB">
            <w:pPr>
              <w:rPr>
                <w:b/>
              </w:rPr>
            </w:pPr>
          </w:p>
        </w:tc>
        <w:tc>
          <w:tcPr>
            <w:tcW w:w="249" w:type="dxa"/>
            <w:tcBorders>
              <w:top w:val="nil"/>
              <w:left w:val="nil"/>
              <w:bottom w:val="nil"/>
            </w:tcBorders>
            <w:shd w:val="clear" w:color="auto" w:fill="66CCFF"/>
          </w:tcPr>
          <w:p w14:paraId="589416BE" w14:textId="77777777" w:rsidR="00DD3EFA" w:rsidRPr="005A0E7C" w:rsidRDefault="00DD3EFA">
            <w:pPr>
              <w:rPr>
                <w:b/>
              </w:rPr>
            </w:pPr>
          </w:p>
        </w:tc>
      </w:tr>
      <w:tr w:rsidR="00DD3EFA" w:rsidRPr="005A0E7C" w14:paraId="1F6C0A85" w14:textId="77777777" w:rsidTr="00B15ECB">
        <w:trPr>
          <w:trHeight w:val="938"/>
        </w:trPr>
        <w:tc>
          <w:tcPr>
            <w:tcW w:w="249" w:type="dxa"/>
            <w:tcBorders>
              <w:top w:val="nil"/>
              <w:bottom w:val="nil"/>
            </w:tcBorders>
            <w:shd w:val="clear" w:color="auto" w:fill="66CCFF"/>
          </w:tcPr>
          <w:p w14:paraId="64C92C80" w14:textId="77777777" w:rsidR="00DD3EFA" w:rsidRPr="005A0E7C" w:rsidRDefault="00DD3EFA">
            <w:pPr>
              <w:rPr>
                <w:b/>
              </w:rPr>
            </w:pPr>
          </w:p>
        </w:tc>
        <w:tc>
          <w:tcPr>
            <w:tcW w:w="2548" w:type="dxa"/>
            <w:tcBorders>
              <w:bottom w:val="single" w:sz="4" w:space="0" w:color="auto"/>
            </w:tcBorders>
            <w:shd w:val="clear" w:color="auto" w:fill="FFFFFF" w:themeFill="background1"/>
          </w:tcPr>
          <w:p w14:paraId="14BD1401"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34B51440"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21D6A355"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iCs/>
                <w:noProof/>
              </w:rPr>
            </w:pPr>
            <w:r w:rsidRPr="005A0E7C">
              <w:rPr>
                <w:rFonts w:ascii="Times New Roman" w:eastAsiaTheme="minorHAnsi" w:hAnsi="Times New Roman"/>
                <w:iCs/>
                <w:noProof/>
              </w:rPr>
              <w:t>Na počátku roku 2019 byla zahájena příprava Strategie vzdělávací politiky ČR do roku 2030+ (dále jen „Strategie 2030+“) jako samostatný projekt MŠMT, jehož cílem je definice vize, priorit, cílů a opatření pro oblast vzdělávacího systému a vzdělávací politiky v ČR pro období do roku 2030 a následujících. Dokument bude rovněž sloužit jako základní rámec pro oblast strategického řízení vzdělávacího systému ČR v kontextu realizace jím definovaného strategického směřování s konkrétním a transparentním vymezením působnosti dílčích aktérů. Dokument je vytvářen interakcí externí expertní skupiny – jmenované ministrem školství, mládeže a tělovýchovy, která je složená z vybraných osobností z řad odborné veřejnosti s prokazatelnou erudicí v oblasti vzdělávání a vzdělávacích politik – interní pracovní skupiny a dále prostřednictvím externích veřejných a interních konzultací.</w:t>
            </w:r>
          </w:p>
          <w:p w14:paraId="4244C3AD"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iCs/>
                <w:noProof/>
              </w:rPr>
            </w:pPr>
            <w:r w:rsidRPr="005A0E7C">
              <w:rPr>
                <w:rFonts w:ascii="Times New Roman" w:eastAsiaTheme="minorHAnsi" w:hAnsi="Times New Roman"/>
                <w:iCs/>
                <w:noProof/>
              </w:rPr>
              <w:t xml:space="preserve">Jako implementační dokumenty Strategie 2030 budou obdobně jako v případě Strategie vzdělávací politiky ČR do roku 2020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w:t>
            </w:r>
          </w:p>
          <w:p w14:paraId="6313AED8"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iCs/>
                <w:noProof/>
              </w:rPr>
            </w:pPr>
            <w:r w:rsidRPr="005A0E7C">
              <w:rPr>
                <w:rFonts w:ascii="Times New Roman" w:eastAsiaTheme="minorHAnsi" w:hAnsi="Times New Roman"/>
                <w:iCs/>
                <w:noProof/>
              </w:rPr>
              <w:t>Z důvodu zajištění kontinuity a návazností musí příprava Strategie 2030 respektovat existenci v době přípravy již účinného Dlouhodobého záměru vzdělávání a rozvoje vzdělávací soustavy České republiky na období 2019 – 2023. Dlouhodobý záměr vzdělávání a rozvoje vzdělávací soustavy České republiky na období 2019 – 2023 bude schválen v dubnu roku 2019 a na dané období zajistí pokračování v implementaci stávající Strategie vzdělávací politiky ČR do roku 2020 za reflexe jejího externího vyhodnocení a vytvoří výchozí rámec pro Strategii vzdělávací politiky ČR do roku 2030. Druhý z dokumentů, Dlouhodobý záměr vzdělávací a vědecké, výzkumné, vývojové a inovační, umělecké a další tvůrčí činnosti pro oblast vysokých škol na období 2016-2020 (DZ pro oblast vysokých škol 2016-2020) je klíčovým strategickým vymezujícím priority a hlavní plánovaná opatření v oblasti vysokoškolské politiky na dané období. DZ pro oblast vysokých škol je současně jedním z hlavních implementačních dokumentů Strategie 2020, která je zastřešujícím strategickým dokumentem vymezujícím základní východiska pro dlouhodobé záměry všech stupňů vzdělávacího systému, včetně vysokého školství. V průběhu roku 2019 budou intenzivně probíhat přípravy DZ pro oblast vysokých škol na další programové období. Stanovené cíle a opatření budou plnně v souladu se vznikající Strategií 2030 a budou vznikat v aktivní  spolupráci s reprezentacemi vysokých škol a dalších experu na vzdělávací politiku.</w:t>
            </w:r>
          </w:p>
          <w:p w14:paraId="05277CFF"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iCs/>
                <w:noProof/>
              </w:rPr>
            </w:pPr>
            <w:r w:rsidRPr="005A0E7C">
              <w:rPr>
                <w:rFonts w:ascii="Times New Roman" w:eastAsiaTheme="minorHAnsi" w:hAnsi="Times New Roman"/>
                <w:iCs/>
                <w:noProof/>
              </w:rPr>
              <w:t>Cíle tvorby Strategie 2030 spočívají ve stanovení strategické linie pro rozvoj vzdělávání v ČR a to na všech stupních; vytvoření mandátu a mantinelů pro tvorbu dlouhodobých záměrů a dalších strategických a koncepčních dokumentů ministerstva a dlouhodobých záměrů vyšších územně-samosprávných celků a obcí v oblasti regionálního školství a vysokých škol; stanoví priority pro financování rozvoje vzdělávání ze státního rozpočtu; vytvoří podklad pro výhled legislativních prací v resortu školství; nastaví rámcovou strukturu strategického řízení v oblasti vzdělávací politiky v ČR; vytvoří mandát pro vyjednávání nového programovacího/kohezního období a stanoví priority čerpání prostředků ze strukturálních fondů.</w:t>
            </w:r>
          </w:p>
          <w:p w14:paraId="56F30506"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iCs/>
                <w:noProof/>
              </w:rPr>
            </w:pPr>
            <w:r w:rsidRPr="005A0E7C">
              <w:rPr>
                <w:rFonts w:ascii="Times New Roman" w:eastAsiaTheme="minorHAnsi" w:hAnsi="Times New Roman"/>
                <w:iCs/>
                <w:noProof/>
              </w:rPr>
              <w:t xml:space="preserve">Strategie 2030+ bude vytvořena ze tří částí: jádrový dokument definující vizi, priority a cíle vzdělávací politiky, včetně jejich rámcového odůvodnění, popř. nastínění kontextu jejich selekce na základě analytické části dokumentu, tato část dokumentu bude vycházet z materiálu Hlavní směry vzdělávací politiky ČR 2030 (viz níže), a dále výčet opatření k naplnění dílčích priorit a cílů; analytická část Strategie 2030 jako soubor podkladů a vstupů rozvíjející odůvodnění zvolených priorit a cílů s reflexí možných opatření, která bude vycházet z relevantních poznatků výzkumu a interpretace dat, přičemž vše bude sloužit jako klíčový podklad pro kvalifikovaná politická rozhodnutí; implementační plán jako soubor dílčích opatření a úkolů s definovanou gescí, termínem a rámcovými finančními nároky na jejich zajištění, definována bude rovněž indikátorová soustava, způsob řízení a kontroly plnění Strategie 2030 (reflexe plánu řízení změn). Součástí implementačního plánu pak budou rovněž plán řízení rizik a komunikační plán (vše viz níže). </w:t>
            </w:r>
          </w:p>
          <w:p w14:paraId="44148E7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u w:val="single"/>
              </w:rPr>
            </w:pPr>
            <w:r w:rsidRPr="005A0E7C">
              <w:rPr>
                <w:rFonts w:ascii="Times New Roman" w:eastAsiaTheme="minorHAnsi" w:hAnsi="Times New Roman"/>
                <w:iCs/>
                <w:noProof/>
              </w:rPr>
              <w:t>Jako implementační dokumenty Strategie 2030+ budou obdobně jako v případě Strategie 2020, a jak bylo popsáno již výše,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popř. dílčí akční plány, jejichž podobu bude specifikovat implementační část samotné Strategie 2030+.</w:t>
            </w:r>
          </w:p>
        </w:tc>
        <w:tc>
          <w:tcPr>
            <w:tcW w:w="249" w:type="dxa"/>
            <w:tcBorders>
              <w:top w:val="nil"/>
              <w:bottom w:val="nil"/>
            </w:tcBorders>
            <w:shd w:val="clear" w:color="auto" w:fill="66CCFF"/>
          </w:tcPr>
          <w:p w14:paraId="63AA82E2" w14:textId="77777777" w:rsidR="00DD3EFA" w:rsidRPr="005A0E7C" w:rsidRDefault="00DD3EFA">
            <w:pPr>
              <w:rPr>
                <w:b/>
              </w:rPr>
            </w:pPr>
          </w:p>
        </w:tc>
      </w:tr>
      <w:tr w:rsidR="00DD3EFA" w:rsidRPr="005A0E7C" w14:paraId="74D8E488" w14:textId="77777777" w:rsidTr="00B15ECB">
        <w:trPr>
          <w:trHeight w:val="938"/>
        </w:trPr>
        <w:tc>
          <w:tcPr>
            <w:tcW w:w="249" w:type="dxa"/>
            <w:tcBorders>
              <w:top w:val="nil"/>
              <w:bottom w:val="nil"/>
            </w:tcBorders>
            <w:shd w:val="clear" w:color="auto" w:fill="66CCFF"/>
          </w:tcPr>
          <w:p w14:paraId="0EDC51CF" w14:textId="77777777" w:rsidR="00DD3EFA" w:rsidRPr="005A0E7C" w:rsidRDefault="00DD3EFA">
            <w:pPr>
              <w:rPr>
                <w:b/>
              </w:rPr>
            </w:pPr>
          </w:p>
        </w:tc>
        <w:tc>
          <w:tcPr>
            <w:tcW w:w="2548" w:type="dxa"/>
            <w:tcBorders>
              <w:bottom w:val="single" w:sz="4" w:space="0" w:color="auto"/>
            </w:tcBorders>
            <w:shd w:val="clear" w:color="auto" w:fill="FFFFFF" w:themeFill="background1"/>
          </w:tcPr>
          <w:p w14:paraId="353B1C3C"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analýza problémů a potřeb</w:t>
            </w:r>
          </w:p>
          <w:p w14:paraId="37B6FFD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280BC7D"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iCs/>
                <w:noProof/>
              </w:rPr>
            </w:pPr>
            <w:r w:rsidRPr="005A0E7C">
              <w:rPr>
                <w:rFonts w:ascii="Times New Roman" w:eastAsiaTheme="minorHAnsi" w:hAnsi="Times New Roman"/>
                <w:iCs/>
                <w:noProof/>
              </w:rPr>
              <w:t xml:space="preserve">Součástí zadání přípravy Strategie 2030+ a klíčového dokumentu Hlavní směry vzdělávací politiky ČR 2030+, jehož cílem je stanovení hlavních priorit, směřování a cílů vzdělávací politiky, včetně jejich rámcového odůvodnění, popř. nastínění kontextu jejich selekce, je definovaná vstupní vize a vymezení obecného rámce přípravy Strategie 2030+ ze strany interní pracovní skupiny MŠMT podílející se přípravě Strategie 2030+. Právě ta již obsahuje úvodní reflexi problémů a potřeb českého vzdělávacího systému založenou na relevantních analytických vstupech. </w:t>
            </w:r>
          </w:p>
          <w:p w14:paraId="1FCBA66F" w14:textId="77777777" w:rsidR="00DD3EFA" w:rsidRPr="005A0E7C" w:rsidRDefault="00DD3EFA" w:rsidP="00B15ECB">
            <w:pPr>
              <w:pStyle w:val="slovanodstavec"/>
              <w:tabs>
                <w:tab w:val="left" w:pos="284"/>
              </w:tabs>
              <w:suppressAutoHyphens/>
              <w:spacing w:line="240" w:lineRule="auto"/>
              <w:rPr>
                <w:rFonts w:ascii="Times New Roman" w:hAnsi="Times New Roman"/>
                <w:i/>
              </w:rPr>
            </w:pPr>
            <w:r w:rsidRPr="005A0E7C">
              <w:rPr>
                <w:rFonts w:ascii="Times New Roman" w:hAnsi="Times New Roman"/>
              </w:rPr>
              <w:t>Ve vztahu ke specifickému cíli NKR „Zlepšení vzdělávacího systému s ohledem na moderní kompetence a potřeby trhu práce, mimo jiné s ohledem na digitalizaci průmyslu a společnosti.“ se pak jedná především o část doprovodného textu k vizi zaměřenou na cíle, obsah a strukturu vzdělávání: „</w:t>
            </w:r>
            <w:r w:rsidRPr="005A0E7C">
              <w:rPr>
                <w:rFonts w:ascii="Times New Roman" w:hAnsi="Times New Roman"/>
                <w:i/>
              </w:rPr>
              <w:t xml:space="preserve">Nástup digitalizace a automatizace ekonomiky spojený s fenomény tzv. Průmyslu 4.0 přináší výzvy ve vztahu k novému vymezení cílů a obsahu vzdělávání i samotné struktury vzdělávacího systému - především na úrovni středního stupně vzdělávání. Zejména na nižších stupních školské soustavy je nezbytné podporovat maximální rozvoj základních znalostí a kompetencí, s jejichž pomocí budou jedinci schopni kdykoli v průběhu svého života navázat dalším, specializovanějším vzděláváním. Vzdělávací systém musí vytvářet podmínky k tomu, aby se každý mohl v průběhu života kontinuálně vzdělávat, přičemž zvláštní pozornost by přitom měla být věnována osobám s nedokončeným středním či dokonce základním vzděláním. Klíčovým cílem však není pouze připravit žáky a studenty na budoucí požadavky trhu práce, ale rovněž zasadit jejich vzdělávání do širšího kontextu globálních změn s cílem osvojení si znalostí, získání kompetencí a postojů pro aktivní život ve společnosti i udržitelný rozvoj společnosti jako celku.“  </w:t>
            </w:r>
          </w:p>
          <w:p w14:paraId="62BCAB71"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Výše nastíněná vize a předmětná definice problémů pak vychází především z externí nezávislé evaluace účinné Strategie vzdělávací politiky ČR do roku 2020, jejíž závazné zohlednění je součástí zadání přípravy Strategie 2030+ s jasným cílem jasné kontinuity obou dokumentů.  </w:t>
            </w:r>
          </w:p>
          <w:p w14:paraId="7B0A0AF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 tomto ohledu externí skupina seznala strategické priority vymezené ve Strategii 2020 nadále za vysoce relevantní a stále aktuální. Stejně tak hodnotící tým považuje za relevantní většinu specifických cílů a navržených opatření. Pokračovat v plnění 3 hlavních nastavených priorit (a to i v období po roce 2020), protože jejich prosazení a realizace se dosud plně nepodařilo. </w:t>
            </w:r>
          </w:p>
          <w:p w14:paraId="4B532AF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Skupina také doporučila věnovat se oblastem, které jsou velkou výzvou pro vzdělávací politiku v budoucím období a které bude třeba rozpracovat. Ve vztahu k definovanému specifickému cíli NKR z provedené analýzy hodnotitelům vyvstávají témata: </w:t>
            </w:r>
          </w:p>
          <w:p w14:paraId="50A487DE"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w:t>
            </w:r>
            <w:r w:rsidRPr="005A0E7C">
              <w:rPr>
                <w:rFonts w:ascii="Times New Roman" w:hAnsi="Times New Roman"/>
              </w:rPr>
              <w:tab/>
              <w:t xml:space="preserve">Podporovat procesy vzdělávání a výuky nezbytné pro vzdělávání 4.0. </w:t>
            </w:r>
          </w:p>
          <w:p w14:paraId="52FD41B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w:t>
            </w:r>
            <w:r w:rsidRPr="005A0E7C">
              <w:rPr>
                <w:rFonts w:ascii="Times New Roman" w:hAnsi="Times New Roman"/>
              </w:rPr>
              <w:tab/>
              <w:t>V návaznosti na předchozí bod aktualizovat cíle a obsahy vzdělávání, výrazně posílit metodickou podporu pro učitele, zaměřit ji na zlepšení vztahu žáků k učení, na formativní procesy ve výuce.</w:t>
            </w:r>
          </w:p>
          <w:p w14:paraId="58CDE84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Příprava Strategie 2030 staví na přímé kontinuitě s účinnou Strategií vzdělávací politiky do roku 2020, přičemž ta mimo jiné zajištěna i přípravou Dlouhodobého záměru vzdělávání a rozvoje vzdělávací soustavy České republiky na léta 2019-2023. Ta v kontextu problémových oblastí relevantních k předmětnému specifickému cíli NKR zdůrazňuje nutnost revize obsahu vzdělávání v oblasti předškolního, základního a středního vzdělávání a přípravy s cílem naplnění budoucím požadavkům na další vzdělávání a občanský a pracovní život absolventů v následujících desetiletích jejich života. Nezbytné je také stanovit jasné a závazné očekávané výstupy vzdělávání vyplývající rovněž z procesu osvojování klíčových kompetencí. Dlouhodobý záměr pro oblast vysokých škol pak vytyčuje 7 prioritních cílů napříč vzdělávací, vědeckou činností vysokých škol. Na přípravách dokumentu se prostřednictvím dílčích projednávání podílí reprezentace vysokých škol a další experti.</w:t>
            </w:r>
          </w:p>
        </w:tc>
        <w:tc>
          <w:tcPr>
            <w:tcW w:w="249" w:type="dxa"/>
            <w:tcBorders>
              <w:top w:val="nil"/>
              <w:bottom w:val="nil"/>
            </w:tcBorders>
            <w:shd w:val="clear" w:color="auto" w:fill="66CCFF"/>
          </w:tcPr>
          <w:p w14:paraId="6E5603B3" w14:textId="77777777" w:rsidR="00DD3EFA" w:rsidRPr="005A0E7C" w:rsidRDefault="00DD3EFA">
            <w:pPr>
              <w:rPr>
                <w:b/>
              </w:rPr>
            </w:pPr>
          </w:p>
        </w:tc>
      </w:tr>
      <w:tr w:rsidR="00DD3EFA" w:rsidRPr="005A0E7C" w14:paraId="0E2B0FFA" w14:textId="77777777" w:rsidTr="00B15ECB">
        <w:trPr>
          <w:trHeight w:val="938"/>
        </w:trPr>
        <w:tc>
          <w:tcPr>
            <w:tcW w:w="249" w:type="dxa"/>
            <w:tcBorders>
              <w:top w:val="nil"/>
              <w:bottom w:val="nil"/>
            </w:tcBorders>
            <w:shd w:val="clear" w:color="auto" w:fill="66CCFF"/>
          </w:tcPr>
          <w:p w14:paraId="3FC43502" w14:textId="77777777" w:rsidR="00DD3EFA" w:rsidRPr="005A0E7C" w:rsidRDefault="00DD3EFA">
            <w:pPr>
              <w:rPr>
                <w:b/>
              </w:rPr>
            </w:pPr>
          </w:p>
        </w:tc>
        <w:tc>
          <w:tcPr>
            <w:tcW w:w="2548" w:type="dxa"/>
            <w:tcBorders>
              <w:bottom w:val="single" w:sz="4" w:space="0" w:color="auto"/>
            </w:tcBorders>
            <w:shd w:val="clear" w:color="auto" w:fill="FFFFFF" w:themeFill="background1"/>
          </w:tcPr>
          <w:p w14:paraId="65327474"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jasně definované cíle a opatření</w:t>
            </w:r>
          </w:p>
          <w:p w14:paraId="5BAA611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25C0FEB"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Jak vyplývá z popisu věnovanému analýze problémů a potřeb, vychází definice cílů a dílčích opatření Strategie 2030+ ve vztahu ke specifickému cíli NKR v současné chvíli především z externí evaluace a doporučení externí expertní skupiny pokračovat v prioritách, cílech i dílčích opatřeních Strategie 2020. V kontextu předmětného cíle NKR se jedná především o již výše uvedené cíle Posilovat společné prvky v oborech středního vzdělání, Udržet otevřený přístup k rozmanité nabídce terciárního vzdělání, Vytvářet podmínky pro snazší přechod absolventů na trh práce a Podporovat dostupnost a kvalitu dalšího vzdělávání. To vše s doplněním reflexe podpory procesů vzdělávání a výuky nezbytné pro vzdělávání 4.0 a aktualizace cílů a obsahů vzdělávání, výrazného posílení metodické podpory pro učitele, její zaměření na zlepšení vztahu žáků k učení a na formativní procesy ve výuce.</w:t>
            </w:r>
          </w:p>
          <w:p w14:paraId="10DB6C5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Závazné doporučení ke kontinuitě v předmětných cílech Strategie 2020 je součástí zadání přípravy Strategie 2030+. Zároveň cíle definuje i samotná vize, obecný rámec přípravy a doprovodný text k vizi Strategie 2030+, který byl rovněž popsán výše.</w:t>
            </w:r>
          </w:p>
          <w:p w14:paraId="4CD6E68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Příprava Strategie 2030 staví na přímé kontinuitě s účinnou Strategií vzdělávací politiky do roku 2020, přičemž ta mimo jiné zajištěna i přípravou Dlouhodobého záměru vzdělávání a rozvoje vzdělávací soustavy České republiky na léta 2019-2023. Ta v kontextu oblastí relevantních k předmětnému specifickému cíli NKR staví na cílech dokončit revizi kurikula a podpořit implementaci inovovaných RVP do škol, neboť inovace obsahového rámce jsou nezbytné pro další rozvoj vzdělávání zejména v oblasti předškolního, základního a středního vzdělávání. MŠMT specificky podpoří školy v implementaci inovovaných rámcových vzdělávacích programů do školního prostředí například tím, že pro každé RVP připraví k využití modelový školní vzdělávací program, metodické doporučení, které školy mohou využít a přizpůsobit konkrétním podmínkám. Dlouhodobý záměr pro oblast vysokých škol je zaměřen na omezený počet průřezových prioritních cílů, jejichž naplňování vyžaduje koordinaci několika různých opatření ve středně až dlouhodobé perspektivě. Na samotný záměr navazují jeho každoročně vydávané Aktualizace/Plány realizace, které jednak rozpracovávají plán provádění klíčových opatření pro daný rok, jednak rozšiřují seznam priorit o méně komplexní úkoly s jednoletou realizací.</w:t>
            </w:r>
          </w:p>
        </w:tc>
        <w:tc>
          <w:tcPr>
            <w:tcW w:w="249" w:type="dxa"/>
            <w:tcBorders>
              <w:top w:val="nil"/>
              <w:bottom w:val="nil"/>
            </w:tcBorders>
            <w:shd w:val="clear" w:color="auto" w:fill="66CCFF"/>
          </w:tcPr>
          <w:p w14:paraId="6B574626" w14:textId="77777777" w:rsidR="00DD3EFA" w:rsidRPr="005A0E7C" w:rsidRDefault="00DD3EFA">
            <w:pPr>
              <w:rPr>
                <w:b/>
              </w:rPr>
            </w:pPr>
          </w:p>
        </w:tc>
      </w:tr>
      <w:tr w:rsidR="00DD3EFA" w:rsidRPr="005A0E7C" w14:paraId="0CE38A05" w14:textId="77777777" w:rsidTr="00B15ECB">
        <w:trPr>
          <w:trHeight w:val="938"/>
        </w:trPr>
        <w:tc>
          <w:tcPr>
            <w:tcW w:w="249" w:type="dxa"/>
            <w:tcBorders>
              <w:top w:val="nil"/>
              <w:bottom w:val="nil"/>
            </w:tcBorders>
            <w:shd w:val="clear" w:color="auto" w:fill="66CCFF"/>
          </w:tcPr>
          <w:p w14:paraId="25109A27" w14:textId="77777777" w:rsidR="00DD3EFA" w:rsidRPr="005A0E7C" w:rsidRDefault="00DD3EFA">
            <w:pPr>
              <w:rPr>
                <w:b/>
              </w:rPr>
            </w:pPr>
          </w:p>
        </w:tc>
        <w:tc>
          <w:tcPr>
            <w:tcW w:w="2548" w:type="dxa"/>
            <w:tcBorders>
              <w:bottom w:val="single" w:sz="4" w:space="0" w:color="auto"/>
            </w:tcBorders>
            <w:shd w:val="clear" w:color="auto" w:fill="FFFFFF" w:themeFill="background1"/>
          </w:tcPr>
          <w:p w14:paraId="08F683B7"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implementační mechanismus</w:t>
            </w:r>
          </w:p>
          <w:p w14:paraId="7427CA2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5828592"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Samotný implementační mechanismus Strategie 2030+ bude podrobně popsán v třetí části předmětného dokumentu. Implementační plán Strategie 2030+ bude zaměřen primárně na detailnější popis dílčích opatření a úkolů vyplývajících z jádrové části dokumentu a definici jejich gesčního, časového a finančního zajištění. Specifikována bude rovněž rámcová indikátorová soustava. Dále bude popsán způsob řízení a kontroly implementace Strategie 2030+ s cílem jasně definovaného procesního vymezení rolí a zodpovědností vedoucí k efektivnímu naplňování priorit, cílů a opatření. S ohledem na moderní způsoby strategického řízení bude předmětná oblast reflektovat teoretické vymezení řízení změn. Dokument rovněž nastaví možnost efektivní reflexe změn dílčích opatření a úkolů s ohledem na proměny vnitřního i vnějšího prostředí, ve kterém Strategie 2030 působí. Dále bude rovněž vypracován plán řízení rizik a komunikační plán, jakožto podpůrný nástroj implementace Strategie 2030.</w:t>
            </w:r>
          </w:p>
          <w:p w14:paraId="6B4AF86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Jako implementační dokumenty Strategie 2030+ budou obdobně jako v případě Strategie 2020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popř. dílčí akční plány, jejichž podobu bude specifikovat implementační část samotné Strategie 2030+.</w:t>
            </w:r>
          </w:p>
          <w:p w14:paraId="36282A0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Relevantní definované cíle a opatření strategických dokumentů budou hrazeny z prostředků ESIF.</w:t>
            </w:r>
          </w:p>
        </w:tc>
        <w:tc>
          <w:tcPr>
            <w:tcW w:w="249" w:type="dxa"/>
            <w:tcBorders>
              <w:top w:val="nil"/>
              <w:bottom w:val="nil"/>
            </w:tcBorders>
            <w:shd w:val="clear" w:color="auto" w:fill="66CCFF"/>
          </w:tcPr>
          <w:p w14:paraId="3DE1721D" w14:textId="77777777" w:rsidR="00DD3EFA" w:rsidRPr="005A0E7C" w:rsidRDefault="00DD3EFA">
            <w:pPr>
              <w:rPr>
                <w:b/>
              </w:rPr>
            </w:pPr>
          </w:p>
        </w:tc>
      </w:tr>
      <w:tr w:rsidR="00DD3EFA" w:rsidRPr="005A0E7C" w14:paraId="51D8A3ED" w14:textId="77777777" w:rsidTr="00B15ECB">
        <w:trPr>
          <w:trHeight w:val="938"/>
        </w:trPr>
        <w:tc>
          <w:tcPr>
            <w:tcW w:w="249" w:type="dxa"/>
            <w:tcBorders>
              <w:top w:val="nil"/>
              <w:bottom w:val="nil"/>
            </w:tcBorders>
            <w:shd w:val="clear" w:color="auto" w:fill="66CCFF"/>
          </w:tcPr>
          <w:p w14:paraId="1032A03C" w14:textId="77777777" w:rsidR="00DD3EFA" w:rsidRPr="005A0E7C" w:rsidRDefault="00DD3EFA">
            <w:pPr>
              <w:rPr>
                <w:b/>
              </w:rPr>
            </w:pPr>
          </w:p>
        </w:tc>
        <w:tc>
          <w:tcPr>
            <w:tcW w:w="2548" w:type="dxa"/>
            <w:tcBorders>
              <w:bottom w:val="single" w:sz="4" w:space="0" w:color="auto"/>
            </w:tcBorders>
            <w:shd w:val="clear" w:color="auto" w:fill="FFFFFF" w:themeFill="background1"/>
          </w:tcPr>
          <w:p w14:paraId="0139DD0A"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23E187C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Jak již bylo popsáno výše, předmětná část bude rozpracována v implementačním plánu. Implementační plán Strategie 2030+ bude zaměřen primárně na detailnější popis dílčích opatření a úkolů vyplývajících z jádrové části dokumentu a definici jejich gesčního, časového a finančního zajištění. Specifikována bude rovněž rámcová indikátorová soustava. Dále bude popsán způsob řízení a kontroly implementace Strategie 2030+ s cílem jasně definovaného procesního vymezení rolí a zodpovědností vedoucí k efektivnímu naplňování priorit, cílů a opatření. S ohledem na moderní způsoby strategického řízení bude předmětná oblast reflektovat teoretické vymezení řízení změn. Dokument rovněž nastaví možnost efektivní reflexe změn dílčích opatření a úkolů s ohledem na proměny vnitřního i vnějšího prostředí, ve kterém Strategie 2030+ působí.</w:t>
            </w:r>
          </w:p>
          <w:p w14:paraId="1E237BA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Součástí dlouhodobého záměru pro oblast vysokých škol seznam indikátorů vytyčených pro jednotlivé prioritní cíle. Prostřednictvím nich došlo na přelomu 2018/2019 k průběžnému vyhodnocení naplňování prioritních cílů. Po skončení programového období bude provedeno závěrečná evaluace stanovených indikátorů a tím celého záměru. Obdobně byla stanovena série kritérií k dílčímu opatření dlouhodobého záměru pro oblast regionálního školství.</w:t>
            </w:r>
          </w:p>
        </w:tc>
        <w:tc>
          <w:tcPr>
            <w:tcW w:w="249" w:type="dxa"/>
            <w:tcBorders>
              <w:top w:val="nil"/>
              <w:bottom w:val="nil"/>
            </w:tcBorders>
            <w:shd w:val="clear" w:color="auto" w:fill="66CCFF"/>
          </w:tcPr>
          <w:p w14:paraId="524C3D4D" w14:textId="77777777" w:rsidR="00DD3EFA" w:rsidRPr="005A0E7C" w:rsidRDefault="00DD3EFA">
            <w:pPr>
              <w:rPr>
                <w:b/>
              </w:rPr>
            </w:pPr>
          </w:p>
        </w:tc>
      </w:tr>
      <w:tr w:rsidR="00DD3EFA" w:rsidRPr="005A0E7C" w14:paraId="59D3905B" w14:textId="77777777" w:rsidTr="00B15ECB">
        <w:trPr>
          <w:trHeight w:val="130"/>
        </w:trPr>
        <w:tc>
          <w:tcPr>
            <w:tcW w:w="249" w:type="dxa"/>
            <w:tcBorders>
              <w:top w:val="nil"/>
              <w:bottom w:val="nil"/>
              <w:right w:val="nil"/>
            </w:tcBorders>
            <w:shd w:val="clear" w:color="auto" w:fill="66CCFF"/>
          </w:tcPr>
          <w:p w14:paraId="7F15A14C" w14:textId="77777777" w:rsidR="00DD3EFA" w:rsidRPr="005A0E7C" w:rsidRDefault="00DD3EFA">
            <w:pPr>
              <w:rPr>
                <w:b/>
              </w:rPr>
            </w:pPr>
          </w:p>
        </w:tc>
        <w:tc>
          <w:tcPr>
            <w:tcW w:w="2548" w:type="dxa"/>
            <w:tcBorders>
              <w:left w:val="nil"/>
              <w:right w:val="nil"/>
            </w:tcBorders>
            <w:shd w:val="clear" w:color="auto" w:fill="66CCFF"/>
          </w:tcPr>
          <w:p w14:paraId="7BD9D784" w14:textId="77777777" w:rsidR="00DD3EFA" w:rsidRPr="005A0E7C" w:rsidRDefault="00DD3EFA" w:rsidP="00B15ECB">
            <w:pPr>
              <w:rPr>
                <w:b/>
              </w:rPr>
            </w:pPr>
          </w:p>
        </w:tc>
        <w:tc>
          <w:tcPr>
            <w:tcW w:w="5978" w:type="dxa"/>
            <w:tcBorders>
              <w:left w:val="nil"/>
              <w:right w:val="nil"/>
            </w:tcBorders>
            <w:shd w:val="clear" w:color="auto" w:fill="66CCFF"/>
          </w:tcPr>
          <w:p w14:paraId="6F2DED58"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b/>
                <w:noProof/>
              </w:rPr>
            </w:pPr>
          </w:p>
        </w:tc>
        <w:tc>
          <w:tcPr>
            <w:tcW w:w="249" w:type="dxa"/>
            <w:tcBorders>
              <w:top w:val="nil"/>
              <w:left w:val="nil"/>
              <w:bottom w:val="nil"/>
            </w:tcBorders>
            <w:shd w:val="clear" w:color="auto" w:fill="66CCFF"/>
          </w:tcPr>
          <w:p w14:paraId="4FF735B0" w14:textId="77777777" w:rsidR="00DD3EFA" w:rsidRPr="005A0E7C" w:rsidRDefault="00DD3EFA">
            <w:pPr>
              <w:rPr>
                <w:b/>
              </w:rPr>
            </w:pPr>
          </w:p>
        </w:tc>
      </w:tr>
      <w:tr w:rsidR="00DD3EFA" w:rsidRPr="005A0E7C" w14:paraId="65B3E66E" w14:textId="77777777" w:rsidTr="00B15ECB">
        <w:trPr>
          <w:trHeight w:val="1258"/>
        </w:trPr>
        <w:tc>
          <w:tcPr>
            <w:tcW w:w="249" w:type="dxa"/>
            <w:tcBorders>
              <w:top w:val="nil"/>
              <w:bottom w:val="nil"/>
              <w:right w:val="nil"/>
            </w:tcBorders>
            <w:shd w:val="clear" w:color="auto" w:fill="66CCFF"/>
          </w:tcPr>
          <w:p w14:paraId="2455D0B9" w14:textId="77777777" w:rsidR="00DD3EFA" w:rsidRPr="005A0E7C" w:rsidRDefault="00DD3EFA">
            <w:pPr>
              <w:rPr>
                <w:b/>
              </w:rPr>
            </w:pPr>
          </w:p>
        </w:tc>
        <w:tc>
          <w:tcPr>
            <w:tcW w:w="8526" w:type="dxa"/>
            <w:gridSpan w:val="2"/>
            <w:shd w:val="clear" w:color="auto" w:fill="FFFFFF" w:themeFill="background1"/>
          </w:tcPr>
          <w:p w14:paraId="0B34FEA2"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0B1953E3" w14:textId="77777777" w:rsidR="00DD3EFA" w:rsidRPr="005A0E7C" w:rsidRDefault="00DD3EFA">
            <w:pPr>
              <w:rPr>
                <w:b/>
              </w:rPr>
            </w:pPr>
          </w:p>
        </w:tc>
      </w:tr>
      <w:tr w:rsidR="00DD3EFA" w:rsidRPr="005A0E7C" w14:paraId="174827E5" w14:textId="77777777" w:rsidTr="00B15ECB">
        <w:trPr>
          <w:trHeight w:val="1258"/>
        </w:trPr>
        <w:tc>
          <w:tcPr>
            <w:tcW w:w="249" w:type="dxa"/>
            <w:tcBorders>
              <w:top w:val="nil"/>
              <w:bottom w:val="nil"/>
              <w:right w:val="nil"/>
            </w:tcBorders>
            <w:shd w:val="clear" w:color="auto" w:fill="66CCFF"/>
          </w:tcPr>
          <w:p w14:paraId="419C084A" w14:textId="77777777" w:rsidR="00DD3EFA" w:rsidRPr="005A0E7C" w:rsidRDefault="00DD3EFA">
            <w:pPr>
              <w:rPr>
                <w:b/>
              </w:rPr>
            </w:pPr>
          </w:p>
        </w:tc>
        <w:tc>
          <w:tcPr>
            <w:tcW w:w="2548" w:type="dxa"/>
            <w:shd w:val="clear" w:color="auto" w:fill="FFFFFF" w:themeFill="background1"/>
          </w:tcPr>
          <w:p w14:paraId="19F6E22A" w14:textId="77777777" w:rsidR="00DD3EFA" w:rsidRPr="005A0E7C" w:rsidRDefault="00DD3EFA" w:rsidP="00B15ECB">
            <w:pPr>
              <w:rPr>
                <w:rFonts w:eastAsiaTheme="majorEastAsia"/>
                <w:b/>
              </w:rPr>
            </w:pPr>
            <w:r w:rsidRPr="005A0E7C">
              <w:rPr>
                <w:rFonts w:eastAsiaTheme="majorEastAsia"/>
                <w:b/>
              </w:rPr>
              <w:t>Věcný posun oblasti</w:t>
            </w:r>
          </w:p>
          <w:p w14:paraId="2F4F3296"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0C54695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programovém období 2014–2020 byly v oblasti všeobecné složky vzdělávání pilotně ověřeny procesy budování kapacit na úrovni škol (MŠ/ZŠ) a to zejména v oblasti kolegiální podpory učitelů a podporuje rozvoj profesního vidění učitelů při rozpoznávání toho, zdali se na běžném obsahu výuky a aktivit s žáky/dětmi rozvíjejí základní gramotnosti (matematická, čtenářská a digitální). Vytvořeny byly i chybějící prvky k propojení externího a interního hodnocení škol na všech úrovních a dále metody, postupy a nástroje pro hodnocení klíčových kompetencí a nástroje pro zjišťování a zohledňování socioekonomického a teritoriálního zázemí na úrovni žáka i školy s cílem monitorovat úroveň spravedlivosti ve vzdělávání a účinně bránit nerovnostem. Ve středním odborném školství byly podpořeny z prostředků ESIF koncepční změny týkající se revize kurikulárních dokumentů a propojujících počáteční vzdělávání se systémem dalšího vzdělávání skrze národní soustavu kvalifikací. Dále také přímá podpora škol a krajů v rozvoji odborného vzdělávání dle potřeb jednotlivých regionů ve spolupráci se zaměstnavateli, a to podporou zřizovatelů při koncipování vzdělávací soustavy a plánování aktivit vedoucích ke zvýšení kvality škol v daném regionu a škol v plánování konkrétních aktivit (plány aktivit/školní akční plány).</w:t>
            </w:r>
          </w:p>
          <w:p w14:paraId="1D5A78C4" w14:textId="77777777" w:rsidR="00DD3EFA" w:rsidRPr="005A0E7C" w:rsidRDefault="00DD3EFA">
            <w:r w:rsidRPr="005A0E7C">
              <w:t xml:space="preserve">Z dosavadních hodnocení vybraných intervencí OP VVV vyplývá, že aktivity pro kolegiální podporu ve věci systematického sdílení zkušeností jsou přínosné a jsou ceněny jak pedagogy, tak odborníky z praxe. Získané, rozšířené či prohloubené poznatky v oblasti nových metod a forem výuky jsou pedagogy v praxi využívány, díky čemu je možné pozorovat odklon od frontální výuky směrem k zážitkovým, badatelským a projektovým metodám a formám výuky. </w:t>
            </w:r>
          </w:p>
          <w:p w14:paraId="32D7AD3A" w14:textId="77777777" w:rsidR="00DD3EFA" w:rsidRPr="005A0E7C" w:rsidRDefault="00DD3EFA"/>
          <w:p w14:paraId="171D627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Také z hodnocení předchozího programového období 2007–2013, konkrétně z evaluace OP VK vyplývá, že pro rozšiřování (i prohlubování) odbornosti pedagogických a akademických pracovníků byly velmi pozitivně hodnoceny výměny zkušeností, dále školení a zahraniční stáže. Součástí hodnocení aktivit OP VK je sdělení, že projekty OP VK ovlivnily kvalitu výuky na VŠ a dílčím způsobem přispěly k vyšší diverzifikaci systému terciárního vzdělávání v ČR a k přizpůsobení nabídky studijních programů potřebám trhu práce. Vyššího provázání s praxí bylo dosaženo díky zajištění praktických stáží pro studenty a úpravě studijních programů ve spolupráci s aktéry na trhu práce.</w:t>
            </w:r>
          </w:p>
        </w:tc>
        <w:tc>
          <w:tcPr>
            <w:tcW w:w="249" w:type="dxa"/>
            <w:tcBorders>
              <w:top w:val="nil"/>
              <w:left w:val="nil"/>
              <w:bottom w:val="nil"/>
            </w:tcBorders>
            <w:shd w:val="clear" w:color="auto" w:fill="66CCFF"/>
          </w:tcPr>
          <w:p w14:paraId="5D5815C6" w14:textId="77777777" w:rsidR="00DD3EFA" w:rsidRPr="005A0E7C" w:rsidRDefault="00DD3EFA">
            <w:pPr>
              <w:rPr>
                <w:b/>
              </w:rPr>
            </w:pPr>
          </w:p>
        </w:tc>
      </w:tr>
      <w:tr w:rsidR="00DD3EFA" w:rsidRPr="005A0E7C" w14:paraId="360FD54A" w14:textId="77777777" w:rsidTr="00B15ECB">
        <w:trPr>
          <w:trHeight w:val="1258"/>
        </w:trPr>
        <w:tc>
          <w:tcPr>
            <w:tcW w:w="249" w:type="dxa"/>
            <w:tcBorders>
              <w:top w:val="nil"/>
              <w:bottom w:val="nil"/>
              <w:right w:val="nil"/>
            </w:tcBorders>
            <w:shd w:val="clear" w:color="auto" w:fill="66CCFF"/>
          </w:tcPr>
          <w:p w14:paraId="462F434C" w14:textId="77777777" w:rsidR="00DD3EFA" w:rsidRPr="005A0E7C" w:rsidRDefault="00DD3EFA">
            <w:pPr>
              <w:rPr>
                <w:b/>
              </w:rPr>
            </w:pPr>
          </w:p>
        </w:tc>
        <w:tc>
          <w:tcPr>
            <w:tcW w:w="2548" w:type="dxa"/>
            <w:shd w:val="clear" w:color="auto" w:fill="FFFFFF" w:themeFill="background1"/>
          </w:tcPr>
          <w:p w14:paraId="1E35A2E9" w14:textId="77777777" w:rsidR="00DD3EFA" w:rsidRPr="005A0E7C" w:rsidRDefault="00DD3EFA" w:rsidP="00B15ECB">
            <w:pPr>
              <w:rPr>
                <w:rFonts w:eastAsiaTheme="majorEastAsia"/>
                <w:b/>
              </w:rPr>
            </w:pPr>
            <w:r w:rsidRPr="005A0E7C">
              <w:rPr>
                <w:rFonts w:eastAsiaTheme="majorEastAsia"/>
                <w:b/>
              </w:rPr>
              <w:t>Synergické a multiplikační efekty</w:t>
            </w:r>
          </w:p>
          <w:p w14:paraId="0AB7987E"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061D711" w14:textId="77777777" w:rsidR="00DD3EFA" w:rsidRPr="005A0E7C" w:rsidRDefault="00DD3EFA" w:rsidP="00B15ECB">
            <w:pPr>
              <w:pStyle w:val="slovanodstavec"/>
              <w:tabs>
                <w:tab w:val="left" w:pos="284"/>
              </w:tabs>
              <w:suppressAutoHyphens/>
              <w:spacing w:after="0" w:line="240" w:lineRule="auto"/>
              <w:rPr>
                <w:rFonts w:ascii="Times New Roman" w:hAnsi="Times New Roman"/>
              </w:rPr>
            </w:pPr>
            <w:r w:rsidRPr="005A0E7C">
              <w:rPr>
                <w:rFonts w:ascii="Times New Roman" w:hAnsi="Times New Roman"/>
              </w:rPr>
              <w:t xml:space="preserve">Multiplikační efekty lze spatřovat v důsledku řádné koordinace komplementarit, jak uvnitř OP VVV, tak i mezi jinými operačními programy a dalšími veřejnými zdroji. Z dosavadního hodnocení procesů vyplynulo, že nastavení implementační struktury OP VVV je z hlediska řízení komplementarit funkční. Koordinace OP VVV vůči komunitárním a národním programům probíhá v souladu s nastavenými mechanismy koordinace. Nejintenzivnější koordinace probíhá s relevantními operačními programy a jednotlivými sekcemi MŠMT zejm. prostřednictvím zastoupení příslušných aktérů na platformách pro přípravu výzev a účastí v pracovních týmech pro přípravu relevantních komplementárních výzev. V oblasti regionálního školství probíhá velmi intenzivní koordinační mechanismus mezi Integrovaným regionálním operačním programem, ze kterého jsou hrazeny infrastrukturní investice do škol a komplementárně k těmto investicím jsou vyhlašovány výzvy v OP VVV zejména na podporu pedagogických pracovníků. V případě Erasmus+ koordinace probíhá s Domem zahraniční spolupráce, s Ministerstvem životního prostředí probíhá paralelní koordinace v oblasti environmentálního vzdělávání. </w:t>
            </w:r>
          </w:p>
          <w:p w14:paraId="048470FC" w14:textId="77777777" w:rsidR="00DD3EFA" w:rsidRPr="005A0E7C" w:rsidRDefault="00DD3EFA" w:rsidP="00B15ECB">
            <w:pPr>
              <w:pStyle w:val="slovanodstavec"/>
              <w:tabs>
                <w:tab w:val="left" w:pos="284"/>
              </w:tabs>
              <w:suppressAutoHyphens/>
              <w:spacing w:after="0" w:line="240" w:lineRule="auto"/>
              <w:rPr>
                <w:rFonts w:ascii="Times New Roman" w:hAnsi="Times New Roman"/>
              </w:rPr>
            </w:pPr>
            <w:r w:rsidRPr="005A0E7C">
              <w:rPr>
                <w:rFonts w:ascii="Times New Roman" w:hAnsi="Times New Roman"/>
              </w:rPr>
              <w:t xml:space="preserve">Ze závěrů realizovaného šetření na téma doplňkovosti jednotlivých intervencí vyplývá, že příjemci komplementárních výzev měli obecně dostatek informací o komplementárních vazbách, resp. si informace aktivně zjišťovali a byli si vědomi doplňkovosti jednotlivých projektů. Věcná doplňkovost komplementárních projektů se projevila jak na úrovni vnitřních komplementarit OP VVV, tak i napříč operačními programy. V oblasti vysokoškolského vzdělávání bylo možné prostřednictvím doplňkových ESF a ERDF intervencí komplexním způsobem podpořit kvalitu vzdělávání na VŠ, konkrétně např. souběžnou modernizací studijních programů a vzdělávací infrastruktury. Z hodnocení komplementarit projektů OP VVV a IROP vyplynulo, že i v těchto případech byla komplementarita využita v dostatečné míře, a to jak na úrovni projektových aktivit, tak i na úrovni cílových skupin projektů.  Komplementaritu na úrovni provázanosti cílových skupin projektů IROP a OP VVVV je možné deklarovat např. efektivním sdílením zkušeností pedagogických pracovníků škol v daném území (intervence OP VVV) v modernizovaných učebnách s modernizovaným vybavením (intervence IROP), anebo navýšením kapacit zařízení pro předškolní a základní vzdělávání (intervence IROP) s využitím podporovaných aktivit OP VVV pro zvýšení kvality a inkluzivity předškolního vzdělávání. Uvedené výsledky nejsou nicméně zcela vypovídající, neboť část projektů se nachází v stadiu realizace a většina podpořených kapacit z IROP není ještě v provozu (tj. v nich např. neprobíhá výuka). </w:t>
            </w:r>
          </w:p>
          <w:p w14:paraId="67EF23C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Zkvalitnění vzdělávací činnosti, ať prostřednictvím investičních či neinvestičních aktivit, přispívá k rozvoji kompetencí pro trh práce a dlouhodobé potřeby společnosti, což jsou nesporné multiplikační efekty.</w:t>
            </w:r>
          </w:p>
        </w:tc>
        <w:tc>
          <w:tcPr>
            <w:tcW w:w="249" w:type="dxa"/>
            <w:tcBorders>
              <w:top w:val="nil"/>
              <w:left w:val="nil"/>
              <w:bottom w:val="nil"/>
            </w:tcBorders>
            <w:shd w:val="clear" w:color="auto" w:fill="66CCFF"/>
          </w:tcPr>
          <w:p w14:paraId="5C3D4869" w14:textId="77777777" w:rsidR="00DD3EFA" w:rsidRPr="005A0E7C" w:rsidRDefault="00DD3EFA">
            <w:pPr>
              <w:rPr>
                <w:b/>
              </w:rPr>
            </w:pPr>
          </w:p>
        </w:tc>
      </w:tr>
      <w:tr w:rsidR="00DD3EFA" w:rsidRPr="005A0E7C" w14:paraId="0AF72F35" w14:textId="77777777" w:rsidTr="00B15ECB">
        <w:trPr>
          <w:trHeight w:val="180"/>
        </w:trPr>
        <w:tc>
          <w:tcPr>
            <w:tcW w:w="249" w:type="dxa"/>
            <w:tcBorders>
              <w:top w:val="nil"/>
              <w:bottom w:val="nil"/>
              <w:right w:val="nil"/>
            </w:tcBorders>
            <w:shd w:val="clear" w:color="auto" w:fill="66CCFF"/>
          </w:tcPr>
          <w:p w14:paraId="18763600" w14:textId="77777777" w:rsidR="00DD3EFA" w:rsidRPr="005A0E7C" w:rsidRDefault="00DD3EFA">
            <w:pPr>
              <w:rPr>
                <w:b/>
              </w:rPr>
            </w:pPr>
          </w:p>
        </w:tc>
        <w:tc>
          <w:tcPr>
            <w:tcW w:w="2548" w:type="dxa"/>
            <w:tcBorders>
              <w:left w:val="nil"/>
              <w:bottom w:val="single" w:sz="4" w:space="0" w:color="auto"/>
              <w:right w:val="nil"/>
            </w:tcBorders>
            <w:shd w:val="clear" w:color="auto" w:fill="66CCFF"/>
          </w:tcPr>
          <w:p w14:paraId="0A0267BC"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9524096" w14:textId="77777777" w:rsidR="00DD3EFA" w:rsidRPr="005A0E7C" w:rsidRDefault="00DD3EFA" w:rsidP="00B15ECB">
            <w:pPr>
              <w:rPr>
                <w:b/>
              </w:rPr>
            </w:pPr>
          </w:p>
        </w:tc>
        <w:tc>
          <w:tcPr>
            <w:tcW w:w="249" w:type="dxa"/>
            <w:tcBorders>
              <w:top w:val="nil"/>
              <w:left w:val="nil"/>
              <w:bottom w:val="nil"/>
            </w:tcBorders>
            <w:shd w:val="clear" w:color="auto" w:fill="66CCFF"/>
          </w:tcPr>
          <w:p w14:paraId="03847132" w14:textId="77777777" w:rsidR="00DD3EFA" w:rsidRPr="005A0E7C" w:rsidRDefault="00DD3EFA">
            <w:pPr>
              <w:rPr>
                <w:b/>
              </w:rPr>
            </w:pPr>
          </w:p>
        </w:tc>
      </w:tr>
      <w:tr w:rsidR="00DD3EFA" w:rsidRPr="005A0E7C" w14:paraId="3F752093" w14:textId="77777777" w:rsidTr="00B15ECB">
        <w:trPr>
          <w:trHeight w:val="990"/>
        </w:trPr>
        <w:tc>
          <w:tcPr>
            <w:tcW w:w="249" w:type="dxa"/>
            <w:tcBorders>
              <w:top w:val="nil"/>
              <w:bottom w:val="nil"/>
            </w:tcBorders>
            <w:shd w:val="clear" w:color="auto" w:fill="66CCFF"/>
          </w:tcPr>
          <w:p w14:paraId="47DAC5E4" w14:textId="77777777" w:rsidR="00DD3EFA" w:rsidRPr="005A0E7C" w:rsidRDefault="00DD3EFA">
            <w:pPr>
              <w:rPr>
                <w:b/>
              </w:rPr>
            </w:pPr>
          </w:p>
        </w:tc>
        <w:tc>
          <w:tcPr>
            <w:tcW w:w="8526" w:type="dxa"/>
            <w:gridSpan w:val="2"/>
            <w:tcBorders>
              <w:bottom w:val="single" w:sz="4" w:space="0" w:color="auto"/>
            </w:tcBorders>
            <w:shd w:val="clear" w:color="auto" w:fill="FFFFFF" w:themeFill="background1"/>
          </w:tcPr>
          <w:p w14:paraId="2EE69A2A" w14:textId="77777777" w:rsidR="00DD3EFA" w:rsidRPr="005A0E7C" w:rsidRDefault="00DD3EFA" w:rsidP="00B15ECB">
            <w:pPr>
              <w:spacing w:before="60" w:after="60"/>
              <w:rPr>
                <w:rFonts w:eastAsiaTheme="majorEastAsia"/>
              </w:rPr>
            </w:pPr>
            <w:r w:rsidRPr="005A0E7C">
              <w:rPr>
                <w:rFonts w:eastAsiaTheme="majorEastAsia"/>
                <w:b/>
              </w:rPr>
              <w:t>Absorpční kapacita</w:t>
            </w:r>
            <w:r w:rsidRPr="005A0E7C">
              <w:rPr>
                <w:rFonts w:eastAsiaTheme="majorEastAsia"/>
                <w:i/>
                <w:u w:val="single"/>
              </w:rPr>
              <w:t xml:space="preserve"> </w:t>
            </w:r>
          </w:p>
        </w:tc>
        <w:tc>
          <w:tcPr>
            <w:tcW w:w="249" w:type="dxa"/>
            <w:tcBorders>
              <w:top w:val="nil"/>
              <w:bottom w:val="nil"/>
            </w:tcBorders>
            <w:shd w:val="clear" w:color="auto" w:fill="66CCFF"/>
          </w:tcPr>
          <w:p w14:paraId="5FB50B08" w14:textId="77777777" w:rsidR="00DD3EFA" w:rsidRPr="005A0E7C" w:rsidRDefault="00DD3EFA">
            <w:pPr>
              <w:rPr>
                <w:b/>
              </w:rPr>
            </w:pPr>
          </w:p>
        </w:tc>
      </w:tr>
      <w:tr w:rsidR="00DD3EFA" w:rsidRPr="005A0E7C" w14:paraId="2E8B31A3" w14:textId="77777777" w:rsidTr="00B15ECB">
        <w:trPr>
          <w:trHeight w:val="1260"/>
        </w:trPr>
        <w:tc>
          <w:tcPr>
            <w:tcW w:w="249" w:type="dxa"/>
            <w:tcBorders>
              <w:top w:val="nil"/>
              <w:bottom w:val="nil"/>
            </w:tcBorders>
            <w:shd w:val="clear" w:color="auto" w:fill="66CCFF"/>
          </w:tcPr>
          <w:p w14:paraId="0B6F8C1C" w14:textId="77777777" w:rsidR="00DD3EFA" w:rsidRPr="005A0E7C" w:rsidRDefault="00DD3EFA">
            <w:pPr>
              <w:rPr>
                <w:b/>
              </w:rPr>
            </w:pPr>
          </w:p>
        </w:tc>
        <w:tc>
          <w:tcPr>
            <w:tcW w:w="2548" w:type="dxa"/>
            <w:tcBorders>
              <w:bottom w:val="single" w:sz="4" w:space="0" w:color="auto"/>
            </w:tcBorders>
            <w:shd w:val="clear" w:color="auto" w:fill="FFFFFF" w:themeFill="background1"/>
          </w:tcPr>
          <w:p w14:paraId="515EC671"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3BEFC6B3"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SC 2.4 </w:t>
            </w:r>
            <w:r w:rsidRPr="005A0E7C">
              <w:rPr>
                <w:rFonts w:ascii="Times New Roman" w:hAnsi="Times New Roman"/>
                <w:i/>
              </w:rPr>
              <w:t>Zvýšení kvality a dostupnosti infrastruktury pro vzdělávání a celoživotní učení</w:t>
            </w:r>
            <w:r w:rsidRPr="005A0E7C">
              <w:rPr>
                <w:rFonts w:ascii="Times New Roman" w:hAnsi="Times New Roman"/>
              </w:rPr>
              <w:t xml:space="preserve"> v IROP je podporována infrastruktura předškolního vzdělávání (MŠ, zařízení péče o děti do 3 let), ZŠ, SŠ, vyšších odborných škol, celoživotního, zájmového a neformálního vzdělávání, tedy provádění stavebních úprav či pořízení vybavení učeben. Podpora infrastruktury škol z IROP byla zaměřena na klíčové kompetence – komunikace v cizích jazycích, v oblasti technických a řemeslných oborů a přírodních věd a ve schopnosti práce s digitálními technologiemi. O všechny uvedené výzvy byl velký zájem, a proto ŘO IROP přistoupil k realokaci z jiných specifických cílů, aby navýšil alespoň částečně prostředky v této oblasti. Alokace SC 2.4 IROP dosáhla 16,5 mld. Kč (PD IROP, verze 1.5); v připravované verzi PD 1.3. by alokace měla být 17,2 mld. Kč. </w:t>
            </w:r>
          </w:p>
          <w:p w14:paraId="78A69F36"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Z OP VVV je oblast vzdělávání podporována v rámci PO 3 </w:t>
            </w:r>
            <w:r w:rsidRPr="005A0E7C">
              <w:rPr>
                <w:rFonts w:ascii="Times New Roman" w:hAnsi="Times New Roman"/>
                <w:i/>
              </w:rPr>
              <w:t>Rovný přístup ke kvalitnímu předškolnímu, základnímu a střednímu vzdělávání</w:t>
            </w:r>
            <w:r w:rsidRPr="005A0E7C">
              <w:rPr>
                <w:rFonts w:ascii="Times New Roman" w:hAnsi="Times New Roman"/>
              </w:rPr>
              <w:t xml:space="preserve"> a z PO 2 </w:t>
            </w:r>
            <w:r w:rsidRPr="005A0E7C">
              <w:rPr>
                <w:rFonts w:ascii="Times New Roman" w:hAnsi="Times New Roman"/>
                <w:i/>
              </w:rPr>
              <w:t>Rozvoj vysokých škol a lidských zdrojů pro výzkum a vývoj.</w:t>
            </w:r>
            <w:r w:rsidRPr="005A0E7C">
              <w:rPr>
                <w:rFonts w:ascii="Times New Roman" w:hAnsi="Times New Roman"/>
              </w:rPr>
              <w:t xml:space="preserve"> Pokud jde o MŠ, ZŠ a SŠ, pak se jako nejvíce využívaný nástroj ukázaly šablony, jejichž administrace je pro školy značně jednodušší než administrace běžných projektových žádostí v rámci jiných výzev. Doposud byly vyhlášeny dvě výzvy – jedna pro MŠ a ZŠ (dále rozděleno dle kategorie regionu), druhá pro SŠ a VOŠ (opět rozdělena dle kategorie regionu). Všechny výzvy zůstaly lehce nedočerpány. V roce 2018 byla vyhlášena druhá vlna šablon, která podporuje i ZUŠ, školní kluby, školní družiny a střediska volného času s alokací 6 mld. Kč. V roce 2018 byla také vyhlášena výzva Šablony pro SŠ a VOŠ II s plánovanou alokací 1 mld. Kč.</w:t>
            </w:r>
          </w:p>
          <w:p w14:paraId="2B36C0D2"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Vysoké školy pak mohou z OP VVV žádat o podporu jak na tzv. měkké projekty financované z ESF cílící na zvýšení kvality vzdělávání na vysokých školách, zvýšení relevance pro potřeby trhu práce, zvýšení rovnosti přístupu ke vzdělávání pro studenty se specifickými potřebami, rozvoj oblasti celoživotního vzdělávání na vysokých školách či zkvalitnění strategického řízení na vysokých školách, tak na potřebné doplňující investiční projekty financované z EFRR. ŘO OP VVV v této oblasti vyhlásil řadu výzev (včetně čtveřice vzájemně komplementárních výzev, kde byla podpora z EFRR podmíněna realizací aktivit v rámci ESF). Vnitřní provázanost ESF a EFRR výzev (a ESF a EFRR projektů) se projevila jako administrativně náročnější, avšak zajistila tak nutnou návaznost investičních a neinvestičních aktivit a v konečném důsledku tak efektivní nastavení podpořených aktivit. V rámci strukturálně postižených regionů (kraj Moravskoslezský, Karlovarský a Ústecký) realizuje ŘO OP VVV dvojici vzájemně komplementárních výzev na podporu vysokého školství právě v těchto oblastech. Reaguje tak na Strategický rámec hospodářské restrukturalizace, který byl v roce 2016 schválen vládou ČR a jehož cílem je podpořit vyrovnání regionálních disparit v České republice.</w:t>
            </w:r>
          </w:p>
          <w:p w14:paraId="6E9008D6"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oblasti vzdělávání pak dále mohli žadatelé žádat o podporu také na mobility výzkumných pracovníků (včetně studentů Ph.D. programů), které byly podporovány formou zjednodušeného vykazování. V průběhu a na konci roku 2018 byly vyhlášeny a v roce 2019 jsou plánovány další vlny výzev na podporu vysokých škol i mobilit výzkumných pracovníků. ŘO průběžně provádí evaluace intervencí a konstatuje velký zájem o všechny výše zmíněné oblasti i pokrytí většiny prioritních témat OP VVV v oblasti podpory vysokých škol. V některých případech relativně nižší vyčerpání alokací výzev je způsobeno zejména velkým náporem na žadatele a velké přehlcení administrací a realizací velkého množství projektů současně. Oproti minulému programovému období již nebude třeba (v návaznosti na novelu zákona č. 111/1998 Sb. o vysokých školách a o změně a doplnění dalších zákonů – zákon o vysokých školách) masivní podpora modernizace studijních programů na vysokých školách a související infrastruktury, i nadále je však vysoce aktuální nutnost posílení profesně orientovaných studijních programů v bakalářském a magisterském stupni a současně průřezová podpora rozvoje doktorandského studia připravujícího budoucí vědecké a výzkumné pracovníky. </w:t>
            </w:r>
          </w:p>
          <w:p w14:paraId="26AFDDB3"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Dále nebude nutno oproti minulému programovému období podporovat aktivity vedoucí k nastavení systému a pozdějšímu získání tzv. institucionálních akreditací.</w:t>
            </w:r>
          </w:p>
          <w:p w14:paraId="43D8DB7E"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Ne zcela byly pokryty aktivity vedoucí ke zpřístupnění vysokoškolského prostředí pro studenty se specifickými potřebami, a to v ESF i EFRR části.</w:t>
            </w:r>
          </w:p>
          <w:p w14:paraId="716944D7"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OP PPR je podporováno navýšení kapacity a zkvalitnění předškolního, základního a středního vzdělávání. Jedná se například o budování nových tříd, podpora vzniku nových forem alternativní nerodičovské předškolní péče, zvýšení kvality a dostupnosti infrastruktury na školách a další. O tyto aktivity je ze strany oprávněných žadatelů velký zájem, nevidíme zde větší riziko při implementaci daných aktivit. Zároveň jsou podporovány aktivity zaměřené na zvýšení kvality vzdělávání prostřednictvím posílení inkluze v multikulturní společnosti (ESF). </w:t>
            </w:r>
          </w:p>
        </w:tc>
        <w:tc>
          <w:tcPr>
            <w:tcW w:w="249" w:type="dxa"/>
            <w:tcBorders>
              <w:top w:val="nil"/>
              <w:bottom w:val="nil"/>
            </w:tcBorders>
            <w:shd w:val="clear" w:color="auto" w:fill="66CCFF"/>
          </w:tcPr>
          <w:p w14:paraId="6E82E4AA" w14:textId="77777777" w:rsidR="00DD3EFA" w:rsidRPr="005A0E7C" w:rsidRDefault="00DD3EFA">
            <w:pPr>
              <w:rPr>
                <w:b/>
              </w:rPr>
            </w:pPr>
          </w:p>
        </w:tc>
      </w:tr>
      <w:tr w:rsidR="00DD3EFA" w:rsidRPr="005A0E7C" w14:paraId="13F41698" w14:textId="77777777" w:rsidTr="00B15ECB">
        <w:trPr>
          <w:trHeight w:val="850"/>
        </w:trPr>
        <w:tc>
          <w:tcPr>
            <w:tcW w:w="249" w:type="dxa"/>
            <w:tcBorders>
              <w:top w:val="nil"/>
              <w:bottom w:val="nil"/>
            </w:tcBorders>
            <w:shd w:val="clear" w:color="auto" w:fill="66CCFF"/>
          </w:tcPr>
          <w:p w14:paraId="2CFC1900" w14:textId="77777777" w:rsidR="00DD3EFA" w:rsidRPr="005A0E7C" w:rsidRDefault="00DD3EFA">
            <w:pPr>
              <w:rPr>
                <w:b/>
              </w:rPr>
            </w:pPr>
          </w:p>
        </w:tc>
        <w:tc>
          <w:tcPr>
            <w:tcW w:w="2548" w:type="dxa"/>
            <w:tcBorders>
              <w:bottom w:val="single" w:sz="4" w:space="0" w:color="auto"/>
            </w:tcBorders>
            <w:shd w:val="clear" w:color="auto" w:fill="FFFFFF" w:themeFill="background1"/>
          </w:tcPr>
          <w:p w14:paraId="5E57E639"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6D27EEA6" w14:textId="77777777" w:rsidR="00DD3EFA" w:rsidRPr="005A0E7C" w:rsidRDefault="00DD3EFA" w:rsidP="00B15ECB">
            <w:pPr>
              <w:spacing w:before="60" w:after="60"/>
              <w:rPr>
                <w:rFonts w:eastAsiaTheme="majorEastAsia"/>
              </w:rPr>
            </w:pPr>
            <w:r w:rsidRPr="005A0E7C">
              <w:rPr>
                <w:rFonts w:eastAsiaTheme="majorEastAsia"/>
              </w:rPr>
              <w:t xml:space="preserve">Současné programové období poskytuje na základě dosavadních informací určitý náhled do budoucnosti. Zkušenosti poukazují na vysokou míru poptávky ze strany potenciálních žadatelů. </w:t>
            </w:r>
          </w:p>
          <w:p w14:paraId="2FFB3D42" w14:textId="77777777" w:rsidR="00DD3EFA" w:rsidRPr="005A0E7C" w:rsidRDefault="00DD3EFA" w:rsidP="00B15ECB">
            <w:pPr>
              <w:spacing w:before="60" w:after="60"/>
              <w:rPr>
                <w:rFonts w:eastAsiaTheme="majorEastAsia"/>
              </w:rPr>
            </w:pPr>
            <w:r w:rsidRPr="005A0E7C">
              <w:rPr>
                <w:rFonts w:eastAsiaTheme="majorEastAsia"/>
              </w:rPr>
              <w:t>V PO 2, která je zaměřena právě na podporu vysokých škol, je patrný přesah podaných žádostí a jejich plánované finanční náročnosti oproti podpořeným žádostem a možné finanční alokaci. Mnohé z indikátorů se podařilo naplnit, ovšem u mnohých, zde relevantních indikátorů, je patrná míra jejich nenaplnění, což by mohlo poukazovat na další možnosti v budoucím programovém období. Jako stále silně podceněná oblast může být konkrétně uvedena nízká míra internacionalizace, která souvisí s příjezdy a výjezdy akademických pracovníků i studentů vysokých škol, s nízkým počtem studijních programů vyučovaných ve spolupráci se zahraničními institucemi (tzv. joint a multiple degree programy), dále poté nízké procentuální zastoupení studijních programů nabízených v kombinované/distanční formě studia a zejména zřetelné nedostatky ve zvyšování pedagogických, lektorských a didaktických kompetencí u pracovníků vysokých škol, kteří jsou nezpochybnitelnými odborníky ve svém oboru, avšak vykazují nedostatky při předávání poznatků studentům.</w:t>
            </w:r>
          </w:p>
          <w:p w14:paraId="5469D6A1" w14:textId="77777777" w:rsidR="00DD3EFA" w:rsidRPr="005A0E7C" w:rsidRDefault="00DD3EFA" w:rsidP="00B15ECB">
            <w:pPr>
              <w:spacing w:before="60" w:after="60"/>
              <w:rPr>
                <w:rFonts w:eastAsiaTheme="majorEastAsia"/>
              </w:rPr>
            </w:pPr>
            <w:r w:rsidRPr="005A0E7C">
              <w:rPr>
                <w:rFonts w:eastAsiaTheme="majorEastAsia"/>
              </w:rPr>
              <w:t>Celkem bylo pro oblast vysokých škol vyhlášeno a ukončeno 10 výzev, které byly hrazeny z ESF fondu, a 4 výzvy, které byly hrazeny z EFRR fondu. V ESF výzvách bylo podáno 341 žádostí o podporu s celkovým požadovaným objemem 10,4 mld. Kč, podpořeno bylo 179 projektů (tj. pouze 54,5 %) v celkovém objemu 6,9 mld. Kč (tj. 66,3 %). V EFRR výzvách bylo podáno celkem 247 žádostí o podporu s celkovým požadovaným objemem 25,9 mld. Kč, podpořeno bylo 178 projektů (tj. 72,1 %) v celkovém objemu 16,3 mld. Kč (tj. 62,9 %).</w:t>
            </w:r>
          </w:p>
          <w:p w14:paraId="7B5BCD87" w14:textId="77777777" w:rsidR="00DD3EFA" w:rsidRPr="005A0E7C" w:rsidRDefault="00DD3EFA" w:rsidP="00B15ECB">
            <w:pPr>
              <w:spacing w:before="60" w:after="60"/>
              <w:rPr>
                <w:rFonts w:eastAsiaTheme="majorEastAsia"/>
              </w:rPr>
            </w:pPr>
          </w:p>
          <w:p w14:paraId="0BE8BB97" w14:textId="77777777" w:rsidR="00DD3EFA" w:rsidRPr="005A0E7C" w:rsidRDefault="00DD3EFA" w:rsidP="00B15ECB">
            <w:pPr>
              <w:spacing w:before="60" w:after="60"/>
              <w:rPr>
                <w:rFonts w:eastAsiaTheme="majorEastAsia"/>
              </w:rPr>
            </w:pPr>
            <w:r w:rsidRPr="005A0E7C">
              <w:rPr>
                <w:rFonts w:eastAsiaTheme="majorEastAsia"/>
              </w:rPr>
              <w:t>V oblasti regionálního školství v PO 3 OP VVV bylo vyhlášeno 28 výzev, ve kterých bylo předloženo do konce roku 2018 celkem 10 210 žádostí o podporu s požadovaným objemem 25,6 mld. Kč, schváleno k realizaci bylo 9 047 žádostí o podporu v celkové výši 18,2 mld. Kč, tj. 71 %. Z velké části je prioritní osa 3 implementována jednotkovými náklady, tj. zjednodušenou formou financování. Celkem bylo těchto projektů do konce roku 2018 doporučeno k financování 8 389 v celkovém objemu 6,4 mld. Kč. Vzhledem k těmto datům je i pro budoucí programové období zajištěna dostatečná absorpční kapacita, což je deklarováno i v současné době od příjemců, kteří nadále chtějí pokračovat v realizaci aktivit hrazených z ESIF. Jedná se zejména o intervence v oblasti zvyšování kompetencí pedagogických pracovníků a rovném přístupu ke vzdělávání.</w:t>
            </w:r>
          </w:p>
          <w:p w14:paraId="7A7159F5" w14:textId="77777777" w:rsidR="00DD3EFA" w:rsidRPr="005A0E7C" w:rsidRDefault="00DD3EFA" w:rsidP="00B15ECB">
            <w:pPr>
              <w:spacing w:before="60" w:after="60"/>
              <w:rPr>
                <w:rFonts w:eastAsiaTheme="majorEastAsia"/>
              </w:rPr>
            </w:pPr>
            <w:r w:rsidRPr="005A0E7C">
              <w:rPr>
                <w:rFonts w:eastAsiaTheme="majorEastAsia"/>
              </w:rPr>
              <w:t>V oblasti investic do školství z IROP je zřejmé, že poptávka ve všech oblastech vysoce převyšuje nabídku a tento trend bude  pokračovat i v budoucnu.</w:t>
            </w:r>
          </w:p>
        </w:tc>
        <w:tc>
          <w:tcPr>
            <w:tcW w:w="249" w:type="dxa"/>
            <w:tcBorders>
              <w:top w:val="nil"/>
              <w:bottom w:val="nil"/>
            </w:tcBorders>
            <w:shd w:val="clear" w:color="auto" w:fill="66CCFF"/>
          </w:tcPr>
          <w:p w14:paraId="6994FE7E" w14:textId="77777777" w:rsidR="00DD3EFA" w:rsidRPr="005A0E7C" w:rsidRDefault="00DD3EFA">
            <w:pPr>
              <w:rPr>
                <w:b/>
              </w:rPr>
            </w:pPr>
          </w:p>
        </w:tc>
      </w:tr>
      <w:tr w:rsidR="00DD3EFA" w:rsidRPr="005A0E7C" w14:paraId="5618E4C1" w14:textId="77777777" w:rsidTr="00B15ECB">
        <w:trPr>
          <w:trHeight w:val="925"/>
        </w:trPr>
        <w:tc>
          <w:tcPr>
            <w:tcW w:w="249" w:type="dxa"/>
            <w:tcBorders>
              <w:top w:val="nil"/>
              <w:bottom w:val="nil"/>
            </w:tcBorders>
            <w:shd w:val="clear" w:color="auto" w:fill="66CCFF"/>
          </w:tcPr>
          <w:p w14:paraId="16139180" w14:textId="77777777" w:rsidR="00DD3EFA" w:rsidRPr="005A0E7C" w:rsidRDefault="00DD3EFA">
            <w:pPr>
              <w:rPr>
                <w:b/>
              </w:rPr>
            </w:pPr>
          </w:p>
        </w:tc>
        <w:tc>
          <w:tcPr>
            <w:tcW w:w="2548" w:type="dxa"/>
            <w:tcBorders>
              <w:bottom w:val="single" w:sz="4" w:space="0" w:color="auto"/>
            </w:tcBorders>
            <w:shd w:val="clear" w:color="auto" w:fill="FFFFFF" w:themeFill="background1"/>
          </w:tcPr>
          <w:p w14:paraId="07C18B88"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2712A471" w14:textId="44E1D6D7" w:rsidR="00DD3EFA" w:rsidRPr="005A0E7C" w:rsidRDefault="00DD3EFA" w:rsidP="00B15ECB">
            <w:pPr>
              <w:spacing w:before="60" w:after="60"/>
              <w:rPr>
                <w:rFonts w:eastAsiaTheme="majorEastAsia"/>
              </w:rPr>
            </w:pPr>
            <w:r w:rsidRPr="005A0E7C">
              <w:rPr>
                <w:rFonts w:eastAsiaTheme="majorEastAsia"/>
              </w:rPr>
              <w:t xml:space="preserve">V současné době probíhá v oblasti vysokého školství zjišťování budoucích potřeb vysokých škol formou tzv. pre-screeningu. Toto monitorování a následné zhodnocení infrastrukturních potřeb si </w:t>
            </w:r>
            <w:r w:rsidR="001D74D4" w:rsidRPr="005A0E7C">
              <w:rPr>
                <w:rFonts w:eastAsiaTheme="majorEastAsia"/>
              </w:rPr>
              <w:t>klade</w:t>
            </w:r>
            <w:r w:rsidRPr="005A0E7C">
              <w:rPr>
                <w:rFonts w:eastAsiaTheme="majorEastAsia"/>
              </w:rPr>
              <w:t xml:space="preserve"> za cíl vyšší míru připravenosti ze strany žadatelů i </w:t>
            </w:r>
            <w:r w:rsidR="001D74D4" w:rsidRPr="005A0E7C">
              <w:rPr>
                <w:rFonts w:eastAsiaTheme="majorEastAsia"/>
              </w:rPr>
              <w:t>poskytovatele</w:t>
            </w:r>
            <w:r w:rsidRPr="005A0E7C">
              <w:rPr>
                <w:rFonts w:eastAsiaTheme="majorEastAsia"/>
              </w:rPr>
              <w:t xml:space="preserve"> dotace pro příští programové období.</w:t>
            </w:r>
          </w:p>
          <w:p w14:paraId="113B5A32" w14:textId="168103ED" w:rsidR="00DD3EFA" w:rsidRPr="005A0E7C" w:rsidRDefault="00DD3EFA" w:rsidP="00B15ECB">
            <w:pPr>
              <w:spacing w:before="60" w:after="60"/>
              <w:rPr>
                <w:rFonts w:eastAsiaTheme="majorEastAsia"/>
              </w:rPr>
            </w:pPr>
            <w:r w:rsidRPr="005A0E7C">
              <w:rPr>
                <w:rFonts w:eastAsiaTheme="majorEastAsia"/>
              </w:rPr>
              <w:t xml:space="preserve">V oblasti regionálního školství pak ve vztahu k předmětnému specifickému cíli NKR jde o realizaci zpracování dílčích výzkumných potřeb, </w:t>
            </w:r>
            <w:r w:rsidR="001D74D4" w:rsidRPr="005A0E7C">
              <w:rPr>
                <w:rFonts w:eastAsiaTheme="majorEastAsia"/>
              </w:rPr>
              <w:t xml:space="preserve">ať již zadaných či v přípravě, </w:t>
            </w:r>
            <w:r w:rsidRPr="005A0E7C">
              <w:rPr>
                <w:rFonts w:eastAsiaTheme="majorEastAsia"/>
              </w:rPr>
              <w:t xml:space="preserve">prostřednictvím programu TAČR Beta, kdy výstupy realizovaných projektů mají sloužit mimo jiné i jako vhodné analytické předpoklady dalšího zacílení a realizace prostřednictvím fondů ESIF. </w:t>
            </w:r>
          </w:p>
          <w:p w14:paraId="2CFFED28" w14:textId="77777777" w:rsidR="00DD3EFA" w:rsidRPr="005A0E7C" w:rsidRDefault="00DD3EFA" w:rsidP="00B15ECB">
            <w:pPr>
              <w:spacing w:before="60" w:after="60"/>
              <w:rPr>
                <w:rFonts w:eastAsiaTheme="majorEastAsia"/>
                <w:i/>
              </w:rPr>
            </w:pPr>
            <w:r w:rsidRPr="005A0E7C">
              <w:rPr>
                <w:rFonts w:eastAsiaTheme="majorEastAsia"/>
              </w:rPr>
              <w:t xml:space="preserve">Dále se jedná o rovněž o spolupráci s Evropskou komisí v rámci Programu na podporu strukturálních reforem. Projekt se zaměřuje na předčasné odchody ze základního vzdělávání v sociálně vyloučených lokalitách ve třech krajích se strukturálními problémy – Ústeckém, Karlovarském a Moravskoslezském. Cílem je během dvou let ve spolupráci se zahraničními experty navrhnout opatření, která se budou zaměřovat primárně na školu a rodinu a která povedou ke snížení předčasných odchodů ze vzdělávání. Navrhnutá opatření budou následně otestována v pilotním šetření. </w:t>
            </w:r>
          </w:p>
        </w:tc>
        <w:tc>
          <w:tcPr>
            <w:tcW w:w="249" w:type="dxa"/>
            <w:tcBorders>
              <w:top w:val="nil"/>
              <w:bottom w:val="nil"/>
            </w:tcBorders>
            <w:shd w:val="clear" w:color="auto" w:fill="66CCFF"/>
          </w:tcPr>
          <w:p w14:paraId="7139EBD3" w14:textId="77777777" w:rsidR="00DD3EFA" w:rsidRPr="005A0E7C" w:rsidRDefault="00DD3EFA">
            <w:pPr>
              <w:rPr>
                <w:b/>
              </w:rPr>
            </w:pPr>
          </w:p>
        </w:tc>
      </w:tr>
      <w:tr w:rsidR="00DD3EFA" w:rsidRPr="005A0E7C" w14:paraId="39254EF7" w14:textId="77777777" w:rsidTr="00B15ECB">
        <w:trPr>
          <w:trHeight w:val="1001"/>
        </w:trPr>
        <w:tc>
          <w:tcPr>
            <w:tcW w:w="249" w:type="dxa"/>
            <w:tcBorders>
              <w:top w:val="nil"/>
              <w:bottom w:val="nil"/>
            </w:tcBorders>
            <w:shd w:val="clear" w:color="auto" w:fill="66CCFF"/>
          </w:tcPr>
          <w:p w14:paraId="140C978F" w14:textId="77777777" w:rsidR="00DD3EFA" w:rsidRPr="005A0E7C" w:rsidRDefault="00DD3EFA">
            <w:pPr>
              <w:rPr>
                <w:b/>
              </w:rPr>
            </w:pPr>
          </w:p>
        </w:tc>
        <w:tc>
          <w:tcPr>
            <w:tcW w:w="2548" w:type="dxa"/>
            <w:tcBorders>
              <w:bottom w:val="single" w:sz="4" w:space="0" w:color="auto"/>
            </w:tcBorders>
            <w:shd w:val="clear" w:color="auto" w:fill="FFFFFF" w:themeFill="background1"/>
          </w:tcPr>
          <w:p w14:paraId="421EFB73"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39A154F4" w14:textId="77777777" w:rsidR="00DD3EFA" w:rsidRPr="005A0E7C" w:rsidRDefault="00DD3EFA" w:rsidP="00B15ECB">
            <w:pPr>
              <w:spacing w:before="60" w:after="60"/>
              <w:rPr>
                <w:rFonts w:eastAsiaTheme="majorEastAsia"/>
              </w:rPr>
            </w:pPr>
            <w:r w:rsidRPr="005A0E7C">
              <w:rPr>
                <w:rFonts w:eastAsiaTheme="majorEastAsia"/>
              </w:rPr>
              <w:t>V současné době nejsou identifikovány žádné zákonné bariéry bránící podpoře této oblasti z ESIF. Jejich výskyt není předpokládán ani v budoucnosti.</w:t>
            </w:r>
          </w:p>
          <w:p w14:paraId="7D44D6E0"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54F43F18" w14:textId="77777777" w:rsidR="00DD3EFA" w:rsidRPr="005A0E7C" w:rsidRDefault="00DD3EFA">
            <w:pPr>
              <w:rPr>
                <w:b/>
              </w:rPr>
            </w:pPr>
          </w:p>
        </w:tc>
      </w:tr>
      <w:tr w:rsidR="00DD3EFA" w:rsidRPr="005A0E7C" w14:paraId="42CC2EA0"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67532C00" w14:textId="77777777" w:rsidR="00DD3EFA" w:rsidRPr="005A0E7C" w:rsidRDefault="00DD3EFA">
            <w:pPr>
              <w:rPr>
                <w:b/>
              </w:rPr>
            </w:pPr>
          </w:p>
        </w:tc>
        <w:tc>
          <w:tcPr>
            <w:tcW w:w="2548" w:type="dxa"/>
            <w:tcBorders>
              <w:top w:val="single" w:sz="4" w:space="0" w:color="auto"/>
              <w:left w:val="nil"/>
              <w:bottom w:val="single" w:sz="4" w:space="0" w:color="auto"/>
              <w:right w:val="nil"/>
            </w:tcBorders>
            <w:shd w:val="clear" w:color="auto" w:fill="66CCFF"/>
          </w:tcPr>
          <w:p w14:paraId="7CCBE6C5"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5610D8D"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6751A8F8" w14:textId="77777777" w:rsidR="00DD3EFA" w:rsidRPr="005A0E7C" w:rsidRDefault="00DD3EFA">
            <w:pPr>
              <w:rPr>
                <w:b/>
              </w:rPr>
            </w:pPr>
          </w:p>
        </w:tc>
      </w:tr>
      <w:tr w:rsidR="00DD3EFA" w:rsidRPr="005A0E7C" w14:paraId="1BFCB9BE" w14:textId="77777777" w:rsidTr="00B15ECB">
        <w:trPr>
          <w:trHeight w:val="1559"/>
        </w:trPr>
        <w:tc>
          <w:tcPr>
            <w:tcW w:w="249" w:type="dxa"/>
            <w:tcBorders>
              <w:top w:val="single" w:sz="4" w:space="0" w:color="auto"/>
              <w:bottom w:val="nil"/>
            </w:tcBorders>
            <w:shd w:val="clear" w:color="auto" w:fill="66CCFF"/>
          </w:tcPr>
          <w:p w14:paraId="2E25859F" w14:textId="77777777" w:rsidR="00DD3EFA" w:rsidRPr="005A0E7C" w:rsidRDefault="00DD3EFA">
            <w:pPr>
              <w:rPr>
                <w:b/>
              </w:rPr>
            </w:pPr>
          </w:p>
        </w:tc>
        <w:tc>
          <w:tcPr>
            <w:tcW w:w="8526" w:type="dxa"/>
            <w:gridSpan w:val="2"/>
            <w:tcBorders>
              <w:top w:val="single" w:sz="4" w:space="0" w:color="auto"/>
            </w:tcBorders>
            <w:shd w:val="clear" w:color="auto" w:fill="FFFFFF" w:themeFill="background1"/>
          </w:tcPr>
          <w:p w14:paraId="7083E1E7" w14:textId="77777777" w:rsidR="00DD3EFA" w:rsidRPr="005A0E7C" w:rsidRDefault="00DD3EFA" w:rsidP="00B15ECB">
            <w:pPr>
              <w:spacing w:before="60" w:after="60"/>
              <w:rPr>
                <w:rFonts w:eastAsiaTheme="majorEastAsia"/>
                <w:i/>
              </w:rPr>
            </w:pPr>
            <w:r w:rsidRPr="005A0E7C">
              <w:rPr>
                <w:rFonts w:eastAsiaTheme="majorEastAsia"/>
                <w:b/>
              </w:rPr>
              <w:t>Alternativní zdroje</w:t>
            </w:r>
          </w:p>
        </w:tc>
        <w:tc>
          <w:tcPr>
            <w:tcW w:w="249" w:type="dxa"/>
            <w:tcBorders>
              <w:top w:val="single" w:sz="4" w:space="0" w:color="auto"/>
              <w:bottom w:val="nil"/>
            </w:tcBorders>
            <w:shd w:val="clear" w:color="auto" w:fill="66CCFF"/>
          </w:tcPr>
          <w:p w14:paraId="0E7E3D27" w14:textId="77777777" w:rsidR="00DD3EFA" w:rsidRPr="005A0E7C" w:rsidRDefault="00DD3EFA">
            <w:pPr>
              <w:rPr>
                <w:b/>
              </w:rPr>
            </w:pPr>
          </w:p>
        </w:tc>
      </w:tr>
      <w:tr w:rsidR="00DD3EFA" w:rsidRPr="005A0E7C" w14:paraId="43482366" w14:textId="77777777" w:rsidTr="00B15ECB">
        <w:trPr>
          <w:trHeight w:val="1968"/>
        </w:trPr>
        <w:tc>
          <w:tcPr>
            <w:tcW w:w="249" w:type="dxa"/>
            <w:tcBorders>
              <w:top w:val="nil"/>
              <w:bottom w:val="nil"/>
            </w:tcBorders>
            <w:shd w:val="clear" w:color="auto" w:fill="66CCFF"/>
          </w:tcPr>
          <w:p w14:paraId="496E66D2" w14:textId="77777777" w:rsidR="00DD3EFA" w:rsidRPr="005A0E7C" w:rsidRDefault="00DD3EFA">
            <w:pPr>
              <w:rPr>
                <w:b/>
              </w:rPr>
            </w:pPr>
          </w:p>
        </w:tc>
        <w:tc>
          <w:tcPr>
            <w:tcW w:w="2548" w:type="dxa"/>
            <w:tcBorders>
              <w:top w:val="nil"/>
            </w:tcBorders>
            <w:shd w:val="clear" w:color="auto" w:fill="FFFFFF" w:themeFill="background1"/>
          </w:tcPr>
          <w:p w14:paraId="2B6B53FE"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4F81F89C" w14:textId="085BF06F" w:rsidR="00DD3EFA" w:rsidRPr="005A0E7C" w:rsidRDefault="00DD3EFA" w:rsidP="00B15ECB">
            <w:pPr>
              <w:spacing w:before="60" w:after="60"/>
              <w:rPr>
                <w:rFonts w:eastAsiaTheme="majorEastAsia"/>
                <w:i/>
              </w:rPr>
            </w:pPr>
            <w:r w:rsidRPr="005A0E7C">
              <w:rPr>
                <w:rFonts w:eastAsiaTheme="majorEastAsia"/>
              </w:rPr>
              <w:t xml:space="preserve">Z unijních programů je v oblasti regionálního školství </w:t>
            </w:r>
            <w:r w:rsidR="001D74D4" w:rsidRPr="005A0E7C">
              <w:rPr>
                <w:rFonts w:eastAsiaTheme="majorEastAsia"/>
              </w:rPr>
              <w:t>relevantní</w:t>
            </w:r>
            <w:r w:rsidRPr="005A0E7C">
              <w:rPr>
                <w:rFonts w:eastAsiaTheme="majorEastAsia"/>
              </w:rPr>
              <w:t xml:space="preserve"> pouze Erasmus+ a to zejména v podpoře mobilit žáků a pedagogických pracovníků.</w:t>
            </w:r>
          </w:p>
        </w:tc>
        <w:tc>
          <w:tcPr>
            <w:tcW w:w="249" w:type="dxa"/>
            <w:tcBorders>
              <w:top w:val="nil"/>
              <w:bottom w:val="nil"/>
            </w:tcBorders>
            <w:shd w:val="clear" w:color="auto" w:fill="66CCFF"/>
          </w:tcPr>
          <w:p w14:paraId="482B617F" w14:textId="77777777" w:rsidR="00DD3EFA" w:rsidRPr="005A0E7C" w:rsidRDefault="00DD3EFA">
            <w:pPr>
              <w:rPr>
                <w:b/>
              </w:rPr>
            </w:pPr>
          </w:p>
        </w:tc>
      </w:tr>
      <w:tr w:rsidR="00DD3EFA" w:rsidRPr="005A0E7C" w14:paraId="28F16EFF" w14:textId="77777777" w:rsidTr="00B15ECB">
        <w:trPr>
          <w:trHeight w:val="1968"/>
        </w:trPr>
        <w:tc>
          <w:tcPr>
            <w:tcW w:w="249" w:type="dxa"/>
            <w:tcBorders>
              <w:top w:val="nil"/>
              <w:bottom w:val="nil"/>
            </w:tcBorders>
            <w:shd w:val="clear" w:color="auto" w:fill="66CCFF"/>
          </w:tcPr>
          <w:p w14:paraId="4182C6DD" w14:textId="77777777" w:rsidR="00DD3EFA" w:rsidRPr="005A0E7C" w:rsidRDefault="00DD3EFA">
            <w:pPr>
              <w:rPr>
                <w:b/>
              </w:rPr>
            </w:pPr>
          </w:p>
        </w:tc>
        <w:tc>
          <w:tcPr>
            <w:tcW w:w="2548" w:type="dxa"/>
            <w:tcBorders>
              <w:top w:val="nil"/>
            </w:tcBorders>
            <w:shd w:val="clear" w:color="auto" w:fill="FFFFFF" w:themeFill="background1"/>
          </w:tcPr>
          <w:p w14:paraId="5113D8B6"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016DA273" w14:textId="35F23052" w:rsidR="00DD3EFA" w:rsidRPr="005A0E7C" w:rsidRDefault="00DD3EFA" w:rsidP="00B15ECB">
            <w:pPr>
              <w:spacing w:before="60"/>
              <w:rPr>
                <w:rFonts w:eastAsiaTheme="majorEastAsia"/>
              </w:rPr>
            </w:pPr>
            <w:r w:rsidRPr="005A0E7C">
              <w:rPr>
                <w:rFonts w:eastAsiaTheme="majorEastAsia"/>
              </w:rPr>
              <w:t>Specifický cíl může být v menší míře podpořen z veřejných rozpočtů ČR. Z hlediska dosavadního vývoje a navyšování výdajů státního rozpočtu na mandatorní výdaje kapitoly MŠMT však nelze v</w:t>
            </w:r>
            <w:r w:rsidR="001D74D4" w:rsidRPr="005A0E7C">
              <w:rPr>
                <w:rFonts w:eastAsiaTheme="majorEastAsia"/>
              </w:rPr>
              <w:t> </w:t>
            </w:r>
            <w:r w:rsidRPr="005A0E7C">
              <w:rPr>
                <w:rFonts w:eastAsiaTheme="majorEastAsia"/>
              </w:rPr>
              <w:t>dlouho</w:t>
            </w:r>
            <w:r w:rsidR="001D74D4" w:rsidRPr="005A0E7C">
              <w:rPr>
                <w:rFonts w:eastAsiaTheme="majorEastAsia"/>
              </w:rPr>
              <w:t>dobém</w:t>
            </w:r>
            <w:r w:rsidRPr="005A0E7C">
              <w:rPr>
                <w:rFonts w:eastAsiaTheme="majorEastAsia"/>
              </w:rPr>
              <w:t xml:space="preserve"> výhledu vývoje veřejných financí očekávat významnou podporu vedoucí k dosažení specifického cíle a to zejména v oblasti regionálního školství.</w:t>
            </w:r>
          </w:p>
          <w:p w14:paraId="65FDD191" w14:textId="77777777" w:rsidR="00DD3EFA" w:rsidRPr="005A0E7C" w:rsidRDefault="00DD3EFA" w:rsidP="00B15ECB">
            <w:pPr>
              <w:spacing w:before="60"/>
              <w:rPr>
                <w:rFonts w:eastAsiaTheme="majorEastAsia"/>
              </w:rPr>
            </w:pPr>
            <w:r w:rsidRPr="005A0E7C">
              <w:rPr>
                <w:rFonts w:eastAsiaTheme="majorEastAsia"/>
              </w:rPr>
              <w:t>Na základě společných projektů soutěží vysoké školy o podporu vyčleněnou na Centralizované rozvojové programy a to v rámci několika tematických okruhů každoročně stanovených ministerstvem. Tato témata ještě více specifikují rozvojové cíle stanovené v dlouhodobým záměrem pro oblast vysokých škol 2016-2020 a jejich aktualizací pro jednotlivé roky. Projekty jsou podpořeny na základě doporučení Rady programů, poradního orgánu ministerstva.</w:t>
            </w:r>
          </w:p>
          <w:p w14:paraId="555DA5EE" w14:textId="77777777" w:rsidR="00DD3EFA" w:rsidRPr="005A0E7C" w:rsidRDefault="00DD3EFA" w:rsidP="00B15ECB">
            <w:pPr>
              <w:spacing w:before="60"/>
              <w:rPr>
                <w:rFonts w:eastAsiaTheme="majorEastAsia"/>
              </w:rPr>
            </w:pPr>
            <w:r w:rsidRPr="005A0E7C">
              <w:rPr>
                <w:rFonts w:eastAsiaTheme="majorEastAsia"/>
              </w:rPr>
              <w:t>V rámci Institucionálního programu získávají vysoké školy prostředky na základě předloženého tříletého Institucionálního plánu, jehož prostřednictvím hodlají dosáhnout konkrétních cílů vycházejících z národních i institucionálních strategických dokumentů na dané období. Institucionální plán zároveň obsahuje návrh sledovatelných ukazatelů výkonu a jejich cílových hodnot za účelem monitoringu a evaluace stanovených cílů.</w:t>
            </w:r>
          </w:p>
          <w:p w14:paraId="04B3833E" w14:textId="278AD438" w:rsidR="00DD3EFA" w:rsidRPr="005A0E7C" w:rsidRDefault="00DD3EFA" w:rsidP="00B15ECB">
            <w:pPr>
              <w:spacing w:before="60"/>
              <w:rPr>
                <w:rFonts w:eastAsiaTheme="majorEastAsia"/>
              </w:rPr>
            </w:pPr>
            <w:r w:rsidRPr="005A0E7C">
              <w:rPr>
                <w:rFonts w:eastAsiaTheme="majorEastAsia"/>
              </w:rPr>
              <w:t xml:space="preserve">Prostřednictvím podpory na rozvoj a obnovu materiálně technické základny jednotlivých vysokých škol financuje ministerstvo </w:t>
            </w:r>
            <w:r w:rsidR="001D74D4" w:rsidRPr="005A0E7C">
              <w:rPr>
                <w:rFonts w:eastAsiaTheme="majorEastAsia"/>
              </w:rPr>
              <w:t>realizaci</w:t>
            </w:r>
            <w:r w:rsidRPr="005A0E7C">
              <w:rPr>
                <w:rFonts w:eastAsiaTheme="majorEastAsia"/>
              </w:rPr>
              <w:t xml:space="preserve"> výlučně investičních akcí, které jsou součástí investičního plánu.</w:t>
            </w:r>
          </w:p>
        </w:tc>
        <w:tc>
          <w:tcPr>
            <w:tcW w:w="249" w:type="dxa"/>
            <w:tcBorders>
              <w:top w:val="nil"/>
              <w:bottom w:val="nil"/>
            </w:tcBorders>
            <w:shd w:val="clear" w:color="auto" w:fill="66CCFF"/>
          </w:tcPr>
          <w:p w14:paraId="75BE8496" w14:textId="77777777" w:rsidR="00DD3EFA" w:rsidRPr="005A0E7C" w:rsidRDefault="00DD3EFA">
            <w:pPr>
              <w:rPr>
                <w:b/>
              </w:rPr>
            </w:pPr>
          </w:p>
        </w:tc>
      </w:tr>
      <w:tr w:rsidR="00DD3EFA" w:rsidRPr="005A0E7C" w14:paraId="29600ACA" w14:textId="77777777" w:rsidTr="00B15ECB">
        <w:trPr>
          <w:trHeight w:val="1968"/>
        </w:trPr>
        <w:tc>
          <w:tcPr>
            <w:tcW w:w="249" w:type="dxa"/>
            <w:tcBorders>
              <w:top w:val="nil"/>
              <w:bottom w:val="nil"/>
            </w:tcBorders>
            <w:shd w:val="clear" w:color="auto" w:fill="66CCFF"/>
          </w:tcPr>
          <w:p w14:paraId="513BF3E5" w14:textId="77777777" w:rsidR="00DD3EFA" w:rsidRPr="005A0E7C" w:rsidRDefault="00DD3EFA">
            <w:pPr>
              <w:rPr>
                <w:b/>
              </w:rPr>
            </w:pPr>
          </w:p>
        </w:tc>
        <w:tc>
          <w:tcPr>
            <w:tcW w:w="2548" w:type="dxa"/>
            <w:tcBorders>
              <w:top w:val="nil"/>
            </w:tcBorders>
            <w:shd w:val="clear" w:color="auto" w:fill="FFFFFF" w:themeFill="background1"/>
          </w:tcPr>
          <w:p w14:paraId="04086812"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518D1FC7" w14:textId="77777777" w:rsidR="00DD3EFA" w:rsidRPr="005A0E7C" w:rsidRDefault="00DD3EFA" w:rsidP="00B15ECB">
            <w:pPr>
              <w:spacing w:before="60"/>
              <w:rPr>
                <w:rFonts w:eastAsiaTheme="majorEastAsia"/>
              </w:rPr>
            </w:pPr>
            <w:r w:rsidRPr="005A0E7C">
              <w:rPr>
                <w:rFonts w:eastAsiaTheme="majorEastAsia"/>
              </w:rPr>
              <w:t>Naplňování specifického cíle nelze dosáhnout skrze tržní nástroje, popřípadě komerční formou financování.</w:t>
            </w:r>
          </w:p>
        </w:tc>
        <w:tc>
          <w:tcPr>
            <w:tcW w:w="249" w:type="dxa"/>
            <w:tcBorders>
              <w:top w:val="nil"/>
              <w:bottom w:val="nil"/>
            </w:tcBorders>
            <w:shd w:val="clear" w:color="auto" w:fill="66CCFF"/>
          </w:tcPr>
          <w:p w14:paraId="2E08F9B3" w14:textId="77777777" w:rsidR="00DD3EFA" w:rsidRPr="005A0E7C" w:rsidRDefault="00DD3EFA">
            <w:pPr>
              <w:rPr>
                <w:b/>
              </w:rPr>
            </w:pPr>
          </w:p>
        </w:tc>
      </w:tr>
      <w:tr w:rsidR="00DD3EFA" w:rsidRPr="005A0E7C" w14:paraId="3D19875A" w14:textId="77777777" w:rsidTr="00B15ECB">
        <w:trPr>
          <w:trHeight w:val="1968"/>
        </w:trPr>
        <w:tc>
          <w:tcPr>
            <w:tcW w:w="249" w:type="dxa"/>
            <w:tcBorders>
              <w:top w:val="nil"/>
              <w:bottom w:val="nil"/>
            </w:tcBorders>
            <w:shd w:val="clear" w:color="auto" w:fill="66CCFF"/>
          </w:tcPr>
          <w:p w14:paraId="648ABB27" w14:textId="77777777" w:rsidR="00DD3EFA" w:rsidRPr="005A0E7C" w:rsidRDefault="00DD3EFA">
            <w:pPr>
              <w:rPr>
                <w:b/>
              </w:rPr>
            </w:pPr>
          </w:p>
        </w:tc>
        <w:tc>
          <w:tcPr>
            <w:tcW w:w="2548" w:type="dxa"/>
            <w:tcBorders>
              <w:top w:val="nil"/>
            </w:tcBorders>
            <w:shd w:val="clear" w:color="auto" w:fill="FFFFFF" w:themeFill="background1"/>
          </w:tcPr>
          <w:p w14:paraId="393AA3DB"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19ACD67D" w14:textId="3D8B9A46" w:rsidR="00DD3EFA" w:rsidRPr="005A0E7C" w:rsidRDefault="00DD3EFA" w:rsidP="00B15ECB">
            <w:pPr>
              <w:spacing w:before="60" w:after="60"/>
              <w:rPr>
                <w:rFonts w:eastAsiaTheme="majorEastAsia"/>
              </w:rPr>
            </w:pPr>
            <w:r w:rsidRPr="005A0E7C">
              <w:rPr>
                <w:rFonts w:eastAsiaTheme="majorEastAsia"/>
              </w:rPr>
              <w:t>Na základě analýzy, která byla zpracována společností PWC (Analýza ne/využitelnosti finančních nástrojů pro oblast výzkumu, vývoje a vzdělávání), lze identifikovat základní možnosti využití finanč</w:t>
            </w:r>
            <w:r w:rsidR="001D74D4" w:rsidRPr="005A0E7C">
              <w:rPr>
                <w:rFonts w:eastAsiaTheme="majorEastAsia"/>
              </w:rPr>
              <w:t>n</w:t>
            </w:r>
            <w:r w:rsidRPr="005A0E7C">
              <w:rPr>
                <w:rFonts w:eastAsiaTheme="majorEastAsia"/>
              </w:rPr>
              <w:t>ích nástrojů zejména ve vysokoškolském prostředí na poli mobilitních schémat. V oblasti regionální školství jsou finanční nástroje za současného nastavení nevyužitelné.</w:t>
            </w:r>
          </w:p>
          <w:p w14:paraId="16AD294B"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0C15D859" w14:textId="77777777" w:rsidR="00DD3EFA" w:rsidRPr="005A0E7C" w:rsidRDefault="00DD3EFA">
            <w:pPr>
              <w:rPr>
                <w:b/>
              </w:rPr>
            </w:pPr>
          </w:p>
        </w:tc>
      </w:tr>
      <w:tr w:rsidR="00DD3EFA" w:rsidRPr="005A0E7C" w14:paraId="608E7CB7" w14:textId="77777777" w:rsidTr="00B15ECB">
        <w:trPr>
          <w:trHeight w:val="150"/>
        </w:trPr>
        <w:tc>
          <w:tcPr>
            <w:tcW w:w="249" w:type="dxa"/>
            <w:tcBorders>
              <w:top w:val="nil"/>
              <w:right w:val="nil"/>
            </w:tcBorders>
            <w:shd w:val="clear" w:color="auto" w:fill="66CCFF"/>
          </w:tcPr>
          <w:p w14:paraId="176A6A4E" w14:textId="77777777" w:rsidR="00DD3EFA" w:rsidRPr="005A0E7C" w:rsidRDefault="00DD3EFA">
            <w:pPr>
              <w:rPr>
                <w:b/>
              </w:rPr>
            </w:pPr>
          </w:p>
        </w:tc>
        <w:tc>
          <w:tcPr>
            <w:tcW w:w="2548" w:type="dxa"/>
            <w:tcBorders>
              <w:left w:val="nil"/>
              <w:right w:val="nil"/>
            </w:tcBorders>
            <w:shd w:val="clear" w:color="auto" w:fill="66CCFF"/>
          </w:tcPr>
          <w:p w14:paraId="687CE74F" w14:textId="77777777" w:rsidR="00DD3EFA" w:rsidRPr="005A0E7C" w:rsidRDefault="00DD3EFA" w:rsidP="00B15ECB">
            <w:pPr>
              <w:rPr>
                <w:b/>
              </w:rPr>
            </w:pPr>
          </w:p>
        </w:tc>
        <w:tc>
          <w:tcPr>
            <w:tcW w:w="5978" w:type="dxa"/>
            <w:tcBorders>
              <w:left w:val="nil"/>
              <w:right w:val="nil"/>
            </w:tcBorders>
            <w:shd w:val="clear" w:color="auto" w:fill="66CCFF"/>
          </w:tcPr>
          <w:p w14:paraId="1AC2ABA7" w14:textId="77777777" w:rsidR="00DD3EFA" w:rsidRPr="005A0E7C" w:rsidRDefault="00DD3EFA" w:rsidP="00B15ECB">
            <w:pPr>
              <w:rPr>
                <w:b/>
              </w:rPr>
            </w:pPr>
          </w:p>
        </w:tc>
        <w:tc>
          <w:tcPr>
            <w:tcW w:w="249" w:type="dxa"/>
            <w:tcBorders>
              <w:top w:val="nil"/>
              <w:left w:val="nil"/>
            </w:tcBorders>
            <w:shd w:val="clear" w:color="auto" w:fill="66CCFF"/>
          </w:tcPr>
          <w:p w14:paraId="393FD300" w14:textId="77777777" w:rsidR="00DD3EFA" w:rsidRPr="005A0E7C" w:rsidRDefault="00DD3EFA">
            <w:pPr>
              <w:rPr>
                <w:b/>
              </w:rPr>
            </w:pPr>
          </w:p>
        </w:tc>
      </w:tr>
    </w:tbl>
    <w:p w14:paraId="555370E4" w14:textId="77777777" w:rsidR="00DD3EFA" w:rsidRPr="005A0E7C" w:rsidRDefault="00DD3EFA">
      <w:pPr>
        <w:rPr>
          <w:rFonts w:ascii="Times New Roman" w:hAnsi="Times New Roman" w:cs="Times New Roman"/>
          <w:b/>
          <w:sz w:val="20"/>
          <w:szCs w:val="20"/>
        </w:rPr>
      </w:pPr>
    </w:p>
    <w:p w14:paraId="7D1EB0B1" w14:textId="77777777" w:rsidR="00DD3EFA" w:rsidRPr="005A0E7C" w:rsidRDefault="00DD3EFA">
      <w:pPr>
        <w:rPr>
          <w:rFonts w:ascii="Times New Roman" w:hAnsi="Times New Roman" w:cs="Times New Roman"/>
          <w:sz w:val="20"/>
          <w:szCs w:val="20"/>
        </w:rPr>
      </w:pPr>
    </w:p>
    <w:p w14:paraId="1D6D7CA6" w14:textId="77777777" w:rsidR="00DD3EFA" w:rsidRPr="005A0E7C" w:rsidRDefault="00DD3EFA" w:rsidP="00B15ECB">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431" w:type="dxa"/>
        <w:shd w:val="clear" w:color="auto" w:fill="C7ECF1"/>
        <w:tblLayout w:type="fixed"/>
        <w:tblLook w:val="04A0" w:firstRow="1" w:lastRow="0" w:firstColumn="1" w:lastColumn="0" w:noHBand="0" w:noVBand="1"/>
      </w:tblPr>
      <w:tblGrid>
        <w:gridCol w:w="675"/>
        <w:gridCol w:w="2548"/>
        <w:gridCol w:w="5978"/>
        <w:gridCol w:w="249"/>
      </w:tblGrid>
      <w:tr w:rsidR="00DD3EFA" w:rsidRPr="005A0E7C" w14:paraId="02C9C322" w14:textId="77777777" w:rsidTr="00B15ECB">
        <w:trPr>
          <w:trHeight w:val="180"/>
        </w:trPr>
        <w:tc>
          <w:tcPr>
            <w:tcW w:w="675" w:type="dxa"/>
            <w:tcBorders>
              <w:bottom w:val="nil"/>
              <w:right w:val="nil"/>
            </w:tcBorders>
            <w:shd w:val="clear" w:color="auto" w:fill="66CCFF"/>
          </w:tcPr>
          <w:p w14:paraId="0C53BA02" w14:textId="77777777" w:rsidR="00DD3EFA" w:rsidRPr="005A0E7C" w:rsidRDefault="00DD3EFA">
            <w:pPr>
              <w:rPr>
                <w:b/>
              </w:rPr>
            </w:pPr>
          </w:p>
        </w:tc>
        <w:tc>
          <w:tcPr>
            <w:tcW w:w="2548" w:type="dxa"/>
            <w:tcBorders>
              <w:left w:val="nil"/>
              <w:right w:val="nil"/>
            </w:tcBorders>
            <w:shd w:val="clear" w:color="auto" w:fill="66CCFF"/>
          </w:tcPr>
          <w:p w14:paraId="0313A011" w14:textId="77777777" w:rsidR="00DD3EFA" w:rsidRPr="005A0E7C" w:rsidRDefault="00DD3EFA" w:rsidP="00B15ECB">
            <w:pPr>
              <w:rPr>
                <w:b/>
              </w:rPr>
            </w:pPr>
          </w:p>
        </w:tc>
        <w:tc>
          <w:tcPr>
            <w:tcW w:w="5978" w:type="dxa"/>
            <w:tcBorders>
              <w:left w:val="nil"/>
              <w:right w:val="nil"/>
            </w:tcBorders>
            <w:shd w:val="clear" w:color="auto" w:fill="66CCFF"/>
          </w:tcPr>
          <w:p w14:paraId="22F06EA4" w14:textId="77777777" w:rsidR="00DD3EFA" w:rsidRPr="005A0E7C" w:rsidRDefault="00DD3EFA" w:rsidP="00B15ECB">
            <w:pPr>
              <w:rPr>
                <w:b/>
              </w:rPr>
            </w:pPr>
          </w:p>
        </w:tc>
        <w:tc>
          <w:tcPr>
            <w:tcW w:w="249" w:type="dxa"/>
            <w:tcBorders>
              <w:left w:val="nil"/>
              <w:bottom w:val="nil"/>
            </w:tcBorders>
            <w:shd w:val="clear" w:color="auto" w:fill="66CCFF"/>
          </w:tcPr>
          <w:p w14:paraId="7CD14179" w14:textId="77777777" w:rsidR="00DD3EFA" w:rsidRPr="005A0E7C" w:rsidRDefault="00DD3EFA">
            <w:pPr>
              <w:rPr>
                <w:b/>
              </w:rPr>
            </w:pPr>
          </w:p>
        </w:tc>
      </w:tr>
      <w:tr w:rsidR="00DD3EFA" w:rsidRPr="005A0E7C" w14:paraId="325564C6" w14:textId="77777777" w:rsidTr="00B15ECB">
        <w:trPr>
          <w:trHeight w:val="561"/>
        </w:trPr>
        <w:tc>
          <w:tcPr>
            <w:tcW w:w="675" w:type="dxa"/>
            <w:tcBorders>
              <w:top w:val="nil"/>
              <w:bottom w:val="nil"/>
            </w:tcBorders>
            <w:shd w:val="clear" w:color="auto" w:fill="66CCFF"/>
          </w:tcPr>
          <w:p w14:paraId="114FB2B7" w14:textId="77777777" w:rsidR="00DD3EFA" w:rsidRPr="005A0E7C" w:rsidRDefault="00DD3EFA">
            <w:pPr>
              <w:rPr>
                <w:b/>
              </w:rPr>
            </w:pPr>
          </w:p>
        </w:tc>
        <w:tc>
          <w:tcPr>
            <w:tcW w:w="2548" w:type="dxa"/>
            <w:shd w:val="clear" w:color="auto" w:fill="0070C0"/>
          </w:tcPr>
          <w:p w14:paraId="3987D546"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2B0DB127"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5978" w:type="dxa"/>
            <w:shd w:val="clear" w:color="auto" w:fill="0070C0"/>
          </w:tcPr>
          <w:p w14:paraId="4751ED06"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8"/>
            </w:r>
            <w:r w:rsidRPr="005A0E7C">
              <w:rPr>
                <w:rFonts w:eastAsiaTheme="majorEastAsia"/>
                <w:b/>
                <w:color w:val="FFFFFF" w:themeColor="background1"/>
                <w:u w:val="single"/>
              </w:rPr>
              <w:t xml:space="preserve">: </w:t>
            </w:r>
          </w:p>
          <w:p w14:paraId="48F4F9AF"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Zajištění rovného přístupu ke vzdělání</w:t>
            </w:r>
          </w:p>
        </w:tc>
        <w:tc>
          <w:tcPr>
            <w:tcW w:w="249" w:type="dxa"/>
            <w:tcBorders>
              <w:top w:val="nil"/>
              <w:bottom w:val="nil"/>
            </w:tcBorders>
            <w:shd w:val="clear" w:color="auto" w:fill="66CCFF"/>
          </w:tcPr>
          <w:p w14:paraId="791B95F9" w14:textId="77777777" w:rsidR="00DD3EFA" w:rsidRPr="005A0E7C" w:rsidRDefault="00DD3EFA">
            <w:pPr>
              <w:rPr>
                <w:b/>
              </w:rPr>
            </w:pPr>
          </w:p>
        </w:tc>
      </w:tr>
      <w:tr w:rsidR="00DD3EFA" w:rsidRPr="005A0E7C" w14:paraId="41BB0DCB" w14:textId="77777777" w:rsidTr="00B15ECB">
        <w:trPr>
          <w:trHeight w:val="180"/>
        </w:trPr>
        <w:tc>
          <w:tcPr>
            <w:tcW w:w="675" w:type="dxa"/>
            <w:tcBorders>
              <w:top w:val="nil"/>
              <w:bottom w:val="nil"/>
              <w:right w:val="nil"/>
            </w:tcBorders>
            <w:shd w:val="clear" w:color="auto" w:fill="66CCFF"/>
          </w:tcPr>
          <w:p w14:paraId="1107C863" w14:textId="77777777" w:rsidR="00DD3EFA" w:rsidRPr="005A0E7C" w:rsidRDefault="00DD3EFA">
            <w:pPr>
              <w:rPr>
                <w:b/>
              </w:rPr>
            </w:pPr>
          </w:p>
        </w:tc>
        <w:tc>
          <w:tcPr>
            <w:tcW w:w="2548" w:type="dxa"/>
            <w:tcBorders>
              <w:left w:val="nil"/>
              <w:right w:val="nil"/>
            </w:tcBorders>
            <w:shd w:val="clear" w:color="auto" w:fill="66CCFF"/>
          </w:tcPr>
          <w:p w14:paraId="729F4A3D" w14:textId="77777777" w:rsidR="00DD3EFA" w:rsidRPr="005A0E7C" w:rsidRDefault="00DD3EFA" w:rsidP="00B15ECB">
            <w:pPr>
              <w:rPr>
                <w:b/>
              </w:rPr>
            </w:pPr>
          </w:p>
        </w:tc>
        <w:tc>
          <w:tcPr>
            <w:tcW w:w="5978" w:type="dxa"/>
            <w:tcBorders>
              <w:left w:val="nil"/>
              <w:right w:val="nil"/>
            </w:tcBorders>
            <w:shd w:val="clear" w:color="auto" w:fill="66CCFF"/>
          </w:tcPr>
          <w:p w14:paraId="63F002EA" w14:textId="77777777" w:rsidR="00DD3EFA" w:rsidRPr="005A0E7C" w:rsidRDefault="00DD3EFA" w:rsidP="00B15ECB">
            <w:pPr>
              <w:rPr>
                <w:b/>
              </w:rPr>
            </w:pPr>
          </w:p>
        </w:tc>
        <w:tc>
          <w:tcPr>
            <w:tcW w:w="249" w:type="dxa"/>
            <w:tcBorders>
              <w:top w:val="nil"/>
              <w:left w:val="nil"/>
              <w:bottom w:val="nil"/>
            </w:tcBorders>
            <w:shd w:val="clear" w:color="auto" w:fill="66CCFF"/>
          </w:tcPr>
          <w:p w14:paraId="09ACB57C" w14:textId="77777777" w:rsidR="00DD3EFA" w:rsidRPr="005A0E7C" w:rsidRDefault="00DD3EFA">
            <w:pPr>
              <w:rPr>
                <w:b/>
              </w:rPr>
            </w:pPr>
          </w:p>
        </w:tc>
      </w:tr>
      <w:tr w:rsidR="00DD3EFA" w:rsidRPr="005A0E7C" w14:paraId="05584CDD" w14:textId="77777777" w:rsidTr="00B15ECB">
        <w:trPr>
          <w:trHeight w:val="892"/>
        </w:trPr>
        <w:tc>
          <w:tcPr>
            <w:tcW w:w="675" w:type="dxa"/>
            <w:tcBorders>
              <w:top w:val="nil"/>
              <w:bottom w:val="nil"/>
            </w:tcBorders>
            <w:shd w:val="clear" w:color="auto" w:fill="66CCFF"/>
          </w:tcPr>
          <w:p w14:paraId="400D03FB" w14:textId="77777777" w:rsidR="00DD3EFA" w:rsidRPr="005A0E7C" w:rsidRDefault="00DD3EFA">
            <w:pPr>
              <w:rPr>
                <w:b/>
              </w:rPr>
            </w:pPr>
          </w:p>
        </w:tc>
        <w:tc>
          <w:tcPr>
            <w:tcW w:w="2548" w:type="dxa"/>
            <w:shd w:val="clear" w:color="auto" w:fill="FFFFFF" w:themeFill="background1"/>
          </w:tcPr>
          <w:p w14:paraId="4E5E88DA"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1BB4F6C7" w14:textId="77777777" w:rsidR="00DD3EFA" w:rsidRPr="005A0E7C" w:rsidRDefault="00DD3EFA">
            <w:r w:rsidRPr="005A0E7C">
              <w:t xml:space="preserve"> Specifický cíl je zaměřen na následující témata:</w:t>
            </w:r>
          </w:p>
          <w:p w14:paraId="086BF322" w14:textId="77777777" w:rsidR="00DD3EFA" w:rsidRPr="005A0E7C" w:rsidRDefault="00DD3EFA" w:rsidP="00391907">
            <w:pPr>
              <w:pStyle w:val="Odstavecseseznamem"/>
              <w:numPr>
                <w:ilvl w:val="0"/>
                <w:numId w:val="25"/>
              </w:numPr>
              <w:spacing w:after="160" w:line="259" w:lineRule="auto"/>
              <w:jc w:val="both"/>
            </w:pPr>
            <w:r w:rsidRPr="005A0E7C">
              <w:t>zajištění rovnosti a spravedlnosti v kvalitě vzdělávání mezi jednotlivými školami i uvnitř škol,</w:t>
            </w:r>
          </w:p>
          <w:p w14:paraId="305B13BA" w14:textId="77777777" w:rsidR="00DD3EFA" w:rsidRPr="005A0E7C" w:rsidRDefault="00DD3EFA" w:rsidP="00391907">
            <w:pPr>
              <w:pStyle w:val="Odstavecseseznamem"/>
              <w:numPr>
                <w:ilvl w:val="0"/>
                <w:numId w:val="25"/>
              </w:numPr>
              <w:spacing w:after="160" w:line="259" w:lineRule="auto"/>
              <w:jc w:val="both"/>
            </w:pPr>
            <w:r w:rsidRPr="005A0E7C">
              <w:t>podpora vnitřní diferenciace především v jednotlivých třídách, která umožní každému žákovi a studentovi plně rozvinout své schopnosti ve společnosti všech svých vrstevníků, cílená podpora talentovaných žáků,</w:t>
            </w:r>
          </w:p>
          <w:p w14:paraId="31109F23" w14:textId="77777777" w:rsidR="00DD3EFA" w:rsidRPr="005A0E7C" w:rsidRDefault="00DD3EFA" w:rsidP="00391907">
            <w:pPr>
              <w:pStyle w:val="Odstavecseseznamem"/>
              <w:numPr>
                <w:ilvl w:val="0"/>
                <w:numId w:val="25"/>
              </w:numPr>
              <w:spacing w:after="160" w:line="259" w:lineRule="auto"/>
              <w:jc w:val="both"/>
            </w:pPr>
            <w:r w:rsidRPr="005A0E7C">
              <w:t>zajištění kvality a dostupnosti základního a předškolního vzdělávání,</w:t>
            </w:r>
          </w:p>
          <w:p w14:paraId="65B5D003" w14:textId="77777777" w:rsidR="00DD3EFA" w:rsidRPr="005A0E7C" w:rsidRDefault="00DD3EFA" w:rsidP="00391907">
            <w:pPr>
              <w:pStyle w:val="Odstavecseseznamem"/>
              <w:numPr>
                <w:ilvl w:val="0"/>
                <w:numId w:val="25"/>
              </w:numPr>
              <w:spacing w:after="160" w:line="259" w:lineRule="auto"/>
              <w:jc w:val="both"/>
            </w:pPr>
            <w:r w:rsidRPr="005A0E7C">
              <w:t>podpora přístupnosti předškolního vzdělávání pro všechny skupiny dětí,</w:t>
            </w:r>
          </w:p>
          <w:p w14:paraId="0AF9FC2D" w14:textId="77777777" w:rsidR="00DD3EFA" w:rsidRPr="005A0E7C" w:rsidRDefault="00DD3EFA" w:rsidP="00391907">
            <w:pPr>
              <w:pStyle w:val="Odstavecseseznamem"/>
              <w:numPr>
                <w:ilvl w:val="0"/>
                <w:numId w:val="25"/>
              </w:numPr>
              <w:spacing w:after="160" w:line="259" w:lineRule="auto"/>
              <w:jc w:val="both"/>
            </w:pPr>
            <w:r w:rsidRPr="005A0E7C">
              <w:t>rovnost v přístupu ke vzdělání na všech stupních škol a ve všech oborech, včetně snížení genderové, etnické, zdravotní a další selektivity,</w:t>
            </w:r>
          </w:p>
          <w:p w14:paraId="334C1234" w14:textId="77777777" w:rsidR="00DD3EFA" w:rsidRPr="005A0E7C" w:rsidRDefault="00DD3EFA" w:rsidP="00391907">
            <w:pPr>
              <w:pStyle w:val="Odstavecseseznamem"/>
              <w:numPr>
                <w:ilvl w:val="0"/>
                <w:numId w:val="25"/>
              </w:numPr>
              <w:spacing w:after="160" w:line="259" w:lineRule="auto"/>
              <w:jc w:val="both"/>
            </w:pPr>
            <w:r w:rsidRPr="005A0E7C">
              <w:t>podpora společného postupu na úrovni zřizovatelů, obcí s rozšířenou působností a krajů,</w:t>
            </w:r>
          </w:p>
          <w:p w14:paraId="08633627" w14:textId="77777777" w:rsidR="00DD3EFA" w:rsidRPr="005A0E7C" w:rsidRDefault="00DD3EFA" w:rsidP="00391907">
            <w:pPr>
              <w:pStyle w:val="Odstavecseseznamem"/>
              <w:numPr>
                <w:ilvl w:val="0"/>
                <w:numId w:val="25"/>
              </w:numPr>
              <w:spacing w:after="160" w:line="259" w:lineRule="auto"/>
              <w:jc w:val="both"/>
            </w:pPr>
            <w:r w:rsidRPr="005A0E7C">
              <w:t xml:space="preserve">podpora přístupu k mezinárodní mobilitě, snížení selektivity podle oborů vysokoškolského studia, </w:t>
            </w:r>
          </w:p>
          <w:p w14:paraId="612120CD" w14:textId="77777777" w:rsidR="00DD3EFA" w:rsidRPr="005A0E7C" w:rsidRDefault="00DD3EFA" w:rsidP="00391907">
            <w:pPr>
              <w:pStyle w:val="Odstavecseseznamem"/>
              <w:numPr>
                <w:ilvl w:val="0"/>
                <w:numId w:val="25"/>
              </w:numPr>
              <w:spacing w:after="160" w:line="259" w:lineRule="auto"/>
              <w:jc w:val="both"/>
            </w:pPr>
            <w:r w:rsidRPr="005A0E7C">
              <w:t>podpora spolupráce škol s rodinami žáků,</w:t>
            </w:r>
          </w:p>
          <w:p w14:paraId="4EF43FE0" w14:textId="77777777" w:rsidR="00DD3EFA" w:rsidRPr="005A0E7C" w:rsidRDefault="00DD3EFA" w:rsidP="00391907">
            <w:pPr>
              <w:pStyle w:val="Odstavecseseznamem"/>
              <w:numPr>
                <w:ilvl w:val="0"/>
                <w:numId w:val="25"/>
              </w:numPr>
              <w:spacing w:after="160" w:line="259" w:lineRule="auto"/>
              <w:jc w:val="both"/>
            </w:pPr>
            <w:r w:rsidRPr="005A0E7C">
              <w:t>prevence předčasných odchodů ze vzdělávání a předčasného ukončování školní docházky soustředěná zejména na strukturálně postižené regiony a sociálně vyloučené lokality a regiony vykazující zvýšený nárůst předčasných odchodů ze vzdělávání,</w:t>
            </w:r>
          </w:p>
          <w:p w14:paraId="0B434154" w14:textId="77777777" w:rsidR="00DD3EFA" w:rsidRPr="005A0E7C" w:rsidRDefault="00DD3EFA" w:rsidP="00391907">
            <w:pPr>
              <w:pStyle w:val="Odstavecseseznamem"/>
              <w:numPr>
                <w:ilvl w:val="0"/>
                <w:numId w:val="25"/>
              </w:numPr>
              <w:spacing w:after="160" w:line="259" w:lineRule="auto"/>
              <w:jc w:val="both"/>
            </w:pPr>
            <w:r w:rsidRPr="005A0E7C">
              <w:t>individualizace vzdělávání na všech stupních,</w:t>
            </w:r>
          </w:p>
          <w:p w14:paraId="2E2DFBE6" w14:textId="77777777" w:rsidR="00DD3EFA" w:rsidRPr="005A0E7C" w:rsidRDefault="00DD3EFA" w:rsidP="00391907">
            <w:pPr>
              <w:pStyle w:val="Odstavecseseznamem"/>
              <w:numPr>
                <w:ilvl w:val="0"/>
                <w:numId w:val="25"/>
              </w:numPr>
              <w:spacing w:after="160" w:line="259" w:lineRule="auto"/>
              <w:jc w:val="both"/>
            </w:pPr>
            <w:r w:rsidRPr="005A0E7C">
              <w:t>cílená podpora dětem, žákům a studentům se speciálními vzdělávacími potřebami, včetně socioekonomicky znevýhodněných a kulturně odlišných,</w:t>
            </w:r>
          </w:p>
          <w:p w14:paraId="35256BDD" w14:textId="77777777" w:rsidR="00DD3EFA" w:rsidRPr="005A0E7C" w:rsidRDefault="00DD3EFA" w:rsidP="00391907">
            <w:pPr>
              <w:pStyle w:val="Odstavecseseznamem"/>
              <w:numPr>
                <w:ilvl w:val="0"/>
                <w:numId w:val="25"/>
              </w:numPr>
              <w:spacing w:after="160" w:line="259" w:lineRule="auto"/>
              <w:jc w:val="both"/>
            </w:pPr>
            <w:r w:rsidRPr="005A0E7C">
              <w:t>investiční podpora vzdělávací infrastruktury,</w:t>
            </w:r>
          </w:p>
          <w:p w14:paraId="77A7D7CC" w14:textId="77777777" w:rsidR="00DD3EFA" w:rsidRPr="005A0E7C" w:rsidRDefault="00DD3EFA" w:rsidP="00391907">
            <w:pPr>
              <w:pStyle w:val="Odstavecseseznamem"/>
              <w:numPr>
                <w:ilvl w:val="0"/>
                <w:numId w:val="25"/>
              </w:numPr>
              <w:spacing w:after="160" w:line="259" w:lineRule="auto"/>
              <w:jc w:val="both"/>
            </w:pPr>
            <w:r w:rsidRPr="005A0E7C">
              <w:t>podpora spolupráce vzdělávacích, sociálních a rodinných služeb,</w:t>
            </w:r>
          </w:p>
          <w:p w14:paraId="7D0E9721" w14:textId="77777777" w:rsidR="00DD3EFA" w:rsidRPr="005A0E7C" w:rsidRDefault="00DD3EFA" w:rsidP="00391907">
            <w:pPr>
              <w:pStyle w:val="Odstavecseseznamem"/>
              <w:numPr>
                <w:ilvl w:val="0"/>
                <w:numId w:val="24"/>
              </w:numPr>
              <w:spacing w:after="160" w:line="259" w:lineRule="auto"/>
              <w:jc w:val="both"/>
            </w:pPr>
            <w:r w:rsidRPr="005A0E7C">
              <w:t>deinstitucionalizace ústavní péče o dítě s cílem snižování doby pobytu dítěte v zařízení pro výkon ústavní a ochranné výchovy a posílení preventivní složky středisek výchovné péče,</w:t>
            </w:r>
          </w:p>
          <w:p w14:paraId="33C8CE17" w14:textId="77777777" w:rsidR="00DD3EFA" w:rsidRPr="005A0E7C" w:rsidRDefault="00DD3EFA" w:rsidP="00391907">
            <w:pPr>
              <w:pStyle w:val="Odstavecseseznamem"/>
              <w:numPr>
                <w:ilvl w:val="0"/>
                <w:numId w:val="24"/>
              </w:numPr>
              <w:spacing w:line="259" w:lineRule="auto"/>
              <w:jc w:val="both"/>
            </w:pPr>
            <w:r w:rsidRPr="005A0E7C">
              <w:t>podpora zvýšení účasti studentů se speciálními vzdělávacími potřebami ve vysokoškolském vzdělávání, včetně míry jejich participace v mobilitních a grantových schématech,</w:t>
            </w:r>
          </w:p>
          <w:p w14:paraId="399720FF" w14:textId="77777777" w:rsidR="00DD3EFA" w:rsidRPr="005A0E7C" w:rsidRDefault="00DD3EFA" w:rsidP="00391907">
            <w:pPr>
              <w:numPr>
                <w:ilvl w:val="0"/>
                <w:numId w:val="24"/>
              </w:numPr>
              <w:spacing w:after="160" w:line="259" w:lineRule="auto"/>
              <w:contextualSpacing/>
              <w:jc w:val="both"/>
            </w:pPr>
            <w:r w:rsidRPr="005A0E7C">
              <w:t>podpora formativního hodnocení a rozvoj kompetencí učitelů vyhodnocovat dopad aktivit na učení jednotlivého dítěte i žáka,</w:t>
            </w:r>
          </w:p>
          <w:p w14:paraId="75D9ABE7" w14:textId="77777777" w:rsidR="00DD3EFA" w:rsidRPr="005A0E7C" w:rsidRDefault="00DD3EFA" w:rsidP="00391907">
            <w:pPr>
              <w:numPr>
                <w:ilvl w:val="0"/>
                <w:numId w:val="24"/>
              </w:numPr>
              <w:spacing w:after="160" w:line="259" w:lineRule="auto"/>
              <w:contextualSpacing/>
              <w:jc w:val="both"/>
            </w:pPr>
            <w:r w:rsidRPr="005A0E7C">
              <w:t>budování kapacit ve školách a školských zařízeních pro práci s rodinami, tj. podpora sociálních pedagogů, školních asistentů a ostatních pracovních pozic vytvářejících podporu pro učitele,</w:t>
            </w:r>
          </w:p>
          <w:p w14:paraId="3AA4B1E2" w14:textId="77777777" w:rsidR="00DD3EFA" w:rsidRPr="005A0E7C" w:rsidRDefault="00DD3EFA" w:rsidP="00391907">
            <w:pPr>
              <w:numPr>
                <w:ilvl w:val="0"/>
                <w:numId w:val="24"/>
              </w:numPr>
              <w:spacing w:after="160" w:line="259" w:lineRule="auto"/>
              <w:contextualSpacing/>
              <w:jc w:val="both"/>
            </w:pPr>
            <w:r w:rsidRPr="005A0E7C">
              <w:t>podpora meziresortní spolupráce při vzdělávání dětí, žáků a studentů ohrožených školním neúspěchem vedoucí k eliminaci překážek v přístupu ke vzdělávání, předčasných odchodů ze vzdělávání a předčasného ukončování školní docházky,</w:t>
            </w:r>
          </w:p>
          <w:p w14:paraId="5B48F368" w14:textId="77777777" w:rsidR="00DD3EFA" w:rsidRPr="005A0E7C" w:rsidRDefault="00DD3EFA" w:rsidP="00391907">
            <w:pPr>
              <w:numPr>
                <w:ilvl w:val="0"/>
                <w:numId w:val="24"/>
              </w:numPr>
              <w:spacing w:after="160" w:line="259" w:lineRule="auto"/>
              <w:contextualSpacing/>
              <w:jc w:val="both"/>
            </w:pPr>
            <w:r w:rsidRPr="005A0E7C">
              <w:t>metodická podpora pracovníkům školních poradenských pracovišť a školských poradenských zařízení, síťování a jejich profesní rozvoj.</w:t>
            </w:r>
          </w:p>
          <w:p w14:paraId="18AEC17D" w14:textId="77777777" w:rsidR="00DD3EFA" w:rsidRPr="005A0E7C" w:rsidRDefault="00DD3EFA"/>
        </w:tc>
        <w:tc>
          <w:tcPr>
            <w:tcW w:w="249" w:type="dxa"/>
            <w:tcBorders>
              <w:top w:val="nil"/>
              <w:bottom w:val="nil"/>
            </w:tcBorders>
            <w:shd w:val="clear" w:color="auto" w:fill="66CCFF"/>
          </w:tcPr>
          <w:p w14:paraId="034190AF" w14:textId="77777777" w:rsidR="00DD3EFA" w:rsidRPr="005A0E7C" w:rsidRDefault="00DD3EFA">
            <w:pPr>
              <w:rPr>
                <w:b/>
              </w:rPr>
            </w:pPr>
          </w:p>
        </w:tc>
      </w:tr>
      <w:tr w:rsidR="00DD3EFA" w:rsidRPr="005A0E7C" w14:paraId="46E60CB2" w14:textId="77777777" w:rsidTr="00B15ECB">
        <w:trPr>
          <w:trHeight w:val="46"/>
        </w:trPr>
        <w:tc>
          <w:tcPr>
            <w:tcW w:w="675" w:type="dxa"/>
            <w:tcBorders>
              <w:top w:val="nil"/>
              <w:bottom w:val="nil"/>
              <w:right w:val="nil"/>
            </w:tcBorders>
            <w:shd w:val="clear" w:color="auto" w:fill="66CCFF"/>
          </w:tcPr>
          <w:p w14:paraId="2789721C" w14:textId="77777777" w:rsidR="00DD3EFA" w:rsidRPr="005A0E7C" w:rsidRDefault="00DD3EFA">
            <w:pPr>
              <w:rPr>
                <w:b/>
              </w:rPr>
            </w:pPr>
          </w:p>
        </w:tc>
        <w:tc>
          <w:tcPr>
            <w:tcW w:w="2548" w:type="dxa"/>
            <w:tcBorders>
              <w:left w:val="nil"/>
              <w:bottom w:val="single" w:sz="4" w:space="0" w:color="auto"/>
              <w:right w:val="nil"/>
            </w:tcBorders>
            <w:shd w:val="clear" w:color="auto" w:fill="66CCFF"/>
          </w:tcPr>
          <w:p w14:paraId="5EEB7301"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09A7CBF7" w14:textId="77777777" w:rsidR="00DD3EFA" w:rsidRPr="005A0E7C" w:rsidRDefault="00DD3EFA" w:rsidP="00B15ECB">
            <w:pPr>
              <w:rPr>
                <w:b/>
              </w:rPr>
            </w:pPr>
          </w:p>
        </w:tc>
        <w:tc>
          <w:tcPr>
            <w:tcW w:w="249" w:type="dxa"/>
            <w:tcBorders>
              <w:top w:val="nil"/>
              <w:left w:val="nil"/>
              <w:bottom w:val="nil"/>
            </w:tcBorders>
            <w:shd w:val="clear" w:color="auto" w:fill="66CCFF"/>
          </w:tcPr>
          <w:p w14:paraId="05486F64" w14:textId="77777777" w:rsidR="00DD3EFA" w:rsidRPr="005A0E7C" w:rsidRDefault="00DD3EFA">
            <w:pPr>
              <w:rPr>
                <w:b/>
              </w:rPr>
            </w:pPr>
          </w:p>
        </w:tc>
      </w:tr>
      <w:tr w:rsidR="00DD3EFA" w:rsidRPr="005A0E7C" w14:paraId="33455268" w14:textId="77777777" w:rsidTr="00B15ECB">
        <w:trPr>
          <w:trHeight w:val="1274"/>
        </w:trPr>
        <w:tc>
          <w:tcPr>
            <w:tcW w:w="675" w:type="dxa"/>
            <w:tcBorders>
              <w:top w:val="nil"/>
              <w:bottom w:val="nil"/>
            </w:tcBorders>
            <w:shd w:val="clear" w:color="auto" w:fill="66CCFF"/>
          </w:tcPr>
          <w:p w14:paraId="0281D971" w14:textId="77777777" w:rsidR="00DD3EFA" w:rsidRPr="005A0E7C" w:rsidRDefault="00DD3EFA">
            <w:pPr>
              <w:rPr>
                <w:b/>
              </w:rPr>
            </w:pPr>
          </w:p>
        </w:tc>
        <w:tc>
          <w:tcPr>
            <w:tcW w:w="2548" w:type="dxa"/>
            <w:tcBorders>
              <w:bottom w:val="single" w:sz="4" w:space="0" w:color="auto"/>
            </w:tcBorders>
            <w:shd w:val="clear" w:color="auto" w:fill="FFFFFF" w:themeFill="background1"/>
          </w:tcPr>
          <w:p w14:paraId="4A7F702F"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15FF9465" w14:textId="77777777" w:rsidR="00DD3EFA" w:rsidRPr="005A0E7C" w:rsidRDefault="00DD3EFA">
            <w:pPr>
              <w:rPr>
                <w:rFonts w:eastAsia="Calibri"/>
              </w:rPr>
            </w:pPr>
            <w:r w:rsidRPr="005A0E7C">
              <w:rPr>
                <w:rFonts w:eastAsia="Calibri"/>
              </w:rPr>
              <w:t xml:space="preserve">Český vzdělávací systém vykazuje znaky brzké selekce žáků již v útlém věku do různých typů škol a tříd, které do značné míry předurčují jejich další vzdělávací i profesní dráhy. Tento systém znevýhodňuje především děti a žáky z jiných etnických skupin, sociálně slabých rodin či děti a žáky se zdravotním postižením. Tito žáci pak dosahují horších vzdělávacích výsledků, což ohrožuje jejich další vzdělávací dráhu a pozdější uplatnění na trhu práce. Ze všech zkoumaných zemí má podle OECD Česká republika druhý nejvyšší dopad sociálně-ekonomického zázemí školy na školní výsledky žáků. Velkým problémem jsou i rozdíly v kvalitě poskytovaného vzdělávání jednotlivými školami. Ve vzdělávacím systému České republiky je stále se zvyšující procento základních škol s tzv. výběrovými třídami. Pro Českou republiku je typické, že se výsledky žáků mnohem více liší mezi různými školami než uvnitř škol, což znamená, že žáci z podobě situovaných společenských vrstev se koncentrují v určitých školách a společenské vrstvy se v rámci vzdělávání příliš nepromíchávají. Žáci s podnětným rodinným zázemím dosahují ve školách dobrých výsledků, žáci s méně podnětným rodinným zázemím horších výsledků, tedy jednotlivé školy se silně odlišují výsledky svých žáků. Velkým problémem začíná být i rozřazování žáků uvnitř škol do tříd dle úrovně jejich znalostí a dovedností, což je patrné zejména na druhém stupni základních škol. </w:t>
            </w:r>
          </w:p>
          <w:p w14:paraId="08EC9E97" w14:textId="77777777" w:rsidR="00DD3EFA" w:rsidRPr="005A0E7C" w:rsidRDefault="00DD3EFA">
            <w:r w:rsidRPr="005A0E7C">
              <w:rPr>
                <w:rFonts w:eastAsia="Calibri"/>
              </w:rPr>
              <w:t>Výsledkem je, že ve výběrových školách a třídách se koncentrují děti z podnětnějšího rodinného zázemí, často děti vzdělanějších rodičů, a v nevýběrových programech naopak děti z nepodnětného rodinného prostředí s nižším sociálně – ekonomickým statusem. Dalším efektem diferenciace žáků do různých vzdělávacích proudů je tedy koncentrace žáků, kteří pocházejí z rodin s vyšším sociálně – ekonomickým statusem, ve výběrových programech a naopak</w:t>
            </w:r>
            <w:r w:rsidRPr="005A0E7C">
              <w:t>.</w:t>
            </w:r>
          </w:p>
          <w:p w14:paraId="788CCDA9" w14:textId="77777777" w:rsidR="00DD3EFA" w:rsidRPr="005A0E7C" w:rsidRDefault="00DD3EFA" w:rsidP="00B15ECB">
            <w:r w:rsidRPr="005A0E7C">
              <w:t xml:space="preserve">Nelze opomenout meziresortní propojení přístupů podporujících inkluzivní vzdělávání, které by mělo být podpořeno opatřeními směřujícími adresně k odstranění či prevenci konkrétních příčin sociální exkluze, a to v oblasti sociální, zdravotní péče a bydlení a dalších. Adekvátní vzdělávání znevýhodněných skupin obyvatelstva je jedním z pilířů desegregace a sociální integrace. </w:t>
            </w:r>
          </w:p>
        </w:tc>
        <w:tc>
          <w:tcPr>
            <w:tcW w:w="249" w:type="dxa"/>
            <w:tcBorders>
              <w:top w:val="nil"/>
              <w:bottom w:val="nil"/>
            </w:tcBorders>
            <w:shd w:val="clear" w:color="auto" w:fill="66CCFF"/>
          </w:tcPr>
          <w:p w14:paraId="4CBABF2F" w14:textId="77777777" w:rsidR="00DD3EFA" w:rsidRPr="005A0E7C" w:rsidRDefault="00DD3EFA">
            <w:pPr>
              <w:rPr>
                <w:b/>
              </w:rPr>
            </w:pPr>
          </w:p>
        </w:tc>
      </w:tr>
      <w:tr w:rsidR="00DD3EFA" w:rsidRPr="005A0E7C" w14:paraId="6ED55321" w14:textId="77777777" w:rsidTr="00B15ECB">
        <w:trPr>
          <w:trHeight w:val="1274"/>
        </w:trPr>
        <w:tc>
          <w:tcPr>
            <w:tcW w:w="675" w:type="dxa"/>
            <w:tcBorders>
              <w:top w:val="nil"/>
              <w:bottom w:val="nil"/>
            </w:tcBorders>
            <w:shd w:val="clear" w:color="auto" w:fill="66CCFF"/>
          </w:tcPr>
          <w:p w14:paraId="05771B94" w14:textId="77777777" w:rsidR="00DD3EFA" w:rsidRPr="005A0E7C" w:rsidRDefault="00DD3EFA">
            <w:pPr>
              <w:rPr>
                <w:b/>
              </w:rPr>
            </w:pPr>
          </w:p>
        </w:tc>
        <w:tc>
          <w:tcPr>
            <w:tcW w:w="2548" w:type="dxa"/>
            <w:tcBorders>
              <w:bottom w:val="single" w:sz="4" w:space="0" w:color="auto"/>
            </w:tcBorders>
            <w:shd w:val="clear" w:color="auto" w:fill="FFFFFF" w:themeFill="background1"/>
          </w:tcPr>
          <w:p w14:paraId="4569AE4B"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02504F90" w14:textId="3EC4FC9A" w:rsidR="00DD3EFA" w:rsidRPr="005A0E7C" w:rsidRDefault="00DD3EFA">
            <w:r w:rsidRPr="005A0E7C">
              <w:t>Přetrvávajícím rysem vzdělávací soustavy České republiky a zároveň jedním z jejích dlouhodobých problémů jsou dále se prohlubující vzdělanostní nerovnosti mezi dětmi, žáky a studenty v kvalitě vzdělávání ve školách. V souladu se zjištěními řady výzkumů lze za jejich hlavní příčinu považovat především rozdílnou úroveň příležitostí, podmínek ke vzdělávání a aspirací k učení, výrazně předurčenou zejména rodinným prostředím a dále prohlubovanou příliš časnou vnější diferenciací žáků ve vzdělávacím systému. Reakcí tvůrců vzdělávací politiky je implementace priorit a cílů tzv. společného vzdělávání, jejímž cílem je dosáhnout výrazného snížení nerovností. Dopady systémových změn a nových nástrojů však bude možné hodnotit až s delším časovým odstupem. Přesto však lze reflektovat další diferenciační trendy spjaté jednak s nárůstem vnější diferenciace na úrovni základního vzdělávání (tzv. výběrových základních škol, popř. výběrových tříd základních škol víceletá gymnázia). Přidaná hodnota diferenciací je však pro vzdělávací systém jako celek empiricky sporná. Horizontální diferenciaci v kvalitě výstupů na úrovní škol dále prohlubuje tlak na možnost výběru školy ze strany zejména motivovaných rodičů, který se odráží na posilování vzdělanostních nerovností. Zároveň lze v rámci různých indikátorů struktury (např. oborová struktura, ped. sbor) a výsledků vzdělávání (plošná a výběrová testování, míra úspěšnosti u maturitní zkoušky, míra předčasných odchodů ze vzdělávání) vysledovat nárůst regionálních disparit v rámci jednotlivých systémů vzdělávacích systémů. Nerovnosti se zároveň projevují na rozdílném materiálním vybavení škol. Nezanedbatelná část škol se potýká s nevyhovujícím technickým stavem budov, které často doplňuje nedostatečné vybavení neodpovídající současným potřebám výuky. Investice jsou v tomto ohledu nezbytné dále i v oblasti modernizace ICT vybavení mateřských, základních a středních škol za účelem snížení nerovností mezi jednotlivými školami a v kontextu tlaku na růst kvality vzdělávání napříč soustavou a regiony. Výše zmíněná potřeba podpory školské infrastruktury se týká i problematiky demografických změn, zejména pak výstavby v závislosti na nedostatku kapacit a náhrad již nevyhovujících budov. Regionální disparity se projevují i v</w:t>
            </w:r>
            <w:r w:rsidRPr="005A0E7C" w:rsidDel="001D3093">
              <w:t xml:space="preserve"> </w:t>
            </w:r>
            <w:r w:rsidRPr="005A0E7C">
              <w:t>nedostatečném zázemí v podobě školních sportovišť znesnadňujících vnímání sportu jako nástroje sociální inkluze. Dostupnost infrastruktury po investiční straně je však nutné d</w:t>
            </w:r>
            <w:r w:rsidR="001D74D4" w:rsidRPr="005A0E7C">
              <w:t>oplnit podporou přístupu ke vzdělávání</w:t>
            </w:r>
            <w:r w:rsidRPr="005A0E7C">
              <w:t xml:space="preserve"> ve smyslu zajištění docházky samotné. Toho lze dosáhnout meziresortní spolupráci s dosahem na rodiny a jejich informovaností. </w:t>
            </w:r>
          </w:p>
          <w:p w14:paraId="5E08F265" w14:textId="77777777" w:rsidR="00DD3EFA" w:rsidRPr="005A0E7C" w:rsidRDefault="00DD3EFA">
            <w:r w:rsidRPr="005A0E7C">
              <w:t>Přetrvávajícím problémem českého vysokého školství jsou bariéry, které omezují přístup osob s nižším socio-ekonomickým statusem a zdravotním postižením. Tyto bariéry se projevují nejenom při vstupu do vysokoškolského vzdělávání, kde se projevují jak tím, že některé skupiny na vysoké školy vůbec nenastupují, nebo nastupují na méně prestižní vysoké školy a obory, ale i v jeho průběhu, například studijní neúspěšností nebo nižší mírou participace v mezinárodních mobilitních programech. Finanční náročnost vysokoškolského studia řeší velká část studentů prací při studiu, mnohdy bez souvislosti se studovaným oborem. Socio-ekonomickými a dalšími zděděnými charakteristikami jsou tak ovlivněny i samotné výsledky vysokoškolského vzdělávání.</w:t>
            </w:r>
          </w:p>
          <w:p w14:paraId="1847F78B" w14:textId="77777777" w:rsidR="00DD3EFA" w:rsidRPr="005A0E7C" w:rsidRDefault="00DD3EFA" w:rsidP="00B15ECB">
            <w:pPr>
              <w:rPr>
                <w:i/>
              </w:rPr>
            </w:pPr>
            <w:r w:rsidRPr="005A0E7C">
              <w:t>Infrastruktura vysokých škol sice v minulém období zaznamenala kvalitativní i kvantitativní rozvoj, stále však přetrvávají velké problémy zejména v kvalitě kolejí a menz, jejichž technické zázemí je často velmi zastaralé (ačkoliv v regionech mimo Prahu došlo k velkému posunu).</w:t>
            </w:r>
          </w:p>
        </w:tc>
        <w:tc>
          <w:tcPr>
            <w:tcW w:w="249" w:type="dxa"/>
            <w:tcBorders>
              <w:top w:val="nil"/>
              <w:bottom w:val="nil"/>
            </w:tcBorders>
            <w:shd w:val="clear" w:color="auto" w:fill="66CCFF"/>
          </w:tcPr>
          <w:p w14:paraId="1BF05ABA" w14:textId="77777777" w:rsidR="00DD3EFA" w:rsidRPr="005A0E7C" w:rsidRDefault="00DD3EFA">
            <w:pPr>
              <w:rPr>
                <w:b/>
              </w:rPr>
            </w:pPr>
          </w:p>
        </w:tc>
      </w:tr>
      <w:tr w:rsidR="00DD3EFA" w:rsidRPr="005A0E7C" w14:paraId="3D1E2D36" w14:textId="77777777" w:rsidTr="00B15ECB">
        <w:trPr>
          <w:trHeight w:val="1274"/>
        </w:trPr>
        <w:tc>
          <w:tcPr>
            <w:tcW w:w="675" w:type="dxa"/>
            <w:tcBorders>
              <w:top w:val="nil"/>
              <w:bottom w:val="nil"/>
            </w:tcBorders>
            <w:shd w:val="clear" w:color="auto" w:fill="66CCFF"/>
          </w:tcPr>
          <w:p w14:paraId="08E316B9" w14:textId="77777777" w:rsidR="00DD3EFA" w:rsidRPr="005A0E7C" w:rsidRDefault="00DD3EFA">
            <w:pPr>
              <w:rPr>
                <w:b/>
              </w:rPr>
            </w:pPr>
          </w:p>
        </w:tc>
        <w:tc>
          <w:tcPr>
            <w:tcW w:w="2548" w:type="dxa"/>
            <w:tcBorders>
              <w:bottom w:val="single" w:sz="4" w:space="0" w:color="auto"/>
            </w:tcBorders>
            <w:shd w:val="clear" w:color="auto" w:fill="FFFFFF" w:themeFill="background1"/>
          </w:tcPr>
          <w:p w14:paraId="0AEB62E5"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033D9AB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D647EA5" w14:textId="77777777" w:rsidR="00DD3EFA" w:rsidRPr="005A0E7C" w:rsidRDefault="00DD3EFA" w:rsidP="00B15ECB">
            <w:pPr>
              <w:spacing w:before="60" w:after="60"/>
              <w:rPr>
                <w:rFonts w:eastAsiaTheme="majorEastAsia"/>
              </w:rPr>
            </w:pPr>
            <w:r w:rsidRPr="005A0E7C">
              <w:rPr>
                <w:rFonts w:eastAsiaTheme="majorEastAsia"/>
              </w:rPr>
              <w:t>Zlepšení dostupnosti všech typů vzdělávání pro znevýhodněné žáky a studenty.</w:t>
            </w:r>
          </w:p>
          <w:p w14:paraId="435B73EF" w14:textId="2D9199EE" w:rsidR="00DD3EFA" w:rsidRPr="005A0E7C" w:rsidRDefault="001D74D4" w:rsidP="00B15ECB">
            <w:pPr>
              <w:spacing w:before="60" w:after="60"/>
              <w:rPr>
                <w:rFonts w:eastAsiaTheme="majorEastAsia"/>
              </w:rPr>
            </w:pPr>
            <w:r w:rsidRPr="005A0E7C">
              <w:rPr>
                <w:rFonts w:eastAsiaTheme="majorEastAsia"/>
              </w:rPr>
              <w:t>Zajištění</w:t>
            </w:r>
            <w:r w:rsidR="00DD3EFA" w:rsidRPr="005A0E7C">
              <w:rPr>
                <w:rFonts w:eastAsiaTheme="majorEastAsia"/>
              </w:rPr>
              <w:t xml:space="preserve"> kvalitního inkluzivního vzdělávání pro všechny děti, žáky a studenty.</w:t>
            </w:r>
          </w:p>
          <w:p w14:paraId="267B6946" w14:textId="15C1B476" w:rsidR="00DD3EFA" w:rsidRPr="005A0E7C" w:rsidRDefault="00DD3EFA" w:rsidP="00B15ECB">
            <w:pPr>
              <w:spacing w:before="60" w:after="60"/>
              <w:rPr>
                <w:rFonts w:eastAsiaTheme="majorEastAsia"/>
              </w:rPr>
            </w:pPr>
            <w:r w:rsidRPr="005A0E7C">
              <w:rPr>
                <w:rFonts w:eastAsiaTheme="majorEastAsia"/>
              </w:rPr>
              <w:t xml:space="preserve">Snížení míry </w:t>
            </w:r>
            <w:r w:rsidR="001D74D4" w:rsidRPr="005A0E7C">
              <w:rPr>
                <w:rFonts w:eastAsiaTheme="majorEastAsia"/>
              </w:rPr>
              <w:t>předčasného</w:t>
            </w:r>
            <w:r w:rsidRPr="005A0E7C">
              <w:rPr>
                <w:rFonts w:eastAsiaTheme="majorEastAsia"/>
              </w:rPr>
              <w:t xml:space="preserve"> ukončování vzdělávání na všech typech škol.</w:t>
            </w:r>
          </w:p>
          <w:p w14:paraId="678266E9" w14:textId="77777777" w:rsidR="00DD3EFA" w:rsidRPr="005A0E7C" w:rsidRDefault="00DD3EFA">
            <w:pPr>
              <w:spacing w:before="60" w:after="60"/>
              <w:rPr>
                <w:rFonts w:eastAsiaTheme="majorEastAsia"/>
                <w:u w:val="single"/>
              </w:rPr>
            </w:pPr>
            <w:r w:rsidRPr="005A0E7C">
              <w:rPr>
                <w:rFonts w:eastAsiaTheme="majorEastAsia"/>
              </w:rPr>
              <w:t>Zvýšení míry a úrovně spolupráce na úrovni škol, zřizovatelů (zejména pak úrovni obcí, ORP a krajů) a státu.</w:t>
            </w:r>
          </w:p>
        </w:tc>
        <w:tc>
          <w:tcPr>
            <w:tcW w:w="249" w:type="dxa"/>
            <w:tcBorders>
              <w:top w:val="nil"/>
              <w:bottom w:val="nil"/>
            </w:tcBorders>
            <w:shd w:val="clear" w:color="auto" w:fill="66CCFF"/>
          </w:tcPr>
          <w:p w14:paraId="10B2F999" w14:textId="77777777" w:rsidR="00DD3EFA" w:rsidRPr="005A0E7C" w:rsidRDefault="00DD3EFA">
            <w:pPr>
              <w:rPr>
                <w:b/>
              </w:rPr>
            </w:pPr>
          </w:p>
        </w:tc>
      </w:tr>
      <w:tr w:rsidR="00DD3EFA" w:rsidRPr="005A0E7C" w14:paraId="6BDDF45A" w14:textId="77777777" w:rsidTr="00B15ECB">
        <w:trPr>
          <w:trHeight w:val="1274"/>
        </w:trPr>
        <w:tc>
          <w:tcPr>
            <w:tcW w:w="675" w:type="dxa"/>
            <w:tcBorders>
              <w:top w:val="nil"/>
              <w:bottom w:val="nil"/>
            </w:tcBorders>
            <w:shd w:val="clear" w:color="auto" w:fill="66CCFF"/>
          </w:tcPr>
          <w:p w14:paraId="49B94729" w14:textId="77777777" w:rsidR="00DD3EFA" w:rsidRPr="005A0E7C" w:rsidRDefault="00DD3EFA">
            <w:pPr>
              <w:rPr>
                <w:b/>
              </w:rPr>
            </w:pPr>
          </w:p>
        </w:tc>
        <w:tc>
          <w:tcPr>
            <w:tcW w:w="2548" w:type="dxa"/>
            <w:tcBorders>
              <w:bottom w:val="single" w:sz="4" w:space="0" w:color="auto"/>
            </w:tcBorders>
            <w:shd w:val="clear" w:color="auto" w:fill="FFFFFF" w:themeFill="background1"/>
          </w:tcPr>
          <w:p w14:paraId="63EBC1DD"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6679308C"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78" w:type="dxa"/>
            <w:tcBorders>
              <w:bottom w:val="single" w:sz="4" w:space="0" w:color="auto"/>
            </w:tcBorders>
            <w:shd w:val="clear" w:color="auto" w:fill="FFFFFF" w:themeFill="background1"/>
          </w:tcPr>
          <w:p w14:paraId="52484EF6" w14:textId="77777777" w:rsidR="00DD3EFA" w:rsidRPr="005A0E7C" w:rsidRDefault="00DD3EFA">
            <w:r w:rsidRPr="005A0E7C">
              <w:t>Očekávané výsledky/dopady intervencí:</w:t>
            </w:r>
          </w:p>
          <w:p w14:paraId="3B0A26FB" w14:textId="77777777" w:rsidR="00DD3EFA" w:rsidRPr="005A0E7C" w:rsidRDefault="00DD3EFA" w:rsidP="00391907">
            <w:pPr>
              <w:pStyle w:val="Odstavecseseznamem"/>
              <w:numPr>
                <w:ilvl w:val="0"/>
                <w:numId w:val="23"/>
              </w:numPr>
              <w:spacing w:after="160" w:line="259" w:lineRule="auto"/>
              <w:jc w:val="both"/>
            </w:pPr>
            <w:r w:rsidRPr="005A0E7C">
              <w:t>Omezení vnější diferenciace v základním školství a zvýšení kvality vzdělávání na druhých stupních základních škol.</w:t>
            </w:r>
          </w:p>
          <w:p w14:paraId="0F864F71" w14:textId="77777777" w:rsidR="00DD3EFA" w:rsidRPr="005A0E7C" w:rsidRDefault="00DD3EFA" w:rsidP="00391907">
            <w:pPr>
              <w:pStyle w:val="Odstavecseseznamem"/>
              <w:numPr>
                <w:ilvl w:val="0"/>
                <w:numId w:val="23"/>
              </w:numPr>
              <w:spacing w:after="160" w:line="259" w:lineRule="auto"/>
              <w:jc w:val="both"/>
            </w:pPr>
            <w:r w:rsidRPr="005A0E7C">
              <w:t>Zvýšení podílu dětí v předškolním vzdělávání.</w:t>
            </w:r>
          </w:p>
          <w:p w14:paraId="2EA256E0" w14:textId="77777777" w:rsidR="00DD3EFA" w:rsidRPr="005A0E7C" w:rsidRDefault="00DD3EFA" w:rsidP="00391907">
            <w:pPr>
              <w:pStyle w:val="Odstavecseseznamem"/>
              <w:numPr>
                <w:ilvl w:val="0"/>
                <w:numId w:val="23"/>
              </w:numPr>
              <w:spacing w:after="160" w:line="259" w:lineRule="auto"/>
              <w:jc w:val="both"/>
            </w:pPr>
            <w:r w:rsidRPr="005A0E7C">
              <w:t>Snížení nerovností ve výsledcích vzdělávání spojených se sociálně-ekonomickým statusem dětí, žáků a studentů.</w:t>
            </w:r>
          </w:p>
          <w:p w14:paraId="24EBAB64" w14:textId="77777777" w:rsidR="00DD3EFA" w:rsidRPr="005A0E7C" w:rsidRDefault="00DD3EFA" w:rsidP="00391907">
            <w:pPr>
              <w:pStyle w:val="Odstavecseseznamem"/>
              <w:numPr>
                <w:ilvl w:val="0"/>
                <w:numId w:val="23"/>
              </w:numPr>
              <w:spacing w:after="160" w:line="259" w:lineRule="auto"/>
              <w:jc w:val="both"/>
            </w:pPr>
            <w:r w:rsidRPr="005A0E7C">
              <w:t>Zvýšení podílu dětí a žáků se speciálními vzdělávacími potřebami vzdělávaných v běžných školách hlavního vzdělávacího proudu (individuálně i skupinově integrovaných).</w:t>
            </w:r>
          </w:p>
          <w:p w14:paraId="001AD0E8" w14:textId="33F1B9F1" w:rsidR="00DD3EFA" w:rsidRPr="005A0E7C" w:rsidRDefault="00DD3EFA" w:rsidP="00391907">
            <w:pPr>
              <w:pStyle w:val="Odstavecseseznamem"/>
              <w:numPr>
                <w:ilvl w:val="0"/>
                <w:numId w:val="23"/>
              </w:numPr>
              <w:spacing w:after="160" w:line="259" w:lineRule="auto"/>
              <w:jc w:val="both"/>
            </w:pPr>
            <w:r w:rsidRPr="005A0E7C">
              <w:t>Snížení podílu žáků, kteří předčasně ukončí školní docházku, zejména v regionech vykazujících vysoké proce</w:t>
            </w:r>
            <w:r w:rsidR="001D74D4" w:rsidRPr="005A0E7C">
              <w:t>n</w:t>
            </w:r>
            <w:r w:rsidRPr="005A0E7C">
              <w:t>to žáků předčasně ukončujících vzdělávání.</w:t>
            </w:r>
          </w:p>
          <w:p w14:paraId="1FCD02E4" w14:textId="77777777" w:rsidR="00DD3EFA" w:rsidRPr="005A0E7C" w:rsidRDefault="00DD3EFA" w:rsidP="00391907">
            <w:pPr>
              <w:pStyle w:val="Odstavecseseznamem"/>
              <w:numPr>
                <w:ilvl w:val="0"/>
                <w:numId w:val="23"/>
              </w:numPr>
              <w:jc w:val="both"/>
            </w:pPr>
            <w:r w:rsidRPr="005A0E7C">
              <w:t>Zlepšení způsobu řízení, komunikace, propojování aktérů a zejména zvýšení odbornosti všech aktérů (nejen učitelů a ředitelů).</w:t>
            </w:r>
          </w:p>
          <w:p w14:paraId="16F4978F" w14:textId="77777777" w:rsidR="00DD3EFA" w:rsidRPr="005A0E7C" w:rsidRDefault="00DD3EFA" w:rsidP="00391907">
            <w:pPr>
              <w:pStyle w:val="Odstavecseseznamem"/>
              <w:numPr>
                <w:ilvl w:val="0"/>
                <w:numId w:val="23"/>
              </w:numPr>
              <w:spacing w:after="160" w:line="259" w:lineRule="auto"/>
              <w:jc w:val="both"/>
            </w:pPr>
            <w:r w:rsidRPr="005A0E7C">
              <w:t>Snížení průměrné délky pobytu dítěte v zařízení pro výkon ústavní a ochranné výchovy.</w:t>
            </w:r>
          </w:p>
          <w:p w14:paraId="406709B0" w14:textId="77777777" w:rsidR="00DD3EFA" w:rsidRPr="005A0E7C" w:rsidRDefault="00DD3EFA" w:rsidP="00391907">
            <w:pPr>
              <w:pStyle w:val="Odstavecseseznamem"/>
              <w:numPr>
                <w:ilvl w:val="0"/>
                <w:numId w:val="23"/>
              </w:numPr>
              <w:spacing w:after="160" w:line="259" w:lineRule="auto"/>
              <w:jc w:val="both"/>
            </w:pPr>
            <w:r w:rsidRPr="005A0E7C">
              <w:t xml:space="preserve">Zvýšení počtu </w:t>
            </w:r>
            <w:r w:rsidRPr="005A0E7C">
              <w:rPr>
                <w:rFonts w:eastAsiaTheme="majorEastAsia"/>
              </w:rPr>
              <w:t>studentů/absolventů s různým typem znevýhodnění a etnických minorit na vysokých školách.</w:t>
            </w:r>
          </w:p>
          <w:p w14:paraId="4BEB7C61" w14:textId="77777777" w:rsidR="00DD3EFA" w:rsidRPr="005A0E7C" w:rsidRDefault="00DD3EFA" w:rsidP="00391907">
            <w:pPr>
              <w:pStyle w:val="Odstavecseseznamem"/>
              <w:numPr>
                <w:ilvl w:val="0"/>
                <w:numId w:val="23"/>
              </w:numPr>
              <w:jc w:val="both"/>
            </w:pPr>
            <w:r w:rsidRPr="005A0E7C">
              <w:t>investiční podpora vzdělávací infrastruktury se zaměřením zejména na mateřské a základní školy a doprovodnou infrastrukturou (tělocvičny, hřiště při školách).</w:t>
            </w:r>
          </w:p>
          <w:p w14:paraId="240F6E1B" w14:textId="0DFF633F" w:rsidR="00DD3EFA" w:rsidRPr="005A0E7C" w:rsidRDefault="00DD3EFA" w:rsidP="00391907">
            <w:pPr>
              <w:pStyle w:val="Odstavecseseznamem"/>
              <w:numPr>
                <w:ilvl w:val="0"/>
                <w:numId w:val="23"/>
              </w:numPr>
              <w:spacing w:after="160" w:line="259" w:lineRule="auto"/>
              <w:jc w:val="both"/>
              <w:rPr>
                <w:rFonts w:eastAsiaTheme="majorEastAsia"/>
              </w:rPr>
            </w:pPr>
            <w:r w:rsidRPr="005A0E7C">
              <w:t>Zkvalitnění zázemí a zlepšení dostupnosti mate</w:t>
            </w:r>
            <w:r w:rsidR="001D74D4" w:rsidRPr="005A0E7C">
              <w:t xml:space="preserve">riálně-technického zabezpečení </w:t>
            </w:r>
            <w:r w:rsidRPr="005A0E7C">
              <w:t xml:space="preserve">pro znevýhodněné skupiny na VŠ. </w:t>
            </w:r>
          </w:p>
          <w:p w14:paraId="7EFFC59D" w14:textId="77777777" w:rsidR="00DD3EFA" w:rsidRPr="005A0E7C" w:rsidRDefault="00DD3EFA" w:rsidP="00391907">
            <w:pPr>
              <w:pStyle w:val="Odstavecseseznamem"/>
              <w:numPr>
                <w:ilvl w:val="0"/>
                <w:numId w:val="23"/>
              </w:numPr>
              <w:spacing w:after="160" w:line="259" w:lineRule="auto"/>
              <w:jc w:val="both"/>
              <w:rPr>
                <w:rFonts w:eastAsiaTheme="majorEastAsia"/>
              </w:rPr>
            </w:pPr>
            <w:r w:rsidRPr="005A0E7C">
              <w:rPr>
                <w:rFonts w:eastAsiaTheme="majorEastAsia"/>
              </w:rPr>
              <w:t>Snížení studijní neúspěšnosti v oblasti terciárního vzdělávání.</w:t>
            </w:r>
          </w:p>
        </w:tc>
        <w:tc>
          <w:tcPr>
            <w:tcW w:w="249" w:type="dxa"/>
            <w:tcBorders>
              <w:top w:val="nil"/>
              <w:bottom w:val="nil"/>
            </w:tcBorders>
            <w:shd w:val="clear" w:color="auto" w:fill="66CCFF"/>
          </w:tcPr>
          <w:p w14:paraId="354D2700" w14:textId="77777777" w:rsidR="00DD3EFA" w:rsidRPr="005A0E7C" w:rsidRDefault="00DD3EFA">
            <w:pPr>
              <w:rPr>
                <w:b/>
              </w:rPr>
            </w:pPr>
          </w:p>
        </w:tc>
      </w:tr>
      <w:tr w:rsidR="00DD3EFA" w:rsidRPr="005A0E7C" w14:paraId="755334C6" w14:textId="77777777" w:rsidTr="00B15ECB">
        <w:trPr>
          <w:trHeight w:val="1274"/>
        </w:trPr>
        <w:tc>
          <w:tcPr>
            <w:tcW w:w="675" w:type="dxa"/>
            <w:tcBorders>
              <w:top w:val="nil"/>
              <w:bottom w:val="nil"/>
            </w:tcBorders>
            <w:shd w:val="clear" w:color="auto" w:fill="66CCFF"/>
          </w:tcPr>
          <w:p w14:paraId="3CF41A3B" w14:textId="77777777" w:rsidR="00DD3EFA" w:rsidRPr="005A0E7C" w:rsidRDefault="00DD3EFA">
            <w:pPr>
              <w:rPr>
                <w:b/>
              </w:rPr>
            </w:pPr>
          </w:p>
        </w:tc>
        <w:tc>
          <w:tcPr>
            <w:tcW w:w="2548" w:type="dxa"/>
            <w:tcBorders>
              <w:bottom w:val="single" w:sz="4" w:space="0" w:color="auto"/>
            </w:tcBorders>
            <w:shd w:val="clear" w:color="auto" w:fill="FFFFFF" w:themeFill="background1"/>
          </w:tcPr>
          <w:p w14:paraId="7B9F14E2"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20F11EEF" w14:textId="77777777" w:rsidR="00DD3EFA" w:rsidRPr="005A0E7C" w:rsidRDefault="00DD3EFA">
            <w:pPr>
              <w:spacing w:before="60" w:after="60"/>
              <w:rPr>
                <w:rFonts w:eastAsiaTheme="majorEastAsia"/>
                <w:i/>
                <w:u w:val="single"/>
              </w:rPr>
            </w:pPr>
            <w:r w:rsidRPr="005A0E7C">
              <w:t>S vysokou mírou pravděpodobnosti lze odhadnout, že předpokládaný procentní podíl ESIF na naplnění se pohybuje na úrovni přesahující 90 %.</w:t>
            </w:r>
          </w:p>
        </w:tc>
        <w:tc>
          <w:tcPr>
            <w:tcW w:w="249" w:type="dxa"/>
            <w:tcBorders>
              <w:top w:val="nil"/>
              <w:bottom w:val="nil"/>
            </w:tcBorders>
            <w:shd w:val="clear" w:color="auto" w:fill="66CCFF"/>
          </w:tcPr>
          <w:p w14:paraId="5D3C81FA" w14:textId="77777777" w:rsidR="00DD3EFA" w:rsidRPr="005A0E7C" w:rsidRDefault="00DD3EFA">
            <w:pPr>
              <w:rPr>
                <w:b/>
              </w:rPr>
            </w:pPr>
          </w:p>
        </w:tc>
      </w:tr>
      <w:tr w:rsidR="00DD3EFA" w:rsidRPr="005A0E7C" w14:paraId="2D9181DF" w14:textId="77777777" w:rsidTr="00B15ECB">
        <w:trPr>
          <w:trHeight w:val="1274"/>
        </w:trPr>
        <w:tc>
          <w:tcPr>
            <w:tcW w:w="675" w:type="dxa"/>
            <w:tcBorders>
              <w:top w:val="nil"/>
              <w:bottom w:val="nil"/>
            </w:tcBorders>
            <w:shd w:val="clear" w:color="auto" w:fill="66CCFF"/>
          </w:tcPr>
          <w:p w14:paraId="141C91C9" w14:textId="77777777" w:rsidR="00DD3EFA" w:rsidRPr="005A0E7C" w:rsidRDefault="00DD3EFA">
            <w:pPr>
              <w:rPr>
                <w:b/>
              </w:rPr>
            </w:pPr>
          </w:p>
        </w:tc>
        <w:tc>
          <w:tcPr>
            <w:tcW w:w="2548" w:type="dxa"/>
            <w:tcBorders>
              <w:bottom w:val="single" w:sz="4" w:space="0" w:color="auto"/>
            </w:tcBorders>
            <w:shd w:val="clear" w:color="auto" w:fill="FFFFFF" w:themeFill="background1"/>
          </w:tcPr>
          <w:p w14:paraId="27117741"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6418CB08" w14:textId="77777777" w:rsidR="00DD3EFA" w:rsidRPr="005A0E7C" w:rsidRDefault="00DD3EFA">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Nové aktivity boudou vycházet zejména z evaluace a vyhodnocení intervencí z období 2014–2020 a plnění priorit, cílů a opatření strategických dokumentů. Snižování nerovností ve vzdělávání zůstane jednou z priorit ČR i pro další programové období, a to zejména omezování vnější diferenciace v základním školství a podpora hlavního vzdělávacího proudu, zejména zvýšení kvality vzdělávání na druhých stupních základních škol, je klíčová pro posilování rovnosti ve vzdělávání. </w:t>
            </w:r>
          </w:p>
          <w:p w14:paraId="2631EA9E" w14:textId="77777777" w:rsidR="00DD3EFA" w:rsidRPr="005A0E7C" w:rsidRDefault="00DD3EFA">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Dále je nutné soustředit se na efektivní opatření snižující předčasné ukončování školní docházky, což je jev zaznamenávající v posledních letech narůstající tendenci, a to zejména ve strukturálně postižených regionech. Klíčovým prvkem je podpora pedagogických pracovníků, a to zejména na zvyšování jejich kompetencí v efektivní práci s heterogenním kolektivem žáků, neboť se ukazuje, že vzdělávací výsledky dětí a žáků jsou velmi ovlivněny prací učitele. Nově je třeba podporovat i opatření snižující míru odkladů školní docházky s akcentem na zvyšování kvality předškolního vzdělávání a soustředit se na posilování a prohlubování vazeb mezi školním a mimoškolním prostředím s důrazem na začleňování dětí a žáků s potřebou podpůrných opatření do heterogenních kolektivů škol i mimoškolních zařízení. </w:t>
            </w:r>
          </w:p>
          <w:p w14:paraId="64027AC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V oblasti vysokoškolského vzdělávání bude kladen primární důraz na podporu studentů se specifickými vzdělávacími potřebami, dále poté ze socio-ekonomicky znevýhodněných skupin a etnických minorit, a to včetně podpory infrastrukturního zabezpečení. Zároveň bude cíleno na snížení studijní neúspěšnosti v oblasti terciárního vzdělávání.</w:t>
            </w:r>
          </w:p>
        </w:tc>
        <w:tc>
          <w:tcPr>
            <w:tcW w:w="249" w:type="dxa"/>
            <w:tcBorders>
              <w:top w:val="nil"/>
              <w:bottom w:val="nil"/>
            </w:tcBorders>
            <w:shd w:val="clear" w:color="auto" w:fill="66CCFF"/>
          </w:tcPr>
          <w:p w14:paraId="4E2CF3CB" w14:textId="77777777" w:rsidR="00DD3EFA" w:rsidRPr="005A0E7C" w:rsidRDefault="00DD3EFA">
            <w:pPr>
              <w:rPr>
                <w:b/>
              </w:rPr>
            </w:pPr>
          </w:p>
        </w:tc>
      </w:tr>
      <w:tr w:rsidR="00DD3EFA" w:rsidRPr="005A0E7C" w14:paraId="232DE441" w14:textId="77777777" w:rsidTr="00B15ECB">
        <w:trPr>
          <w:trHeight w:val="272"/>
        </w:trPr>
        <w:tc>
          <w:tcPr>
            <w:tcW w:w="675" w:type="dxa"/>
            <w:tcBorders>
              <w:top w:val="nil"/>
              <w:bottom w:val="nil"/>
              <w:right w:val="nil"/>
            </w:tcBorders>
            <w:shd w:val="clear" w:color="auto" w:fill="66CCFF"/>
          </w:tcPr>
          <w:p w14:paraId="42301AA8" w14:textId="77777777" w:rsidR="00DD3EFA" w:rsidRPr="005A0E7C" w:rsidRDefault="00DD3EFA">
            <w:pPr>
              <w:rPr>
                <w:b/>
              </w:rPr>
            </w:pPr>
          </w:p>
        </w:tc>
        <w:tc>
          <w:tcPr>
            <w:tcW w:w="2548" w:type="dxa"/>
            <w:tcBorders>
              <w:top w:val="single" w:sz="4" w:space="0" w:color="auto"/>
              <w:left w:val="nil"/>
              <w:bottom w:val="single" w:sz="4" w:space="0" w:color="auto"/>
              <w:right w:val="nil"/>
            </w:tcBorders>
            <w:shd w:val="clear" w:color="auto" w:fill="66CCFF"/>
          </w:tcPr>
          <w:p w14:paraId="4A7B8648"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FDB5D88"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1DA02165" w14:textId="77777777" w:rsidR="00DD3EFA" w:rsidRPr="005A0E7C" w:rsidRDefault="00DD3EFA">
            <w:pPr>
              <w:rPr>
                <w:b/>
              </w:rPr>
            </w:pPr>
          </w:p>
        </w:tc>
      </w:tr>
      <w:tr w:rsidR="00DD3EFA" w:rsidRPr="005A0E7C" w14:paraId="09B89B74" w14:textId="77777777" w:rsidTr="00B15ECB">
        <w:trPr>
          <w:trHeight w:val="835"/>
        </w:trPr>
        <w:tc>
          <w:tcPr>
            <w:tcW w:w="675" w:type="dxa"/>
            <w:tcBorders>
              <w:top w:val="nil"/>
              <w:bottom w:val="nil"/>
            </w:tcBorders>
            <w:shd w:val="clear" w:color="auto" w:fill="66CCFF"/>
          </w:tcPr>
          <w:p w14:paraId="329A4CCF" w14:textId="77777777" w:rsidR="00DD3EFA" w:rsidRPr="005A0E7C" w:rsidRDefault="00DD3EFA">
            <w:pPr>
              <w:rPr>
                <w:b/>
              </w:rPr>
            </w:pPr>
          </w:p>
        </w:tc>
        <w:tc>
          <w:tcPr>
            <w:tcW w:w="2548" w:type="dxa"/>
            <w:tcBorders>
              <w:top w:val="single" w:sz="4" w:space="0" w:color="auto"/>
              <w:bottom w:val="single" w:sz="4" w:space="0" w:color="auto"/>
            </w:tcBorders>
            <w:shd w:val="clear" w:color="auto" w:fill="auto"/>
          </w:tcPr>
          <w:p w14:paraId="648167B4"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537461AB"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32D3D1EF" w14:textId="77777777" w:rsidR="00DD3EFA" w:rsidRPr="005A0E7C" w:rsidRDefault="00DD3EFA" w:rsidP="00B15ECB">
            <w:pPr>
              <w:spacing w:before="60" w:after="60"/>
              <w:rPr>
                <w:rFonts w:eastAsia="Calibri"/>
              </w:rPr>
            </w:pPr>
            <w:r w:rsidRPr="005A0E7C">
              <w:rPr>
                <w:rFonts w:eastAsia="Calibri"/>
              </w:rPr>
              <w:t>Klíčovým strategickým dokumentem v oblasti vzdělávací politiky ČR je v současnosti účinná Strategie vzdělávací politiky České republiky do roku 2020, která je prováděna dílčími koncepčními implementačními dokumenty (Dlouhodobý záměr vzdělávání a rozvoje vzdělávací soustavy České republiky na období 2015-2020, Rámec rozvoje vysokého školství do roku 2020, Dlouhodobý záměr vzdělávací a vědecké, výzkumné, vývojové a inovační, umělecké a další tvůrčí činnosti pro oblast vysokých škol na období 2016 – 2020, Akční plán inkluzivního vzdělávání 2019-2020 atd.).</w:t>
            </w:r>
          </w:p>
          <w:p w14:paraId="03299E7C" w14:textId="77777777" w:rsidR="00DD3EFA" w:rsidRPr="005A0E7C" w:rsidRDefault="00DD3EFA" w:rsidP="00B15ECB">
            <w:pPr>
              <w:spacing w:before="60" w:after="60"/>
              <w:rPr>
                <w:rFonts w:eastAsia="Calibri"/>
              </w:rPr>
            </w:pPr>
            <w:r w:rsidRPr="005A0E7C">
              <w:rPr>
                <w:rFonts w:eastAsia="Calibri"/>
              </w:rPr>
              <w:t>Strategie 2020 zahrnuje prioritu Snižovat nerovnosti ve vzdělávání a navazující dílčí cíle: Zvýšit dostupnost a kvalitu předškolního vzdělávání a rané péče, Omezovat vnější diferenciaci v základním vzdělávání a efektivně, Posilovat společné prvky v oborech středního vzdělání, Udržet otevřený přístup k rozmanité nabídce terciárního vzdělání a Individualizovat nabídku poradenských služeb a navazující opatření, přičemž právě na tyto cíle navazuje předmětný specifický cíl NKR: Zajištění rovného přístupu ke vzdělání.</w:t>
            </w:r>
          </w:p>
          <w:p w14:paraId="6EB1BAA9" w14:textId="7ED84107" w:rsidR="00DD3EFA" w:rsidRPr="005A0E7C" w:rsidRDefault="00DD3EFA" w:rsidP="00B15ECB">
            <w:pPr>
              <w:spacing w:before="60" w:after="60"/>
            </w:pPr>
            <w:r w:rsidRPr="005A0E7C">
              <w:rPr>
                <w:rFonts w:eastAsia="Calibri"/>
              </w:rPr>
              <w:t xml:space="preserve">Specifikace definovaného cíle NKR v kontextu návaznosti na účinnou Strategii 2020 vychází z její externí evaluace </w:t>
            </w:r>
            <w:r w:rsidR="0066487B" w:rsidRPr="005A0E7C">
              <w:rPr>
                <w:rFonts w:eastAsia="Calibri"/>
              </w:rPr>
              <w:t>provedené</w:t>
            </w:r>
            <w:r w:rsidRPr="005A0E7C">
              <w:rPr>
                <w:rFonts w:eastAsia="Calibri"/>
              </w:rPr>
              <w:t xml:space="preserve"> v roce 2017 skupinou nezávislých expertů a dále pak definicí vize a dalších analytických vstupů přípravy Strategie vzdělávací politiky ČR do 2030 (viz níže).</w:t>
            </w:r>
          </w:p>
        </w:tc>
        <w:tc>
          <w:tcPr>
            <w:tcW w:w="249" w:type="dxa"/>
            <w:tcBorders>
              <w:top w:val="nil"/>
              <w:bottom w:val="nil"/>
            </w:tcBorders>
            <w:shd w:val="clear" w:color="auto" w:fill="66CCFF"/>
          </w:tcPr>
          <w:p w14:paraId="3352C767" w14:textId="77777777" w:rsidR="00DD3EFA" w:rsidRPr="005A0E7C" w:rsidRDefault="00DD3EFA">
            <w:pPr>
              <w:rPr>
                <w:b/>
              </w:rPr>
            </w:pPr>
          </w:p>
        </w:tc>
      </w:tr>
      <w:tr w:rsidR="00DD3EFA" w:rsidRPr="005A0E7C" w14:paraId="1752C521" w14:textId="77777777" w:rsidTr="00B15ECB">
        <w:trPr>
          <w:trHeight w:val="377"/>
        </w:trPr>
        <w:tc>
          <w:tcPr>
            <w:tcW w:w="675" w:type="dxa"/>
            <w:tcBorders>
              <w:top w:val="nil"/>
              <w:bottom w:val="nil"/>
              <w:right w:val="nil"/>
            </w:tcBorders>
            <w:shd w:val="clear" w:color="auto" w:fill="66CCFF"/>
          </w:tcPr>
          <w:p w14:paraId="0A306D3D" w14:textId="77777777" w:rsidR="00DD3EFA" w:rsidRPr="005A0E7C" w:rsidRDefault="00DD3EFA">
            <w:pPr>
              <w:rPr>
                <w:b/>
              </w:rPr>
            </w:pPr>
          </w:p>
        </w:tc>
        <w:tc>
          <w:tcPr>
            <w:tcW w:w="2548" w:type="dxa"/>
            <w:tcBorders>
              <w:top w:val="single" w:sz="4" w:space="0" w:color="auto"/>
              <w:left w:val="nil"/>
              <w:bottom w:val="single" w:sz="4" w:space="0" w:color="auto"/>
              <w:right w:val="nil"/>
            </w:tcBorders>
            <w:shd w:val="clear" w:color="auto" w:fill="66CCFF"/>
          </w:tcPr>
          <w:p w14:paraId="7EDB643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19FC45B"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293CAA02" w14:textId="77777777" w:rsidR="00DD3EFA" w:rsidRPr="005A0E7C" w:rsidRDefault="00DD3EFA">
            <w:pPr>
              <w:rPr>
                <w:b/>
              </w:rPr>
            </w:pPr>
          </w:p>
        </w:tc>
      </w:tr>
      <w:tr w:rsidR="00DD3EFA" w:rsidRPr="005A0E7C" w14:paraId="76870070" w14:textId="77777777" w:rsidTr="00B15ECB">
        <w:trPr>
          <w:trHeight w:val="1202"/>
        </w:trPr>
        <w:tc>
          <w:tcPr>
            <w:tcW w:w="675" w:type="dxa"/>
            <w:tcBorders>
              <w:top w:val="nil"/>
              <w:bottom w:val="nil"/>
            </w:tcBorders>
            <w:shd w:val="clear" w:color="auto" w:fill="66CCFF"/>
          </w:tcPr>
          <w:p w14:paraId="5D613184" w14:textId="77777777" w:rsidR="00DD3EFA" w:rsidRPr="005A0E7C" w:rsidRDefault="00DD3EFA">
            <w:pPr>
              <w:rPr>
                <w:b/>
              </w:rPr>
            </w:pPr>
          </w:p>
        </w:tc>
        <w:tc>
          <w:tcPr>
            <w:tcW w:w="8526" w:type="dxa"/>
            <w:gridSpan w:val="2"/>
            <w:tcBorders>
              <w:top w:val="single" w:sz="4" w:space="0" w:color="auto"/>
              <w:bottom w:val="single" w:sz="4" w:space="0" w:color="auto"/>
            </w:tcBorders>
            <w:shd w:val="clear" w:color="auto" w:fill="FFFFFF" w:themeFill="background1"/>
          </w:tcPr>
          <w:p w14:paraId="74B58D6F"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73FFDE85"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A08969E" w14:textId="77777777" w:rsidR="00DD3EFA" w:rsidRPr="005A0E7C" w:rsidRDefault="00DD3EFA">
            <w:pPr>
              <w:rPr>
                <w:b/>
              </w:rPr>
            </w:pPr>
          </w:p>
        </w:tc>
      </w:tr>
      <w:tr w:rsidR="00DD3EFA" w:rsidRPr="005A0E7C" w14:paraId="1B542E41" w14:textId="77777777" w:rsidTr="00B15ECB">
        <w:trPr>
          <w:trHeight w:val="1202"/>
        </w:trPr>
        <w:tc>
          <w:tcPr>
            <w:tcW w:w="675" w:type="dxa"/>
            <w:tcBorders>
              <w:top w:val="nil"/>
              <w:bottom w:val="nil"/>
            </w:tcBorders>
            <w:shd w:val="clear" w:color="auto" w:fill="66CCFF"/>
          </w:tcPr>
          <w:p w14:paraId="3428CF1C" w14:textId="77777777" w:rsidR="00DD3EFA" w:rsidRPr="005A0E7C" w:rsidRDefault="00DD3EFA">
            <w:pPr>
              <w:rPr>
                <w:b/>
              </w:rPr>
            </w:pPr>
          </w:p>
        </w:tc>
        <w:tc>
          <w:tcPr>
            <w:tcW w:w="2548" w:type="dxa"/>
            <w:tcBorders>
              <w:bottom w:val="single" w:sz="4" w:space="0" w:color="auto"/>
            </w:tcBorders>
            <w:shd w:val="clear" w:color="auto" w:fill="FFFFFF" w:themeFill="background1"/>
          </w:tcPr>
          <w:p w14:paraId="1C9E39EB"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Územní dimenze</w:t>
            </w:r>
          </w:p>
          <w:p w14:paraId="7D20B08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A221CA9" w14:textId="77777777" w:rsidR="00DD3EFA" w:rsidRPr="005A0E7C" w:rsidRDefault="00DD3EFA">
            <w:r w:rsidRPr="005A0E7C">
              <w:t xml:space="preserve">Specifika jednotlivých krajů v oblasti potřeb, problémů i kapacit vzdělávacího systémů se odlišují, ale i přesto lze identifikovat obecné trendy a systematické pravidelnosti spojené se vzdělávacími systémy krajů, které se ve většině regionů opakují, což je patrné i z krajských akčních plánů rozvoje vzdělávání. </w:t>
            </w:r>
          </w:p>
          <w:p w14:paraId="39B280F2" w14:textId="77777777" w:rsidR="00DD3EFA" w:rsidRPr="005A0E7C" w:rsidRDefault="00DD3EFA">
            <w:r w:rsidRPr="005A0E7C">
              <w:t>Mezikrajové disparity odrážející kvalitu poskytovaného vzdělávání lze vysledovat i z mezinárodních výzkumů výsledků vzdělávání žáků. Ty slouží k hodnocení výstupů jednotlivých vzdělávacích systémů. Jedná se jak o výzkumy vědomostí a dovedností, tak i postojů a chování ve vybrané oblasti vzdělávání v určité definované populaci. Mezinárodní srovnávací výzkumy se zaměřují jednak na školní vzdělávání – různé druhy gramotností (nejdůležitější v této oblasti jsou PISA, TIMSS a PIRLS), ale i na gramotnost dospělých (PIAAC) a další oblasti. Ze závěrů výsledků mezinárodního šetření PISA 2015 vyplývá, že patnáctiletí žáci v Karlovarském a Ústeckém kraji dosáhli v roce 2015 v přírodovědném testu nejhorších průměrných výsledků v ČR. Dále v těchto krajích je nejvyšší podíl žáků, kteří nedosáhli v přírodovědném testu druhé základní gramotnostní úrovně. Zásadní zjištění je pak to, že žáci těchto krajů dosáhli výrazně horších výsledků, než by měli mít podle indexu ekonomického, sociálního a kulturního statusu. To signalizuje problém tzv. “uvnitř” tamějších vzdělávacích systémů (struktura systému, kvalita pedagogického sboru atd.). Na základě závěru šetření TIMMS 2015 lze konstatovat, že především žáci čtvrtých ročníků v Karlovarském kraji dosáhli v rámci srovnávacího výběrového testování v matematice i v přírodovědě v porovnání s ostatními kraji podprůměrných výsledků. Rozdíly však v kontextu výše popsaného testování PISA nejsou až tak výrazné. V rámci zohlednění indexu domácích zdrojů pro učení pak lze tvrdit to, že krajské vzdělávací systémy především opět v Karlovarském, ale i Ústeckém kraji, nejsou schopny kompenzovat špatné domácí zázemí (vybavení domácností, vzdělání rodičů) testovaných žáků čtvrtých ročníků ZŠ. Obecně lze říci, že mezi jednotlivými kraji jsou velké rozdíly v dosahovaných výsledcích žáků v mezinárodních šetření odrážející sociální složení populace v daném kraji, což znační, že český vzdělávací systém nedokáže kompenzovat handicapy dítěte a žáka dané jeho socioekonomickým statusem a výsledek vzdělávání žáka velmi odvisí od socioekonomického statusu jeho rodiny. Právě oblast socio-ekonomického a socikoluturního znevýhodnění i s přihlédnutím k problematice Romů lze v rámci regionálních rozdílů a rozdílů mezi vzdělávacími soustavami vysledovat silnou intenzitu územní dimenzi vyžadující specifický přístup.</w:t>
            </w:r>
          </w:p>
          <w:p w14:paraId="10099FEE" w14:textId="77777777" w:rsidR="00DD3EFA" w:rsidRPr="005A0E7C" w:rsidRDefault="00DD3EFA">
            <w:r w:rsidRPr="005A0E7C">
              <w:t>Problémem vzdělávacích systémů v krajích je i nízká dynamika a nedostatečná otevřenost, a proto jen velmi omezeně reagují na změnu potřeb v regionálním trhu práce a absolventi jsou jen omezeně připraveni na výkon své profese. Často se opakujícím handicapem je nedostatečné kariérové poradenství pro žáky a budoucí absolventy škol vykazující i kvalitativní rozdíly mezi jednotlivými kraji.</w:t>
            </w:r>
          </w:p>
          <w:p w14:paraId="5C492309" w14:textId="77777777" w:rsidR="00DD3EFA" w:rsidRPr="005A0E7C" w:rsidRDefault="00DD3EFA">
            <w:pPr>
              <w:rPr>
                <w:iCs/>
              </w:rPr>
            </w:pPr>
            <w:r w:rsidRPr="005A0E7C">
              <w:t>V oblasti vysokých škol není územní dimenze pro tento specifický cíl relevantní, podpora by měla být směřována do všech krajů.</w:t>
            </w:r>
          </w:p>
        </w:tc>
        <w:tc>
          <w:tcPr>
            <w:tcW w:w="249" w:type="dxa"/>
            <w:tcBorders>
              <w:top w:val="nil"/>
              <w:bottom w:val="nil"/>
            </w:tcBorders>
            <w:shd w:val="clear" w:color="auto" w:fill="66CCFF"/>
          </w:tcPr>
          <w:p w14:paraId="7CD1E53C" w14:textId="77777777" w:rsidR="00DD3EFA" w:rsidRPr="005A0E7C" w:rsidRDefault="00DD3EFA">
            <w:pPr>
              <w:rPr>
                <w:b/>
              </w:rPr>
            </w:pPr>
          </w:p>
        </w:tc>
      </w:tr>
      <w:tr w:rsidR="00DD3EFA" w:rsidRPr="005A0E7C" w14:paraId="21D260AF" w14:textId="77777777" w:rsidTr="00B15ECB">
        <w:trPr>
          <w:trHeight w:val="1202"/>
        </w:trPr>
        <w:tc>
          <w:tcPr>
            <w:tcW w:w="675" w:type="dxa"/>
            <w:tcBorders>
              <w:top w:val="nil"/>
              <w:bottom w:val="nil"/>
            </w:tcBorders>
            <w:shd w:val="clear" w:color="auto" w:fill="66CCFF"/>
          </w:tcPr>
          <w:p w14:paraId="077F260B" w14:textId="77777777" w:rsidR="00DD3EFA" w:rsidRPr="005A0E7C" w:rsidRDefault="00DD3EFA">
            <w:pPr>
              <w:rPr>
                <w:b/>
              </w:rPr>
            </w:pPr>
          </w:p>
        </w:tc>
        <w:tc>
          <w:tcPr>
            <w:tcW w:w="2548" w:type="dxa"/>
            <w:tcBorders>
              <w:bottom w:val="single" w:sz="4" w:space="0" w:color="auto"/>
            </w:tcBorders>
            <w:shd w:val="clear" w:color="auto" w:fill="FFFFFF" w:themeFill="background1"/>
          </w:tcPr>
          <w:p w14:paraId="33E330D7"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Adaptace na změnu klimatu</w:t>
            </w:r>
          </w:p>
          <w:p w14:paraId="2DD56E7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FFB9435" w14:textId="77777777" w:rsidR="00DD3EFA" w:rsidRPr="005A0E7C" w:rsidRDefault="00DD3EFA" w:rsidP="00B15ECB">
            <w:pPr>
              <w:spacing w:before="60" w:after="60"/>
              <w:rPr>
                <w:rFonts w:eastAsiaTheme="majorEastAsia"/>
              </w:rPr>
            </w:pPr>
            <w:r w:rsidRPr="005A0E7C">
              <w:rPr>
                <w:rFonts w:eastAsiaTheme="majorEastAsia"/>
              </w:rPr>
              <w:t>Aktivity specifického cíle budou vést k vyšším kompetencím dětí, žáků a studentů v oblasti udržitelného rozvoje a to prostřednictví zvýšení kvality jejich vzdělávání.</w:t>
            </w:r>
          </w:p>
        </w:tc>
        <w:tc>
          <w:tcPr>
            <w:tcW w:w="249" w:type="dxa"/>
            <w:tcBorders>
              <w:top w:val="nil"/>
              <w:bottom w:val="nil"/>
            </w:tcBorders>
            <w:shd w:val="clear" w:color="auto" w:fill="66CCFF"/>
          </w:tcPr>
          <w:p w14:paraId="2171B250" w14:textId="77777777" w:rsidR="00DD3EFA" w:rsidRPr="005A0E7C" w:rsidRDefault="00DD3EFA">
            <w:pPr>
              <w:rPr>
                <w:b/>
              </w:rPr>
            </w:pPr>
          </w:p>
        </w:tc>
      </w:tr>
      <w:tr w:rsidR="00DD3EFA" w:rsidRPr="005A0E7C" w14:paraId="51486C42" w14:textId="77777777" w:rsidTr="00B15ECB">
        <w:trPr>
          <w:trHeight w:val="1202"/>
        </w:trPr>
        <w:tc>
          <w:tcPr>
            <w:tcW w:w="675" w:type="dxa"/>
            <w:tcBorders>
              <w:top w:val="nil"/>
              <w:bottom w:val="nil"/>
            </w:tcBorders>
            <w:shd w:val="clear" w:color="auto" w:fill="66CCFF"/>
          </w:tcPr>
          <w:p w14:paraId="1ED3E734" w14:textId="77777777" w:rsidR="00DD3EFA" w:rsidRPr="005A0E7C" w:rsidRDefault="00DD3EFA">
            <w:pPr>
              <w:rPr>
                <w:b/>
              </w:rPr>
            </w:pPr>
          </w:p>
        </w:tc>
        <w:tc>
          <w:tcPr>
            <w:tcW w:w="2548" w:type="dxa"/>
            <w:tcBorders>
              <w:bottom w:val="single" w:sz="4" w:space="0" w:color="auto"/>
            </w:tcBorders>
            <w:shd w:val="clear" w:color="auto" w:fill="FFFFFF" w:themeFill="background1"/>
          </w:tcPr>
          <w:p w14:paraId="42597043"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Společnost 4.0.</w:t>
            </w:r>
          </w:p>
          <w:p w14:paraId="7C3480E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542BBA0" w14:textId="77777777" w:rsidR="00DD3EFA" w:rsidRPr="005A0E7C" w:rsidRDefault="00DD3EFA">
            <w:r w:rsidRPr="005A0E7C">
              <w:t>Z hlediska vazby na Společnost 4.0, respektive na oblast společenský změn je problematika snižování nerovností zcela zásadní ve smyslu dosažení maxima potenciálu každého jednotlivce. V kontextu změn je třeba dosáhnout cíle snížení podílu předčasně odcházejících ze vzdělávání, tedy těch nejvíce ohrožených nezaměstnaností a společenskou exkluzí v období, které se bude vyznačovat růstem požadavků na zaměstnance a zánikem velké části pracovních pozic ohrožených automatizací a digitalizací.</w:t>
            </w:r>
          </w:p>
        </w:tc>
        <w:tc>
          <w:tcPr>
            <w:tcW w:w="249" w:type="dxa"/>
            <w:tcBorders>
              <w:top w:val="nil"/>
              <w:bottom w:val="nil"/>
            </w:tcBorders>
            <w:shd w:val="clear" w:color="auto" w:fill="66CCFF"/>
          </w:tcPr>
          <w:p w14:paraId="6C248D2A" w14:textId="77777777" w:rsidR="00DD3EFA" w:rsidRPr="005A0E7C" w:rsidRDefault="00DD3EFA">
            <w:pPr>
              <w:rPr>
                <w:b/>
              </w:rPr>
            </w:pPr>
          </w:p>
        </w:tc>
      </w:tr>
      <w:tr w:rsidR="00DD3EFA" w:rsidRPr="005A0E7C" w14:paraId="15A765E2" w14:textId="77777777" w:rsidTr="00B15ECB">
        <w:trPr>
          <w:trHeight w:val="1202"/>
        </w:trPr>
        <w:tc>
          <w:tcPr>
            <w:tcW w:w="675" w:type="dxa"/>
            <w:tcBorders>
              <w:top w:val="nil"/>
              <w:bottom w:val="nil"/>
            </w:tcBorders>
            <w:shd w:val="clear" w:color="auto" w:fill="66CCFF"/>
          </w:tcPr>
          <w:p w14:paraId="626DFE4F" w14:textId="77777777" w:rsidR="00DD3EFA" w:rsidRPr="005A0E7C" w:rsidRDefault="00DD3EFA">
            <w:pPr>
              <w:rPr>
                <w:b/>
              </w:rPr>
            </w:pPr>
          </w:p>
        </w:tc>
        <w:tc>
          <w:tcPr>
            <w:tcW w:w="2548" w:type="dxa"/>
            <w:tcBorders>
              <w:bottom w:val="single" w:sz="4" w:space="0" w:color="auto"/>
            </w:tcBorders>
            <w:shd w:val="clear" w:color="auto" w:fill="FFFFFF" w:themeFill="background1"/>
          </w:tcPr>
          <w:p w14:paraId="30C210D7"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Vazba na megatrendy</w:t>
            </w:r>
          </w:p>
          <w:p w14:paraId="200CD06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6A430DA" w14:textId="77777777" w:rsidR="00DD3EFA" w:rsidRPr="005A0E7C" w:rsidRDefault="00DD3EFA" w:rsidP="00B15ECB">
            <w:pPr>
              <w:spacing w:before="60" w:after="60"/>
              <w:rPr>
                <w:rFonts w:eastAsiaTheme="majorEastAsia"/>
                <w:i/>
              </w:rPr>
            </w:pPr>
            <w:r w:rsidRPr="005A0E7C">
              <w:t>Oblast spadající pod tento specifický cíl má přímou vazbu na všech 5 hlavních megatrendů, konkrétně Sociální, Technologický, Ekonomický, Environmentální a Politický. Zejména pak prostřednictvím oblastí, respektive trendů reagujících na demokratizaci společnosti, rostoucí nerovnosti, rostoucí objem migrace, rostoucí zadluženost, růst střední třídy, snižování diskriminace.</w:t>
            </w:r>
          </w:p>
        </w:tc>
        <w:tc>
          <w:tcPr>
            <w:tcW w:w="249" w:type="dxa"/>
            <w:tcBorders>
              <w:top w:val="nil"/>
              <w:bottom w:val="nil"/>
            </w:tcBorders>
            <w:shd w:val="clear" w:color="auto" w:fill="66CCFF"/>
          </w:tcPr>
          <w:p w14:paraId="03F2D378" w14:textId="77777777" w:rsidR="00DD3EFA" w:rsidRPr="005A0E7C" w:rsidRDefault="00DD3EFA">
            <w:pPr>
              <w:rPr>
                <w:b/>
              </w:rPr>
            </w:pPr>
          </w:p>
        </w:tc>
      </w:tr>
      <w:tr w:rsidR="00DD3EFA" w:rsidRPr="005A0E7C" w14:paraId="1BFBA027" w14:textId="77777777" w:rsidTr="00B15ECB">
        <w:trPr>
          <w:trHeight w:val="1202"/>
        </w:trPr>
        <w:tc>
          <w:tcPr>
            <w:tcW w:w="675" w:type="dxa"/>
            <w:tcBorders>
              <w:top w:val="nil"/>
              <w:bottom w:val="nil"/>
            </w:tcBorders>
            <w:shd w:val="clear" w:color="auto" w:fill="66CCFF"/>
          </w:tcPr>
          <w:p w14:paraId="51FC46EC" w14:textId="77777777" w:rsidR="00DD3EFA" w:rsidRPr="005A0E7C" w:rsidRDefault="00DD3EFA">
            <w:pPr>
              <w:rPr>
                <w:b/>
              </w:rPr>
            </w:pPr>
          </w:p>
        </w:tc>
        <w:tc>
          <w:tcPr>
            <w:tcW w:w="2548" w:type="dxa"/>
            <w:tcBorders>
              <w:bottom w:val="single" w:sz="4" w:space="0" w:color="auto"/>
            </w:tcBorders>
            <w:shd w:val="clear" w:color="auto" w:fill="FFFFFF" w:themeFill="background1"/>
          </w:tcPr>
          <w:p w14:paraId="5639B1EF"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7E6C14BB" w14:textId="77777777" w:rsidR="00DD3EFA" w:rsidRPr="005A0E7C" w:rsidRDefault="00DD3EFA">
            <w:pPr>
              <w:spacing w:before="60" w:after="60"/>
              <w:rPr>
                <w:rFonts w:eastAsiaTheme="majorEastAsia"/>
                <w:b/>
              </w:rPr>
            </w:pPr>
            <w:r w:rsidRPr="005A0E7C">
              <w:rPr>
                <w:rFonts w:eastAsiaTheme="majorEastAsia"/>
                <w:b/>
              </w:rPr>
              <w:t>Politický cíl ON:</w:t>
            </w:r>
          </w:p>
          <w:p w14:paraId="13645441" w14:textId="77777777" w:rsidR="00DD3EFA" w:rsidRPr="005A0E7C" w:rsidRDefault="00DD3EFA">
            <w:pPr>
              <w:spacing w:before="60" w:after="60"/>
              <w:rPr>
                <w:rFonts w:eastAsiaTheme="majorEastAsia"/>
              </w:rPr>
            </w:pPr>
            <w:r w:rsidRPr="005A0E7C">
              <w:rPr>
                <w:rFonts w:eastAsiaTheme="majorEastAsia"/>
              </w:rPr>
              <w:t>Sociálnější Evropa díky provádějí evropského pilíře sociálních práv</w:t>
            </w:r>
          </w:p>
          <w:p w14:paraId="0B010115" w14:textId="77777777" w:rsidR="00DD3EFA" w:rsidRPr="005A0E7C" w:rsidRDefault="00DD3EFA">
            <w:pPr>
              <w:spacing w:before="60" w:after="60"/>
              <w:rPr>
                <w:rFonts w:eastAsiaTheme="majorEastAsia"/>
                <w:b/>
              </w:rPr>
            </w:pPr>
            <w:r w:rsidRPr="005A0E7C">
              <w:rPr>
                <w:rFonts w:eastAsiaTheme="majorEastAsia"/>
                <w:b/>
              </w:rPr>
              <w:t>Specifické cíle ESF+:</w:t>
            </w:r>
          </w:p>
          <w:p w14:paraId="40933056" w14:textId="77777777" w:rsidR="00DD3EFA" w:rsidRPr="005A0E7C" w:rsidRDefault="00DD3EFA" w:rsidP="00B15ECB">
            <w:pPr>
              <w:spacing w:before="60" w:after="60"/>
              <w:rPr>
                <w:rFonts w:eastAsiaTheme="majorEastAsia"/>
              </w:rPr>
            </w:pPr>
            <w:r w:rsidRPr="005A0E7C">
              <w:rPr>
                <w:rFonts w:eastAsiaTheme="majorEastAsia"/>
              </w:rPr>
              <w:t>V) podporovat rovný přístup ke kvalitnímu a inkluzivnímu vzdělávání a odborné přípravy a jejich úspěšnému ukončení, a to zejména pro znevýhodněné skupiny, od předškolního vzdělávání a péče, přes všeobecné vzdělávání a odborné vzdělávání a přípravu až po terciární úroveň, jakož i vzdělávání a studium dospělých včetně usnadnění vzdělávací mobility pro všechny</w:t>
            </w:r>
          </w:p>
          <w:p w14:paraId="69B22570" w14:textId="77777777" w:rsidR="00DD3EFA" w:rsidRPr="005A0E7C" w:rsidRDefault="00DD3EFA" w:rsidP="00B15ECB">
            <w:pPr>
              <w:spacing w:before="60" w:after="60"/>
              <w:rPr>
                <w:rFonts w:eastAsiaTheme="majorEastAsia"/>
                <w:b/>
              </w:rPr>
            </w:pPr>
            <w:r w:rsidRPr="005A0E7C">
              <w:rPr>
                <w:rFonts w:eastAsiaTheme="majorEastAsia"/>
                <w:b/>
              </w:rPr>
              <w:t>Specifické cíle EFRR/FS:</w:t>
            </w:r>
          </w:p>
          <w:p w14:paraId="72531D7D" w14:textId="77777777" w:rsidR="00DD3EFA" w:rsidRPr="005A0E7C" w:rsidRDefault="00DD3EFA" w:rsidP="00B15ECB">
            <w:pPr>
              <w:spacing w:before="60" w:after="60"/>
              <w:rPr>
                <w:rFonts w:eastAsiaTheme="majorEastAsia"/>
              </w:rPr>
            </w:pPr>
            <w:r w:rsidRPr="005A0E7C">
              <w:rPr>
                <w:rFonts w:eastAsiaTheme="majorEastAsia"/>
              </w:rPr>
              <w:t>čl. 2 odst. 1 písm. d ii)</w:t>
            </w:r>
          </w:p>
          <w:p w14:paraId="799F4283" w14:textId="77777777" w:rsidR="00DD3EFA" w:rsidRPr="005A0E7C" w:rsidRDefault="00DD3EFA" w:rsidP="00B15ECB">
            <w:pPr>
              <w:spacing w:before="60" w:after="60"/>
              <w:rPr>
                <w:rFonts w:eastAsiaTheme="majorEastAsia"/>
                <w:i/>
              </w:rPr>
            </w:pPr>
            <w:r w:rsidRPr="005A0E7C">
              <w:rPr>
                <w:rFonts w:eastAsiaTheme="majorEastAsia"/>
              </w:rPr>
              <w:t>zlepšení přístupu k inkluzivním a kvalitním službám v oblasti vzdělávání, odborné přípravy a celoživotního učení pomocí rozvoje infrastruktury</w:t>
            </w:r>
          </w:p>
        </w:tc>
        <w:tc>
          <w:tcPr>
            <w:tcW w:w="249" w:type="dxa"/>
            <w:tcBorders>
              <w:top w:val="nil"/>
              <w:bottom w:val="nil"/>
            </w:tcBorders>
            <w:shd w:val="clear" w:color="auto" w:fill="66CCFF"/>
          </w:tcPr>
          <w:p w14:paraId="6DC79067" w14:textId="77777777" w:rsidR="00DD3EFA" w:rsidRPr="005A0E7C" w:rsidRDefault="00DD3EFA">
            <w:pPr>
              <w:rPr>
                <w:b/>
              </w:rPr>
            </w:pPr>
          </w:p>
        </w:tc>
      </w:tr>
      <w:tr w:rsidR="00DD3EFA" w:rsidRPr="005A0E7C" w14:paraId="0F0FF0D0" w14:textId="77777777" w:rsidTr="00B15ECB">
        <w:trPr>
          <w:trHeight w:val="1202"/>
        </w:trPr>
        <w:tc>
          <w:tcPr>
            <w:tcW w:w="675" w:type="dxa"/>
            <w:tcBorders>
              <w:top w:val="nil"/>
              <w:bottom w:val="nil"/>
            </w:tcBorders>
            <w:shd w:val="clear" w:color="auto" w:fill="66CCFF"/>
          </w:tcPr>
          <w:p w14:paraId="1F3BBED4" w14:textId="77777777" w:rsidR="00DD3EFA" w:rsidRPr="005A0E7C" w:rsidRDefault="00DD3EFA">
            <w:pPr>
              <w:rPr>
                <w:b/>
              </w:rPr>
            </w:pPr>
          </w:p>
        </w:tc>
        <w:tc>
          <w:tcPr>
            <w:tcW w:w="2548" w:type="dxa"/>
            <w:tcBorders>
              <w:bottom w:val="single" w:sz="4" w:space="0" w:color="auto"/>
            </w:tcBorders>
            <w:shd w:val="clear" w:color="auto" w:fill="FFFFFF" w:themeFill="background1"/>
          </w:tcPr>
          <w:p w14:paraId="52148981"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78EC066E" w14:textId="77777777" w:rsidR="00DD3EFA" w:rsidRPr="005A0E7C" w:rsidRDefault="00DD3EFA" w:rsidP="00B15ECB">
            <w:pPr>
              <w:spacing w:before="60" w:after="60"/>
              <w:rPr>
                <w:rFonts w:eastAsiaTheme="majorEastAsia"/>
              </w:rPr>
            </w:pPr>
            <w:r w:rsidRPr="005A0E7C">
              <w:rPr>
                <w:rFonts w:eastAsiaTheme="majorEastAsia"/>
              </w:rPr>
              <w:t>Cíl řeší více doporučeních rady (z roku 2018) a sleduje plnění legislativy EU. Konkrétně lze zmínit následující doporučení. „S ohledem na rostoucí omezení na českém trhu práce má zásadní význam kvalitní inkluzivní vzdělávání a odborná příprava. Výsledky vzdělávání jsou nadále silně ovlivněny socioekonomickým zázemím studentů. Opatření v oblasti inkluzivního vzdělávání doposud nebyla plně provedena, zejména co se týče romských dětí. Nedostatek kvalifikovaných učitelů spolu s demografickými projekcemi naznačuje, že by mohlo být stále obtížnější získávat a udržet si pedagogické pracovníky.</w:t>
            </w:r>
          </w:p>
          <w:p w14:paraId="11BFB1BC" w14:textId="77777777" w:rsidR="00DD3EFA" w:rsidRPr="005A0E7C" w:rsidRDefault="00DD3EFA" w:rsidP="00B15ECB">
            <w:pPr>
              <w:spacing w:before="60" w:after="60"/>
              <w:rPr>
                <w:rFonts w:eastAsiaTheme="majorEastAsia"/>
                <w:i/>
              </w:rPr>
            </w:pPr>
            <w:r w:rsidRPr="005A0E7C">
              <w:rPr>
                <w:rFonts w:eastAsiaTheme="majorEastAsia"/>
              </w:rPr>
              <w:t>Úspěch reformy, která má zvýšit inkluzivnost vzdělávání (a byla spuštěna v roce 2016 s podporou Evropského sociálního fondu), bude záviset na dostupnosti dostatečného a udržitelného vnitrostátního financování, další odborné přípravě učitelů a asistentů a zvyšování povědomí veřejnosti, pokud jde o přínosy inkluzivního vzdělávání.“</w:t>
            </w:r>
          </w:p>
        </w:tc>
        <w:tc>
          <w:tcPr>
            <w:tcW w:w="249" w:type="dxa"/>
            <w:tcBorders>
              <w:top w:val="nil"/>
              <w:bottom w:val="nil"/>
            </w:tcBorders>
            <w:shd w:val="clear" w:color="auto" w:fill="66CCFF"/>
          </w:tcPr>
          <w:p w14:paraId="021231DF" w14:textId="77777777" w:rsidR="00DD3EFA" w:rsidRPr="005A0E7C" w:rsidRDefault="00DD3EFA">
            <w:pPr>
              <w:rPr>
                <w:b/>
              </w:rPr>
            </w:pPr>
          </w:p>
        </w:tc>
      </w:tr>
      <w:tr w:rsidR="00DD3EFA" w:rsidRPr="005A0E7C" w14:paraId="4325EA60" w14:textId="77777777" w:rsidTr="00B15ECB">
        <w:trPr>
          <w:trHeight w:val="180"/>
        </w:trPr>
        <w:tc>
          <w:tcPr>
            <w:tcW w:w="675" w:type="dxa"/>
            <w:tcBorders>
              <w:top w:val="nil"/>
              <w:bottom w:val="nil"/>
              <w:right w:val="nil"/>
            </w:tcBorders>
            <w:shd w:val="clear" w:color="auto" w:fill="66CCFF"/>
          </w:tcPr>
          <w:p w14:paraId="719602E6" w14:textId="77777777" w:rsidR="00DD3EFA" w:rsidRPr="005A0E7C" w:rsidRDefault="00DD3EFA">
            <w:pPr>
              <w:rPr>
                <w:b/>
              </w:rPr>
            </w:pPr>
          </w:p>
        </w:tc>
        <w:tc>
          <w:tcPr>
            <w:tcW w:w="2548" w:type="dxa"/>
            <w:tcBorders>
              <w:left w:val="nil"/>
              <w:right w:val="nil"/>
            </w:tcBorders>
            <w:shd w:val="clear" w:color="auto" w:fill="66CCFF"/>
          </w:tcPr>
          <w:p w14:paraId="22FA3043" w14:textId="77777777" w:rsidR="00DD3EFA" w:rsidRPr="005A0E7C" w:rsidRDefault="00DD3EFA" w:rsidP="00B15ECB">
            <w:pPr>
              <w:rPr>
                <w:b/>
              </w:rPr>
            </w:pPr>
          </w:p>
        </w:tc>
        <w:tc>
          <w:tcPr>
            <w:tcW w:w="5978" w:type="dxa"/>
            <w:tcBorders>
              <w:left w:val="nil"/>
              <w:right w:val="nil"/>
            </w:tcBorders>
            <w:shd w:val="clear" w:color="auto" w:fill="66CCFF"/>
          </w:tcPr>
          <w:p w14:paraId="731A33CF" w14:textId="77777777" w:rsidR="00DD3EFA" w:rsidRPr="005A0E7C" w:rsidRDefault="00DD3EFA" w:rsidP="00B15ECB">
            <w:pPr>
              <w:rPr>
                <w:b/>
              </w:rPr>
            </w:pPr>
          </w:p>
        </w:tc>
        <w:tc>
          <w:tcPr>
            <w:tcW w:w="249" w:type="dxa"/>
            <w:tcBorders>
              <w:top w:val="nil"/>
              <w:left w:val="nil"/>
              <w:bottom w:val="nil"/>
            </w:tcBorders>
            <w:shd w:val="clear" w:color="auto" w:fill="66CCFF"/>
          </w:tcPr>
          <w:p w14:paraId="4F427240" w14:textId="77777777" w:rsidR="00DD3EFA" w:rsidRPr="005A0E7C" w:rsidRDefault="00DD3EFA">
            <w:pPr>
              <w:rPr>
                <w:b/>
              </w:rPr>
            </w:pPr>
          </w:p>
        </w:tc>
      </w:tr>
      <w:tr w:rsidR="00DD3EFA" w:rsidRPr="005A0E7C" w14:paraId="006D8C6A" w14:textId="77777777" w:rsidTr="00B15ECB">
        <w:trPr>
          <w:trHeight w:val="938"/>
        </w:trPr>
        <w:tc>
          <w:tcPr>
            <w:tcW w:w="675" w:type="dxa"/>
            <w:tcBorders>
              <w:top w:val="nil"/>
              <w:bottom w:val="nil"/>
            </w:tcBorders>
            <w:shd w:val="clear" w:color="auto" w:fill="66CCFF"/>
          </w:tcPr>
          <w:p w14:paraId="209D38A6" w14:textId="77777777" w:rsidR="00DD3EFA" w:rsidRPr="005A0E7C" w:rsidRDefault="00DD3EFA">
            <w:pPr>
              <w:rPr>
                <w:b/>
              </w:rPr>
            </w:pPr>
          </w:p>
        </w:tc>
        <w:tc>
          <w:tcPr>
            <w:tcW w:w="2548" w:type="dxa"/>
            <w:tcBorders>
              <w:bottom w:val="single" w:sz="4" w:space="0" w:color="auto"/>
            </w:tcBorders>
            <w:shd w:val="clear" w:color="auto" w:fill="FFFFFF" w:themeFill="background1"/>
          </w:tcPr>
          <w:p w14:paraId="4A92EEA1"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01D9646B"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0BEE0CC1" w14:textId="77777777" w:rsidR="00DD3EFA" w:rsidRPr="005A0E7C" w:rsidRDefault="00DD3EFA">
            <w:pPr>
              <w:pStyle w:val="slovanodstavec"/>
              <w:tabs>
                <w:tab w:val="left" w:pos="284"/>
              </w:tabs>
              <w:suppressAutoHyphens/>
              <w:spacing w:line="240" w:lineRule="auto"/>
              <w:rPr>
                <w:rFonts w:ascii="Times New Roman" w:hAnsi="Times New Roman"/>
              </w:rPr>
            </w:pPr>
            <w:r w:rsidRPr="005A0E7C">
              <w:rPr>
                <w:rFonts w:ascii="Times New Roman" w:hAnsi="Times New Roman"/>
              </w:rPr>
              <w:t>Na počátku roku 2019 byla zahájena příprava Strategie vzdělávací politiky ČR do roku 2030+ (dále jen „Strategie 2030+“) jako samostatný projekt MŠMT, jehož cílem je definice vize, priorit, cílů a opatření pro oblast vzdělávacího systému a vzdělávací politiky v ČR pro období do roku 2030 a následujících. Dokument bude rovněž sloužit jako základní rámec pro oblast strategického řízení vzdělávacího systému ČR v kontextu realizace jím definovaného strategického směřování s konkrétním a transparentním vymezením působnosti dílčích aktérů. Dokument je vytvářen interakcí externí expertní skupiny – jmenované ministrem školství, mládeže a tělovýchovy, která je složená z vybraných osobností z řad odborné veřejnosti s prokazatelnou erudicí v oblasti vzdělávání a vzdělávacích politik – interní pracovní skupiny a dále prostřednictvím externích veřejných a interních konzultací.</w:t>
            </w:r>
          </w:p>
          <w:p w14:paraId="466BFE37"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Jako implementační dokumenty Strategie 2030 budou obdobně jako v případě Strategie vzdělávací politiky ČR do roku 2020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w:t>
            </w:r>
          </w:p>
          <w:p w14:paraId="380453F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 důvodu zajištění kontinuity a návazností musí příprava Strategie 2030 respektovat existenci v době přípravy již účinného Dlouhodobého záměru vzdělávání a rozvoje vzdělávací soustavy České republiky na období 2019 – 2023. Dlouhodobý záměr vzdělávání a rozvoje vzdělávací soustavy České republiky na období 2019 – 2023 bude schválen v dubnu roku 2019 a na dané období zajistí pokračování v implementaci stávající Strategie vzdělávací politiky ČR do roku 2020 za reflexe jejího externího vyhodnocení a vytvoří výchozí rámec pro Strategii vzdělávací politiky ČR do roku 2030. Druhý z dokumentů, dlouhodobý záměr vzdělávací a vědecké, výzkumné, vývojové a inovační, umělecké a další tvůrčí činnosti pro oblast vysokých škol na roky 2016 – 2020 (DZ pro oblast vysokých škol 2016-2020) je každoročně aktualizovaným materiálem, který bude nahrazen na další období v úzké provazbě na připravovanou Strategii vzdělávací politiky do roku 2030. Dlouhodobý záměr vzdělávací a vědecké, výzkumné, vývojové a inovační, umělecké a další tvůrčí činnosti pro oblast vysokých škol na období 2016-2020 je klíčovým strategickým vymezujícím priority a hlavní plánovaná opatření v oblasti vysokoškolské politiky na dané období. DZ pro oblast vysokých škol je současně jedním z hlavních implementačních dokumentů Strategie 2020, která je zastřešujícím strategickým dokumentem vymezujícím základní východiska pro dlouhodobé záměry všech stupňů vzdělávacího systému, včetně vysokého školství. V průběhu roku 2019 budou intenzivně probíhat přípravy DZ pro oblast vysokých škol na další programové období. Stanovené cíle a opatření budou plně v souladu se vznikající Strategií 2030 a budou vznikat v aktivní spolupráci s reprezentacemi vysokých škol a dalších expertů na vzdělávací politiku.</w:t>
            </w:r>
          </w:p>
          <w:p w14:paraId="191727E5"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Cíle tvorby Strategie 2030 spočívají ve stanovení strategické linie pro rozvoj vzdělávání v ČR a to na všech stupních; vytvoření mandátu a mantinelů pro tvorbu dlouhodobých záměrů a dalších strategických a koncepčních dokumentů ministerstva a dlouhodobých záměrů vyšších územně-samosprávných celků a obcí v oblasti regionálního školství a vysokých škol; stanoví priority pro financování rozvoje vzdělávání ze státního rozpočtu; vytvoří podklad pro výhled legislativních prací v resortu školství; nastaví rámcovou strukturu strategického řízení v oblasti vzdělávací politiky v ČR; vytvoří mandát pro vyjednávání nového programovacího/kohezního období a stanoví priority čerpání prostředků ze strukturálních fondů.</w:t>
            </w:r>
          </w:p>
          <w:p w14:paraId="28622FE5" w14:textId="77777777" w:rsidR="00DD3EFA" w:rsidRPr="005A0E7C" w:rsidRDefault="00DD3EFA">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Strategie 2030+ bude vytvořena ze tří částí: jádrový dokument definující vizi, priority a cíle vzdělávací politiky, včetně jejich rámcového odůvodnění, popř. nastínění kontextu jejich selekce na základě analytické části dokumentu, tato část dokumentu bude vycházet z materiálu Hlavní směry vzdělávací politiky ČR 2030 (viz níže), a dále výčet opatření k naplnění dílčích priorit a cílů; analytická část Strategie 2030+ jako soubor podkladů a vstupů rozvíjející odůvodnění zvolených priorit a cílů s reflexí možných opatření, která bude vycházet z relevantních poznatků výzkumu a interpretace dat, přičemž vše bude sloužit jako klíčový podklad pro kvalifikovaná politická rozhodnutí; implementační plán jako soubor dílčích opatření a úkolů s definovanou gescí, termínem a rámcovými finančními nároky na jejich zajištění, definována bude rovněž indikátorová soustava, způsob řízení a kontroly plnění Strategie 2030 (reflexe plánu řízení změn). Součástí implementačního plánu pak budou rovněž plán řízení rizik a komunikační plán (vše viz níže). </w:t>
            </w:r>
          </w:p>
          <w:p w14:paraId="59D42467" w14:textId="3F8A639C"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Jako implementační dokumenty Strategie 2030+ budou obdobně jako v případě Strategie 202</w:t>
            </w:r>
            <w:r w:rsidR="0066487B" w:rsidRPr="005A0E7C">
              <w:rPr>
                <w:rFonts w:ascii="Times New Roman" w:hAnsi="Times New Roman"/>
              </w:rPr>
              <w:t>0, a jak bylo popsáno již výše,</w:t>
            </w:r>
            <w:r w:rsidRPr="005A0E7C">
              <w:rPr>
                <w:rFonts w:ascii="Times New Roman" w:hAnsi="Times New Roman"/>
              </w:rPr>
              <w:t xml:space="preserve">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popř. dílčí akční plány, jejichž podobu bude specifikovat implementační část samotné Strategie 2030+.</w:t>
            </w:r>
          </w:p>
          <w:p w14:paraId="3A8576C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u w:val="single"/>
              </w:rPr>
            </w:pPr>
            <w:r w:rsidRPr="005A0E7C">
              <w:rPr>
                <w:rFonts w:ascii="Times New Roman" w:hAnsi="Times New Roman"/>
              </w:rPr>
              <w:t>Předmětný dokument staví na přímé kontinuitě s účinnou Strategií vzdělávací politiky do roku 2020, přičemž ta mimo jiné zajištěna i přípravou Dlouhodobého záměru vzdělávání a rozvoje vzdělávací soustavy České republiky na léta 2019-2023 (vše viz níže).</w:t>
            </w:r>
          </w:p>
        </w:tc>
        <w:tc>
          <w:tcPr>
            <w:tcW w:w="249" w:type="dxa"/>
            <w:tcBorders>
              <w:top w:val="nil"/>
              <w:bottom w:val="nil"/>
            </w:tcBorders>
            <w:shd w:val="clear" w:color="auto" w:fill="66CCFF"/>
          </w:tcPr>
          <w:p w14:paraId="2D2BB28D" w14:textId="77777777" w:rsidR="00DD3EFA" w:rsidRPr="005A0E7C" w:rsidRDefault="00DD3EFA">
            <w:pPr>
              <w:rPr>
                <w:b/>
              </w:rPr>
            </w:pPr>
          </w:p>
        </w:tc>
      </w:tr>
      <w:tr w:rsidR="00DD3EFA" w:rsidRPr="005A0E7C" w14:paraId="1E45FEED" w14:textId="77777777" w:rsidTr="00B15ECB">
        <w:trPr>
          <w:trHeight w:val="938"/>
        </w:trPr>
        <w:tc>
          <w:tcPr>
            <w:tcW w:w="675" w:type="dxa"/>
            <w:tcBorders>
              <w:top w:val="nil"/>
              <w:bottom w:val="nil"/>
            </w:tcBorders>
            <w:shd w:val="clear" w:color="auto" w:fill="66CCFF"/>
          </w:tcPr>
          <w:p w14:paraId="05B07309" w14:textId="77777777" w:rsidR="00DD3EFA" w:rsidRPr="005A0E7C" w:rsidRDefault="00DD3EFA">
            <w:pPr>
              <w:rPr>
                <w:b/>
              </w:rPr>
            </w:pPr>
          </w:p>
        </w:tc>
        <w:tc>
          <w:tcPr>
            <w:tcW w:w="2548" w:type="dxa"/>
            <w:tcBorders>
              <w:bottom w:val="single" w:sz="4" w:space="0" w:color="auto"/>
            </w:tcBorders>
            <w:shd w:val="clear" w:color="auto" w:fill="FFFFFF" w:themeFill="background1"/>
          </w:tcPr>
          <w:p w14:paraId="5D39E068"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analýza problémů a potřeb</w:t>
            </w:r>
          </w:p>
          <w:p w14:paraId="1062EDB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E45C68B"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Součástí zadání přípravy Strategie 2030+ a klíčového dokumentu Hlavní směry vzdělávací politiky ČR 2030+, jehož cílem je stanovení hlavních priorit, směřování a cílů vzdělávací politiky do roku 2030 a následujících, včetně jejich rámcového odůvodnění, popř. nastínění kontextu jejich selekce, je definovaná vstupní vize a vymezení obecného rámce přípravy Strategie 2030+ ze strany interní pracovní skupiny MŠMT podílející se přípravě Strategie 2030+. </w:t>
            </w:r>
          </w:p>
          <w:p w14:paraId="15DE862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Právě ta již obsahuje úvodní reflexi problémů a potřeb českého vzdělávacího systému založenou na relevantních analytických vstupech. Ve vztahu ke specifickému cíli NKR „Zajištění rovného přístupu ke vzdělání.“ se pak jedná především o následující část doprovodného textu k vizi Strategie 2030+: „Relevantní vědecká zjištění poukazují na klíčovou roli dostupnosti příležitostí pro vzdělávání dětí od raného věku. Argumenty pro význam kvalitního předškolního vzdělávání lze najít jak z pohledu ekonomických a sociologických studií (skloubení rodinného a pracovního života), tak z pohledu vývojové psychologie. Zvýšení účasti v předškolním vzdělávání je klíčové zejména pro děti pocházející ze znevýhodněného prostředí a dětí z prostředí etnických menšin, u kterých je vnímáno jako nástroj pro vyrovnání vzdělávacích příležitostí. </w:t>
            </w:r>
          </w:p>
          <w:p w14:paraId="14CD8733"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Český vzdělávací systém - především na úrovni základního stupně vzdělání - čelí v posledních letech nárůstu nedůvěry, která je spojena s fenoménem vnější diferenciace vzdělávacích cest žáků (problematika spádové turistiky, výběrových škol, či naopak škol s nepřirozeně vysokým zastoupením žáků s nižším socioekonomickým statusem). Zásadní je tedy nárůst disparit v podmínkách a průběhu vzdělávání mezi jednotlivými školami v území, a především pak v oblastech s vyšším podílem území se sociálně vyloučenými lokalitami. Tento fakt lze ilustrovat celou řadou indikátorů zahrnujících např. výsledky ve vzdělávání, úroveň předčasných odchodů ze vzdělávání, srovnání materiální vybavenosti škol apod. Dlouhodobě významný a oprávněně kritizovaný zůstává silný vztah socioekonomického statusu rodiny a právě výsledků ve vzdělávání, zamezující prospěšné sociální a vzdělávací mobilitě. Klíčovou odpovědí na výše popsané problémy je především zvýšení kvality celého vzdělávacího systému - tedy průběhu a podmínek vzdělávání všech žáků. Strategie 2030 představuje soubor priorit, cílů a opatření směřujících k navrácení důvěry ve vzdělávací systém ČR. Základní východiska pro zvýšení kvality představují především změnu v řízení třídy se zohledněním individuálních potřeb a schopností každého jednotlivce, vytváření bezpečného a stimulujícího prostředí motivujícího všechny děti, žáky, studenty a další účastníky vzdělávání k učení v průběhu celého života. Zásadní význam mají formativní metody hodnocení, které jsou zaměřeny na sledování individuálního pokroku každého dítěte, žáka i studenta a přinášejí mu relevantní zpětnou vazbu. Klíčovým nástrojem je rovněž fungující systém pedagogického poradenství, jehož cílem je především preventivně zjišťovat individuální vzdělávací potřeby žáků a napomáhat školám ve vyrovnávání vzdělávacích šancí každého jednotlivce. Vzdělávací systém musí zajišťovat dobrou dostupnost a prostupnost všech stupňů škol pro všechny společenské skupiny. Za další významný prvek vzdělávacího systému v ČR je nutné považovat existenci pestré a dostupné nabídky vzdělávacích mimoškolních aktivit. Volný čas je významnou sociologickou, ekonomickou a pedagogickou kategorií a jeho smysluplné využívání přispívá k rozvoji osobnosti jedince, jeho kompetencí, zájmů a nadání. Cílem všeho by mělo být vytvoření takového prostředí, kde se každé dítě naplno rozvíjí a zažívá při tom úspěch a radost.“ </w:t>
            </w:r>
          </w:p>
          <w:p w14:paraId="2BC85AC3"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Výše nastíněná vize, její doprovodný text a definice problémů pak vychází především z externí nezávislé evaluace účinné Strategie vzdělávací politiky ČR do roku 2020, jejíž závazné zohlednění je součástí zadání přípravy Strategie 2030+ s jasným závazkem návaznosti obou dokumentů.  </w:t>
            </w:r>
          </w:p>
          <w:p w14:paraId="404EBD4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tomto ohledu externí skupina seznala strategické priority vymezené ve Strategii 2020 nadále za vysoce relevantní a stále aktuální. V tomto ohledu jde především o definici problémů a potřeb spjatých s prioritou č. 1 Snižovat nerovnosti ve vzdělávání.</w:t>
            </w:r>
          </w:p>
          <w:p w14:paraId="27BF85B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Příprava Strategie 2030 staví na přímé kontinuitě s účinnou Strategií vzdělávací politiky do roku 2020, přičemž ta mimo jiné zajištěna i přípravou Dlouhodobého záměru vzdělávání a rozvoje vzdělávací soustavy České republiky na léta 2019-2023. Ta v kontextu problémových oblastí relevantních k předmětnému specifickému cíli NKR, který reflektuje oblast v rovných příležitostí ve vzdělávání, poradenství, vzdělávání dětí, žáků a studentů se speciálními vzdělávacími potřebami v nízké efektivitě systému poskytování školských poradenských služeb a překážkách implementace společného vzdělávání. Dlouhodobý záměr pro oblast vysokých škol oproti tomu vytyčuje 7 prioritních cílů napříč vzdělávací, vědeckou činností vysokých škol. Na přípravách dokumentu se prostřednictvím dílčích projednávání podílí reprezentace vysokých škol a další experti.</w:t>
            </w:r>
          </w:p>
        </w:tc>
        <w:tc>
          <w:tcPr>
            <w:tcW w:w="249" w:type="dxa"/>
            <w:tcBorders>
              <w:top w:val="nil"/>
              <w:bottom w:val="nil"/>
            </w:tcBorders>
            <w:shd w:val="clear" w:color="auto" w:fill="66CCFF"/>
          </w:tcPr>
          <w:p w14:paraId="79787C50" w14:textId="77777777" w:rsidR="00DD3EFA" w:rsidRPr="005A0E7C" w:rsidRDefault="00DD3EFA">
            <w:pPr>
              <w:rPr>
                <w:b/>
              </w:rPr>
            </w:pPr>
          </w:p>
        </w:tc>
      </w:tr>
      <w:tr w:rsidR="00DD3EFA" w:rsidRPr="005A0E7C" w14:paraId="4EFFBF1E" w14:textId="77777777" w:rsidTr="00B15ECB">
        <w:trPr>
          <w:trHeight w:val="938"/>
        </w:trPr>
        <w:tc>
          <w:tcPr>
            <w:tcW w:w="675" w:type="dxa"/>
            <w:tcBorders>
              <w:top w:val="nil"/>
              <w:bottom w:val="nil"/>
            </w:tcBorders>
            <w:shd w:val="clear" w:color="auto" w:fill="66CCFF"/>
          </w:tcPr>
          <w:p w14:paraId="7E51994B" w14:textId="77777777" w:rsidR="00DD3EFA" w:rsidRPr="005A0E7C" w:rsidRDefault="00DD3EFA">
            <w:pPr>
              <w:rPr>
                <w:b/>
              </w:rPr>
            </w:pPr>
          </w:p>
        </w:tc>
        <w:tc>
          <w:tcPr>
            <w:tcW w:w="2548" w:type="dxa"/>
            <w:tcBorders>
              <w:bottom w:val="single" w:sz="4" w:space="0" w:color="auto"/>
            </w:tcBorders>
            <w:shd w:val="clear" w:color="auto" w:fill="FFFFFF" w:themeFill="background1"/>
          </w:tcPr>
          <w:p w14:paraId="1B72D23A"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jasně definované cíle a opatření</w:t>
            </w:r>
          </w:p>
          <w:p w14:paraId="1EF7B7D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054727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Jak vyplývá z popisu věnovanému analýze problémů a potřeb vychází definice cílů a dílčích opatření Strategie 2030+ ve vztahu ke specifickému cíli NKR v současné chvíli především z externí evaluace a doporučení externí expertní skupiny pokračovat v prioritách, cílech i dílčích opatřeních Strategie 2020. </w:t>
            </w:r>
          </w:p>
          <w:p w14:paraId="62B93F3C"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 kontextu předmětného cíle NKR se jedná o prioritu č. 1 Snižovat nerovnosti ve vzdělávání a návazné cíle: Zvýšit dostupnost a kvalitu předškolního vzdělávání a rané péče, Omezovat vnější diferenciaci v základním vzdělávání a efektivně, Posilovat společné prvky v oborech středního vzdělání, Udržet otevřený přístup k rozmanité nabídce terciárního vzdělání a Individualizovat nabídku poradenských služeb a navazující opatření. </w:t>
            </w:r>
          </w:p>
          <w:p w14:paraId="77BBDD7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Závazné doporučení ke kontinuitě v předmětných cílech Strategie 2020 je součástí zadání přípravy Strategie 2030+. Zároveň cíle definuje i samotná vize, obecný rámec přípravy a doprovodný text k vizi Strategie 2030+, který byl rovněž popsán výše.</w:t>
            </w:r>
          </w:p>
          <w:p w14:paraId="7D2C74B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Příprava Strategie 2030 staví na přímé kontinuitě s účinnou Strategií vzdělávací politiky do roku 2020, přičemž ta je mimo jiné zajištěna i přípravou Dlouhodobého záměru vzdělávání a rozvoje vzdělávací soustavy České republiky na léta 2019-2023. Ta v kontextu oblastí relevantních k předmětnému specifickému cíli NKR staví v kontextu zajištění rovných příležitostí ve vzdělávání na cílech: Zefektivnit systém pedagogicko-psychologického poradenství, Zefektivnit implementaci inkluzívního vzdělávání a Zasazovat se o maximální rozvoj potenciálu všech žáků včetně rozvoje jejich tvořivosti.</w:t>
            </w:r>
          </w:p>
          <w:p w14:paraId="2D87C51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Dlouhodobý záměr pro oblast vysokých škol je zaměřen na omezený počet průřezových prioritních cílů, jejichž naplňování vyžaduje koordinaci několika různých opatření ve středně až dlouhodobé perspektivě. Na samotný záměr navazují jeho každoročně vydávané Aktualizace/Plány realizace, které jednak rozpracovávají plán provádění klíčových opatření pro daný rok, jednak rozšiřují seznam priorit o méně komplexní úkoly s jednoletou realizací.</w:t>
            </w:r>
          </w:p>
        </w:tc>
        <w:tc>
          <w:tcPr>
            <w:tcW w:w="249" w:type="dxa"/>
            <w:tcBorders>
              <w:top w:val="nil"/>
              <w:bottom w:val="nil"/>
            </w:tcBorders>
            <w:shd w:val="clear" w:color="auto" w:fill="66CCFF"/>
          </w:tcPr>
          <w:p w14:paraId="4CA0C704" w14:textId="77777777" w:rsidR="00DD3EFA" w:rsidRPr="005A0E7C" w:rsidRDefault="00DD3EFA">
            <w:pPr>
              <w:rPr>
                <w:b/>
              </w:rPr>
            </w:pPr>
          </w:p>
        </w:tc>
      </w:tr>
      <w:tr w:rsidR="00DD3EFA" w:rsidRPr="005A0E7C" w14:paraId="22D05CB7" w14:textId="77777777" w:rsidTr="00B15ECB">
        <w:trPr>
          <w:trHeight w:val="938"/>
        </w:trPr>
        <w:tc>
          <w:tcPr>
            <w:tcW w:w="675" w:type="dxa"/>
            <w:tcBorders>
              <w:top w:val="nil"/>
              <w:bottom w:val="nil"/>
            </w:tcBorders>
            <w:shd w:val="clear" w:color="auto" w:fill="66CCFF"/>
          </w:tcPr>
          <w:p w14:paraId="4453B37F" w14:textId="77777777" w:rsidR="00DD3EFA" w:rsidRPr="005A0E7C" w:rsidRDefault="00DD3EFA">
            <w:pPr>
              <w:rPr>
                <w:b/>
              </w:rPr>
            </w:pPr>
          </w:p>
        </w:tc>
        <w:tc>
          <w:tcPr>
            <w:tcW w:w="2548" w:type="dxa"/>
            <w:tcBorders>
              <w:bottom w:val="single" w:sz="4" w:space="0" w:color="auto"/>
            </w:tcBorders>
            <w:shd w:val="clear" w:color="auto" w:fill="FFFFFF" w:themeFill="background1"/>
          </w:tcPr>
          <w:p w14:paraId="5A19E18E"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implementační mechanismus</w:t>
            </w:r>
          </w:p>
          <w:p w14:paraId="2DEEFD4C"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47817F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Samotný implementační mechanismus Strategie 2030+ bude podrobně popsán v třetí části předmětného dokumentu. Implementační plán Strategie 2030+ bude zaměřen primárně na detailnější popis dílčích opatření a úkolů vyplývajících z jádrové části dokumentu a definici jejich gesčního, časového a finančního zajištění. Specifikována bude rovněž rámcová indikátorová soustava. Dále bude popsán způsob řízení a kontroly implementace Strategie 2030+ s cílem jasně definovaného procesního vymezení rolí a zodpovědností vedoucí k efektivnímu naplňování priorit, cílů a opatření. S ohledem na moderní způsoby strategického řízení bude předmětná oblast reflektovat teoretické vymezení řízení změn. Dokument rovněž nastaví možnost efektivní reflexe změn dílčích opatření a úkolů s ohledem na proměny vnitřního i vnějšího prostředí, ve kterém Strategie 2030 působí. Dále bude rovněž vypracován plán řízení rizik a komunikační plán, jakožto podpůrný nástroj implementace Strategie 2030.</w:t>
            </w:r>
          </w:p>
          <w:p w14:paraId="4E3D146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Jako implementační dokumenty Strategie 2030+ budou obdobně jako v případě Strategie 2020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popř. dílčí akční plány, jejichž podobu bude specifikovat implementační část samotné Strategie 2030+.</w:t>
            </w:r>
          </w:p>
        </w:tc>
        <w:tc>
          <w:tcPr>
            <w:tcW w:w="249" w:type="dxa"/>
            <w:tcBorders>
              <w:top w:val="nil"/>
              <w:bottom w:val="nil"/>
            </w:tcBorders>
            <w:shd w:val="clear" w:color="auto" w:fill="66CCFF"/>
          </w:tcPr>
          <w:p w14:paraId="1844CF46" w14:textId="77777777" w:rsidR="00DD3EFA" w:rsidRPr="005A0E7C" w:rsidRDefault="00DD3EFA">
            <w:pPr>
              <w:rPr>
                <w:b/>
              </w:rPr>
            </w:pPr>
          </w:p>
        </w:tc>
      </w:tr>
      <w:tr w:rsidR="00DD3EFA" w:rsidRPr="005A0E7C" w14:paraId="03193B14" w14:textId="77777777" w:rsidTr="00B15ECB">
        <w:trPr>
          <w:trHeight w:val="938"/>
        </w:trPr>
        <w:tc>
          <w:tcPr>
            <w:tcW w:w="675" w:type="dxa"/>
            <w:tcBorders>
              <w:top w:val="nil"/>
              <w:bottom w:val="nil"/>
            </w:tcBorders>
            <w:shd w:val="clear" w:color="auto" w:fill="66CCFF"/>
          </w:tcPr>
          <w:p w14:paraId="2E81995F" w14:textId="77777777" w:rsidR="00DD3EFA" w:rsidRPr="005A0E7C" w:rsidRDefault="00DD3EFA">
            <w:pPr>
              <w:rPr>
                <w:b/>
              </w:rPr>
            </w:pPr>
          </w:p>
        </w:tc>
        <w:tc>
          <w:tcPr>
            <w:tcW w:w="2548" w:type="dxa"/>
            <w:tcBorders>
              <w:bottom w:val="single" w:sz="4" w:space="0" w:color="auto"/>
            </w:tcBorders>
            <w:shd w:val="clear" w:color="auto" w:fill="FFFFFF" w:themeFill="background1"/>
          </w:tcPr>
          <w:p w14:paraId="3CE59087"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4DE65BA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Jak již bylo popsáno výše, předmětná část bude rozpracována v implementačním plánu. Implementační plán Strategie 2030+ bude zaměřen primárně na detailnější popis dílčích opatření a úkolů vyplývajících z jádrové části dokumentu a definici jejich gesčního, časového a finančního zajištění. Specifikována bude rovněž rámcová indikátorová soustava. Dále bude popsán způsob řízení a kontroly implementace Strategie 2030+ s cílem jasně definovaného procesního vymezení rolí a zodpovědností vedoucí k efektivnímu naplňování priorit, cílů a opatření. S ohledem na moderní způsoby strategického řízení bude předmětná oblast reflektovat teoretické vymezení řízení změn. Dokument rovněž nastaví možnost efektivní reflexe změn dílčích opatření a úkolů s ohledem na proměny vnitřního i vnějšího prostředí, ve kterém Strategie 2030+ působí.</w:t>
            </w:r>
          </w:p>
          <w:p w14:paraId="195773A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Součástí dlouhodobého záměru pro oblast vysokých škol seznam indikátorů vytyčených pro jednotlivé prioritní cíle. Prostřednictvím nich došlo na přelomu 2018/2019 k průběžnému vyhodnocení naplňování prioritních cílů. Po skončení programového období bude provedeno závěrečná evaluace stanovených indikátorů a tím celého záměru. Obdobně byla stanovena série kritérií k dílčímu opatření dlouhodobého záměru pro oblast regionálního školství.</w:t>
            </w:r>
          </w:p>
        </w:tc>
        <w:tc>
          <w:tcPr>
            <w:tcW w:w="249" w:type="dxa"/>
            <w:tcBorders>
              <w:top w:val="nil"/>
              <w:bottom w:val="nil"/>
            </w:tcBorders>
            <w:shd w:val="clear" w:color="auto" w:fill="66CCFF"/>
          </w:tcPr>
          <w:p w14:paraId="4AFDBBC4" w14:textId="77777777" w:rsidR="00DD3EFA" w:rsidRPr="005A0E7C" w:rsidRDefault="00DD3EFA">
            <w:pPr>
              <w:rPr>
                <w:b/>
              </w:rPr>
            </w:pPr>
          </w:p>
        </w:tc>
      </w:tr>
      <w:tr w:rsidR="00DD3EFA" w:rsidRPr="005A0E7C" w14:paraId="4B6F79DB" w14:textId="77777777" w:rsidTr="00B15ECB">
        <w:trPr>
          <w:trHeight w:val="130"/>
        </w:trPr>
        <w:tc>
          <w:tcPr>
            <w:tcW w:w="675" w:type="dxa"/>
            <w:tcBorders>
              <w:top w:val="nil"/>
              <w:bottom w:val="nil"/>
              <w:right w:val="nil"/>
            </w:tcBorders>
            <w:shd w:val="clear" w:color="auto" w:fill="66CCFF"/>
          </w:tcPr>
          <w:p w14:paraId="79FC1ED1" w14:textId="77777777" w:rsidR="00DD3EFA" w:rsidRPr="005A0E7C" w:rsidRDefault="00DD3EFA">
            <w:pPr>
              <w:rPr>
                <w:b/>
              </w:rPr>
            </w:pPr>
          </w:p>
        </w:tc>
        <w:tc>
          <w:tcPr>
            <w:tcW w:w="2548" w:type="dxa"/>
            <w:tcBorders>
              <w:left w:val="nil"/>
              <w:right w:val="nil"/>
            </w:tcBorders>
            <w:shd w:val="clear" w:color="auto" w:fill="66CCFF"/>
          </w:tcPr>
          <w:p w14:paraId="58372CBD" w14:textId="77777777" w:rsidR="00DD3EFA" w:rsidRPr="005A0E7C" w:rsidRDefault="00DD3EFA" w:rsidP="00B15ECB">
            <w:pPr>
              <w:rPr>
                <w:b/>
              </w:rPr>
            </w:pPr>
          </w:p>
        </w:tc>
        <w:tc>
          <w:tcPr>
            <w:tcW w:w="5978" w:type="dxa"/>
            <w:tcBorders>
              <w:left w:val="nil"/>
              <w:right w:val="nil"/>
            </w:tcBorders>
            <w:shd w:val="clear" w:color="auto" w:fill="66CCFF"/>
          </w:tcPr>
          <w:p w14:paraId="57BC4652"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b/>
                <w:noProof/>
              </w:rPr>
            </w:pPr>
          </w:p>
        </w:tc>
        <w:tc>
          <w:tcPr>
            <w:tcW w:w="249" w:type="dxa"/>
            <w:tcBorders>
              <w:top w:val="nil"/>
              <w:left w:val="nil"/>
              <w:bottom w:val="nil"/>
            </w:tcBorders>
            <w:shd w:val="clear" w:color="auto" w:fill="66CCFF"/>
          </w:tcPr>
          <w:p w14:paraId="6CE294B3" w14:textId="77777777" w:rsidR="00DD3EFA" w:rsidRPr="005A0E7C" w:rsidRDefault="00DD3EFA">
            <w:pPr>
              <w:rPr>
                <w:b/>
              </w:rPr>
            </w:pPr>
          </w:p>
        </w:tc>
      </w:tr>
      <w:tr w:rsidR="00DD3EFA" w:rsidRPr="005A0E7C" w14:paraId="062A0A6D" w14:textId="77777777" w:rsidTr="00B15ECB">
        <w:trPr>
          <w:trHeight w:val="1258"/>
        </w:trPr>
        <w:tc>
          <w:tcPr>
            <w:tcW w:w="675" w:type="dxa"/>
            <w:tcBorders>
              <w:top w:val="nil"/>
              <w:bottom w:val="nil"/>
              <w:right w:val="nil"/>
            </w:tcBorders>
            <w:shd w:val="clear" w:color="auto" w:fill="66CCFF"/>
          </w:tcPr>
          <w:p w14:paraId="0EA2B6E1" w14:textId="77777777" w:rsidR="00DD3EFA" w:rsidRPr="005A0E7C" w:rsidRDefault="00DD3EFA">
            <w:pPr>
              <w:rPr>
                <w:b/>
              </w:rPr>
            </w:pPr>
          </w:p>
        </w:tc>
        <w:tc>
          <w:tcPr>
            <w:tcW w:w="8526" w:type="dxa"/>
            <w:gridSpan w:val="2"/>
            <w:shd w:val="clear" w:color="auto" w:fill="FFFFFF" w:themeFill="background1"/>
          </w:tcPr>
          <w:p w14:paraId="134E93EF"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488DE229" w14:textId="77777777" w:rsidR="00DD3EFA" w:rsidRPr="005A0E7C" w:rsidRDefault="00DD3EFA">
            <w:pPr>
              <w:rPr>
                <w:b/>
              </w:rPr>
            </w:pPr>
          </w:p>
        </w:tc>
      </w:tr>
      <w:tr w:rsidR="00DD3EFA" w:rsidRPr="005A0E7C" w14:paraId="036F7F47" w14:textId="77777777" w:rsidTr="00B15ECB">
        <w:trPr>
          <w:trHeight w:val="1258"/>
        </w:trPr>
        <w:tc>
          <w:tcPr>
            <w:tcW w:w="675" w:type="dxa"/>
            <w:tcBorders>
              <w:top w:val="nil"/>
              <w:bottom w:val="nil"/>
              <w:right w:val="nil"/>
            </w:tcBorders>
            <w:shd w:val="clear" w:color="auto" w:fill="66CCFF"/>
          </w:tcPr>
          <w:p w14:paraId="15DEAEAC" w14:textId="77777777" w:rsidR="00DD3EFA" w:rsidRPr="005A0E7C" w:rsidRDefault="00DD3EFA">
            <w:pPr>
              <w:rPr>
                <w:b/>
              </w:rPr>
            </w:pPr>
          </w:p>
        </w:tc>
        <w:tc>
          <w:tcPr>
            <w:tcW w:w="2548" w:type="dxa"/>
            <w:shd w:val="clear" w:color="auto" w:fill="FFFFFF" w:themeFill="background1"/>
          </w:tcPr>
          <w:p w14:paraId="1ADFC35E" w14:textId="77777777" w:rsidR="00DD3EFA" w:rsidRPr="005A0E7C" w:rsidRDefault="00DD3EFA" w:rsidP="00B15ECB">
            <w:pPr>
              <w:rPr>
                <w:rFonts w:eastAsiaTheme="majorEastAsia"/>
                <w:b/>
              </w:rPr>
            </w:pPr>
            <w:r w:rsidRPr="005A0E7C">
              <w:rPr>
                <w:rFonts w:eastAsiaTheme="majorEastAsia"/>
                <w:b/>
              </w:rPr>
              <w:t>Věcný posun oblasti</w:t>
            </w:r>
          </w:p>
          <w:p w14:paraId="1556C08C"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3C2574B4"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regionálním školství je podpora společného vzdělávání a rovných příležitostí jedním z prioritních témat. Prostředky ESIF toto téma podporují na všech úrovních od systémové, přes podporu zřizovatelů škol, jakožto středního článku řízení vzdělávací soustavy, až po samotné školy. Na systémové úrovni zahrnující mapování a kvalitativní studie proměny prostředí škol po zavedení novely školského zákona se podařilo vytvořit komplexní systém dalšího vzdělávání pro pedagogické pracovníky škol a školských zařízení. Školy a zejména pedagogičtí pracovníci byli podpořeni prostřednictvím krajských Center podpory školám v oblasti společného vzdělávání, která poskytují školám kontinuální podporu nabídkou dalšího vzdělávání, mentorského vedení pro učitele, koučinku pro ředitele škol, poradenských a konzultačních služeb. Podporován byl i poradenský systém a to v nastavení jednotných pravidel pro poskytování poradenských služeb, vytvořením a zavedením jednotných postupů v identifikaci míry podpory žáků, a to skrze intervenční, diagnostický a personální standard školských poradenských zařízení. Současně je pracovníkům ŠPZ poskytována kontinuální metodická podpora formou vzdělávání (celkem 9 vzdělávacích modulů) a průběžných konzultací a supervizí. Úroveň podpory zřizovatelů v inkluzivním vzdělávání byla podpořena prostřednictvím metodického vedení a poradenství při plánování jednotlivých aktivit zvyšujících inkluzivitu a kvalitu škol. Na regionální úrovni na výše uvedené aktivity navazují aktivity, které podporují zřizovatele, ředitele a učitele mateřských a základních škol a jejichž cílem je zvýšení kvality vzdělávání v území všech dětí a žáků, včetně dětí a žáků se znevýhodněním. Celý tento systém byl doplněn o aktivity škol realizované v tzv. šablonovitých výzvách, kde mají možnost školy a školská zařízení na své aktivity čerpat předem definované jednotkové náklady.  </w:t>
            </w:r>
          </w:p>
          <w:p w14:paraId="03FAFFED"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oblasti vysokých škol byla podpora pro studenty se SVP směřována zejména těmito hlavními směry: vznik a podpora poradenských center, které svým personálním zabezpečením napomáhají nejen studentům se SVP při úspěšném zvládání studia, dále pracovníci těchto center pracují i s akademickými a neakademickými pracovníky vysokých škol, aby byli lépe připraveni na práci se zmíněnými studenty. Druhý směr spočíval v investiční podpoře studentů se SVP, která je naplňována pořízením speciálních přístrojů, pomůcek, ale i stavebními úpravami (výtahy, rampy, schodiště) či přímo komplexními navigačními systémy.</w:t>
            </w:r>
          </w:p>
          <w:p w14:paraId="4F38D51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Vyhodnocení intervencí OP VVV pro zajištění rovného přístupu ke vzdělání je s ohledem na dostupnost výsledků z relevantních projektů naplánováno na další rok(y). V současnosti jsou dostupné výsledky hodnocení OP VK, tzn. předchozího programového období 2007–2013, ze kterých vyplývá, že při výuce žáka se SVP se osvědčila a byla velmi pozitivně hodnocena aktivní spolupráce školy a rodičů. Při dané formě výuky škola koordinuje činnost rodičů při domácí přípravě žáků se SVP. Rodiče jsou tak instruováni, jakým způsobem mají při domácí přípravě svého dítěte přistupovat k jeho SVP. Tato forma výuky se pozitivně promítá do studijních výsledků žáků se SVP, ale i do celkového přístupu rodičů ke znevýhodnění jejich dítěte. Dalším pozitivně hodnoceným přínosem v této oblasti bylo zapojení ICT do výuky, což zvýšilo možnosti užití vícerychlostní výuky a její individualizace (zejména pro žáky se SVP).</w:t>
            </w:r>
          </w:p>
        </w:tc>
        <w:tc>
          <w:tcPr>
            <w:tcW w:w="249" w:type="dxa"/>
            <w:tcBorders>
              <w:top w:val="nil"/>
              <w:left w:val="nil"/>
              <w:bottom w:val="nil"/>
            </w:tcBorders>
            <w:shd w:val="clear" w:color="auto" w:fill="66CCFF"/>
          </w:tcPr>
          <w:p w14:paraId="52543484" w14:textId="77777777" w:rsidR="00DD3EFA" w:rsidRPr="005A0E7C" w:rsidRDefault="00DD3EFA">
            <w:pPr>
              <w:rPr>
                <w:b/>
              </w:rPr>
            </w:pPr>
          </w:p>
        </w:tc>
      </w:tr>
      <w:tr w:rsidR="00DD3EFA" w:rsidRPr="005A0E7C" w14:paraId="728C07BF" w14:textId="77777777" w:rsidTr="00B15ECB">
        <w:trPr>
          <w:trHeight w:val="1258"/>
        </w:trPr>
        <w:tc>
          <w:tcPr>
            <w:tcW w:w="675" w:type="dxa"/>
            <w:tcBorders>
              <w:top w:val="nil"/>
              <w:bottom w:val="nil"/>
              <w:right w:val="nil"/>
            </w:tcBorders>
            <w:shd w:val="clear" w:color="auto" w:fill="66CCFF"/>
          </w:tcPr>
          <w:p w14:paraId="677279AB" w14:textId="77777777" w:rsidR="00DD3EFA" w:rsidRPr="005A0E7C" w:rsidRDefault="00DD3EFA">
            <w:pPr>
              <w:rPr>
                <w:b/>
              </w:rPr>
            </w:pPr>
          </w:p>
        </w:tc>
        <w:tc>
          <w:tcPr>
            <w:tcW w:w="2548" w:type="dxa"/>
            <w:shd w:val="clear" w:color="auto" w:fill="FFFFFF" w:themeFill="background1"/>
          </w:tcPr>
          <w:p w14:paraId="2DB27BC6" w14:textId="77777777" w:rsidR="00DD3EFA" w:rsidRPr="005A0E7C" w:rsidRDefault="00DD3EFA" w:rsidP="00B15ECB">
            <w:pPr>
              <w:rPr>
                <w:rFonts w:eastAsiaTheme="majorEastAsia"/>
                <w:b/>
              </w:rPr>
            </w:pPr>
            <w:r w:rsidRPr="005A0E7C">
              <w:rPr>
                <w:rFonts w:eastAsiaTheme="majorEastAsia"/>
                <w:b/>
              </w:rPr>
              <w:t>Synergické a multiplikační efekty</w:t>
            </w:r>
          </w:p>
          <w:p w14:paraId="33432EED"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336C0554" w14:textId="77777777" w:rsidR="00DD3EFA" w:rsidRPr="005A0E7C" w:rsidRDefault="00DD3EFA" w:rsidP="00B15ECB">
            <w:pPr>
              <w:tabs>
                <w:tab w:val="left" w:pos="284"/>
                <w:tab w:val="left" w:pos="567"/>
              </w:tabs>
              <w:suppressAutoHyphens/>
              <w:rPr>
                <w:rFonts w:eastAsia="Calibri"/>
              </w:rPr>
            </w:pPr>
            <w:r w:rsidRPr="005A0E7C">
              <w:rPr>
                <w:rFonts w:eastAsia="Calibri"/>
              </w:rPr>
              <w:t xml:space="preserve">Multiplikační efekty lze spatřovat v důsledku řádné koordinace komplementarit, jak uvnitř OP VVV, tak i mezi jinými operačními programy a dalšími veřejnými zdroji. Z dosavadního hodnocení procesů vyplynulo, že nastavení implementační struktury OP VVV je z hlediska řízení komplementarit funkční. Koordinace OP VVV vůči komunitárním a národním programům probíhá v souladu s nastavenými mechanismy koordinace. Nejintenzivnější koordinace probíhá s relevantními operačními programy a jednotlivými sekcemi MŠMT zejm. prostřednictvím zastoupení příslušných aktérů na platformách pro přípravu výzev a účastí v pracovních týmech pro přípravu relevantních komplementárních výzev. V oblasti regionálního školství probíhá velmi intenzivní koordinační mechanismus mezi Integrovaným regionálním operačním programem, ze kterého jsou hrazeny infrastrukturní investice do škol a komplementárně k těmto investicím jsou vyhlašovány výzvy v OP VVV zejména na podporu pedagogických pracovníků. V případě Erasmus+ koordinace probíhá s Domem zahraniční spolupráce, s Ministerstvem životního prostředí probíhá paralelní koordinace v oblasti environmentálního vzdělávání. </w:t>
            </w:r>
          </w:p>
          <w:p w14:paraId="5215291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Ze závěrů realizovaného šetření na téma doplňkovosti jednotlivých intervencí vyplývá, že příjemci komplementárních výzev měli obecně dostatek informací o komplementárních vazbách, resp. si informace aktivně zjišťovali a byli si vědomi doplňkovosti jednotlivých projektů. Věcná doplňkovost komplementárních projektů se projevila jak na úrovni vnitřních komplementarit OP VVV, tak i napříč operačními programy. V oblasti vysokoškolského vzdělávání bylo možné prostřednictvím doplňkových ESF a ERDF intervencí komplexním způsobem podpořit kvalitu vzdělávání na VŠ, konkrétně např. souběžnou modernizací studijních programů a vzdělávací infrastruktury. Z hodnocení komplementarit projektů OP VVV a IROP vyplynulo, že i v těchto případech byla komplementarita využita v dostatečné míře, a to jak na úrovni projektových aktivit, tak i na úrovni cílových skupin projektů.  Komplementaritu na úrovni provázanosti cílových skupin projektů IROP a OP VVVV je možné deklarovat např. efektivním sdílením zkušeností pedagogických pracovníků škol v daném území (intervence OP VVV) v modernizovaných učebnách s modernizovaným vybavení (intervence IROP), anebo navýšením kapacit zařízení pro předškolní vzdělávání (intervence IROP) s využitím podporovaných aktivit OP VVV pro zvýšení kvality a inkluzivity předškolního vzdělávání. Uvedené výsledky nejsou nicméně zcela vypovídající, neboť část projektů se nachází v stadiu realizace a většina podpořených kapacit z IROP není ještě v provozu (tj. v nich např. neprobíhá výuka). Zkvalitnění vzdělávací činnosti, ať prostřednictvím investičních či neinvestičních aktivit, přispívá k rozvoji kompetencí pro trh práce a dlouhodobé potřeby společnosti, což jsou nesporné multiplikační efekty.</w:t>
            </w:r>
          </w:p>
        </w:tc>
        <w:tc>
          <w:tcPr>
            <w:tcW w:w="249" w:type="dxa"/>
            <w:tcBorders>
              <w:top w:val="nil"/>
              <w:left w:val="nil"/>
              <w:bottom w:val="nil"/>
            </w:tcBorders>
            <w:shd w:val="clear" w:color="auto" w:fill="66CCFF"/>
          </w:tcPr>
          <w:p w14:paraId="10D5BBA3" w14:textId="77777777" w:rsidR="00DD3EFA" w:rsidRPr="005A0E7C" w:rsidRDefault="00DD3EFA">
            <w:pPr>
              <w:rPr>
                <w:b/>
              </w:rPr>
            </w:pPr>
          </w:p>
        </w:tc>
      </w:tr>
      <w:tr w:rsidR="00DD3EFA" w:rsidRPr="005A0E7C" w14:paraId="673BFFF8" w14:textId="77777777" w:rsidTr="00B15ECB">
        <w:trPr>
          <w:trHeight w:val="180"/>
        </w:trPr>
        <w:tc>
          <w:tcPr>
            <w:tcW w:w="675" w:type="dxa"/>
            <w:tcBorders>
              <w:top w:val="nil"/>
              <w:bottom w:val="nil"/>
              <w:right w:val="nil"/>
            </w:tcBorders>
            <w:shd w:val="clear" w:color="auto" w:fill="66CCFF"/>
          </w:tcPr>
          <w:p w14:paraId="011218AF" w14:textId="77777777" w:rsidR="00DD3EFA" w:rsidRPr="005A0E7C" w:rsidRDefault="00DD3EFA">
            <w:pPr>
              <w:rPr>
                <w:b/>
              </w:rPr>
            </w:pPr>
          </w:p>
        </w:tc>
        <w:tc>
          <w:tcPr>
            <w:tcW w:w="2548" w:type="dxa"/>
            <w:tcBorders>
              <w:left w:val="nil"/>
              <w:bottom w:val="single" w:sz="4" w:space="0" w:color="auto"/>
              <w:right w:val="nil"/>
            </w:tcBorders>
            <w:shd w:val="clear" w:color="auto" w:fill="66CCFF"/>
          </w:tcPr>
          <w:p w14:paraId="2E49B370"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C759C90" w14:textId="77777777" w:rsidR="00DD3EFA" w:rsidRPr="005A0E7C" w:rsidRDefault="00DD3EFA" w:rsidP="00B15ECB">
            <w:pPr>
              <w:rPr>
                <w:b/>
              </w:rPr>
            </w:pPr>
          </w:p>
        </w:tc>
        <w:tc>
          <w:tcPr>
            <w:tcW w:w="249" w:type="dxa"/>
            <w:tcBorders>
              <w:top w:val="nil"/>
              <w:left w:val="nil"/>
              <w:bottom w:val="nil"/>
            </w:tcBorders>
            <w:shd w:val="clear" w:color="auto" w:fill="66CCFF"/>
          </w:tcPr>
          <w:p w14:paraId="27043397" w14:textId="77777777" w:rsidR="00DD3EFA" w:rsidRPr="005A0E7C" w:rsidRDefault="00DD3EFA">
            <w:pPr>
              <w:rPr>
                <w:b/>
              </w:rPr>
            </w:pPr>
          </w:p>
        </w:tc>
      </w:tr>
      <w:tr w:rsidR="00DD3EFA" w:rsidRPr="005A0E7C" w14:paraId="58F43BF2" w14:textId="77777777" w:rsidTr="00B15ECB">
        <w:trPr>
          <w:trHeight w:val="990"/>
        </w:trPr>
        <w:tc>
          <w:tcPr>
            <w:tcW w:w="675" w:type="dxa"/>
            <w:tcBorders>
              <w:top w:val="nil"/>
              <w:bottom w:val="nil"/>
            </w:tcBorders>
            <w:shd w:val="clear" w:color="auto" w:fill="66CCFF"/>
          </w:tcPr>
          <w:p w14:paraId="03D7BE50" w14:textId="77777777" w:rsidR="00DD3EFA" w:rsidRPr="005A0E7C" w:rsidRDefault="00DD3EFA">
            <w:pPr>
              <w:rPr>
                <w:b/>
              </w:rPr>
            </w:pPr>
          </w:p>
        </w:tc>
        <w:tc>
          <w:tcPr>
            <w:tcW w:w="8526" w:type="dxa"/>
            <w:gridSpan w:val="2"/>
            <w:tcBorders>
              <w:bottom w:val="single" w:sz="4" w:space="0" w:color="auto"/>
            </w:tcBorders>
            <w:shd w:val="clear" w:color="auto" w:fill="FFFFFF" w:themeFill="background1"/>
          </w:tcPr>
          <w:p w14:paraId="06ACC826"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2D871F6A"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33CCF588" w14:textId="77777777" w:rsidR="00DD3EFA" w:rsidRPr="005A0E7C" w:rsidRDefault="00DD3EFA">
            <w:pPr>
              <w:rPr>
                <w:b/>
              </w:rPr>
            </w:pPr>
          </w:p>
        </w:tc>
      </w:tr>
      <w:tr w:rsidR="00DD3EFA" w:rsidRPr="005A0E7C" w14:paraId="157FF2F3" w14:textId="77777777" w:rsidTr="00B15ECB">
        <w:trPr>
          <w:trHeight w:val="1260"/>
        </w:trPr>
        <w:tc>
          <w:tcPr>
            <w:tcW w:w="675" w:type="dxa"/>
            <w:tcBorders>
              <w:top w:val="nil"/>
              <w:bottom w:val="nil"/>
            </w:tcBorders>
            <w:shd w:val="clear" w:color="auto" w:fill="66CCFF"/>
          </w:tcPr>
          <w:p w14:paraId="2CAC8F14" w14:textId="77777777" w:rsidR="00DD3EFA" w:rsidRPr="005A0E7C" w:rsidRDefault="00DD3EFA">
            <w:pPr>
              <w:rPr>
                <w:b/>
              </w:rPr>
            </w:pPr>
          </w:p>
        </w:tc>
        <w:tc>
          <w:tcPr>
            <w:tcW w:w="2548" w:type="dxa"/>
            <w:tcBorders>
              <w:bottom w:val="single" w:sz="4" w:space="0" w:color="auto"/>
            </w:tcBorders>
            <w:shd w:val="clear" w:color="auto" w:fill="FFFFFF" w:themeFill="background1"/>
          </w:tcPr>
          <w:p w14:paraId="72F9B5C6"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70BF6004"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OP VVV mohly školy čerpat podporu na tyto oblasti mj. formou šablon, kde byly poskytovány intervence například na podporu kvalitnějšího vzdělávání žáků ohrožených školním neúspěchem, dále na podporu společného vzdělávání a spolupráci škol a zaměstnavatelů. Kromě podpoře určené primárně školám a pedagogům nabízí OP VVV také podporu formou systémových projektů, jejichž cílem je změna nastavení systému na národní úrovni. Systémové intervence jsou svou povahou složitější a zhodnocení jejich dopadu bude možné až po ukončení jednotlivých systémových projektů. Podpora odstraňování nerovností ve vzdělávání je obsažena ve výzvách vyhlašovaných v rámci prioritní osy 3 obecně, zaměřují se na ni zejména výzvy vyhlašované v investiční prioritě 3. </w:t>
            </w:r>
          </w:p>
          <w:p w14:paraId="78D379A7"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Oblast podpory účasti studentů se specifickými potřebami na vzdělávání na vysokých školách byla součástí podporovaných aktivit ve výzvách ESF výzva pro vysoké školy a ERDF výzva pro vysoké školy, které byly jako komplementární vyhlášeny v roce 2016. Stejně tak byla tato oblast podporována i v rámci dvojice komplementárních výzev zaměřených na strukturálně postižené regiony (ESF/ERDF výzva pro vysoké školy – Strukturálně postižené regiony). I další vlna výzev v roce 2019 tuto aktivitu podporuje – ESF výzva pro vysoké školy II a ERDF výzva pro vysoké školy II si kladou za cíl opětovně podporovat tuto problematiku. Vzhledem k zájmu vysokých škol i analýzám, které stále potvrzují potřebu posílení podpory v této oblasti, je podpora v této oblasti relevantní i pro budoucí programové období.</w:t>
            </w:r>
          </w:p>
          <w:p w14:paraId="63EEF3C7"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OP PPR jsou podporovány aktivity zaměřené na zvýšení kvality vzdělávání prostřednictvím posílení inkluze v multikulturní společnosti (ESF). V rámci projektů dochází k rozvoji a zkvalitnění podmínek pro vzdělávání s důrazem na zohledňování potřeb pro sociokulturně znevýhodněných žáků, zavádění moderních metod výuky a další. </w:t>
            </w:r>
          </w:p>
          <w:p w14:paraId="610AF9B9"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w:t>
            </w:r>
            <w:r w:rsidRPr="005A0E7C">
              <w:rPr>
                <w:rFonts w:ascii="Times New Roman" w:hAnsi="Times New Roman"/>
                <w:i/>
              </w:rPr>
              <w:t>SC 2.4 Zvýšení kvality a dostupnosti infrastruktury pro vzdělávání a celoživotní učení</w:t>
            </w:r>
            <w:r w:rsidRPr="005A0E7C">
              <w:rPr>
                <w:rFonts w:ascii="Times New Roman" w:hAnsi="Times New Roman"/>
              </w:rPr>
              <w:t xml:space="preserve"> v IROP je podporována infrastruktura předškolního vzdělávání (MŠ, dětské skupiny, zařízení péče o děti do 3 let), ZŠ, SŠ, vyšších odborných škol, celoživotního, zájmového a neformálního vzdělávání, tedy provádění stavebních úprav či pořízení vybavení učeben. Podpora infrastruktury škol z IROP byla zaměřena na klíčové kompetence – komunikace v cizích jazycích, v oblasti technických a řemeslných oborů a přírodních věd a ve schopnosti práce s digitálními technologiemi. O všechny uvedené výzvy byl enormní zájem, a proto ŘO IROP přistoupil k realokaci z jiných specifických cílů, aby navýšil alespoň částečně prostředky v této oblasti. Alokace SC 2.4 IROP dosáhla 15 mld. Kč (PD IROP, verze 1.1).   </w:t>
            </w:r>
          </w:p>
        </w:tc>
        <w:tc>
          <w:tcPr>
            <w:tcW w:w="249" w:type="dxa"/>
            <w:tcBorders>
              <w:top w:val="nil"/>
              <w:bottom w:val="nil"/>
            </w:tcBorders>
            <w:shd w:val="clear" w:color="auto" w:fill="66CCFF"/>
          </w:tcPr>
          <w:p w14:paraId="7D1B25A4" w14:textId="77777777" w:rsidR="00DD3EFA" w:rsidRPr="005A0E7C" w:rsidRDefault="00DD3EFA">
            <w:pPr>
              <w:rPr>
                <w:b/>
              </w:rPr>
            </w:pPr>
          </w:p>
        </w:tc>
      </w:tr>
      <w:tr w:rsidR="00DD3EFA" w:rsidRPr="005A0E7C" w14:paraId="19F91A0D" w14:textId="77777777" w:rsidTr="00B15ECB">
        <w:trPr>
          <w:trHeight w:val="850"/>
        </w:trPr>
        <w:tc>
          <w:tcPr>
            <w:tcW w:w="675" w:type="dxa"/>
            <w:tcBorders>
              <w:top w:val="nil"/>
              <w:bottom w:val="nil"/>
            </w:tcBorders>
            <w:shd w:val="clear" w:color="auto" w:fill="66CCFF"/>
          </w:tcPr>
          <w:p w14:paraId="68981D2E" w14:textId="77777777" w:rsidR="00DD3EFA" w:rsidRPr="005A0E7C" w:rsidRDefault="00DD3EFA">
            <w:pPr>
              <w:rPr>
                <w:b/>
              </w:rPr>
            </w:pPr>
          </w:p>
        </w:tc>
        <w:tc>
          <w:tcPr>
            <w:tcW w:w="2548" w:type="dxa"/>
            <w:tcBorders>
              <w:bottom w:val="single" w:sz="4" w:space="0" w:color="auto"/>
            </w:tcBorders>
            <w:shd w:val="clear" w:color="auto" w:fill="FFFFFF" w:themeFill="background1"/>
          </w:tcPr>
          <w:p w14:paraId="2EA463CD"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73956D23" w14:textId="77777777" w:rsidR="00DD3EFA" w:rsidRPr="005A0E7C" w:rsidRDefault="00DD3EFA">
            <w:pPr>
              <w:spacing w:before="60" w:after="60"/>
              <w:rPr>
                <w:rFonts w:eastAsiaTheme="majorEastAsia"/>
              </w:rPr>
            </w:pPr>
            <w:r w:rsidRPr="005A0E7C">
              <w:rPr>
                <w:rFonts w:eastAsiaTheme="majorEastAsia"/>
              </w:rPr>
              <w:t>Dosvadní zkušenosti potvrzují, že vysokoškolské prostředí si je vědomo celé řady omezení, která jsou spjata se zajištění rovného přístupu ke vzdělávání. Tato omezení je možné v zásadě rozdělit do dvou kategorií – první tvoří nedostatečná infrastruktura, a to nejen na poli přístrojového a materiálního vybavení, ale také na úrovni faktcké nedostupnosti řady prostor např. pro pohybově znevýhodněné studenty, druhou tvoří nedostatečná připravenost akademických i neakademických pracovníků pro práci se zde plunovanou cílovou skupinou.</w:t>
            </w:r>
          </w:p>
          <w:p w14:paraId="4688C45C" w14:textId="77777777" w:rsidR="00DD3EFA" w:rsidRPr="005A0E7C" w:rsidRDefault="00DD3EFA">
            <w:pPr>
              <w:spacing w:before="60" w:after="60"/>
              <w:rPr>
                <w:rFonts w:eastAsiaTheme="majorEastAsia"/>
              </w:rPr>
            </w:pPr>
            <w:r w:rsidRPr="005A0E7C">
              <w:rPr>
                <w:rFonts w:eastAsiaTheme="majorEastAsia"/>
              </w:rPr>
              <w:t>Celkem bylo pro oblast vysokých škol vyhlášeno a ukončeno 10 výzev, které byly hrazeny z ESF fondu, a 4 výzvy, které byly hrazeny z EFRR fondu. V ESF výzvách bylo podáno 341 žádostí o podporu s celkovým požadovaným objemem 10,4 mld. Kč, podpořeno bylo 179 projektů (tj. pouze 54,5 %) v celkovém objemu 6,9 mld. Kč (tj. 66,3 %). V EFRR výzvách bylo podáno celkem 247 žádostí o podporu s celkovým požadovaným objemem 25,9 mld. Kč, podpořeno bylo 178 projektů (tj. 72,1 %) v celkovém objemu 16,3 mld. Kč (tj. 62,9 %).</w:t>
            </w:r>
          </w:p>
          <w:p w14:paraId="07E1E5F3" w14:textId="77777777" w:rsidR="00DD3EFA" w:rsidRPr="005A0E7C" w:rsidRDefault="00DD3EFA">
            <w:pPr>
              <w:spacing w:before="60" w:after="60"/>
              <w:rPr>
                <w:rFonts w:eastAsiaTheme="majorEastAsia"/>
              </w:rPr>
            </w:pPr>
            <w:r w:rsidRPr="005A0E7C">
              <w:rPr>
                <w:rFonts w:eastAsiaTheme="majorEastAsia"/>
              </w:rPr>
              <w:t>V oblasti regionálního školství v PO 3 OP VVV bylo vyhlášeno 28 výzev, ve kterých bylo předloženo do konce roku 2018 celkem 10 210 žádostí o podporu s požadovaným objemem 25,6 mld. Kč, schváleno k realizaci bylo 9 047 žádostí o podporu v celkové výši 18,2 mld. Kč, tj. 71 %. Z velké části je prioritní osa 3 implementována jednotkovými náklady, tj. zjednodušenou formou financování. Celkem bylo těchto projektů do konce roku 2018 doporučeno k financování 8 389 v celkovém objemu 6,4 mld. Kč. Vzhledem k těmto datům je i pro budoucí programové období zajištěna dostatečná absorpční kapacita, což je deklarováno i v současné době od příjemců, kteří nadále chtějí pokračovat v realizaci aktivit hrazených z ESIF. Jedná se zejména o intervence v oblasti zvyšování kompetencí pedagogických pracovníků a rovném přístupu ke vzdělávání.</w:t>
            </w:r>
          </w:p>
        </w:tc>
        <w:tc>
          <w:tcPr>
            <w:tcW w:w="249" w:type="dxa"/>
            <w:tcBorders>
              <w:top w:val="nil"/>
              <w:bottom w:val="nil"/>
            </w:tcBorders>
            <w:shd w:val="clear" w:color="auto" w:fill="66CCFF"/>
          </w:tcPr>
          <w:p w14:paraId="003F5DAB" w14:textId="77777777" w:rsidR="00DD3EFA" w:rsidRPr="005A0E7C" w:rsidRDefault="00DD3EFA">
            <w:pPr>
              <w:rPr>
                <w:b/>
              </w:rPr>
            </w:pPr>
          </w:p>
        </w:tc>
      </w:tr>
      <w:tr w:rsidR="00DD3EFA" w:rsidRPr="005A0E7C" w14:paraId="5DA98990" w14:textId="77777777" w:rsidTr="00B15ECB">
        <w:trPr>
          <w:trHeight w:val="925"/>
        </w:trPr>
        <w:tc>
          <w:tcPr>
            <w:tcW w:w="675" w:type="dxa"/>
            <w:tcBorders>
              <w:top w:val="nil"/>
              <w:bottom w:val="nil"/>
            </w:tcBorders>
            <w:shd w:val="clear" w:color="auto" w:fill="66CCFF"/>
          </w:tcPr>
          <w:p w14:paraId="04692FA8" w14:textId="77777777" w:rsidR="00DD3EFA" w:rsidRPr="005A0E7C" w:rsidRDefault="00DD3EFA">
            <w:pPr>
              <w:rPr>
                <w:b/>
              </w:rPr>
            </w:pPr>
          </w:p>
        </w:tc>
        <w:tc>
          <w:tcPr>
            <w:tcW w:w="2548" w:type="dxa"/>
            <w:tcBorders>
              <w:bottom w:val="single" w:sz="4" w:space="0" w:color="auto"/>
            </w:tcBorders>
            <w:shd w:val="clear" w:color="auto" w:fill="FFFFFF" w:themeFill="background1"/>
          </w:tcPr>
          <w:p w14:paraId="5255F416"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4681DAE5" w14:textId="1071B3E1" w:rsidR="00DD3EFA" w:rsidRPr="005A0E7C" w:rsidRDefault="00DD3EFA">
            <w:pPr>
              <w:spacing w:before="60" w:after="60"/>
              <w:rPr>
                <w:rFonts w:eastAsiaTheme="majorEastAsia"/>
              </w:rPr>
            </w:pPr>
            <w:r w:rsidRPr="005A0E7C">
              <w:rPr>
                <w:rFonts w:eastAsiaTheme="majorEastAsia"/>
              </w:rPr>
              <w:t xml:space="preserve">V oblasti regionálního školství pak ve vztahu k předmětnému specifickému cíli NKR jde o realizaci zpracování dílčích výzkumných potřeb, </w:t>
            </w:r>
            <w:r w:rsidR="0066487B" w:rsidRPr="005A0E7C">
              <w:rPr>
                <w:rFonts w:eastAsiaTheme="majorEastAsia"/>
              </w:rPr>
              <w:t xml:space="preserve">ať již zadaných či v přípravě, </w:t>
            </w:r>
            <w:r w:rsidRPr="005A0E7C">
              <w:rPr>
                <w:rFonts w:eastAsiaTheme="majorEastAsia"/>
              </w:rPr>
              <w:t xml:space="preserve">prostřednictvím programu TAČR Beta, kdy výstupy realizovaných projektů mají sloužit mimo jiné i jako vhodné analytické předpoklady dalšího zacílení a realizace prostřednictvím fondů ESIF. </w:t>
            </w:r>
          </w:p>
          <w:p w14:paraId="7EB76C9D" w14:textId="77777777" w:rsidR="00DD3EFA" w:rsidRPr="005A0E7C" w:rsidRDefault="00DD3EFA" w:rsidP="00B15ECB">
            <w:pPr>
              <w:spacing w:before="60" w:after="60"/>
              <w:rPr>
                <w:rFonts w:eastAsiaTheme="majorEastAsia"/>
              </w:rPr>
            </w:pPr>
            <w:r w:rsidRPr="005A0E7C">
              <w:rPr>
                <w:rFonts w:eastAsiaTheme="majorEastAsia"/>
              </w:rPr>
              <w:t xml:space="preserve">Dále se jedná o rovněž o spolupráci s Evropskou komisí v rámci Programu na podporu strukturálních reforem. Projekt se zaměřuje na předčasné odchody ze základního vzdělávání v sociálně vyloučených lokalitách ve třech krajích se strukturálními problémy – Ústeckém, Karlovarském a Moravskoslezském. Cílem je během dvou let ve spolupráci se zahraničními experty navrhnout opatření, která se budou zaměřovat primárně na školu a rodinu a která povedou ke snížení předčasných odchodů ze vzdělávání. Navrhnutá opatření budou následně otestována v pilotním šetření. </w:t>
            </w:r>
          </w:p>
        </w:tc>
        <w:tc>
          <w:tcPr>
            <w:tcW w:w="249" w:type="dxa"/>
            <w:tcBorders>
              <w:top w:val="nil"/>
              <w:bottom w:val="nil"/>
            </w:tcBorders>
            <w:shd w:val="clear" w:color="auto" w:fill="66CCFF"/>
          </w:tcPr>
          <w:p w14:paraId="5DCEB2AD" w14:textId="77777777" w:rsidR="00DD3EFA" w:rsidRPr="005A0E7C" w:rsidRDefault="00DD3EFA">
            <w:pPr>
              <w:rPr>
                <w:b/>
              </w:rPr>
            </w:pPr>
          </w:p>
        </w:tc>
      </w:tr>
      <w:tr w:rsidR="00DD3EFA" w:rsidRPr="005A0E7C" w14:paraId="674A1C95" w14:textId="77777777" w:rsidTr="00B15ECB">
        <w:trPr>
          <w:trHeight w:val="1001"/>
        </w:trPr>
        <w:tc>
          <w:tcPr>
            <w:tcW w:w="675" w:type="dxa"/>
            <w:tcBorders>
              <w:top w:val="nil"/>
              <w:bottom w:val="nil"/>
            </w:tcBorders>
            <w:shd w:val="clear" w:color="auto" w:fill="66CCFF"/>
          </w:tcPr>
          <w:p w14:paraId="4C0F36AC" w14:textId="77777777" w:rsidR="00DD3EFA" w:rsidRPr="005A0E7C" w:rsidRDefault="00DD3EFA">
            <w:pPr>
              <w:rPr>
                <w:b/>
              </w:rPr>
            </w:pPr>
          </w:p>
        </w:tc>
        <w:tc>
          <w:tcPr>
            <w:tcW w:w="2548" w:type="dxa"/>
            <w:tcBorders>
              <w:bottom w:val="single" w:sz="4" w:space="0" w:color="auto"/>
            </w:tcBorders>
            <w:shd w:val="clear" w:color="auto" w:fill="FFFFFF" w:themeFill="background1"/>
          </w:tcPr>
          <w:p w14:paraId="7EB14AC2"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728DF25A" w14:textId="77777777" w:rsidR="00DD3EFA" w:rsidRPr="005A0E7C" w:rsidRDefault="00DD3EFA">
            <w:pPr>
              <w:spacing w:before="60" w:after="60"/>
              <w:rPr>
                <w:rFonts w:eastAsiaTheme="majorEastAsia"/>
              </w:rPr>
            </w:pPr>
            <w:r w:rsidRPr="005A0E7C">
              <w:rPr>
                <w:rFonts w:eastAsiaTheme="majorEastAsia"/>
              </w:rPr>
              <w:t>V současné době nejsou identifikovány žádné zákonné bariéry bránící podpoře této oblasti z ESIF. Jejich výskyt není předpokládán ani v budoucnosti.</w:t>
            </w:r>
          </w:p>
          <w:p w14:paraId="4A976CE4" w14:textId="77777777" w:rsidR="00DD3EFA" w:rsidRPr="005A0E7C" w:rsidRDefault="00DD3EFA" w:rsidP="00B15ECB">
            <w:pPr>
              <w:spacing w:before="60" w:after="60"/>
              <w:rPr>
                <w:rFonts w:eastAsiaTheme="majorEastAsia"/>
                <w:i/>
              </w:rPr>
            </w:pPr>
            <w:r w:rsidRPr="005A0E7C" w:rsidDel="00017DEB">
              <w:rPr>
                <w:rFonts w:eastAsiaTheme="majorEastAsia"/>
                <w:i/>
              </w:rPr>
              <w:t xml:space="preserve"> </w:t>
            </w:r>
          </w:p>
        </w:tc>
        <w:tc>
          <w:tcPr>
            <w:tcW w:w="249" w:type="dxa"/>
            <w:tcBorders>
              <w:top w:val="nil"/>
              <w:bottom w:val="nil"/>
            </w:tcBorders>
            <w:shd w:val="clear" w:color="auto" w:fill="66CCFF"/>
          </w:tcPr>
          <w:p w14:paraId="2E394CF5" w14:textId="77777777" w:rsidR="00DD3EFA" w:rsidRPr="005A0E7C" w:rsidRDefault="00DD3EFA">
            <w:pPr>
              <w:rPr>
                <w:b/>
              </w:rPr>
            </w:pPr>
          </w:p>
        </w:tc>
      </w:tr>
      <w:tr w:rsidR="00DD3EFA" w:rsidRPr="005A0E7C" w14:paraId="6A176246" w14:textId="77777777" w:rsidTr="00B15ECB">
        <w:trPr>
          <w:trHeight w:val="613"/>
        </w:trPr>
        <w:tc>
          <w:tcPr>
            <w:tcW w:w="675" w:type="dxa"/>
            <w:tcBorders>
              <w:top w:val="nil"/>
              <w:left w:val="single" w:sz="4" w:space="0" w:color="auto"/>
              <w:bottom w:val="single" w:sz="4" w:space="0" w:color="auto"/>
              <w:right w:val="nil"/>
            </w:tcBorders>
            <w:shd w:val="clear" w:color="auto" w:fill="66CCFF"/>
          </w:tcPr>
          <w:p w14:paraId="21376835" w14:textId="77777777" w:rsidR="00DD3EFA" w:rsidRPr="005A0E7C" w:rsidRDefault="00DD3EFA">
            <w:pPr>
              <w:rPr>
                <w:b/>
              </w:rPr>
            </w:pPr>
          </w:p>
        </w:tc>
        <w:tc>
          <w:tcPr>
            <w:tcW w:w="2548" w:type="dxa"/>
            <w:tcBorders>
              <w:top w:val="single" w:sz="4" w:space="0" w:color="auto"/>
              <w:left w:val="nil"/>
              <w:bottom w:val="single" w:sz="4" w:space="0" w:color="auto"/>
              <w:right w:val="nil"/>
            </w:tcBorders>
            <w:shd w:val="clear" w:color="auto" w:fill="66CCFF"/>
          </w:tcPr>
          <w:p w14:paraId="65A57831"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800DFD2"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749743F7" w14:textId="77777777" w:rsidR="00DD3EFA" w:rsidRPr="005A0E7C" w:rsidRDefault="00DD3EFA">
            <w:pPr>
              <w:rPr>
                <w:b/>
              </w:rPr>
            </w:pPr>
          </w:p>
        </w:tc>
      </w:tr>
      <w:tr w:rsidR="00DD3EFA" w:rsidRPr="005A0E7C" w14:paraId="76FB1C77" w14:textId="77777777" w:rsidTr="00B15ECB">
        <w:trPr>
          <w:trHeight w:val="1559"/>
        </w:trPr>
        <w:tc>
          <w:tcPr>
            <w:tcW w:w="675" w:type="dxa"/>
            <w:tcBorders>
              <w:top w:val="single" w:sz="4" w:space="0" w:color="auto"/>
              <w:bottom w:val="nil"/>
            </w:tcBorders>
            <w:shd w:val="clear" w:color="auto" w:fill="66CCFF"/>
          </w:tcPr>
          <w:p w14:paraId="1E2207E6" w14:textId="77777777" w:rsidR="00DD3EFA" w:rsidRPr="005A0E7C" w:rsidRDefault="00DD3EFA">
            <w:pPr>
              <w:rPr>
                <w:b/>
              </w:rPr>
            </w:pPr>
          </w:p>
        </w:tc>
        <w:tc>
          <w:tcPr>
            <w:tcW w:w="8526" w:type="dxa"/>
            <w:gridSpan w:val="2"/>
            <w:tcBorders>
              <w:top w:val="single" w:sz="4" w:space="0" w:color="auto"/>
            </w:tcBorders>
            <w:shd w:val="clear" w:color="auto" w:fill="FFFFFF" w:themeFill="background1"/>
          </w:tcPr>
          <w:p w14:paraId="1A95CEAF"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0026D809" w14:textId="77777777" w:rsidR="00DD3EFA" w:rsidRPr="005A0E7C" w:rsidRDefault="00DD3EFA" w:rsidP="00B15ECB">
            <w:pPr>
              <w:spacing w:before="60" w:after="60"/>
              <w:rPr>
                <w:rFonts w:eastAsiaTheme="majorEastAsia"/>
                <w:i/>
              </w:rPr>
            </w:pPr>
          </w:p>
        </w:tc>
        <w:tc>
          <w:tcPr>
            <w:tcW w:w="249" w:type="dxa"/>
            <w:tcBorders>
              <w:top w:val="single" w:sz="4" w:space="0" w:color="auto"/>
              <w:bottom w:val="nil"/>
            </w:tcBorders>
            <w:shd w:val="clear" w:color="auto" w:fill="66CCFF"/>
          </w:tcPr>
          <w:p w14:paraId="6D3A772E" w14:textId="77777777" w:rsidR="00DD3EFA" w:rsidRPr="005A0E7C" w:rsidRDefault="00DD3EFA">
            <w:pPr>
              <w:rPr>
                <w:b/>
              </w:rPr>
            </w:pPr>
          </w:p>
        </w:tc>
      </w:tr>
      <w:tr w:rsidR="00DD3EFA" w:rsidRPr="005A0E7C" w14:paraId="0A83015D" w14:textId="77777777" w:rsidTr="00B15ECB">
        <w:trPr>
          <w:trHeight w:val="1968"/>
        </w:trPr>
        <w:tc>
          <w:tcPr>
            <w:tcW w:w="675" w:type="dxa"/>
            <w:tcBorders>
              <w:top w:val="nil"/>
              <w:bottom w:val="nil"/>
            </w:tcBorders>
            <w:shd w:val="clear" w:color="auto" w:fill="66CCFF"/>
          </w:tcPr>
          <w:p w14:paraId="1A7FFA18" w14:textId="77777777" w:rsidR="00DD3EFA" w:rsidRPr="005A0E7C" w:rsidRDefault="00DD3EFA">
            <w:pPr>
              <w:rPr>
                <w:b/>
              </w:rPr>
            </w:pPr>
          </w:p>
        </w:tc>
        <w:tc>
          <w:tcPr>
            <w:tcW w:w="2548" w:type="dxa"/>
            <w:tcBorders>
              <w:top w:val="nil"/>
            </w:tcBorders>
            <w:shd w:val="clear" w:color="auto" w:fill="FFFFFF" w:themeFill="background1"/>
          </w:tcPr>
          <w:p w14:paraId="3AAA1DBF"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2B43F69D" w14:textId="15CD6A86" w:rsidR="00DD3EFA" w:rsidRPr="005A0E7C" w:rsidRDefault="00DD3EFA" w:rsidP="00B15ECB">
            <w:pPr>
              <w:spacing w:before="60" w:after="60"/>
              <w:rPr>
                <w:rFonts w:eastAsiaTheme="majorEastAsia"/>
                <w:i/>
              </w:rPr>
            </w:pPr>
            <w:r w:rsidRPr="005A0E7C">
              <w:rPr>
                <w:rFonts w:eastAsiaTheme="majorEastAsia"/>
              </w:rPr>
              <w:t xml:space="preserve">Z unijních programů je v oblasti regionálního školství </w:t>
            </w:r>
            <w:r w:rsidR="0066487B" w:rsidRPr="005A0E7C">
              <w:rPr>
                <w:rFonts w:eastAsiaTheme="majorEastAsia"/>
              </w:rPr>
              <w:t>relevantní</w:t>
            </w:r>
            <w:r w:rsidRPr="005A0E7C">
              <w:rPr>
                <w:rFonts w:eastAsiaTheme="majorEastAsia"/>
              </w:rPr>
              <w:t xml:space="preserve"> pouze Erasmus+ a to ze</w:t>
            </w:r>
            <w:r w:rsidR="0066487B" w:rsidRPr="005A0E7C">
              <w:rPr>
                <w:rFonts w:eastAsiaTheme="majorEastAsia"/>
              </w:rPr>
              <w:t>jména v klíčových ak</w:t>
            </w:r>
            <w:r w:rsidRPr="005A0E7C">
              <w:rPr>
                <w:rFonts w:eastAsiaTheme="majorEastAsia"/>
              </w:rPr>
              <w:t>cí</w:t>
            </w:r>
            <w:r w:rsidR="0066487B" w:rsidRPr="005A0E7C">
              <w:rPr>
                <w:rFonts w:eastAsiaTheme="majorEastAsia"/>
              </w:rPr>
              <w:t>ch</w:t>
            </w:r>
            <w:r w:rsidRPr="005A0E7C">
              <w:rPr>
                <w:rFonts w:eastAsiaTheme="majorEastAsia"/>
              </w:rPr>
              <w:t xml:space="preserve"> podporujících spolupráci na inovacích a výměně osvědčených postupů ve vzdělávání a také při podpoře reforem vzdělávací politiky.</w:t>
            </w:r>
          </w:p>
        </w:tc>
        <w:tc>
          <w:tcPr>
            <w:tcW w:w="249" w:type="dxa"/>
            <w:tcBorders>
              <w:top w:val="nil"/>
              <w:bottom w:val="nil"/>
            </w:tcBorders>
            <w:shd w:val="clear" w:color="auto" w:fill="66CCFF"/>
          </w:tcPr>
          <w:p w14:paraId="6958B0C9" w14:textId="77777777" w:rsidR="00DD3EFA" w:rsidRPr="005A0E7C" w:rsidRDefault="00DD3EFA">
            <w:pPr>
              <w:rPr>
                <w:b/>
              </w:rPr>
            </w:pPr>
          </w:p>
        </w:tc>
      </w:tr>
      <w:tr w:rsidR="00DD3EFA" w:rsidRPr="005A0E7C" w14:paraId="3970D6F9" w14:textId="77777777" w:rsidTr="00B15ECB">
        <w:trPr>
          <w:trHeight w:val="1968"/>
        </w:trPr>
        <w:tc>
          <w:tcPr>
            <w:tcW w:w="675" w:type="dxa"/>
            <w:tcBorders>
              <w:top w:val="nil"/>
              <w:bottom w:val="nil"/>
            </w:tcBorders>
            <w:shd w:val="clear" w:color="auto" w:fill="66CCFF"/>
          </w:tcPr>
          <w:p w14:paraId="5ED8074D" w14:textId="77777777" w:rsidR="00DD3EFA" w:rsidRPr="005A0E7C" w:rsidRDefault="00DD3EFA">
            <w:pPr>
              <w:rPr>
                <w:b/>
              </w:rPr>
            </w:pPr>
          </w:p>
        </w:tc>
        <w:tc>
          <w:tcPr>
            <w:tcW w:w="2548" w:type="dxa"/>
            <w:tcBorders>
              <w:top w:val="nil"/>
            </w:tcBorders>
            <w:shd w:val="clear" w:color="auto" w:fill="FFFFFF" w:themeFill="background1"/>
          </w:tcPr>
          <w:p w14:paraId="209D0FDB"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44761A34" w14:textId="100E63B2" w:rsidR="00DD3EFA" w:rsidRPr="005A0E7C" w:rsidRDefault="00DD3EFA" w:rsidP="00B15ECB">
            <w:pPr>
              <w:spacing w:before="60" w:after="60"/>
              <w:rPr>
                <w:rFonts w:eastAsiaTheme="majorEastAsia"/>
              </w:rPr>
            </w:pPr>
            <w:r w:rsidRPr="005A0E7C">
              <w:rPr>
                <w:rFonts w:eastAsiaTheme="majorEastAsia"/>
              </w:rPr>
              <w:t>Specifický cíl může být v menší míře podpořen z veřejných rozpočtů ČR. Z hlediska dosavadního vývoje a navyšování výdajů státního rozpočtu na mandatorní výdaje kapitoly MŠMT však nelze v dlouho</w:t>
            </w:r>
            <w:r w:rsidR="0066487B" w:rsidRPr="005A0E7C">
              <w:rPr>
                <w:rFonts w:eastAsiaTheme="majorEastAsia"/>
              </w:rPr>
              <w:t>do</w:t>
            </w:r>
            <w:r w:rsidRPr="005A0E7C">
              <w:rPr>
                <w:rFonts w:eastAsiaTheme="majorEastAsia"/>
              </w:rPr>
              <w:t>bém výhledu vývoje veřejných financí očekávat významnou podporu vedoucí k dosažení specifického cíle a to zejména v oblasti regionálního školství.</w:t>
            </w:r>
          </w:p>
          <w:p w14:paraId="01D807F9" w14:textId="77777777" w:rsidR="00DD3EFA" w:rsidRPr="005A0E7C" w:rsidRDefault="00DD3EFA" w:rsidP="00B15ECB">
            <w:pPr>
              <w:spacing w:before="60" w:after="60"/>
              <w:rPr>
                <w:rFonts w:eastAsiaTheme="majorEastAsia"/>
              </w:rPr>
            </w:pPr>
            <w:r w:rsidRPr="005A0E7C">
              <w:rPr>
                <w:rFonts w:eastAsiaTheme="majorEastAsia"/>
              </w:rPr>
              <w:t>Na základě společných projektů soutěží vysoké školy o podporu vyčleněnou na Centralizované rozvojové programy a to v rámci několika tematických okruhů každoročně stanovených ministerstvem. Tato témata ještě více specifikují rozvojové cíle stanovené v dlouhodobém záměru pro oblast vysokých škol 2016-2020 a jejich aktualizací pro jednotlivé roky. Projekty jsou podpořeny na základě doporučení Rady programů, poradního orgánu ministerstva.</w:t>
            </w:r>
          </w:p>
          <w:p w14:paraId="57B68F15" w14:textId="77777777" w:rsidR="00DD3EFA" w:rsidRPr="005A0E7C" w:rsidRDefault="00DD3EFA" w:rsidP="00B15ECB">
            <w:pPr>
              <w:spacing w:before="60" w:after="60"/>
              <w:rPr>
                <w:rFonts w:eastAsiaTheme="majorEastAsia"/>
              </w:rPr>
            </w:pPr>
            <w:r w:rsidRPr="005A0E7C">
              <w:rPr>
                <w:rFonts w:eastAsiaTheme="majorEastAsia"/>
              </w:rPr>
              <w:t>V rámci Institucionálního programu získávají vysoké školy prostředky na základě předloženého tříletého Institucionálního plánu, jehož prostřednictvím hodlají dosáhnout konkrétních cílů vycházejících z národních i institucionálních strategických dokumentů na dané období. Institucionální plán zároveň obsahuje návrh sledovatelných ukazatelů výkonu a jejich cílových hodnot za účelem monitoringu a evaluace stanovených cílů.</w:t>
            </w:r>
          </w:p>
          <w:p w14:paraId="119BF83E" w14:textId="0D512C41" w:rsidR="00DD3EFA" w:rsidRPr="005A0E7C" w:rsidRDefault="00DD3EFA" w:rsidP="00B15ECB">
            <w:pPr>
              <w:spacing w:before="60" w:after="60"/>
              <w:rPr>
                <w:rFonts w:eastAsiaTheme="majorEastAsia"/>
                <w:i/>
              </w:rPr>
            </w:pPr>
            <w:r w:rsidRPr="005A0E7C">
              <w:rPr>
                <w:rFonts w:eastAsiaTheme="majorEastAsia"/>
                <w:bCs/>
              </w:rPr>
              <w:t xml:space="preserve">Prostřednictvím podpory na rozvoj a obnovu materiálně technické základny jednotlivých vysokých škol financuje ministerstvo </w:t>
            </w:r>
            <w:r w:rsidR="0066487B" w:rsidRPr="005A0E7C">
              <w:rPr>
                <w:rFonts w:eastAsiaTheme="majorEastAsia"/>
                <w:bCs/>
              </w:rPr>
              <w:t>realizaci</w:t>
            </w:r>
            <w:r w:rsidRPr="005A0E7C">
              <w:rPr>
                <w:rFonts w:eastAsiaTheme="majorEastAsia"/>
                <w:bCs/>
              </w:rPr>
              <w:t xml:space="preserve"> výlučně investičních akcí, které jsou součástí investičního plánu.</w:t>
            </w:r>
          </w:p>
        </w:tc>
        <w:tc>
          <w:tcPr>
            <w:tcW w:w="249" w:type="dxa"/>
            <w:tcBorders>
              <w:top w:val="nil"/>
              <w:bottom w:val="nil"/>
            </w:tcBorders>
            <w:shd w:val="clear" w:color="auto" w:fill="66CCFF"/>
          </w:tcPr>
          <w:p w14:paraId="278F2450" w14:textId="77777777" w:rsidR="00DD3EFA" w:rsidRPr="005A0E7C" w:rsidRDefault="00DD3EFA">
            <w:pPr>
              <w:rPr>
                <w:b/>
              </w:rPr>
            </w:pPr>
          </w:p>
        </w:tc>
      </w:tr>
      <w:tr w:rsidR="00DD3EFA" w:rsidRPr="005A0E7C" w14:paraId="0D2D4B7E" w14:textId="77777777" w:rsidTr="00B15ECB">
        <w:trPr>
          <w:trHeight w:val="1968"/>
        </w:trPr>
        <w:tc>
          <w:tcPr>
            <w:tcW w:w="675" w:type="dxa"/>
            <w:tcBorders>
              <w:top w:val="nil"/>
              <w:bottom w:val="nil"/>
            </w:tcBorders>
            <w:shd w:val="clear" w:color="auto" w:fill="66CCFF"/>
          </w:tcPr>
          <w:p w14:paraId="38F3D3FE" w14:textId="77777777" w:rsidR="00DD3EFA" w:rsidRPr="005A0E7C" w:rsidRDefault="00DD3EFA">
            <w:pPr>
              <w:rPr>
                <w:b/>
              </w:rPr>
            </w:pPr>
          </w:p>
        </w:tc>
        <w:tc>
          <w:tcPr>
            <w:tcW w:w="2548" w:type="dxa"/>
            <w:tcBorders>
              <w:top w:val="nil"/>
            </w:tcBorders>
            <w:shd w:val="clear" w:color="auto" w:fill="FFFFFF" w:themeFill="background1"/>
          </w:tcPr>
          <w:p w14:paraId="7D188053"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2FFFF42D" w14:textId="77777777" w:rsidR="00DD3EFA" w:rsidRPr="005A0E7C" w:rsidRDefault="00DD3EFA" w:rsidP="00B15ECB">
            <w:pPr>
              <w:spacing w:before="60" w:after="60"/>
              <w:rPr>
                <w:rFonts w:eastAsiaTheme="majorEastAsia"/>
                <w:i/>
              </w:rPr>
            </w:pPr>
            <w:r w:rsidRPr="005A0E7C">
              <w:rPr>
                <w:rFonts w:eastAsiaTheme="majorEastAsia"/>
              </w:rPr>
              <w:t>Naplňování specifického cíle nelze dosáhnout skrze tržní nástroje, popřípadě komerční formou financování.</w:t>
            </w:r>
          </w:p>
        </w:tc>
        <w:tc>
          <w:tcPr>
            <w:tcW w:w="249" w:type="dxa"/>
            <w:tcBorders>
              <w:top w:val="nil"/>
              <w:bottom w:val="nil"/>
            </w:tcBorders>
            <w:shd w:val="clear" w:color="auto" w:fill="66CCFF"/>
          </w:tcPr>
          <w:p w14:paraId="09473E4A" w14:textId="77777777" w:rsidR="00DD3EFA" w:rsidRPr="005A0E7C" w:rsidRDefault="00DD3EFA">
            <w:pPr>
              <w:rPr>
                <w:b/>
              </w:rPr>
            </w:pPr>
          </w:p>
        </w:tc>
      </w:tr>
      <w:tr w:rsidR="00DD3EFA" w:rsidRPr="005A0E7C" w14:paraId="6FE3ED41" w14:textId="77777777" w:rsidTr="00B15ECB">
        <w:trPr>
          <w:trHeight w:val="1968"/>
        </w:trPr>
        <w:tc>
          <w:tcPr>
            <w:tcW w:w="675" w:type="dxa"/>
            <w:tcBorders>
              <w:top w:val="nil"/>
              <w:bottom w:val="nil"/>
            </w:tcBorders>
            <w:shd w:val="clear" w:color="auto" w:fill="66CCFF"/>
          </w:tcPr>
          <w:p w14:paraId="1DB5D381" w14:textId="77777777" w:rsidR="00DD3EFA" w:rsidRPr="005A0E7C" w:rsidRDefault="00DD3EFA">
            <w:pPr>
              <w:rPr>
                <w:b/>
              </w:rPr>
            </w:pPr>
          </w:p>
        </w:tc>
        <w:tc>
          <w:tcPr>
            <w:tcW w:w="2548" w:type="dxa"/>
            <w:tcBorders>
              <w:top w:val="nil"/>
            </w:tcBorders>
            <w:shd w:val="clear" w:color="auto" w:fill="FFFFFF" w:themeFill="background1"/>
          </w:tcPr>
          <w:p w14:paraId="637FAE37"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344B5038" w14:textId="77777777" w:rsidR="00DD3EFA" w:rsidRPr="005A0E7C" w:rsidRDefault="00DD3EFA" w:rsidP="00B15ECB">
            <w:pPr>
              <w:spacing w:before="60" w:after="60"/>
              <w:rPr>
                <w:rFonts w:eastAsiaTheme="majorEastAsia"/>
              </w:rPr>
            </w:pPr>
            <w:r w:rsidRPr="005A0E7C">
              <w:rPr>
                <w:rFonts w:eastAsiaTheme="majorEastAsia"/>
              </w:rPr>
              <w:t>V této oblasti nebyly ani analýzou společnosti PWC (Analýza ne/využitelnosti finančních nástrojů pro oblast výzkumu, vývoje a vzdělávání) identifikovány možnosti využití finančních nástrojů.</w:t>
            </w:r>
          </w:p>
        </w:tc>
        <w:tc>
          <w:tcPr>
            <w:tcW w:w="249" w:type="dxa"/>
            <w:tcBorders>
              <w:top w:val="nil"/>
              <w:bottom w:val="nil"/>
            </w:tcBorders>
            <w:shd w:val="clear" w:color="auto" w:fill="66CCFF"/>
          </w:tcPr>
          <w:p w14:paraId="48513ED3" w14:textId="77777777" w:rsidR="00DD3EFA" w:rsidRPr="005A0E7C" w:rsidRDefault="00DD3EFA">
            <w:pPr>
              <w:rPr>
                <w:b/>
              </w:rPr>
            </w:pPr>
          </w:p>
        </w:tc>
      </w:tr>
      <w:tr w:rsidR="00DD3EFA" w:rsidRPr="005A0E7C" w14:paraId="4E16FB2C" w14:textId="77777777" w:rsidTr="00B15ECB">
        <w:trPr>
          <w:trHeight w:val="150"/>
        </w:trPr>
        <w:tc>
          <w:tcPr>
            <w:tcW w:w="675" w:type="dxa"/>
            <w:tcBorders>
              <w:top w:val="nil"/>
              <w:right w:val="nil"/>
            </w:tcBorders>
            <w:shd w:val="clear" w:color="auto" w:fill="66CCFF"/>
          </w:tcPr>
          <w:p w14:paraId="1611D731" w14:textId="77777777" w:rsidR="00DD3EFA" w:rsidRPr="005A0E7C" w:rsidRDefault="00DD3EFA">
            <w:pPr>
              <w:rPr>
                <w:b/>
              </w:rPr>
            </w:pPr>
          </w:p>
        </w:tc>
        <w:tc>
          <w:tcPr>
            <w:tcW w:w="2548" w:type="dxa"/>
            <w:tcBorders>
              <w:left w:val="nil"/>
              <w:right w:val="nil"/>
            </w:tcBorders>
            <w:shd w:val="clear" w:color="auto" w:fill="66CCFF"/>
          </w:tcPr>
          <w:p w14:paraId="457940F3" w14:textId="77777777" w:rsidR="00DD3EFA" w:rsidRPr="005A0E7C" w:rsidRDefault="00DD3EFA" w:rsidP="00B15ECB">
            <w:pPr>
              <w:rPr>
                <w:b/>
              </w:rPr>
            </w:pPr>
          </w:p>
        </w:tc>
        <w:tc>
          <w:tcPr>
            <w:tcW w:w="5978" w:type="dxa"/>
            <w:tcBorders>
              <w:left w:val="nil"/>
              <w:right w:val="nil"/>
            </w:tcBorders>
            <w:shd w:val="clear" w:color="auto" w:fill="66CCFF"/>
          </w:tcPr>
          <w:p w14:paraId="57BD956C" w14:textId="77777777" w:rsidR="00DD3EFA" w:rsidRPr="005A0E7C" w:rsidRDefault="00DD3EFA" w:rsidP="00B15ECB">
            <w:pPr>
              <w:rPr>
                <w:b/>
              </w:rPr>
            </w:pPr>
          </w:p>
        </w:tc>
        <w:tc>
          <w:tcPr>
            <w:tcW w:w="249" w:type="dxa"/>
            <w:tcBorders>
              <w:top w:val="nil"/>
              <w:left w:val="nil"/>
            </w:tcBorders>
            <w:shd w:val="clear" w:color="auto" w:fill="66CCFF"/>
          </w:tcPr>
          <w:p w14:paraId="1F1A46B3" w14:textId="77777777" w:rsidR="00DD3EFA" w:rsidRPr="005A0E7C" w:rsidRDefault="00DD3EFA">
            <w:pPr>
              <w:rPr>
                <w:b/>
              </w:rPr>
            </w:pPr>
          </w:p>
        </w:tc>
      </w:tr>
    </w:tbl>
    <w:p w14:paraId="62AE9F06" w14:textId="77777777" w:rsidR="00DD3EFA" w:rsidRPr="005A0E7C" w:rsidRDefault="00DD3EFA">
      <w:pPr>
        <w:rPr>
          <w:rFonts w:ascii="Times New Roman" w:hAnsi="Times New Roman" w:cs="Times New Roman"/>
          <w:sz w:val="20"/>
          <w:szCs w:val="20"/>
        </w:rPr>
      </w:pPr>
    </w:p>
    <w:p w14:paraId="6017936D" w14:textId="77777777" w:rsidR="00DD3EFA" w:rsidRPr="005A0E7C" w:rsidRDefault="00DD3EFA" w:rsidP="00B15ECB">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9536" w:type="dxa"/>
        <w:tblInd w:w="-5" w:type="dxa"/>
        <w:shd w:val="clear" w:color="auto" w:fill="C7ECF1"/>
        <w:tblLayout w:type="fixed"/>
        <w:tblLook w:val="04A0" w:firstRow="1" w:lastRow="0" w:firstColumn="1" w:lastColumn="0" w:noHBand="0" w:noVBand="1"/>
      </w:tblPr>
      <w:tblGrid>
        <w:gridCol w:w="249"/>
        <w:gridCol w:w="2935"/>
        <w:gridCol w:w="6103"/>
        <w:gridCol w:w="249"/>
      </w:tblGrid>
      <w:tr w:rsidR="00DD3EFA" w:rsidRPr="005A0E7C" w14:paraId="59392925" w14:textId="77777777" w:rsidTr="0066487B">
        <w:trPr>
          <w:trHeight w:val="180"/>
        </w:trPr>
        <w:tc>
          <w:tcPr>
            <w:tcW w:w="249" w:type="dxa"/>
            <w:tcBorders>
              <w:bottom w:val="nil"/>
              <w:right w:val="nil"/>
            </w:tcBorders>
            <w:shd w:val="clear" w:color="auto" w:fill="66CCFF"/>
          </w:tcPr>
          <w:p w14:paraId="037FAC2B" w14:textId="77777777" w:rsidR="00DD3EFA" w:rsidRPr="005A0E7C" w:rsidRDefault="00DD3EFA">
            <w:pPr>
              <w:rPr>
                <w:b/>
              </w:rPr>
            </w:pPr>
          </w:p>
        </w:tc>
        <w:tc>
          <w:tcPr>
            <w:tcW w:w="2935" w:type="dxa"/>
            <w:tcBorders>
              <w:left w:val="nil"/>
              <w:right w:val="nil"/>
            </w:tcBorders>
            <w:shd w:val="clear" w:color="auto" w:fill="66CCFF"/>
          </w:tcPr>
          <w:p w14:paraId="53FCB2DB" w14:textId="77777777" w:rsidR="00DD3EFA" w:rsidRPr="005A0E7C" w:rsidRDefault="00DD3EFA" w:rsidP="00B15ECB">
            <w:pPr>
              <w:rPr>
                <w:b/>
              </w:rPr>
            </w:pPr>
          </w:p>
        </w:tc>
        <w:tc>
          <w:tcPr>
            <w:tcW w:w="6099" w:type="dxa"/>
            <w:tcBorders>
              <w:left w:val="nil"/>
              <w:right w:val="nil"/>
            </w:tcBorders>
            <w:shd w:val="clear" w:color="auto" w:fill="66CCFF"/>
          </w:tcPr>
          <w:p w14:paraId="20664F1B" w14:textId="77777777" w:rsidR="00DD3EFA" w:rsidRPr="005A0E7C" w:rsidRDefault="00DD3EFA" w:rsidP="00B15ECB">
            <w:pPr>
              <w:rPr>
                <w:b/>
              </w:rPr>
            </w:pPr>
          </w:p>
        </w:tc>
        <w:tc>
          <w:tcPr>
            <w:tcW w:w="249" w:type="dxa"/>
            <w:tcBorders>
              <w:left w:val="nil"/>
              <w:bottom w:val="nil"/>
            </w:tcBorders>
            <w:shd w:val="clear" w:color="auto" w:fill="66CCFF"/>
          </w:tcPr>
          <w:p w14:paraId="0FF58698" w14:textId="77777777" w:rsidR="00DD3EFA" w:rsidRPr="005A0E7C" w:rsidRDefault="00DD3EFA">
            <w:pPr>
              <w:rPr>
                <w:b/>
              </w:rPr>
            </w:pPr>
          </w:p>
        </w:tc>
      </w:tr>
      <w:tr w:rsidR="00DD3EFA" w:rsidRPr="005A0E7C" w14:paraId="47732761" w14:textId="77777777" w:rsidTr="0066487B">
        <w:trPr>
          <w:trHeight w:val="561"/>
        </w:trPr>
        <w:tc>
          <w:tcPr>
            <w:tcW w:w="249" w:type="dxa"/>
            <w:tcBorders>
              <w:top w:val="nil"/>
              <w:bottom w:val="nil"/>
            </w:tcBorders>
            <w:shd w:val="clear" w:color="auto" w:fill="66CCFF"/>
          </w:tcPr>
          <w:p w14:paraId="00EC4590" w14:textId="77777777" w:rsidR="00DD3EFA" w:rsidRPr="005A0E7C" w:rsidRDefault="00DD3EFA">
            <w:pPr>
              <w:rPr>
                <w:b/>
              </w:rPr>
            </w:pPr>
          </w:p>
        </w:tc>
        <w:tc>
          <w:tcPr>
            <w:tcW w:w="2935" w:type="dxa"/>
            <w:shd w:val="clear" w:color="auto" w:fill="0070C0"/>
          </w:tcPr>
          <w:p w14:paraId="033565FB"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3295F84C"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6099" w:type="dxa"/>
            <w:shd w:val="clear" w:color="auto" w:fill="0070C0"/>
          </w:tcPr>
          <w:p w14:paraId="3E633DBB"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9"/>
            </w:r>
            <w:r w:rsidRPr="005A0E7C">
              <w:rPr>
                <w:rFonts w:eastAsiaTheme="majorEastAsia"/>
                <w:b/>
                <w:color w:val="FFFFFF" w:themeColor="background1"/>
                <w:u w:val="single"/>
              </w:rPr>
              <w:t xml:space="preserve">: </w:t>
            </w:r>
          </w:p>
          <w:p w14:paraId="4E352883"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Zvýšení kompetencí a kvality pracovníků ve vzdělávání</w:t>
            </w:r>
          </w:p>
        </w:tc>
        <w:tc>
          <w:tcPr>
            <w:tcW w:w="249" w:type="dxa"/>
            <w:tcBorders>
              <w:top w:val="nil"/>
              <w:bottom w:val="nil"/>
            </w:tcBorders>
            <w:shd w:val="clear" w:color="auto" w:fill="66CCFF"/>
          </w:tcPr>
          <w:p w14:paraId="68600A2C" w14:textId="77777777" w:rsidR="00DD3EFA" w:rsidRPr="005A0E7C" w:rsidRDefault="00DD3EFA">
            <w:pPr>
              <w:rPr>
                <w:b/>
              </w:rPr>
            </w:pPr>
          </w:p>
        </w:tc>
      </w:tr>
      <w:tr w:rsidR="00DD3EFA" w:rsidRPr="005A0E7C" w14:paraId="622079EC" w14:textId="77777777" w:rsidTr="0066487B">
        <w:trPr>
          <w:trHeight w:val="180"/>
        </w:trPr>
        <w:tc>
          <w:tcPr>
            <w:tcW w:w="249" w:type="dxa"/>
            <w:tcBorders>
              <w:top w:val="nil"/>
              <w:bottom w:val="nil"/>
              <w:right w:val="nil"/>
            </w:tcBorders>
            <w:shd w:val="clear" w:color="auto" w:fill="66CCFF"/>
          </w:tcPr>
          <w:p w14:paraId="27BA9592" w14:textId="77777777" w:rsidR="00DD3EFA" w:rsidRPr="005A0E7C" w:rsidRDefault="00DD3EFA">
            <w:pPr>
              <w:rPr>
                <w:b/>
              </w:rPr>
            </w:pPr>
          </w:p>
        </w:tc>
        <w:tc>
          <w:tcPr>
            <w:tcW w:w="2935" w:type="dxa"/>
            <w:tcBorders>
              <w:left w:val="nil"/>
              <w:right w:val="nil"/>
            </w:tcBorders>
            <w:shd w:val="clear" w:color="auto" w:fill="66CCFF"/>
          </w:tcPr>
          <w:p w14:paraId="3C08DA01" w14:textId="77777777" w:rsidR="00DD3EFA" w:rsidRPr="005A0E7C" w:rsidRDefault="00DD3EFA" w:rsidP="00B15ECB">
            <w:pPr>
              <w:rPr>
                <w:b/>
              </w:rPr>
            </w:pPr>
          </w:p>
        </w:tc>
        <w:tc>
          <w:tcPr>
            <w:tcW w:w="6099" w:type="dxa"/>
            <w:tcBorders>
              <w:left w:val="nil"/>
              <w:right w:val="nil"/>
            </w:tcBorders>
            <w:shd w:val="clear" w:color="auto" w:fill="66CCFF"/>
          </w:tcPr>
          <w:p w14:paraId="3AA03BA5" w14:textId="77777777" w:rsidR="00DD3EFA" w:rsidRPr="005A0E7C" w:rsidRDefault="00DD3EFA" w:rsidP="00B15ECB">
            <w:pPr>
              <w:rPr>
                <w:b/>
              </w:rPr>
            </w:pPr>
          </w:p>
        </w:tc>
        <w:tc>
          <w:tcPr>
            <w:tcW w:w="249" w:type="dxa"/>
            <w:tcBorders>
              <w:top w:val="nil"/>
              <w:left w:val="nil"/>
              <w:bottom w:val="nil"/>
            </w:tcBorders>
            <w:shd w:val="clear" w:color="auto" w:fill="66CCFF"/>
          </w:tcPr>
          <w:p w14:paraId="301CF645" w14:textId="77777777" w:rsidR="00DD3EFA" w:rsidRPr="005A0E7C" w:rsidRDefault="00DD3EFA">
            <w:pPr>
              <w:rPr>
                <w:b/>
              </w:rPr>
            </w:pPr>
          </w:p>
        </w:tc>
      </w:tr>
      <w:tr w:rsidR="00DD3EFA" w:rsidRPr="005A0E7C" w14:paraId="58405175" w14:textId="77777777" w:rsidTr="0066487B">
        <w:trPr>
          <w:trHeight w:val="892"/>
        </w:trPr>
        <w:tc>
          <w:tcPr>
            <w:tcW w:w="249" w:type="dxa"/>
            <w:tcBorders>
              <w:top w:val="nil"/>
              <w:bottom w:val="nil"/>
            </w:tcBorders>
            <w:shd w:val="clear" w:color="auto" w:fill="66CCFF"/>
          </w:tcPr>
          <w:p w14:paraId="12F2502B" w14:textId="77777777" w:rsidR="00DD3EFA" w:rsidRPr="005A0E7C" w:rsidRDefault="00DD3EFA">
            <w:pPr>
              <w:rPr>
                <w:b/>
              </w:rPr>
            </w:pPr>
          </w:p>
        </w:tc>
        <w:tc>
          <w:tcPr>
            <w:tcW w:w="2935" w:type="dxa"/>
            <w:shd w:val="clear" w:color="auto" w:fill="FFFFFF" w:themeFill="background1"/>
          </w:tcPr>
          <w:p w14:paraId="74FA37A4"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6099" w:type="dxa"/>
            <w:shd w:val="clear" w:color="auto" w:fill="FFFFFF" w:themeFill="background1"/>
          </w:tcPr>
          <w:p w14:paraId="3E358D5B" w14:textId="77777777" w:rsidR="00DD3EFA" w:rsidRPr="005A0E7C" w:rsidRDefault="00DD3EFA">
            <w:r w:rsidRPr="005A0E7C">
              <w:t xml:space="preserve"> Specifický cíl je zaměřen na následující témata:</w:t>
            </w:r>
          </w:p>
          <w:p w14:paraId="277CC2C9" w14:textId="77777777" w:rsidR="00DD3EFA" w:rsidRPr="005A0E7C" w:rsidRDefault="00DD3EFA" w:rsidP="00391907">
            <w:pPr>
              <w:pStyle w:val="Odstavecseseznamem"/>
              <w:numPr>
                <w:ilvl w:val="0"/>
                <w:numId w:val="26"/>
              </w:numPr>
              <w:spacing w:after="160" w:line="259" w:lineRule="auto"/>
              <w:jc w:val="both"/>
            </w:pPr>
            <w:r w:rsidRPr="005A0E7C">
              <w:t>zvýšení kvality počáteční přípravy pedagogických a akademických pracovníků v oblasti pedagogických dovedností, vč. podpory zahraničních stáží, a přípravy na nové výzvy, zejména digitalizace,</w:t>
            </w:r>
          </w:p>
          <w:p w14:paraId="784973FB" w14:textId="77777777" w:rsidR="00DD3EFA" w:rsidRPr="005A0E7C" w:rsidRDefault="00DD3EFA" w:rsidP="00391907">
            <w:pPr>
              <w:pStyle w:val="Odstavecseseznamem"/>
              <w:numPr>
                <w:ilvl w:val="0"/>
                <w:numId w:val="26"/>
              </w:numPr>
              <w:spacing w:after="160" w:line="259" w:lineRule="auto"/>
              <w:jc w:val="both"/>
            </w:pPr>
            <w:r w:rsidRPr="005A0E7C">
              <w:t>komplexní profesní rozvoj učitelů a akademiků prostřednictvím uceleného systému podpory, který zahrnuje všechny oblasti tzv. profesionalizačního kontinua: (a) získávání kvalitních zájemců o studium učitelství, (b) kvalitní přípravné učitelské vzdělávání, které vede k využívání moderních vyučovacích metod, (c) uvádění do učitelské profese, (d) další vzdělávání a profesní rozvoj učitelů, včetně mentoringu,</w:t>
            </w:r>
          </w:p>
          <w:p w14:paraId="34F351A8" w14:textId="77777777" w:rsidR="00DD3EFA" w:rsidRPr="005A0E7C" w:rsidRDefault="00DD3EFA" w:rsidP="00391907">
            <w:pPr>
              <w:pStyle w:val="Odstavecseseznamem"/>
              <w:numPr>
                <w:ilvl w:val="0"/>
                <w:numId w:val="26"/>
              </w:numPr>
              <w:spacing w:after="160" w:line="259" w:lineRule="auto"/>
              <w:jc w:val="both"/>
            </w:pPr>
            <w:r w:rsidRPr="005A0E7C">
              <w:t>dostupnost nabídky kvalitního dalšího vzdělávání pedagogických a akademických pracovníků a motivace k profesnímu rozvoji a růstu,</w:t>
            </w:r>
          </w:p>
          <w:p w14:paraId="75905C0A" w14:textId="77777777" w:rsidR="00DD3EFA" w:rsidRPr="005A0E7C" w:rsidRDefault="00DD3EFA" w:rsidP="00391907">
            <w:pPr>
              <w:pStyle w:val="Odstavecseseznamem"/>
              <w:numPr>
                <w:ilvl w:val="0"/>
                <w:numId w:val="26"/>
              </w:numPr>
              <w:spacing w:after="160" w:line="259" w:lineRule="auto"/>
              <w:jc w:val="both"/>
            </w:pPr>
            <w:r w:rsidRPr="005A0E7C">
              <w:t>systematická příprava pedagogických a akademických pracovníků ve využívání nových metod a technologií ve výuce, spolupráce s praxí (např. výměnné stáže),</w:t>
            </w:r>
          </w:p>
          <w:p w14:paraId="3E27ECCF" w14:textId="77777777" w:rsidR="00DD3EFA" w:rsidRPr="005A0E7C" w:rsidRDefault="00DD3EFA" w:rsidP="00391907">
            <w:pPr>
              <w:pStyle w:val="Odstavecseseznamem"/>
              <w:numPr>
                <w:ilvl w:val="0"/>
                <w:numId w:val="26"/>
              </w:numPr>
              <w:spacing w:after="160" w:line="259" w:lineRule="auto"/>
              <w:jc w:val="both"/>
            </w:pPr>
            <w:r w:rsidRPr="005A0E7C">
              <w:t>partnerství pedagogických a akademických pracovníků na lokální úrovni,</w:t>
            </w:r>
          </w:p>
          <w:p w14:paraId="1CB4A0BC" w14:textId="77777777" w:rsidR="00DD3EFA" w:rsidRPr="005A0E7C" w:rsidRDefault="00DD3EFA" w:rsidP="00391907">
            <w:pPr>
              <w:pStyle w:val="Odstavecseseznamem"/>
              <w:numPr>
                <w:ilvl w:val="0"/>
                <w:numId w:val="26"/>
              </w:numPr>
              <w:spacing w:after="160" w:line="259" w:lineRule="auto"/>
              <w:jc w:val="both"/>
            </w:pPr>
            <w:r w:rsidRPr="005A0E7C">
              <w:t>kompetence pedagogických pracovníků odpovídající aktuálním potřebám vývoje vzdělávací soustavy, a to zejména využívání potenciálu pedagogické diagnostiky a tomu odpovídající vzdělávací a výchovné strategie, formativního hodnocení a sebehodnocení</w:t>
            </w:r>
          </w:p>
          <w:p w14:paraId="5887167A" w14:textId="77777777" w:rsidR="00DD3EFA" w:rsidRPr="005A0E7C" w:rsidRDefault="00DD3EFA" w:rsidP="00391907">
            <w:pPr>
              <w:pStyle w:val="Odstavecseseznamem"/>
              <w:numPr>
                <w:ilvl w:val="0"/>
                <w:numId w:val="26"/>
              </w:numPr>
              <w:spacing w:after="160" w:line="259" w:lineRule="auto"/>
              <w:jc w:val="both"/>
            </w:pPr>
            <w:r w:rsidRPr="005A0E7C">
              <w:t>kontinuální budování sdílené představy o kvalitě vzdělávání mezi všemi klíčovými aktéry vzdělávací soustavy, zejména mezi zřizovateli, pedagogickým vedením škol a zařízení neformálního vzdělávání, pedagogy, rodiči, žáky a studenty</w:t>
            </w:r>
          </w:p>
          <w:p w14:paraId="5176196A" w14:textId="77777777" w:rsidR="00DD3EFA" w:rsidRPr="005A0E7C" w:rsidRDefault="00DD3EFA" w:rsidP="00391907">
            <w:pPr>
              <w:pStyle w:val="Odstavecseseznamem"/>
              <w:numPr>
                <w:ilvl w:val="0"/>
                <w:numId w:val="26"/>
              </w:numPr>
              <w:spacing w:line="259" w:lineRule="auto"/>
              <w:jc w:val="both"/>
            </w:pPr>
            <w:r w:rsidRPr="005A0E7C">
              <w:t>podmínky pro profesní rozvoj managementu škol k řízení a vedení institucí a vedení zaměřeného na kvalitu vzdělávání,</w:t>
            </w:r>
          </w:p>
          <w:p w14:paraId="3AB9E235" w14:textId="77777777" w:rsidR="00DD3EFA" w:rsidRPr="005A0E7C" w:rsidRDefault="00DD3EFA" w:rsidP="00391907">
            <w:pPr>
              <w:pStyle w:val="Odstavecseseznamem"/>
              <w:numPr>
                <w:ilvl w:val="0"/>
                <w:numId w:val="26"/>
              </w:numPr>
              <w:jc w:val="both"/>
            </w:pPr>
            <w:r w:rsidRPr="005A0E7C">
              <w:t>podpora otevřeného a inovativního myšlení učitelů,</w:t>
            </w:r>
          </w:p>
          <w:p w14:paraId="0827D7E9" w14:textId="77777777" w:rsidR="00DD3EFA" w:rsidRPr="005A0E7C" w:rsidRDefault="00DD3EFA" w:rsidP="00391907">
            <w:pPr>
              <w:numPr>
                <w:ilvl w:val="0"/>
                <w:numId w:val="27"/>
              </w:numPr>
              <w:spacing w:after="160" w:line="259" w:lineRule="auto"/>
              <w:contextualSpacing/>
              <w:jc w:val="both"/>
            </w:pPr>
            <w:r w:rsidRPr="005A0E7C">
              <w:t>tvorba podpůrných profesionálních sítí pro pedagogy formálního a neformálního vzdělávání,</w:t>
            </w:r>
          </w:p>
          <w:p w14:paraId="7B92B226" w14:textId="77777777" w:rsidR="00DD3EFA" w:rsidRPr="005A0E7C" w:rsidRDefault="00DD3EFA" w:rsidP="00391907">
            <w:pPr>
              <w:numPr>
                <w:ilvl w:val="0"/>
                <w:numId w:val="27"/>
              </w:numPr>
              <w:spacing w:after="160" w:line="259" w:lineRule="auto"/>
              <w:contextualSpacing/>
              <w:jc w:val="both"/>
            </w:pPr>
            <w:r w:rsidRPr="005A0E7C">
              <w:t>rozvoj kompetencí pedagogických a akademických pracovníků realizovat výuku vedoucí k rozvoji komunikačních dovedností a k vyšší míře tolerance u dětí, žáků a studentů.</w:t>
            </w:r>
          </w:p>
        </w:tc>
        <w:tc>
          <w:tcPr>
            <w:tcW w:w="249" w:type="dxa"/>
            <w:tcBorders>
              <w:top w:val="nil"/>
              <w:bottom w:val="nil"/>
            </w:tcBorders>
            <w:shd w:val="clear" w:color="auto" w:fill="66CCFF"/>
          </w:tcPr>
          <w:p w14:paraId="45C957F6" w14:textId="77777777" w:rsidR="00DD3EFA" w:rsidRPr="005A0E7C" w:rsidRDefault="00DD3EFA">
            <w:pPr>
              <w:rPr>
                <w:b/>
              </w:rPr>
            </w:pPr>
          </w:p>
        </w:tc>
      </w:tr>
      <w:tr w:rsidR="00DD3EFA" w:rsidRPr="005A0E7C" w14:paraId="4E4E5F15" w14:textId="77777777" w:rsidTr="0066487B">
        <w:trPr>
          <w:trHeight w:val="46"/>
        </w:trPr>
        <w:tc>
          <w:tcPr>
            <w:tcW w:w="249" w:type="dxa"/>
            <w:tcBorders>
              <w:top w:val="nil"/>
              <w:bottom w:val="nil"/>
              <w:right w:val="nil"/>
            </w:tcBorders>
            <w:shd w:val="clear" w:color="auto" w:fill="66CCFF"/>
          </w:tcPr>
          <w:p w14:paraId="3681CE38" w14:textId="77777777" w:rsidR="00DD3EFA" w:rsidRPr="005A0E7C" w:rsidRDefault="00DD3EFA">
            <w:pPr>
              <w:rPr>
                <w:b/>
              </w:rPr>
            </w:pPr>
          </w:p>
        </w:tc>
        <w:tc>
          <w:tcPr>
            <w:tcW w:w="2935" w:type="dxa"/>
            <w:tcBorders>
              <w:left w:val="nil"/>
              <w:bottom w:val="single" w:sz="4" w:space="0" w:color="auto"/>
              <w:right w:val="nil"/>
            </w:tcBorders>
            <w:shd w:val="clear" w:color="auto" w:fill="66CCFF"/>
          </w:tcPr>
          <w:p w14:paraId="2CD11695" w14:textId="77777777" w:rsidR="00DD3EFA" w:rsidRPr="005A0E7C" w:rsidRDefault="00DD3EFA" w:rsidP="00B15ECB">
            <w:pPr>
              <w:rPr>
                <w:b/>
              </w:rPr>
            </w:pPr>
          </w:p>
        </w:tc>
        <w:tc>
          <w:tcPr>
            <w:tcW w:w="6099" w:type="dxa"/>
            <w:tcBorders>
              <w:left w:val="nil"/>
              <w:bottom w:val="single" w:sz="4" w:space="0" w:color="auto"/>
              <w:right w:val="nil"/>
            </w:tcBorders>
            <w:shd w:val="clear" w:color="auto" w:fill="66CCFF"/>
          </w:tcPr>
          <w:p w14:paraId="6C5C1C9B" w14:textId="77777777" w:rsidR="00DD3EFA" w:rsidRPr="005A0E7C" w:rsidRDefault="00DD3EFA" w:rsidP="00B15ECB">
            <w:pPr>
              <w:rPr>
                <w:b/>
              </w:rPr>
            </w:pPr>
          </w:p>
        </w:tc>
        <w:tc>
          <w:tcPr>
            <w:tcW w:w="249" w:type="dxa"/>
            <w:tcBorders>
              <w:top w:val="nil"/>
              <w:left w:val="nil"/>
              <w:bottom w:val="nil"/>
            </w:tcBorders>
            <w:shd w:val="clear" w:color="auto" w:fill="66CCFF"/>
          </w:tcPr>
          <w:p w14:paraId="24C25548" w14:textId="77777777" w:rsidR="00DD3EFA" w:rsidRPr="005A0E7C" w:rsidRDefault="00DD3EFA">
            <w:pPr>
              <w:rPr>
                <w:b/>
              </w:rPr>
            </w:pPr>
          </w:p>
        </w:tc>
      </w:tr>
      <w:tr w:rsidR="00DD3EFA" w:rsidRPr="005A0E7C" w14:paraId="230466FF" w14:textId="77777777" w:rsidTr="0066487B">
        <w:trPr>
          <w:trHeight w:val="1274"/>
        </w:trPr>
        <w:tc>
          <w:tcPr>
            <w:tcW w:w="249" w:type="dxa"/>
            <w:tcBorders>
              <w:top w:val="nil"/>
              <w:bottom w:val="nil"/>
            </w:tcBorders>
            <w:shd w:val="clear" w:color="auto" w:fill="66CCFF"/>
          </w:tcPr>
          <w:p w14:paraId="2FA27DC0" w14:textId="77777777" w:rsidR="00DD3EFA" w:rsidRPr="005A0E7C" w:rsidRDefault="00DD3EFA">
            <w:pPr>
              <w:rPr>
                <w:b/>
              </w:rPr>
            </w:pPr>
          </w:p>
        </w:tc>
        <w:tc>
          <w:tcPr>
            <w:tcW w:w="2935" w:type="dxa"/>
            <w:tcBorders>
              <w:bottom w:val="single" w:sz="4" w:space="0" w:color="auto"/>
            </w:tcBorders>
            <w:shd w:val="clear" w:color="auto" w:fill="FFFFFF" w:themeFill="background1"/>
          </w:tcPr>
          <w:p w14:paraId="07BEEF6B"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6099" w:type="dxa"/>
            <w:tcBorders>
              <w:bottom w:val="single" w:sz="4" w:space="0" w:color="auto"/>
            </w:tcBorders>
            <w:shd w:val="clear" w:color="auto" w:fill="FFFFFF" w:themeFill="background1"/>
          </w:tcPr>
          <w:p w14:paraId="42F385FB" w14:textId="77777777" w:rsidR="00DD3EFA" w:rsidRPr="005A0E7C" w:rsidRDefault="00DD3EFA">
            <w:r w:rsidRPr="005A0E7C">
              <w:t xml:space="preserve">V návaznosti na ostatní cíle vzdělávání je nutné zaměřit se na klíčový předpoklad úspěchu jakékoliv intervence v této oblasti, tedy na personální kapacity celého systému a na vytvoření a stabilizaci kompetentních a motivovaných učitelských sborů a akademických pracovníků. Ve srovnání se stávající situací je nutné výrazně posílit metodickou podporu pro pedagogické pracovníky a zejména pak učitele, zaměřit ji na zlepšení vztahu žáků k učení a na formativní procesy ve výuce. V nynějším systému je (přes dílčí zlepšení) kromě nedostatečného finančního ocenění práce nedostatečná také podpora učitelů, ředitelů a ostatních pedagogických pracovníků  a zejména pak jejich popdpra při zavádění úspěšných vzdělávacích inovací a jejich dalšího rozšiřování.  Značné je také množství regulačních procesů a administrativní zátěže ředitelů a učitelů, škol i poradenských pracovišť. </w:t>
            </w:r>
          </w:p>
          <w:p w14:paraId="1367CB2C" w14:textId="77777777" w:rsidR="00DD3EFA" w:rsidRPr="005A0E7C" w:rsidRDefault="00DD3EFA">
            <w:r w:rsidRPr="005A0E7C">
              <w:t>Výše uvedené problémy jsou hlavními příčinami absence atraktivity učitelského povolání, způsobujícími poměrně vysokou míru drop outu absolventů fakult připravujících učitele nastupujících do praxe škol a také častým důvodem nenastoupení do praxe učitele po absolvování pregraduální přípravy.</w:t>
            </w:r>
          </w:p>
        </w:tc>
        <w:tc>
          <w:tcPr>
            <w:tcW w:w="249" w:type="dxa"/>
            <w:tcBorders>
              <w:top w:val="nil"/>
              <w:bottom w:val="nil"/>
            </w:tcBorders>
            <w:shd w:val="clear" w:color="auto" w:fill="66CCFF"/>
          </w:tcPr>
          <w:p w14:paraId="0FEA1A6C" w14:textId="77777777" w:rsidR="00DD3EFA" w:rsidRPr="005A0E7C" w:rsidRDefault="00DD3EFA">
            <w:pPr>
              <w:rPr>
                <w:b/>
              </w:rPr>
            </w:pPr>
          </w:p>
        </w:tc>
      </w:tr>
      <w:tr w:rsidR="00DD3EFA" w:rsidRPr="005A0E7C" w14:paraId="2200F2F2" w14:textId="77777777" w:rsidTr="0066487B">
        <w:trPr>
          <w:trHeight w:val="1274"/>
        </w:trPr>
        <w:tc>
          <w:tcPr>
            <w:tcW w:w="249" w:type="dxa"/>
            <w:tcBorders>
              <w:top w:val="nil"/>
              <w:bottom w:val="nil"/>
            </w:tcBorders>
            <w:shd w:val="clear" w:color="auto" w:fill="66CCFF"/>
          </w:tcPr>
          <w:p w14:paraId="7AEFFC3B" w14:textId="77777777" w:rsidR="00DD3EFA" w:rsidRPr="005A0E7C" w:rsidRDefault="00DD3EFA">
            <w:pPr>
              <w:rPr>
                <w:b/>
              </w:rPr>
            </w:pPr>
          </w:p>
        </w:tc>
        <w:tc>
          <w:tcPr>
            <w:tcW w:w="2935" w:type="dxa"/>
            <w:tcBorders>
              <w:bottom w:val="single" w:sz="4" w:space="0" w:color="auto"/>
            </w:tcBorders>
            <w:shd w:val="clear" w:color="auto" w:fill="FFFFFF" w:themeFill="background1"/>
          </w:tcPr>
          <w:p w14:paraId="63AC5B18"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6099" w:type="dxa"/>
            <w:tcBorders>
              <w:bottom w:val="single" w:sz="4" w:space="0" w:color="auto"/>
            </w:tcBorders>
            <w:shd w:val="clear" w:color="auto" w:fill="FFFFFF" w:themeFill="background1"/>
          </w:tcPr>
          <w:p w14:paraId="662F84B4" w14:textId="37F491B4" w:rsidR="00DD3EFA" w:rsidRPr="005A0E7C" w:rsidRDefault="00DD3EFA">
            <w:r w:rsidRPr="005A0E7C">
              <w:t>Klíčovými předpoklady kvalitní výuky jsou kompetentní a motivovaní učitelé a akademičtí pracovníci.  Společnou charakteristikou vzdělávacích systémů obecně považovaných za úspěšné je významná pozornost věnovaná výběru, počáteční přípravě a průběžné profesní podpoře učitelů a ostatních pedagogických pracovníků. Školský systém v České republice se v oblasti vzdělávání, zaměstnávání a dalšího rozvoje učitelů stále potýká s řadou problémů. Jedním z nich je nízká atraktivita pedagogické, zejména pak učitelské profese v regionálním školství zapříčiněná nejen poměrně nízkými průměrnými platy (a to nejen v mezinárodním kontextu i ve srovnání s průměrem vysokoškolsky vzdělané populace v ČR), ale i dalšími faktory</w:t>
            </w:r>
            <w:r w:rsidR="0066487B" w:rsidRPr="005A0E7C">
              <w:t>,</w:t>
            </w:r>
            <w:r w:rsidRPr="005A0E7C">
              <w:t xml:space="preserve"> mezi něž patří kariérní řád, metodická a mentorská podpora atd. Situaci komplikují rovněž omezené možnosti kariérního postupu a rozšířené přesvědčení, že profese nenabízí dostatečné příležitosti k seberealizaci a odpovídající společenské uznání. Ačkoliv poslední období přineslo v kontextu reflexe otázky zvýšení platů poměrně dílčí zlepšení, je stále nutné relativní úroveň platů pedagogických pracovníků pozvednout na úroveň průměru zemí EU cestou výrazného růstu do roku 2024. Podpora pedagogických a akademických pracovníků v ČR nereflektuje zahraniční trendy podpory profesního rozvoje, které by zahrnovaly všechny oblasti profesionalizačního kontinua.</w:t>
            </w:r>
            <w:r w:rsidRPr="005A0E7C" w:rsidDel="00C12E21">
              <w:t xml:space="preserve"> </w:t>
            </w:r>
            <w:r w:rsidRPr="005A0E7C">
              <w:t>Součástí tohoto systému musí být také vytvoření podmínek pro rozvoj meziškolní spolupráce v rámci měst nebo regionů a k síťování škol, která je v současné době nedostatečná. Školy si často mezi sebou spíše konkurují, než aby spolupracovaly, což se odráží i ve vzájemné spolupráci. Řada škol pochopila kurikulární reformu jako pobídku ke specializaci, která jí přinese konkurenční výhody.</w:t>
            </w:r>
          </w:p>
          <w:p w14:paraId="4802D730" w14:textId="77777777" w:rsidR="00DD3EFA" w:rsidRPr="005A0E7C" w:rsidRDefault="00DD3EFA">
            <w:r w:rsidRPr="005A0E7C">
              <w:t>Specifickou je pak problematika řízení v oblasti vzdělávání. Po zrušení tzv. z odvětvového řízení školství a převedení zodpovědnosti za předškolní a základní vzdělávání na velké množství (často malých) zřizovatelů, je díky jejich celkově nízké kapacitě – personální, odborné atd. – poměrně obtížné zajistit účinnou implementaci kvality. Na tuto oblast proto cílí již intervence současného programového období. Vzhledem k systému řízení vzdělávacího systému a charakteru území vyznačujícího se dostupnou územní mobilitou a úzkou provázaností jednotlivých krajů je vhodné přistupovat k území celé České republiky jako k jednomu celku při respektování jeho specifických oblastí.</w:t>
            </w:r>
          </w:p>
          <w:p w14:paraId="3006388F" w14:textId="77777777" w:rsidR="00DD3EFA" w:rsidRPr="005A0E7C" w:rsidRDefault="00DD3EFA">
            <w:pPr>
              <w:rPr>
                <w:i/>
              </w:rPr>
            </w:pPr>
            <w:r w:rsidRPr="005A0E7C">
              <w:t>S nutnou revizí obsahů a zaměření studijních programů na vysokých školách souvisí i oblast způsobů a metod výuky. Kvalita výuky byla v posledním desetiletí upozaďována na úkor důrazu na tvůrčí činnost vysokých škol, což je zejména s ohledem k potřebám diverzifikované studentské populace neudržitelné. Efektivní systémy získávání a rozvoje pedagogických kompetencí doktorandů a akademických pracovníků na většině vysokých škol chybí. Vysokoškolská příprava je v současnosti nedostatečně zaměřena na rozvoj klíčových kompetencí, zejména kritického a kreativního myšlení, komunikačních a jazykových kompetencí a ICT kompetencí, je také nedostatečně rozvíjen interdisciplinární přístup při tvorbě kurikula. V návaznosti na tzv. čtvrtou průmyslovou revoluci se ukazuje, že studijní programy českých vysokých škol trpí přílišným důrazem na specifika konkrétního oboru a nerozvíjejí studenty v oblastech mimo hlavní specializaci.</w:t>
            </w:r>
          </w:p>
        </w:tc>
        <w:tc>
          <w:tcPr>
            <w:tcW w:w="249" w:type="dxa"/>
            <w:tcBorders>
              <w:top w:val="nil"/>
              <w:bottom w:val="nil"/>
            </w:tcBorders>
            <w:shd w:val="clear" w:color="auto" w:fill="66CCFF"/>
          </w:tcPr>
          <w:p w14:paraId="79B4A3E8" w14:textId="77777777" w:rsidR="00DD3EFA" w:rsidRPr="005A0E7C" w:rsidRDefault="00DD3EFA">
            <w:pPr>
              <w:rPr>
                <w:b/>
              </w:rPr>
            </w:pPr>
          </w:p>
        </w:tc>
      </w:tr>
      <w:tr w:rsidR="00DD3EFA" w:rsidRPr="005A0E7C" w14:paraId="3AD508A7" w14:textId="77777777" w:rsidTr="0066487B">
        <w:trPr>
          <w:trHeight w:val="1274"/>
        </w:trPr>
        <w:tc>
          <w:tcPr>
            <w:tcW w:w="249" w:type="dxa"/>
            <w:tcBorders>
              <w:top w:val="nil"/>
              <w:bottom w:val="nil"/>
            </w:tcBorders>
            <w:shd w:val="clear" w:color="auto" w:fill="66CCFF"/>
          </w:tcPr>
          <w:p w14:paraId="1974E48A" w14:textId="77777777" w:rsidR="00DD3EFA" w:rsidRPr="005A0E7C" w:rsidRDefault="00DD3EFA">
            <w:pPr>
              <w:rPr>
                <w:b/>
              </w:rPr>
            </w:pPr>
          </w:p>
        </w:tc>
        <w:tc>
          <w:tcPr>
            <w:tcW w:w="2935" w:type="dxa"/>
            <w:tcBorders>
              <w:bottom w:val="single" w:sz="4" w:space="0" w:color="auto"/>
            </w:tcBorders>
            <w:shd w:val="clear" w:color="auto" w:fill="FFFFFF" w:themeFill="background1"/>
          </w:tcPr>
          <w:p w14:paraId="34704592"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5229B7CC"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257CEB12" w14:textId="547E504A" w:rsidR="00DD3EFA" w:rsidRPr="005A0E7C" w:rsidRDefault="00DD3EFA" w:rsidP="00B15ECB">
            <w:pPr>
              <w:spacing w:before="60" w:after="60"/>
              <w:rPr>
                <w:rFonts w:eastAsiaTheme="majorEastAsia"/>
              </w:rPr>
            </w:pPr>
            <w:r w:rsidRPr="005A0E7C">
              <w:rPr>
                <w:rFonts w:eastAsiaTheme="majorEastAsia"/>
              </w:rPr>
              <w:t xml:space="preserve">Zvýšení pedagogických i odborných kompetencí pedagogických a akademických  pracovníků na všech typech a stupních škol. Cílem je, aby pedagogičtí i </w:t>
            </w:r>
            <w:r w:rsidR="0066487B" w:rsidRPr="005A0E7C">
              <w:rPr>
                <w:rFonts w:eastAsiaTheme="majorEastAsia"/>
              </w:rPr>
              <w:t>akademičtí</w:t>
            </w:r>
            <w:r w:rsidRPr="005A0E7C">
              <w:rPr>
                <w:rFonts w:eastAsiaTheme="majorEastAsia"/>
              </w:rPr>
              <w:t xml:space="preserve"> pracovníci využívali nové metody a formy výuky, dle </w:t>
            </w:r>
            <w:r w:rsidR="0066487B" w:rsidRPr="005A0E7C">
              <w:rPr>
                <w:rFonts w:eastAsiaTheme="majorEastAsia"/>
              </w:rPr>
              <w:t>individuálních</w:t>
            </w:r>
            <w:r w:rsidRPr="005A0E7C">
              <w:rPr>
                <w:rFonts w:eastAsiaTheme="majorEastAsia"/>
              </w:rPr>
              <w:t xml:space="preserve"> potřeb dětí, žáků a studentů a dosahovali tak lepších vzdělávacích výsledků svých žáků a studentů, což ve svém důsledku povede ke snížení míry předčasného </w:t>
            </w:r>
            <w:r w:rsidR="0066487B" w:rsidRPr="005A0E7C">
              <w:rPr>
                <w:rFonts w:eastAsiaTheme="majorEastAsia"/>
              </w:rPr>
              <w:t>ukončování</w:t>
            </w:r>
            <w:r w:rsidRPr="005A0E7C">
              <w:rPr>
                <w:rFonts w:eastAsiaTheme="majorEastAsia"/>
              </w:rPr>
              <w:t xml:space="preserve"> vzdělávání na základních, středních i vysokých školách.</w:t>
            </w:r>
          </w:p>
        </w:tc>
        <w:tc>
          <w:tcPr>
            <w:tcW w:w="249" w:type="dxa"/>
            <w:tcBorders>
              <w:top w:val="nil"/>
              <w:bottom w:val="nil"/>
            </w:tcBorders>
            <w:shd w:val="clear" w:color="auto" w:fill="66CCFF"/>
          </w:tcPr>
          <w:p w14:paraId="4452E2D6" w14:textId="77777777" w:rsidR="00DD3EFA" w:rsidRPr="005A0E7C" w:rsidRDefault="00DD3EFA">
            <w:pPr>
              <w:rPr>
                <w:b/>
              </w:rPr>
            </w:pPr>
          </w:p>
        </w:tc>
      </w:tr>
      <w:tr w:rsidR="00DD3EFA" w:rsidRPr="005A0E7C" w14:paraId="5398E59B" w14:textId="77777777" w:rsidTr="0066487B">
        <w:trPr>
          <w:trHeight w:val="1274"/>
        </w:trPr>
        <w:tc>
          <w:tcPr>
            <w:tcW w:w="249" w:type="dxa"/>
            <w:tcBorders>
              <w:top w:val="nil"/>
              <w:bottom w:val="nil"/>
            </w:tcBorders>
            <w:shd w:val="clear" w:color="auto" w:fill="66CCFF"/>
          </w:tcPr>
          <w:p w14:paraId="19B9D180" w14:textId="77777777" w:rsidR="00DD3EFA" w:rsidRPr="005A0E7C" w:rsidRDefault="00DD3EFA">
            <w:pPr>
              <w:rPr>
                <w:b/>
              </w:rPr>
            </w:pPr>
          </w:p>
        </w:tc>
        <w:tc>
          <w:tcPr>
            <w:tcW w:w="2935" w:type="dxa"/>
            <w:tcBorders>
              <w:bottom w:val="single" w:sz="4" w:space="0" w:color="auto"/>
            </w:tcBorders>
            <w:shd w:val="clear" w:color="auto" w:fill="FFFFFF" w:themeFill="background1"/>
          </w:tcPr>
          <w:p w14:paraId="08A6E562"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05BA97D4"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6099" w:type="dxa"/>
            <w:tcBorders>
              <w:bottom w:val="single" w:sz="4" w:space="0" w:color="auto"/>
            </w:tcBorders>
            <w:shd w:val="clear" w:color="auto" w:fill="FFFFFF" w:themeFill="background1"/>
          </w:tcPr>
          <w:p w14:paraId="625F4E78" w14:textId="77777777" w:rsidR="00DD3EFA" w:rsidRPr="005A0E7C" w:rsidRDefault="00DD3EFA">
            <w:r w:rsidRPr="005A0E7C">
              <w:t>Očekávané výsledky/dopady intervencí:</w:t>
            </w:r>
          </w:p>
          <w:p w14:paraId="7D52431B"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t>Zvýšení podílu akademických pracovníků, kteří v praxi využívají získané zahraniční zkušenosti.</w:t>
            </w:r>
          </w:p>
          <w:p w14:paraId="57E56A21"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t>Zvýšení podílu pedagogických a akademických pracovníků, kteří v praxi uplatňují nové metody a formy výuky s akcentem na práci s heterogenním kolektivem dětí, žáků a studentů.</w:t>
            </w:r>
          </w:p>
          <w:p w14:paraId="17254FA1"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rPr>
                <w:rFonts w:eastAsiaTheme="majorEastAsia"/>
              </w:rPr>
              <w:t>-Zvýšené podílu učitelů, zástupců ředitelů a začínajících učitelů využívajících od zahájení kariéry na škole standardně otevřené učební zdroje, včetně cizojazyčných, sledujících průběžně inovace v metodách a formách vzdělávání.</w:t>
            </w:r>
          </w:p>
          <w:p w14:paraId="0D6C8C96" w14:textId="77777777" w:rsidR="00DD3EFA" w:rsidRPr="005A0E7C" w:rsidRDefault="00DD3EFA" w:rsidP="00391907">
            <w:pPr>
              <w:pStyle w:val="Odstavecseseznamem"/>
              <w:numPr>
                <w:ilvl w:val="0"/>
                <w:numId w:val="23"/>
              </w:numPr>
              <w:spacing w:before="60" w:after="60" w:line="259" w:lineRule="auto"/>
              <w:jc w:val="both"/>
              <w:rPr>
                <w:rFonts w:eastAsiaTheme="majorEastAsia"/>
              </w:rPr>
            </w:pPr>
            <w:r w:rsidRPr="005A0E7C">
              <w:t>Komplexní zlepšení přípravy pedagogických pracovníků v rámci tzv. profesionalizačního kontinua zahrnujícího především kvalitní přípravné učitelské vzdělávání, které vede k využívání moderních vyučovacích metod, zajištění uvádění do učitelské profese a další vzdělávání a profesní rozvoj učitelů, včetně mentoringu a intenzivní spolupráce s praxí.</w:t>
            </w:r>
          </w:p>
        </w:tc>
        <w:tc>
          <w:tcPr>
            <w:tcW w:w="249" w:type="dxa"/>
            <w:tcBorders>
              <w:top w:val="nil"/>
              <w:bottom w:val="nil"/>
            </w:tcBorders>
            <w:shd w:val="clear" w:color="auto" w:fill="66CCFF"/>
          </w:tcPr>
          <w:p w14:paraId="185A19B5" w14:textId="77777777" w:rsidR="00DD3EFA" w:rsidRPr="005A0E7C" w:rsidRDefault="00DD3EFA">
            <w:pPr>
              <w:rPr>
                <w:b/>
              </w:rPr>
            </w:pPr>
          </w:p>
        </w:tc>
      </w:tr>
      <w:tr w:rsidR="00DD3EFA" w:rsidRPr="005A0E7C" w14:paraId="799521E6" w14:textId="77777777" w:rsidTr="0066487B">
        <w:trPr>
          <w:trHeight w:val="1274"/>
        </w:trPr>
        <w:tc>
          <w:tcPr>
            <w:tcW w:w="249" w:type="dxa"/>
            <w:tcBorders>
              <w:top w:val="nil"/>
              <w:bottom w:val="nil"/>
            </w:tcBorders>
            <w:shd w:val="clear" w:color="auto" w:fill="66CCFF"/>
          </w:tcPr>
          <w:p w14:paraId="2BAD55A2" w14:textId="77777777" w:rsidR="00DD3EFA" w:rsidRPr="005A0E7C" w:rsidRDefault="00DD3EFA">
            <w:pPr>
              <w:rPr>
                <w:b/>
              </w:rPr>
            </w:pPr>
          </w:p>
        </w:tc>
        <w:tc>
          <w:tcPr>
            <w:tcW w:w="2935" w:type="dxa"/>
            <w:tcBorders>
              <w:bottom w:val="single" w:sz="4" w:space="0" w:color="auto"/>
            </w:tcBorders>
            <w:shd w:val="clear" w:color="auto" w:fill="FFFFFF" w:themeFill="background1"/>
          </w:tcPr>
          <w:p w14:paraId="33BAF807"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6099" w:type="dxa"/>
            <w:tcBorders>
              <w:bottom w:val="single" w:sz="4" w:space="0" w:color="auto"/>
            </w:tcBorders>
            <w:shd w:val="clear" w:color="auto" w:fill="FFFFFF" w:themeFill="background1"/>
          </w:tcPr>
          <w:p w14:paraId="26C9E5A8" w14:textId="77777777" w:rsidR="00DD3EFA" w:rsidRPr="005A0E7C" w:rsidRDefault="00DD3EFA" w:rsidP="00B15ECB">
            <w:pPr>
              <w:spacing w:before="60" w:after="60"/>
              <w:rPr>
                <w:rFonts w:eastAsiaTheme="majorEastAsia"/>
                <w:u w:val="single"/>
              </w:rPr>
            </w:pPr>
            <w:r w:rsidRPr="005A0E7C">
              <w:t>S vysokou mírou pravděpodobnosti lze odhadnout, že předpokládaný procentní podíl ESIF na naplnění se pohybuje na úrovni přesahující 90 %.</w:t>
            </w:r>
          </w:p>
        </w:tc>
        <w:tc>
          <w:tcPr>
            <w:tcW w:w="249" w:type="dxa"/>
            <w:tcBorders>
              <w:top w:val="nil"/>
              <w:bottom w:val="nil"/>
            </w:tcBorders>
            <w:shd w:val="clear" w:color="auto" w:fill="66CCFF"/>
          </w:tcPr>
          <w:p w14:paraId="2A7C31F4" w14:textId="77777777" w:rsidR="00DD3EFA" w:rsidRPr="005A0E7C" w:rsidRDefault="00DD3EFA">
            <w:pPr>
              <w:rPr>
                <w:b/>
              </w:rPr>
            </w:pPr>
          </w:p>
        </w:tc>
      </w:tr>
      <w:tr w:rsidR="00DD3EFA" w:rsidRPr="005A0E7C" w14:paraId="6EF6AB74" w14:textId="77777777" w:rsidTr="0066487B">
        <w:trPr>
          <w:trHeight w:val="1274"/>
        </w:trPr>
        <w:tc>
          <w:tcPr>
            <w:tcW w:w="249" w:type="dxa"/>
            <w:tcBorders>
              <w:top w:val="nil"/>
              <w:bottom w:val="nil"/>
            </w:tcBorders>
            <w:shd w:val="clear" w:color="auto" w:fill="66CCFF"/>
          </w:tcPr>
          <w:p w14:paraId="69426099" w14:textId="77777777" w:rsidR="00DD3EFA" w:rsidRPr="005A0E7C" w:rsidRDefault="00DD3EFA">
            <w:pPr>
              <w:rPr>
                <w:b/>
              </w:rPr>
            </w:pPr>
          </w:p>
        </w:tc>
        <w:tc>
          <w:tcPr>
            <w:tcW w:w="2935" w:type="dxa"/>
            <w:tcBorders>
              <w:bottom w:val="single" w:sz="4" w:space="0" w:color="auto"/>
            </w:tcBorders>
            <w:shd w:val="clear" w:color="auto" w:fill="FFFFFF" w:themeFill="background1"/>
          </w:tcPr>
          <w:p w14:paraId="3280CB17"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6099" w:type="dxa"/>
            <w:tcBorders>
              <w:bottom w:val="single" w:sz="4" w:space="0" w:color="auto"/>
            </w:tcBorders>
            <w:shd w:val="clear" w:color="auto" w:fill="FFFFFF" w:themeFill="background1"/>
          </w:tcPr>
          <w:p w14:paraId="11FBEE5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Nové aktivity boudou vycházet zejména z evaluace a vyhodnocení intervencí z období 2014–2020 a plnění priorit, cílů a opatření strategických dokumentů.</w:t>
            </w:r>
          </w:p>
          <w:p w14:paraId="08F3A0A1"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Spíše než řešení dílčích problémů učitelské profese bude oproti stávajícímu programovému období cílem usilovat o podporu uceleného systému profesního rozvoje učitelů, který zahrnuje následující oblasti tzv. profesionalizačního kontinua: (a) získávání kvalitních zájemců o studium učitelství, (b) přípravné učitelské vzdělávání, (c) uvádění do učitelské profese, (d) další vzdělávání a profesní rozvoj učitelů. Pro posílení dalšího vzdělávání a metodické podpory pedagogických pracovníků a vedoucích pedagogických pracovníků je třeba v následujícím období více podporovat efektivní formy spolupráce, sdílení a vzájemné podpory pedagogů a také spoluprací a propojením s praxí.</w:t>
            </w:r>
          </w:p>
          <w:p w14:paraId="0566013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V oblasti vysokoškolského vzdělávání bude kladen primární důraz na kvalitu výuky prostřednictvím podpory dalšího vzdělávání akademických pracovníků, jejich systematické přípravy ve využívání nových metod a technologií ve výuce a získávání zkušeností ze zahraničí.</w:t>
            </w:r>
          </w:p>
        </w:tc>
        <w:tc>
          <w:tcPr>
            <w:tcW w:w="249" w:type="dxa"/>
            <w:tcBorders>
              <w:top w:val="nil"/>
              <w:bottom w:val="nil"/>
            </w:tcBorders>
            <w:shd w:val="clear" w:color="auto" w:fill="66CCFF"/>
          </w:tcPr>
          <w:p w14:paraId="3549E583" w14:textId="77777777" w:rsidR="00DD3EFA" w:rsidRPr="005A0E7C" w:rsidRDefault="00DD3EFA">
            <w:pPr>
              <w:rPr>
                <w:b/>
              </w:rPr>
            </w:pPr>
          </w:p>
        </w:tc>
      </w:tr>
      <w:tr w:rsidR="00DD3EFA" w:rsidRPr="005A0E7C" w14:paraId="35394943" w14:textId="77777777" w:rsidTr="0066487B">
        <w:trPr>
          <w:trHeight w:val="272"/>
        </w:trPr>
        <w:tc>
          <w:tcPr>
            <w:tcW w:w="249" w:type="dxa"/>
            <w:tcBorders>
              <w:top w:val="nil"/>
              <w:bottom w:val="nil"/>
              <w:right w:val="nil"/>
            </w:tcBorders>
            <w:shd w:val="clear" w:color="auto" w:fill="66CCFF"/>
          </w:tcPr>
          <w:p w14:paraId="081C6B51" w14:textId="77777777" w:rsidR="00DD3EFA" w:rsidRPr="005A0E7C" w:rsidRDefault="00DD3EFA">
            <w:pPr>
              <w:rPr>
                <w:b/>
              </w:rPr>
            </w:pPr>
          </w:p>
        </w:tc>
        <w:tc>
          <w:tcPr>
            <w:tcW w:w="2935" w:type="dxa"/>
            <w:tcBorders>
              <w:top w:val="single" w:sz="4" w:space="0" w:color="auto"/>
              <w:left w:val="nil"/>
              <w:bottom w:val="single" w:sz="4" w:space="0" w:color="auto"/>
              <w:right w:val="nil"/>
            </w:tcBorders>
            <w:shd w:val="clear" w:color="auto" w:fill="66CCFF"/>
          </w:tcPr>
          <w:p w14:paraId="454DC4BD" w14:textId="77777777" w:rsidR="00DD3EFA" w:rsidRPr="005A0E7C" w:rsidRDefault="00DD3EFA" w:rsidP="00B15ECB">
            <w:pPr>
              <w:spacing w:before="60" w:after="60"/>
              <w:rPr>
                <w:rFonts w:eastAsiaTheme="majorEastAsia"/>
                <w:b/>
              </w:rPr>
            </w:pPr>
          </w:p>
        </w:tc>
        <w:tc>
          <w:tcPr>
            <w:tcW w:w="6099" w:type="dxa"/>
            <w:tcBorders>
              <w:top w:val="single" w:sz="4" w:space="0" w:color="auto"/>
              <w:left w:val="nil"/>
              <w:bottom w:val="single" w:sz="4" w:space="0" w:color="auto"/>
              <w:right w:val="nil"/>
            </w:tcBorders>
            <w:shd w:val="clear" w:color="auto" w:fill="66CCFF"/>
          </w:tcPr>
          <w:p w14:paraId="538156FB"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23F2D099" w14:textId="77777777" w:rsidR="00DD3EFA" w:rsidRPr="005A0E7C" w:rsidRDefault="00DD3EFA">
            <w:pPr>
              <w:rPr>
                <w:b/>
              </w:rPr>
            </w:pPr>
          </w:p>
        </w:tc>
      </w:tr>
      <w:tr w:rsidR="00DD3EFA" w:rsidRPr="005A0E7C" w14:paraId="010C02CE" w14:textId="77777777" w:rsidTr="0066487B">
        <w:trPr>
          <w:trHeight w:val="835"/>
        </w:trPr>
        <w:tc>
          <w:tcPr>
            <w:tcW w:w="249" w:type="dxa"/>
            <w:tcBorders>
              <w:top w:val="nil"/>
              <w:bottom w:val="nil"/>
            </w:tcBorders>
            <w:shd w:val="clear" w:color="auto" w:fill="66CCFF"/>
          </w:tcPr>
          <w:p w14:paraId="71BC5459" w14:textId="77777777" w:rsidR="00DD3EFA" w:rsidRPr="005A0E7C" w:rsidRDefault="00DD3EFA">
            <w:pPr>
              <w:rPr>
                <w:b/>
              </w:rPr>
            </w:pPr>
          </w:p>
        </w:tc>
        <w:tc>
          <w:tcPr>
            <w:tcW w:w="2935" w:type="dxa"/>
            <w:tcBorders>
              <w:top w:val="single" w:sz="4" w:space="0" w:color="auto"/>
              <w:bottom w:val="single" w:sz="4" w:space="0" w:color="auto"/>
            </w:tcBorders>
            <w:shd w:val="clear" w:color="auto" w:fill="auto"/>
          </w:tcPr>
          <w:p w14:paraId="60FCBF55"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5B451A63" w14:textId="77777777" w:rsidR="00DD3EFA" w:rsidRPr="005A0E7C" w:rsidRDefault="00DD3EFA" w:rsidP="00B15ECB">
            <w:pPr>
              <w:spacing w:before="60" w:after="60"/>
              <w:rPr>
                <w:rFonts w:eastAsiaTheme="majorEastAsia"/>
                <w:b/>
              </w:rPr>
            </w:pPr>
          </w:p>
        </w:tc>
        <w:tc>
          <w:tcPr>
            <w:tcW w:w="6099" w:type="dxa"/>
            <w:tcBorders>
              <w:top w:val="single" w:sz="4" w:space="0" w:color="auto"/>
              <w:bottom w:val="single" w:sz="4" w:space="0" w:color="auto"/>
            </w:tcBorders>
            <w:shd w:val="clear" w:color="auto" w:fill="auto"/>
          </w:tcPr>
          <w:p w14:paraId="05122122" w14:textId="66464131" w:rsidR="00DD3EFA" w:rsidRPr="005A0E7C" w:rsidRDefault="00DD3EFA">
            <w:pPr>
              <w:spacing w:before="60" w:after="60"/>
            </w:pPr>
            <w:r w:rsidRPr="005A0E7C">
              <w:t>Klíčovým strategickým dokumentem v oblasti vzdělávací politiky ČR je v současnosti účinná Strategie vzdělávací politiky České republiky do roku 2020, která je</w:t>
            </w:r>
            <w:r w:rsidR="0066487B" w:rsidRPr="005A0E7C">
              <w:t xml:space="preserve"> prováděna dílčími koncepčními </w:t>
            </w:r>
            <w:r w:rsidRPr="005A0E7C">
              <w:t>implementačními dokumenty (Dlouhodobý záměr vzdělávání a rozvoje vzdělávací soustavy České republiky na období 2015-2020, Rámec rozvoje vysokého školství do roku 2020, Dlouhodobý záměr vzdělávací a vědecké, výzkumné, vývojové a inovační, umělecké a další tvůrčí činnosti pro oblast vysoký</w:t>
            </w:r>
            <w:r w:rsidR="0066487B" w:rsidRPr="005A0E7C">
              <w:t xml:space="preserve">ch škol na období 2016 – 2020, </w:t>
            </w:r>
            <w:r w:rsidRPr="005A0E7C">
              <w:t>Strategie digitálního vzdělávání do roku 2020, Akční plán inkluzivního vzdělávání 2019-2020 atd.).</w:t>
            </w:r>
          </w:p>
          <w:p w14:paraId="238DCEAC" w14:textId="6E3C1DC6" w:rsidR="00DD3EFA" w:rsidRPr="005A0E7C" w:rsidRDefault="00DD3EFA" w:rsidP="00B15ECB">
            <w:pPr>
              <w:spacing w:before="60" w:after="60"/>
            </w:pPr>
            <w:r w:rsidRPr="005A0E7C">
              <w:t xml:space="preserve">Strategie 2020 zahrnuje prioritu Podporovat kvalitní výuku a učitele jako její klíčový předpoklad a navazující dílčí cíle: Dokončit a zavést kariérní systém pro učitele a zlepšovat podmínky pro jejich práci, Modernizovat počáteční vzdělávání učitelů </w:t>
            </w:r>
            <w:r w:rsidR="0066487B" w:rsidRPr="005A0E7C">
              <w:t xml:space="preserve">a vstupní vzdělávání ředitelů, </w:t>
            </w:r>
            <w:r w:rsidRPr="005A0E7C">
              <w:t>Posílit další vzdělávání a metodickou podporu učitelů a ředitelů, Posílit význam kvalitní výuky ve vysokoškolském vzdělávání, Modernizovat systém hodnocení na úr</w:t>
            </w:r>
            <w:r w:rsidR="0066487B" w:rsidRPr="005A0E7C">
              <w:t xml:space="preserve">ovni dítěte, žáka a studenta a </w:t>
            </w:r>
            <w:r w:rsidRPr="005A0E7C">
              <w:t xml:space="preserve">Modernizovat hodnocení na úrovni školy a navazujících opatřeních, přičemž právě na tyto cíle </w:t>
            </w:r>
            <w:r w:rsidR="0066487B" w:rsidRPr="005A0E7C">
              <w:t>navazuje</w:t>
            </w:r>
            <w:r w:rsidRPr="005A0E7C">
              <w:t xml:space="preserve"> předmětný specifický cíl NKR: Zvýšení kompetencí a kvality pracovníků ve vzdělávání.</w:t>
            </w:r>
          </w:p>
        </w:tc>
        <w:tc>
          <w:tcPr>
            <w:tcW w:w="249" w:type="dxa"/>
            <w:tcBorders>
              <w:top w:val="nil"/>
              <w:bottom w:val="nil"/>
            </w:tcBorders>
            <w:shd w:val="clear" w:color="auto" w:fill="66CCFF"/>
          </w:tcPr>
          <w:p w14:paraId="123E749A" w14:textId="77777777" w:rsidR="00DD3EFA" w:rsidRPr="005A0E7C" w:rsidRDefault="00DD3EFA">
            <w:pPr>
              <w:rPr>
                <w:b/>
              </w:rPr>
            </w:pPr>
          </w:p>
        </w:tc>
      </w:tr>
      <w:tr w:rsidR="00DD3EFA" w:rsidRPr="005A0E7C" w14:paraId="2A670C12" w14:textId="77777777" w:rsidTr="0066487B">
        <w:trPr>
          <w:trHeight w:val="377"/>
        </w:trPr>
        <w:tc>
          <w:tcPr>
            <w:tcW w:w="249" w:type="dxa"/>
            <w:tcBorders>
              <w:top w:val="nil"/>
              <w:bottom w:val="nil"/>
              <w:right w:val="nil"/>
            </w:tcBorders>
            <w:shd w:val="clear" w:color="auto" w:fill="66CCFF"/>
          </w:tcPr>
          <w:p w14:paraId="44D4378E" w14:textId="77777777" w:rsidR="00DD3EFA" w:rsidRPr="005A0E7C" w:rsidRDefault="00DD3EFA">
            <w:pPr>
              <w:rPr>
                <w:b/>
              </w:rPr>
            </w:pPr>
          </w:p>
        </w:tc>
        <w:tc>
          <w:tcPr>
            <w:tcW w:w="2935" w:type="dxa"/>
            <w:tcBorders>
              <w:top w:val="single" w:sz="4" w:space="0" w:color="auto"/>
              <w:left w:val="nil"/>
              <w:bottom w:val="single" w:sz="4" w:space="0" w:color="auto"/>
              <w:right w:val="nil"/>
            </w:tcBorders>
            <w:shd w:val="clear" w:color="auto" w:fill="66CCFF"/>
          </w:tcPr>
          <w:p w14:paraId="1C642E90" w14:textId="77777777" w:rsidR="00DD3EFA" w:rsidRPr="005A0E7C" w:rsidRDefault="00DD3EFA" w:rsidP="00B15ECB">
            <w:pPr>
              <w:spacing w:before="60" w:after="60"/>
              <w:rPr>
                <w:rFonts w:eastAsiaTheme="majorEastAsia"/>
                <w:b/>
              </w:rPr>
            </w:pPr>
          </w:p>
        </w:tc>
        <w:tc>
          <w:tcPr>
            <w:tcW w:w="6099" w:type="dxa"/>
            <w:tcBorders>
              <w:top w:val="single" w:sz="4" w:space="0" w:color="auto"/>
              <w:left w:val="nil"/>
              <w:bottom w:val="single" w:sz="4" w:space="0" w:color="auto"/>
              <w:right w:val="nil"/>
            </w:tcBorders>
            <w:shd w:val="clear" w:color="auto" w:fill="66CCFF"/>
          </w:tcPr>
          <w:p w14:paraId="4A5AFF70"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20063D36" w14:textId="77777777" w:rsidR="00DD3EFA" w:rsidRPr="005A0E7C" w:rsidRDefault="00DD3EFA">
            <w:pPr>
              <w:rPr>
                <w:b/>
              </w:rPr>
            </w:pPr>
          </w:p>
        </w:tc>
      </w:tr>
      <w:tr w:rsidR="00DD3EFA" w:rsidRPr="005A0E7C" w14:paraId="3A113149" w14:textId="77777777" w:rsidTr="0066487B">
        <w:trPr>
          <w:trHeight w:val="1202"/>
        </w:trPr>
        <w:tc>
          <w:tcPr>
            <w:tcW w:w="249" w:type="dxa"/>
            <w:tcBorders>
              <w:top w:val="nil"/>
              <w:bottom w:val="nil"/>
            </w:tcBorders>
            <w:shd w:val="clear" w:color="auto" w:fill="66CCFF"/>
          </w:tcPr>
          <w:p w14:paraId="4E46E501" w14:textId="77777777" w:rsidR="00DD3EFA" w:rsidRPr="005A0E7C" w:rsidRDefault="00DD3EFA">
            <w:pPr>
              <w:rPr>
                <w:b/>
              </w:rPr>
            </w:pPr>
          </w:p>
        </w:tc>
        <w:tc>
          <w:tcPr>
            <w:tcW w:w="9038" w:type="dxa"/>
            <w:gridSpan w:val="2"/>
            <w:tcBorders>
              <w:top w:val="single" w:sz="4" w:space="0" w:color="auto"/>
              <w:bottom w:val="single" w:sz="4" w:space="0" w:color="auto"/>
            </w:tcBorders>
            <w:shd w:val="clear" w:color="auto" w:fill="FFFFFF" w:themeFill="background1"/>
          </w:tcPr>
          <w:p w14:paraId="10CC48BC"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080F00F5"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2A4745F" w14:textId="77777777" w:rsidR="00DD3EFA" w:rsidRPr="005A0E7C" w:rsidRDefault="00DD3EFA">
            <w:pPr>
              <w:rPr>
                <w:b/>
              </w:rPr>
            </w:pPr>
          </w:p>
        </w:tc>
      </w:tr>
      <w:tr w:rsidR="00DD3EFA" w:rsidRPr="005A0E7C" w14:paraId="277DC97E" w14:textId="77777777" w:rsidTr="0066487B">
        <w:trPr>
          <w:trHeight w:val="1202"/>
        </w:trPr>
        <w:tc>
          <w:tcPr>
            <w:tcW w:w="249" w:type="dxa"/>
            <w:tcBorders>
              <w:top w:val="nil"/>
              <w:bottom w:val="nil"/>
            </w:tcBorders>
            <w:shd w:val="clear" w:color="auto" w:fill="66CCFF"/>
          </w:tcPr>
          <w:p w14:paraId="409C9004" w14:textId="77777777" w:rsidR="00DD3EFA" w:rsidRPr="005A0E7C" w:rsidRDefault="00DD3EFA">
            <w:pPr>
              <w:rPr>
                <w:b/>
              </w:rPr>
            </w:pPr>
          </w:p>
        </w:tc>
        <w:tc>
          <w:tcPr>
            <w:tcW w:w="2935" w:type="dxa"/>
            <w:tcBorders>
              <w:bottom w:val="single" w:sz="4" w:space="0" w:color="auto"/>
            </w:tcBorders>
            <w:shd w:val="clear" w:color="auto" w:fill="FFFFFF" w:themeFill="background1"/>
          </w:tcPr>
          <w:p w14:paraId="514DC2C4"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Územní dimenze</w:t>
            </w:r>
          </w:p>
          <w:p w14:paraId="2F35C6D3"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3D195C87" w14:textId="77777777" w:rsidR="00DD3EFA" w:rsidRPr="005A0E7C" w:rsidRDefault="00DD3EFA">
            <w:r w:rsidRPr="005A0E7C">
              <w:t xml:space="preserve">V oblasti vysokých škol není územní dimenze pro tento specifický cíl relevantní, podpora by měla být směřována do všech krajů. </w:t>
            </w:r>
          </w:p>
          <w:p w14:paraId="10FF72A6" w14:textId="77777777" w:rsidR="00DD3EFA" w:rsidRPr="005A0E7C" w:rsidRDefault="00DD3EFA">
            <w:r w:rsidRPr="005A0E7C">
              <w:t xml:space="preserve">V regionálním školství vykazují potřeby a problémy v oblasti nedostatku kapacit u pedagogických pracovníků stejné rysy, avšak míra jejich intenzity je krajově rozdílná, což je patrné i z šetřeních České školní inspekce a MŠMT. </w:t>
            </w:r>
          </w:p>
          <w:p w14:paraId="32DE0859" w14:textId="21479545" w:rsidR="00DD3EFA" w:rsidRPr="005A0E7C" w:rsidRDefault="00DD3EFA">
            <w:pPr>
              <w:rPr>
                <w:iCs/>
              </w:rPr>
            </w:pPr>
            <w:r w:rsidRPr="005A0E7C">
              <w:t xml:space="preserve">Mezikrajové rozdíly existují v oblasti kvalifikovanosti pedagogických pracovníků ve školách a také kvalitně </w:t>
            </w:r>
            <w:r w:rsidR="0066487B" w:rsidRPr="005A0E7C">
              <w:t>poskytované</w:t>
            </w:r>
            <w:r w:rsidRPr="005A0E7C">
              <w:t xml:space="preserve"> podpory učitelům, ať už v systému dalšího vzdělávání tak i metodického a mentorského vedení. Nejvyšší mírů nekvalifikovanosti pedagogických </w:t>
            </w:r>
            <w:r w:rsidR="0066487B" w:rsidRPr="005A0E7C">
              <w:t>pracovníků</w:t>
            </w:r>
            <w:r w:rsidRPr="005A0E7C">
              <w:t xml:space="preserve"> ve školách vykazuje dlouhodobě Karlovarský kraj, který jako jeden z mála krajů nemá na svém území vysokou školu nabízející studium vedoucí k výkonu regulované profese učitele. V </w:t>
            </w:r>
            <w:r w:rsidR="0066487B" w:rsidRPr="005A0E7C">
              <w:t>Karlovarském</w:t>
            </w:r>
            <w:r w:rsidRPr="005A0E7C">
              <w:t xml:space="preserve"> a Ústeckém kraji byla identifikována i vyšší nespokojenost učitel</w:t>
            </w:r>
            <w:r w:rsidR="0066487B" w:rsidRPr="005A0E7C">
              <w:t>ů</w:t>
            </w:r>
            <w:r w:rsidRPr="005A0E7C">
              <w:t xml:space="preserve"> s </w:t>
            </w:r>
            <w:r w:rsidR="0066487B" w:rsidRPr="005A0E7C">
              <w:t>kvalitou</w:t>
            </w:r>
            <w:r w:rsidRPr="005A0E7C">
              <w:t xml:space="preserve"> poskytovaného dalšího vzdělávání.</w:t>
            </w:r>
          </w:p>
        </w:tc>
        <w:tc>
          <w:tcPr>
            <w:tcW w:w="249" w:type="dxa"/>
            <w:tcBorders>
              <w:top w:val="nil"/>
              <w:bottom w:val="nil"/>
            </w:tcBorders>
            <w:shd w:val="clear" w:color="auto" w:fill="66CCFF"/>
          </w:tcPr>
          <w:p w14:paraId="0AF30119" w14:textId="77777777" w:rsidR="00DD3EFA" w:rsidRPr="005A0E7C" w:rsidRDefault="00DD3EFA">
            <w:pPr>
              <w:rPr>
                <w:b/>
              </w:rPr>
            </w:pPr>
          </w:p>
        </w:tc>
      </w:tr>
      <w:tr w:rsidR="00DD3EFA" w:rsidRPr="005A0E7C" w14:paraId="05C11A98" w14:textId="77777777" w:rsidTr="0066487B">
        <w:trPr>
          <w:trHeight w:val="1202"/>
        </w:trPr>
        <w:tc>
          <w:tcPr>
            <w:tcW w:w="249" w:type="dxa"/>
            <w:tcBorders>
              <w:top w:val="nil"/>
              <w:bottom w:val="nil"/>
            </w:tcBorders>
            <w:shd w:val="clear" w:color="auto" w:fill="66CCFF"/>
          </w:tcPr>
          <w:p w14:paraId="1FA79D19" w14:textId="77777777" w:rsidR="00DD3EFA" w:rsidRPr="005A0E7C" w:rsidRDefault="00DD3EFA">
            <w:pPr>
              <w:rPr>
                <w:b/>
              </w:rPr>
            </w:pPr>
          </w:p>
        </w:tc>
        <w:tc>
          <w:tcPr>
            <w:tcW w:w="2935" w:type="dxa"/>
            <w:tcBorders>
              <w:bottom w:val="single" w:sz="4" w:space="0" w:color="auto"/>
            </w:tcBorders>
            <w:shd w:val="clear" w:color="auto" w:fill="FFFFFF" w:themeFill="background1"/>
          </w:tcPr>
          <w:p w14:paraId="7C429601"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Adaptace na změnu klimatu</w:t>
            </w:r>
          </w:p>
          <w:p w14:paraId="2181A0F9"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050926A2" w14:textId="77777777" w:rsidR="00DD3EFA" w:rsidRPr="005A0E7C" w:rsidRDefault="00DD3EFA" w:rsidP="00B15ECB">
            <w:pPr>
              <w:spacing w:before="60" w:after="60"/>
              <w:rPr>
                <w:rFonts w:eastAsiaTheme="majorEastAsia"/>
              </w:rPr>
            </w:pPr>
            <w:r w:rsidRPr="005A0E7C">
              <w:rPr>
                <w:rFonts w:eastAsiaTheme="majorEastAsia"/>
              </w:rPr>
              <w:t>Aktivity specifického cíle budou vést k vyšším kompetencím pedagogů a akademiků v oblasti udržitelného rozvoje.</w:t>
            </w:r>
          </w:p>
        </w:tc>
        <w:tc>
          <w:tcPr>
            <w:tcW w:w="249" w:type="dxa"/>
            <w:tcBorders>
              <w:top w:val="nil"/>
              <w:bottom w:val="nil"/>
            </w:tcBorders>
            <w:shd w:val="clear" w:color="auto" w:fill="66CCFF"/>
          </w:tcPr>
          <w:p w14:paraId="4B1BD4D7" w14:textId="77777777" w:rsidR="00DD3EFA" w:rsidRPr="005A0E7C" w:rsidRDefault="00DD3EFA">
            <w:pPr>
              <w:rPr>
                <w:b/>
              </w:rPr>
            </w:pPr>
          </w:p>
        </w:tc>
      </w:tr>
      <w:tr w:rsidR="00DD3EFA" w:rsidRPr="005A0E7C" w14:paraId="2B435675" w14:textId="77777777" w:rsidTr="0066487B">
        <w:trPr>
          <w:trHeight w:val="1202"/>
        </w:trPr>
        <w:tc>
          <w:tcPr>
            <w:tcW w:w="249" w:type="dxa"/>
            <w:tcBorders>
              <w:top w:val="nil"/>
              <w:bottom w:val="nil"/>
            </w:tcBorders>
            <w:shd w:val="clear" w:color="auto" w:fill="66CCFF"/>
          </w:tcPr>
          <w:p w14:paraId="5C25EE91" w14:textId="77777777" w:rsidR="00DD3EFA" w:rsidRPr="005A0E7C" w:rsidRDefault="00DD3EFA">
            <w:pPr>
              <w:rPr>
                <w:b/>
              </w:rPr>
            </w:pPr>
          </w:p>
        </w:tc>
        <w:tc>
          <w:tcPr>
            <w:tcW w:w="2935" w:type="dxa"/>
            <w:tcBorders>
              <w:bottom w:val="single" w:sz="4" w:space="0" w:color="auto"/>
            </w:tcBorders>
            <w:shd w:val="clear" w:color="auto" w:fill="FFFFFF" w:themeFill="background1"/>
          </w:tcPr>
          <w:p w14:paraId="363E171B"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Společnost 4.0.</w:t>
            </w:r>
          </w:p>
          <w:p w14:paraId="070925E7"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04FFC026" w14:textId="77777777" w:rsidR="00DD3EFA" w:rsidRPr="005A0E7C" w:rsidRDefault="00DD3EFA">
            <w:r w:rsidRPr="005A0E7C">
              <w:t>Z hlediska agendy Společnosti 4.0 je v této podoblasti důležité podporovat učitele a akademické pracovníky ve vztahu k naplnění cílů Akčního plánu pro Společnost 4.0 v oblasti vzdělávání. Specificky je pak zapotřebí podporovat rozvoj digitálních kompetencí a informatického myšlení učitelů, rozvoj ICT infrastruktury ve školách a rozvoj inovativních modelů digitálního vzdělávání.</w:t>
            </w:r>
          </w:p>
        </w:tc>
        <w:tc>
          <w:tcPr>
            <w:tcW w:w="249" w:type="dxa"/>
            <w:tcBorders>
              <w:top w:val="nil"/>
              <w:bottom w:val="nil"/>
            </w:tcBorders>
            <w:shd w:val="clear" w:color="auto" w:fill="66CCFF"/>
          </w:tcPr>
          <w:p w14:paraId="627B323E" w14:textId="77777777" w:rsidR="00DD3EFA" w:rsidRPr="005A0E7C" w:rsidRDefault="00DD3EFA">
            <w:pPr>
              <w:rPr>
                <w:b/>
              </w:rPr>
            </w:pPr>
          </w:p>
        </w:tc>
      </w:tr>
      <w:tr w:rsidR="00DD3EFA" w:rsidRPr="005A0E7C" w14:paraId="54235002" w14:textId="77777777" w:rsidTr="0066487B">
        <w:trPr>
          <w:trHeight w:val="1202"/>
        </w:trPr>
        <w:tc>
          <w:tcPr>
            <w:tcW w:w="249" w:type="dxa"/>
            <w:tcBorders>
              <w:top w:val="nil"/>
              <w:bottom w:val="nil"/>
            </w:tcBorders>
            <w:shd w:val="clear" w:color="auto" w:fill="66CCFF"/>
          </w:tcPr>
          <w:p w14:paraId="5158897D" w14:textId="77777777" w:rsidR="00DD3EFA" w:rsidRPr="005A0E7C" w:rsidRDefault="00DD3EFA">
            <w:pPr>
              <w:rPr>
                <w:b/>
              </w:rPr>
            </w:pPr>
          </w:p>
        </w:tc>
        <w:tc>
          <w:tcPr>
            <w:tcW w:w="2935" w:type="dxa"/>
            <w:tcBorders>
              <w:bottom w:val="single" w:sz="4" w:space="0" w:color="auto"/>
            </w:tcBorders>
            <w:shd w:val="clear" w:color="auto" w:fill="FFFFFF" w:themeFill="background1"/>
          </w:tcPr>
          <w:p w14:paraId="4C9F6916"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Vazba na megatrendy</w:t>
            </w:r>
          </w:p>
          <w:p w14:paraId="1A8F4151"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04C98F7B" w14:textId="77777777" w:rsidR="00DD3EFA" w:rsidRPr="005A0E7C" w:rsidRDefault="00DD3EFA" w:rsidP="00B15ECB">
            <w:pPr>
              <w:spacing w:before="60" w:after="60"/>
              <w:rPr>
                <w:rFonts w:eastAsiaTheme="majorEastAsia"/>
              </w:rPr>
            </w:pPr>
            <w:r w:rsidRPr="005A0E7C">
              <w:t>Oblast spadající pod tento specifický cíl má přímou vazbu na všech 5 hlavních megatrendů, konkrétně Sociální, Technologický, Ekonomický, Environmentální a Politický. Zejména pak prostřednictvím oblastí, respektive trendů reagujících na demokratizaci společnosti, rostoucí nerovnosti, rostoucí přístup k informacím, snižování diskriminace, virtualizace světa a zvyšující se rychlost technologické změny.</w:t>
            </w:r>
          </w:p>
        </w:tc>
        <w:tc>
          <w:tcPr>
            <w:tcW w:w="249" w:type="dxa"/>
            <w:tcBorders>
              <w:top w:val="nil"/>
              <w:bottom w:val="nil"/>
            </w:tcBorders>
            <w:shd w:val="clear" w:color="auto" w:fill="66CCFF"/>
          </w:tcPr>
          <w:p w14:paraId="439206FF" w14:textId="77777777" w:rsidR="00DD3EFA" w:rsidRPr="005A0E7C" w:rsidRDefault="00DD3EFA">
            <w:pPr>
              <w:rPr>
                <w:b/>
              </w:rPr>
            </w:pPr>
          </w:p>
        </w:tc>
      </w:tr>
      <w:tr w:rsidR="00DD3EFA" w:rsidRPr="005A0E7C" w14:paraId="76C5144F" w14:textId="77777777" w:rsidTr="0066487B">
        <w:trPr>
          <w:trHeight w:val="1202"/>
        </w:trPr>
        <w:tc>
          <w:tcPr>
            <w:tcW w:w="249" w:type="dxa"/>
            <w:tcBorders>
              <w:top w:val="nil"/>
              <w:bottom w:val="nil"/>
            </w:tcBorders>
            <w:shd w:val="clear" w:color="auto" w:fill="66CCFF"/>
          </w:tcPr>
          <w:p w14:paraId="69C141BA" w14:textId="77777777" w:rsidR="00DD3EFA" w:rsidRPr="005A0E7C" w:rsidRDefault="00DD3EFA">
            <w:pPr>
              <w:rPr>
                <w:b/>
              </w:rPr>
            </w:pPr>
          </w:p>
        </w:tc>
        <w:tc>
          <w:tcPr>
            <w:tcW w:w="2935" w:type="dxa"/>
            <w:tcBorders>
              <w:bottom w:val="single" w:sz="4" w:space="0" w:color="auto"/>
            </w:tcBorders>
            <w:shd w:val="clear" w:color="auto" w:fill="FFFFFF" w:themeFill="background1"/>
          </w:tcPr>
          <w:p w14:paraId="36037714"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politické cíle ON, specifické cíle nařízení k jednotlivým relevantním fondům</w:t>
            </w:r>
          </w:p>
        </w:tc>
        <w:tc>
          <w:tcPr>
            <w:tcW w:w="6099" w:type="dxa"/>
            <w:tcBorders>
              <w:bottom w:val="single" w:sz="4" w:space="0" w:color="auto"/>
            </w:tcBorders>
            <w:shd w:val="clear" w:color="auto" w:fill="FFFFFF" w:themeFill="background1"/>
          </w:tcPr>
          <w:p w14:paraId="3DFC136E" w14:textId="77777777" w:rsidR="00DD3EFA" w:rsidRPr="005A0E7C" w:rsidRDefault="00DD3EFA" w:rsidP="00B15ECB">
            <w:pPr>
              <w:spacing w:before="60" w:after="60"/>
              <w:rPr>
                <w:rFonts w:eastAsiaTheme="majorEastAsia"/>
                <w:b/>
              </w:rPr>
            </w:pPr>
            <w:r w:rsidRPr="005A0E7C">
              <w:rPr>
                <w:rFonts w:eastAsiaTheme="majorEastAsia"/>
                <w:b/>
              </w:rPr>
              <w:t>Politický cíl ON:</w:t>
            </w:r>
          </w:p>
          <w:p w14:paraId="0A8242A6" w14:textId="4AB99D51" w:rsidR="00DD3EFA" w:rsidRPr="005A0E7C" w:rsidRDefault="00DD3EFA" w:rsidP="00B15ECB">
            <w:pPr>
              <w:spacing w:before="60" w:after="60"/>
              <w:rPr>
                <w:rFonts w:eastAsiaTheme="majorEastAsia"/>
              </w:rPr>
            </w:pPr>
            <w:r w:rsidRPr="005A0E7C">
              <w:rPr>
                <w:rFonts w:eastAsiaTheme="majorEastAsia"/>
              </w:rPr>
              <w:t xml:space="preserve">Sociálnější Evropa díky provádějí </w:t>
            </w:r>
            <w:r w:rsidR="0066487B" w:rsidRPr="005A0E7C">
              <w:rPr>
                <w:rFonts w:eastAsiaTheme="majorEastAsia"/>
              </w:rPr>
              <w:t>evropského</w:t>
            </w:r>
            <w:r w:rsidRPr="005A0E7C">
              <w:rPr>
                <w:rFonts w:eastAsiaTheme="majorEastAsia"/>
              </w:rPr>
              <w:t xml:space="preserve"> pilíře sociálních práv</w:t>
            </w:r>
          </w:p>
          <w:p w14:paraId="42438C0F" w14:textId="77777777" w:rsidR="00DD3EFA" w:rsidRPr="005A0E7C" w:rsidRDefault="00DD3EFA" w:rsidP="00B15ECB">
            <w:pPr>
              <w:spacing w:before="60" w:after="60"/>
              <w:rPr>
                <w:rFonts w:eastAsiaTheme="majorEastAsia"/>
                <w:b/>
              </w:rPr>
            </w:pPr>
            <w:r w:rsidRPr="005A0E7C">
              <w:rPr>
                <w:rFonts w:eastAsiaTheme="majorEastAsia"/>
                <w:b/>
              </w:rPr>
              <w:t>Specifické cíle ESF+:</w:t>
            </w:r>
          </w:p>
          <w:p w14:paraId="3460E64E" w14:textId="77777777" w:rsidR="00DD3EFA" w:rsidRPr="005A0E7C" w:rsidRDefault="00DD3EFA" w:rsidP="00B15ECB">
            <w:pPr>
              <w:spacing w:before="60" w:after="60"/>
              <w:rPr>
                <w:rFonts w:eastAsiaTheme="majorEastAsia"/>
              </w:rPr>
            </w:pPr>
            <w:r w:rsidRPr="005A0E7C">
              <w:rPr>
                <w:rFonts w:eastAsiaTheme="majorEastAsia"/>
              </w:rPr>
              <w:t>IV) zvýšit kvalitu, účinnost a relevantnost systémů vzdělávání a odborné přípravy na trhu práce, aby se podařilo získávání klíčových kompetencí včetně digitálních dovedností</w:t>
            </w:r>
          </w:p>
          <w:p w14:paraId="0470036C" w14:textId="2F9AD392" w:rsidR="00DD3EFA" w:rsidRPr="005A0E7C" w:rsidRDefault="00DD3EFA" w:rsidP="00B15ECB">
            <w:pPr>
              <w:spacing w:before="60" w:after="60"/>
              <w:rPr>
                <w:rFonts w:eastAsiaTheme="majorEastAsia"/>
              </w:rPr>
            </w:pPr>
            <w:r w:rsidRPr="005A0E7C">
              <w:rPr>
                <w:rFonts w:eastAsiaTheme="majorEastAsia"/>
              </w:rPr>
              <w:t xml:space="preserve">V) podporovat rovný přístup ke kvalitnímu a inkluzivnímu vzdělávání a odborné přípravy a jejich úspěšnému ukončení, a to zejména pro znevýhodněné skupiny, od předškolního vzdělávání a péče, přes všeobecné vzdělávání a odborné vzdělávání a přípravu až po terciární úroveň, jakož i vzdělávání a </w:t>
            </w:r>
            <w:r w:rsidR="0066487B" w:rsidRPr="005A0E7C">
              <w:rPr>
                <w:rFonts w:eastAsiaTheme="majorEastAsia"/>
              </w:rPr>
              <w:t>studium</w:t>
            </w:r>
            <w:r w:rsidRPr="005A0E7C">
              <w:rPr>
                <w:rFonts w:eastAsiaTheme="majorEastAsia"/>
              </w:rPr>
              <w:t xml:space="preserve"> dospělých včetně usnadnění vzdělávací mobility pro všechny</w:t>
            </w:r>
          </w:p>
          <w:p w14:paraId="58400BD7" w14:textId="77777777" w:rsidR="00DD3EFA" w:rsidRPr="005A0E7C" w:rsidRDefault="00DD3EFA" w:rsidP="00B15ECB">
            <w:pPr>
              <w:spacing w:before="60" w:after="60"/>
              <w:rPr>
                <w:rFonts w:eastAsiaTheme="majorEastAsia"/>
                <w:i/>
              </w:rPr>
            </w:pPr>
            <w:r w:rsidRPr="005A0E7C">
              <w:rPr>
                <w:rFonts w:eastAsiaTheme="majorEastAsia"/>
              </w:rPr>
              <w:t>VI) podporovat celoživotní učení, zejména flexibilní možnosti rozšiřování dovedností a rekvalifikace pro všechny s ohledem na digitální dovednosti, lépe předvídat změny a nové požadavky na dovednosti vycházející z potřeb trhu práce, usnadnit přechody mezi zaměstnáními a podporovat profesní mobilitu.</w:t>
            </w:r>
          </w:p>
        </w:tc>
        <w:tc>
          <w:tcPr>
            <w:tcW w:w="249" w:type="dxa"/>
            <w:tcBorders>
              <w:top w:val="nil"/>
              <w:bottom w:val="nil"/>
            </w:tcBorders>
            <w:shd w:val="clear" w:color="auto" w:fill="66CCFF"/>
          </w:tcPr>
          <w:p w14:paraId="2C132D7E" w14:textId="77777777" w:rsidR="00DD3EFA" w:rsidRPr="005A0E7C" w:rsidRDefault="00DD3EFA">
            <w:pPr>
              <w:rPr>
                <w:b/>
              </w:rPr>
            </w:pPr>
          </w:p>
        </w:tc>
      </w:tr>
      <w:tr w:rsidR="00DD3EFA" w:rsidRPr="005A0E7C" w14:paraId="5360B77F" w14:textId="77777777" w:rsidTr="0066487B">
        <w:trPr>
          <w:trHeight w:val="1202"/>
        </w:trPr>
        <w:tc>
          <w:tcPr>
            <w:tcW w:w="249" w:type="dxa"/>
            <w:tcBorders>
              <w:top w:val="nil"/>
              <w:bottom w:val="nil"/>
            </w:tcBorders>
            <w:shd w:val="clear" w:color="auto" w:fill="66CCFF"/>
          </w:tcPr>
          <w:p w14:paraId="01A91D3A" w14:textId="77777777" w:rsidR="00DD3EFA" w:rsidRPr="005A0E7C" w:rsidRDefault="00DD3EFA">
            <w:pPr>
              <w:rPr>
                <w:b/>
              </w:rPr>
            </w:pPr>
          </w:p>
        </w:tc>
        <w:tc>
          <w:tcPr>
            <w:tcW w:w="2935" w:type="dxa"/>
            <w:tcBorders>
              <w:bottom w:val="single" w:sz="4" w:space="0" w:color="auto"/>
            </w:tcBorders>
            <w:shd w:val="clear" w:color="auto" w:fill="FFFFFF" w:themeFill="background1"/>
          </w:tcPr>
          <w:p w14:paraId="4FD2FDBB"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SDR</w:t>
            </w:r>
          </w:p>
        </w:tc>
        <w:tc>
          <w:tcPr>
            <w:tcW w:w="6099" w:type="dxa"/>
            <w:tcBorders>
              <w:bottom w:val="single" w:sz="4" w:space="0" w:color="auto"/>
            </w:tcBorders>
            <w:shd w:val="clear" w:color="auto" w:fill="FFFFFF" w:themeFill="background1"/>
          </w:tcPr>
          <w:p w14:paraId="6C5CC998" w14:textId="77777777" w:rsidR="00DD3EFA" w:rsidRPr="005A0E7C" w:rsidRDefault="00DD3EFA" w:rsidP="00B15ECB">
            <w:pPr>
              <w:rPr>
                <w:rFonts w:eastAsiaTheme="majorEastAsia"/>
                <w:i/>
              </w:rPr>
            </w:pPr>
            <w:r w:rsidRPr="005A0E7C">
              <w:t>Cíl přímo řeší specifické doporučení rady se vztahem k pedagogům a jejich kvalifikaci viz následující doporučení. „Nedostatek kvalifikovaných učitelů spolu s demografickými projekcemi naznačuje, že by mohlo být stále obtížnější získávat a udržet si pedagogické pracovníky.</w:t>
            </w:r>
            <w:r w:rsidRPr="005A0E7C">
              <w:rPr>
                <w:rFonts w:eastAsiaTheme="majorEastAsia"/>
                <w:i/>
              </w:rPr>
              <w:t xml:space="preserve"> </w:t>
            </w:r>
            <w:r w:rsidRPr="005A0E7C">
              <w:t xml:space="preserve">Plánovaný kariérní řád pro učitele, který by provázal jejich další profesní rozvoj, kariérní postup a platy, Parlament nepřijal. Platy učitelů zůstávají ve srovnání s platy jiných pracovníků s terciárním vzděláním na nízké úrovni, i když v nadcházejících letech se předpokládá jejich další růst. Učitelské povolání je tudíž pro talentované mladé lidi i nadále poměrně málo atraktivní.“ </w:t>
            </w:r>
          </w:p>
        </w:tc>
        <w:tc>
          <w:tcPr>
            <w:tcW w:w="249" w:type="dxa"/>
            <w:tcBorders>
              <w:top w:val="nil"/>
              <w:bottom w:val="nil"/>
            </w:tcBorders>
            <w:shd w:val="clear" w:color="auto" w:fill="66CCFF"/>
          </w:tcPr>
          <w:p w14:paraId="3EAECFA5" w14:textId="77777777" w:rsidR="00DD3EFA" w:rsidRPr="005A0E7C" w:rsidRDefault="00DD3EFA">
            <w:pPr>
              <w:rPr>
                <w:b/>
              </w:rPr>
            </w:pPr>
          </w:p>
        </w:tc>
      </w:tr>
      <w:tr w:rsidR="00DD3EFA" w:rsidRPr="005A0E7C" w14:paraId="52618B3F" w14:textId="77777777" w:rsidTr="0066487B">
        <w:trPr>
          <w:trHeight w:val="180"/>
        </w:trPr>
        <w:tc>
          <w:tcPr>
            <w:tcW w:w="249" w:type="dxa"/>
            <w:tcBorders>
              <w:top w:val="nil"/>
              <w:bottom w:val="nil"/>
              <w:right w:val="nil"/>
            </w:tcBorders>
            <w:shd w:val="clear" w:color="auto" w:fill="66CCFF"/>
          </w:tcPr>
          <w:p w14:paraId="406C52B6" w14:textId="77777777" w:rsidR="00DD3EFA" w:rsidRPr="005A0E7C" w:rsidRDefault="00DD3EFA">
            <w:pPr>
              <w:rPr>
                <w:b/>
              </w:rPr>
            </w:pPr>
          </w:p>
        </w:tc>
        <w:tc>
          <w:tcPr>
            <w:tcW w:w="2935" w:type="dxa"/>
            <w:tcBorders>
              <w:left w:val="nil"/>
              <w:right w:val="nil"/>
            </w:tcBorders>
            <w:shd w:val="clear" w:color="auto" w:fill="66CCFF"/>
          </w:tcPr>
          <w:p w14:paraId="16ADE636" w14:textId="77777777" w:rsidR="00DD3EFA" w:rsidRPr="005A0E7C" w:rsidRDefault="00DD3EFA" w:rsidP="00B15ECB">
            <w:pPr>
              <w:rPr>
                <w:b/>
              </w:rPr>
            </w:pPr>
          </w:p>
        </w:tc>
        <w:tc>
          <w:tcPr>
            <w:tcW w:w="6099" w:type="dxa"/>
            <w:tcBorders>
              <w:left w:val="nil"/>
              <w:right w:val="nil"/>
            </w:tcBorders>
            <w:shd w:val="clear" w:color="auto" w:fill="66CCFF"/>
          </w:tcPr>
          <w:p w14:paraId="28657425" w14:textId="77777777" w:rsidR="00DD3EFA" w:rsidRPr="005A0E7C" w:rsidRDefault="00DD3EFA" w:rsidP="00B15ECB">
            <w:pPr>
              <w:rPr>
                <w:b/>
              </w:rPr>
            </w:pPr>
          </w:p>
        </w:tc>
        <w:tc>
          <w:tcPr>
            <w:tcW w:w="249" w:type="dxa"/>
            <w:tcBorders>
              <w:top w:val="nil"/>
              <w:left w:val="nil"/>
              <w:bottom w:val="nil"/>
            </w:tcBorders>
            <w:shd w:val="clear" w:color="auto" w:fill="66CCFF"/>
          </w:tcPr>
          <w:p w14:paraId="572570B4" w14:textId="77777777" w:rsidR="00DD3EFA" w:rsidRPr="005A0E7C" w:rsidRDefault="00DD3EFA">
            <w:pPr>
              <w:rPr>
                <w:b/>
              </w:rPr>
            </w:pPr>
          </w:p>
        </w:tc>
      </w:tr>
      <w:tr w:rsidR="00DD3EFA" w:rsidRPr="005A0E7C" w14:paraId="0C081263" w14:textId="77777777" w:rsidTr="0066487B">
        <w:trPr>
          <w:trHeight w:val="938"/>
        </w:trPr>
        <w:tc>
          <w:tcPr>
            <w:tcW w:w="249" w:type="dxa"/>
            <w:tcBorders>
              <w:top w:val="nil"/>
              <w:bottom w:val="nil"/>
            </w:tcBorders>
            <w:shd w:val="clear" w:color="auto" w:fill="66CCFF"/>
          </w:tcPr>
          <w:p w14:paraId="0327D246" w14:textId="77777777" w:rsidR="00DD3EFA" w:rsidRPr="005A0E7C" w:rsidRDefault="00DD3EFA">
            <w:pPr>
              <w:rPr>
                <w:b/>
              </w:rPr>
            </w:pPr>
          </w:p>
        </w:tc>
        <w:tc>
          <w:tcPr>
            <w:tcW w:w="2935" w:type="dxa"/>
            <w:tcBorders>
              <w:bottom w:val="single" w:sz="4" w:space="0" w:color="auto"/>
            </w:tcBorders>
            <w:shd w:val="clear" w:color="auto" w:fill="FFFFFF" w:themeFill="background1"/>
          </w:tcPr>
          <w:p w14:paraId="29BA6780"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6F216973" w14:textId="77777777" w:rsidR="00DD3EFA" w:rsidRPr="005A0E7C" w:rsidRDefault="00DD3EFA" w:rsidP="00B15ECB">
            <w:pPr>
              <w:pStyle w:val="Odstavecseseznamem"/>
              <w:spacing w:before="60" w:after="60"/>
              <w:ind w:left="360"/>
              <w:rPr>
                <w:rFonts w:eastAsiaTheme="majorEastAsia"/>
                <w:b/>
              </w:rPr>
            </w:pPr>
          </w:p>
        </w:tc>
        <w:tc>
          <w:tcPr>
            <w:tcW w:w="6099" w:type="dxa"/>
            <w:tcBorders>
              <w:bottom w:val="single" w:sz="4" w:space="0" w:color="auto"/>
            </w:tcBorders>
            <w:shd w:val="clear" w:color="auto" w:fill="FFFFFF" w:themeFill="background1"/>
          </w:tcPr>
          <w:p w14:paraId="6FD74A59" w14:textId="77777777" w:rsidR="00DD3EFA" w:rsidRPr="005A0E7C" w:rsidRDefault="00DD3EFA">
            <w:pPr>
              <w:pStyle w:val="slovanodstavec"/>
              <w:tabs>
                <w:tab w:val="left" w:pos="284"/>
              </w:tabs>
              <w:suppressAutoHyphens/>
              <w:spacing w:line="240" w:lineRule="auto"/>
              <w:rPr>
                <w:rFonts w:ascii="Times New Roman" w:hAnsi="Times New Roman"/>
              </w:rPr>
            </w:pPr>
            <w:r w:rsidRPr="005A0E7C">
              <w:rPr>
                <w:rFonts w:ascii="Times New Roman" w:hAnsi="Times New Roman"/>
              </w:rPr>
              <w:t>Na počátku roku 2019 byla zahájena příprava Strategie vzdělávací politiky ČR do roku 2030+ (dále jen „Strategie 2030+“) jako samostatný projekt MŠMT, jehož cílem je definice vize, priorit, cílů a opatření pro oblast vzdělávacího systému a vzdělávací politiky v ČR pro období do roku 2030 a následujících. Dokument bude rovněž sloužit jako základní rámec pro oblast strategického řízení vzdělávacího systému ČR v kontextu realizace jím definovaného strategického směřování s konkrétním a transparentním vymezením působnosti dílčích aktérů. Dokument je vytvářen interakcí externí expertní skupiny – jmenované ministrem školství, mládeže a tělovýchovy, která je složená z vybraných osobností z řad odborné veřejnosti s prokazatelnou erudicí v oblasti vzdělávání a vzdělávacích politik – interní pracovní skupiny a dále prostřednictvím externích veřejných a interních konzultací.</w:t>
            </w:r>
          </w:p>
          <w:p w14:paraId="314C35F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Jako implementační dokumenty Strategie 2030 budou obdobně jako v případě Strategie vzdělávací politiky ČR do roku 2020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w:t>
            </w:r>
          </w:p>
          <w:p w14:paraId="53BFF5E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 důvodu zajištění kontinuity a návazností musí příprava Strategie 2030 respektovat existenci v době přípravy již účinného Dlouhodobého záměru vzdělávání a rozvoje vzdělávací soustavy České republiky na období 2019 – 2023. Dlouhodobý záměr vzdělávání a rozvoje vzdělávací soustavy České republiky na období 2019 – 2023 bude schválen v dubnu roku 2019 a na dané období zajistí pokračování v implementaci stávající Strategie vzdělávací politiky ČR do roku 2020 za reflexe jejího externího vyhodnocení a vytvoří výchozí rámec pro Strategii vzdělávací politiky ČR do roku 2030. Druhý z dokumentů, dlouhodobý záměr vzdělávací a vědecké, výzkumné, vývojové a inovační, umělecké a další tvůrčí činnosti pro oblast vysokých škol na roky 2016 – 2020 (DZ pro oblast vysokých škol 2016-2020) je každoročně aktualizovaným materiálem, který bude nahrazen na další období v úzké provazbě na připravovanou Strategii vzdělávací politiky do roku 2030.</w:t>
            </w:r>
          </w:p>
          <w:p w14:paraId="0649E508"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Cíle tvorby Strategie 2030 spočívají ve stanovení strategické linie pro rozvoj vzdělávání v ČR a to na všech stupních; vytvoření mandátu a mantinelů pro tvorbu dlouhodobých záměrů a dalších strategických a koncepčních dokumentů ministerstva a dlouhodobých záměrů vyšších územně-samosprávných celků a obcí v oblasti regionálního školství a vysokých škol; stanoví priority pro financování rozvoje vzdělávání ze státního rozpočtu; vytvoří podklad pro výhled legislativních prací v resortu školství; nastaví rámcovou strukturu strategického řízení v oblasti vzdělávací politiky v ČR; vytvoří mandát pro vyjednávání nového programovacího/kohezního období a stanoví priority čerpání prostředků ze strukturálních fondů.</w:t>
            </w:r>
          </w:p>
          <w:p w14:paraId="5BE42145" w14:textId="77777777" w:rsidR="00DD3EFA" w:rsidRPr="005A0E7C" w:rsidRDefault="00DD3EFA">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Strategie 2030+ bude vytvořena ze tří částí: jádrový dokument definující vizi, priority a cíle vzdělávací politiky, včetně jejich rámcového odůvodnění, popř. nastínění kontextu jejich selekce na základě analytické části dokumentu, tato část dokumentu bude vycházet z materiálu Hlavní směry vzdělávací politiky ČR 2030 (viz níže), a dále výčet opatření k naplnění dílčích priorit a cílů; analytická část Strategie 2030 jako soubor podkladů a vstupů rozvíjející odůvodnění zvolených priorit a cílů s reflexí možných opatření, která bude vycházet z relevantních poznatků výzkumu a interpretace dat, přičemž vše bude sloužit jako klíčový podklad pro kvalifikovaná politická rozhodnutí; implementační plán jako soubor dílčích opatření a úkolů s definovanou gescí, termínem a rámcovými finančními nároky na jejich zajištění, definována bude rovněž indikátorová soustava, způsob řízení a kontroly plnění Strategie 2030 (reflexe plánu řízení změn). Součástí implementačního plánu pak budou rovněž plán řízení rizik a komunikační plán (vše viz níže). </w:t>
            </w:r>
          </w:p>
          <w:p w14:paraId="59DD4B33" w14:textId="77777777" w:rsidR="00DD3EFA" w:rsidRPr="005A0E7C" w:rsidRDefault="00DD3EFA">
            <w:pPr>
              <w:autoSpaceDE w:val="0"/>
              <w:autoSpaceDN w:val="0"/>
              <w:adjustRightInd w:val="0"/>
            </w:pPr>
            <w:r w:rsidRPr="005A0E7C">
              <w:t>Jako implementační dokumenty Strategie 2030+ budou obdobně jako v případě Strategie 2020, a jak bylo popsáno již výše,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popř. dílčí akční plány, jejichž podobu bude specifikovat implementační část samotné Strategie 2030+.</w:t>
            </w:r>
          </w:p>
          <w:p w14:paraId="199ADC64" w14:textId="77777777" w:rsidR="00DD3EFA" w:rsidRPr="005A0E7C" w:rsidRDefault="00DD3EFA">
            <w:pPr>
              <w:autoSpaceDE w:val="0"/>
              <w:autoSpaceDN w:val="0"/>
              <w:adjustRightInd w:val="0"/>
            </w:pPr>
            <w:r w:rsidRPr="005A0E7C">
              <w:t>Předmětný dokument staví na přímé kontinuitě s účinnou Strategií vzdělávací politiky do roku 2020, přičemž ta mimo jiné zajištěna i přípravou Dlouhodobého záměru vzdělávání a rozvoje vzdělávací soustavy České republiky na léta 2019-2023 (vše viz níže).</w:t>
            </w:r>
          </w:p>
          <w:p w14:paraId="65059B47" w14:textId="77777777" w:rsidR="00DD3EFA" w:rsidRPr="005A0E7C" w:rsidRDefault="00DD3EFA">
            <w:pPr>
              <w:autoSpaceDE w:val="0"/>
              <w:autoSpaceDN w:val="0"/>
              <w:adjustRightInd w:val="0"/>
              <w:rPr>
                <w:i/>
                <w:u w:val="single"/>
              </w:rPr>
            </w:pPr>
            <w:r w:rsidRPr="005A0E7C">
              <w:t>Dlouhodobý záměr vzdělávací a vědecké, výzkumné, vývojové a inovační, umělecké a další tvůrčí činnosti pro oblast vysokých škol na období 2016-2020 (DZ pro oblast vysokých škol 2016-2020)</w:t>
            </w:r>
            <w:r w:rsidRPr="005A0E7C">
              <w:rPr>
                <w:i/>
                <w:u w:val="single"/>
              </w:rPr>
              <w:t xml:space="preserve"> </w:t>
            </w:r>
            <w:r w:rsidRPr="005A0E7C">
              <w:t>je klíčovým strategickým vymezujícím priority a hlavní plánovaná opatření v oblasti vysokoškolské politiky na dané období. DZ pro oblast vysokých škol je současně jedním z hlavních implementačních dokumentů Strategie 2020, která je zastřešujícím strategickým dokumentem vymezujícím základní východiska pro dlouhodobé záměry všech stupňů vzdělávacího systému, včetně vysokého školství. V průběhu roku 2019 budou intenzivně probíhat přípravy DZ pro oblast vysokých škol na další programové období. Stanovené cíle a opatření budou plnně v souladu se vznikající Strategií 2030 a budou vznikat v aktivní  spolupráci s reprezentacemi vysokých škol a dalších experu na vzdělávací politiku.</w:t>
            </w:r>
          </w:p>
        </w:tc>
        <w:tc>
          <w:tcPr>
            <w:tcW w:w="249" w:type="dxa"/>
            <w:tcBorders>
              <w:top w:val="nil"/>
              <w:bottom w:val="nil"/>
            </w:tcBorders>
            <w:shd w:val="clear" w:color="auto" w:fill="66CCFF"/>
          </w:tcPr>
          <w:p w14:paraId="2322E06A" w14:textId="77777777" w:rsidR="00DD3EFA" w:rsidRPr="005A0E7C" w:rsidRDefault="00DD3EFA">
            <w:pPr>
              <w:rPr>
                <w:b/>
              </w:rPr>
            </w:pPr>
          </w:p>
        </w:tc>
      </w:tr>
      <w:tr w:rsidR="00DD3EFA" w:rsidRPr="005A0E7C" w14:paraId="150A2887" w14:textId="77777777" w:rsidTr="0066487B">
        <w:trPr>
          <w:trHeight w:val="938"/>
        </w:trPr>
        <w:tc>
          <w:tcPr>
            <w:tcW w:w="249" w:type="dxa"/>
            <w:tcBorders>
              <w:top w:val="nil"/>
              <w:bottom w:val="nil"/>
            </w:tcBorders>
            <w:shd w:val="clear" w:color="auto" w:fill="66CCFF"/>
          </w:tcPr>
          <w:p w14:paraId="2CB60535" w14:textId="77777777" w:rsidR="00DD3EFA" w:rsidRPr="005A0E7C" w:rsidRDefault="00DD3EFA">
            <w:pPr>
              <w:rPr>
                <w:b/>
              </w:rPr>
            </w:pPr>
          </w:p>
        </w:tc>
        <w:tc>
          <w:tcPr>
            <w:tcW w:w="2935" w:type="dxa"/>
            <w:tcBorders>
              <w:bottom w:val="single" w:sz="4" w:space="0" w:color="auto"/>
            </w:tcBorders>
            <w:shd w:val="clear" w:color="auto" w:fill="FFFFFF" w:themeFill="background1"/>
          </w:tcPr>
          <w:p w14:paraId="5DF2804B"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analýza problémů a potřeb</w:t>
            </w:r>
          </w:p>
          <w:p w14:paraId="3B30A65F"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546B5E48"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Součástí zadání přípravy Strategie 2030+ a klíčového dokumentu Hlavní směry vzdělávací politiky ČR 2030+, jehož cílem je stanovení hlavních priorit, směřování a cílů vzdělávací politiky do roku 2030, včetně jejich rámcového odůvodnění, popř. nastínění kontextu jejich selekce, je definovaná vstupní vize a vymezení obecného rámce přípravy Strategie 2030+ ze strany interní pracovní skupiny MŠMT podílející se přípravě Strategie 2030+. </w:t>
            </w:r>
          </w:p>
          <w:p w14:paraId="360CCCD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Právě ta již obsahuje úvodní reflexi problémů a potřeb českého vzdělávacího systému založenou na relevantních analytických vstupech. Ve vztahu ke specifickému cíli NKR „Zvýšení kompetencí a kvality pracovníků ve vzdělávání.“ se pak jedná především o následující část doprovodného textu k vizi Strategie 2030+: „Vzdělávací systém ČR musí stát na kvalitních, motivovaných a dobře ohodnocených učitelích a dalších pedagogických pracovnících. Kromě již zmíněné oblasti odměňování je pak zcela zásadní usilovat o vytvoření uceleného systému podpory profesního rozvoje pedagogických pracovníků - především učitelů, který zahrnuje všechny oblasti tzv. profesionalizačního kontinua, tj.: (a) získávání kvalitních zájemců o studium, (b) špičkové pregraduální vzdělávání, (c) úpravu uvádění do profese a (d) kvalitní další vzdělávání a důraz na celkový profesní rozvoj stavějící na sdílení zkušeností a dobré praxe. Pro úspěšné fungování škol jsou ovšem nezbytné pozice nejen pedagogických, ale i nepedagogických pracovníků, přičemž cílem je zajištění adekvátních podmínek a podpory jejich činnosti.“</w:t>
            </w:r>
          </w:p>
          <w:p w14:paraId="241B4865"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Výše nastíněná vize, její doprovodný text a definice problémů pak vychází především z externí nezávislé evaluace účinné Strategie vzdělávací politiky ČR do roku 2020, jejíž závazné zohlednění je součástí zadání přípravy Strategie 2030+ s jasným závazkem návaznosti obou dokumentů.  </w:t>
            </w:r>
          </w:p>
          <w:p w14:paraId="45B520E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tomto ohledu externí skupina seznala strategické priority vymezené ve Strategii 2020 nadále za vysoce relevantní a stále aktuální. V tomto ohledu jde především o definici problémů a potřeb spjatých s prioritou č. 2 Podporovat kvalitní výuku a učitele.</w:t>
            </w:r>
          </w:p>
          <w:p w14:paraId="50BD4D4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Příprava Strategie 2030 staví na přímé kontinuitě s účinnou Strategií vzdělávací politiky do roku 2020, přičemž ta mimo jiné zajištěna i přípravou Dlouhodobého záměru vzdělávání a rozvoje vzdělávací soustavy České republiky na léta 2019-2023. Ta v kontextu problémových oblastí relevantních k předmětnému specifickému cíli NKR, který reflektuje oblast kompetencí a kvality pracovníků ve vzdělávání, vnímá jako problematické oblasti absence komplexního systému podpory profesního rozvoje učitelů i ředitelů, nízké úrovně strategického řízení rozvoje školy a pedagogického vedení a otázku zlepšování podmínek odměňování a výkonu práce pracovníků v regionálním školství (ve shodě s výše popsanou vizí). Dlouhodobý záměr pro oblast vysokých škol pak vytyčuje 7 prioritních cílů napříč vzdělávací, vědeckou činností vysokých škol. Na přípravách dokumentu se prostřednictvím dílčích projednávání podílí reprezentace vysokých škol a další experti.</w:t>
            </w:r>
          </w:p>
        </w:tc>
        <w:tc>
          <w:tcPr>
            <w:tcW w:w="249" w:type="dxa"/>
            <w:tcBorders>
              <w:top w:val="nil"/>
              <w:bottom w:val="nil"/>
            </w:tcBorders>
            <w:shd w:val="clear" w:color="auto" w:fill="66CCFF"/>
          </w:tcPr>
          <w:p w14:paraId="094AC8E8" w14:textId="77777777" w:rsidR="00DD3EFA" w:rsidRPr="005A0E7C" w:rsidRDefault="00DD3EFA">
            <w:pPr>
              <w:rPr>
                <w:b/>
              </w:rPr>
            </w:pPr>
          </w:p>
        </w:tc>
      </w:tr>
      <w:tr w:rsidR="00DD3EFA" w:rsidRPr="005A0E7C" w14:paraId="3124C74F" w14:textId="77777777" w:rsidTr="0066487B">
        <w:trPr>
          <w:trHeight w:val="938"/>
        </w:trPr>
        <w:tc>
          <w:tcPr>
            <w:tcW w:w="249" w:type="dxa"/>
            <w:tcBorders>
              <w:top w:val="nil"/>
              <w:bottom w:val="nil"/>
            </w:tcBorders>
            <w:shd w:val="clear" w:color="auto" w:fill="66CCFF"/>
          </w:tcPr>
          <w:p w14:paraId="41C17804" w14:textId="77777777" w:rsidR="00DD3EFA" w:rsidRPr="005A0E7C" w:rsidRDefault="00DD3EFA">
            <w:pPr>
              <w:rPr>
                <w:b/>
              </w:rPr>
            </w:pPr>
          </w:p>
        </w:tc>
        <w:tc>
          <w:tcPr>
            <w:tcW w:w="2935" w:type="dxa"/>
            <w:tcBorders>
              <w:bottom w:val="single" w:sz="4" w:space="0" w:color="auto"/>
            </w:tcBorders>
            <w:shd w:val="clear" w:color="auto" w:fill="FFFFFF" w:themeFill="background1"/>
          </w:tcPr>
          <w:p w14:paraId="36261B67"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jasně definované cíle a opatření</w:t>
            </w:r>
          </w:p>
          <w:p w14:paraId="6EF6121C"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7121B840"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Jak vyplývá z popisu věnovanému analýze problémů a potřeb vychází definice cílů a dílčích opatření Strategie 2030+ ve vztahu ke specifickému cíli NKR v současné chvíli především z externí evaluace a doporučení externí expertní skupiny pokračovat v prioritách, cílech i dílčích opatřeních Strategie 2020. </w:t>
            </w:r>
          </w:p>
          <w:p w14:paraId="35A667A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kontextu specifického cíle NKR jde především o definici problémů a potřeb spjatých s prioritou č. 2 Podporovat kvalitní výuku a učitele jako její klíčový předpoklad a navazující cíle: Dokončit a zavést kariérní systém pro učitele a zlepšovat podmínky pro jejich práci, Modernizovat počáteční vzdělávání učitelů a vstupní vzdělávání ředitelů, Posílit další vzdělávání a metodickou podporu učitelů a ředitelů, Posílit význam kvalitní výuky ve vysokoškolském vzdělávání, Modernizovat systém hodnocení na úrovni dítěte, žáka a studenta a Modernizovat hodnocení na úrovni školy a navazujících opatřeních.</w:t>
            </w:r>
          </w:p>
          <w:p w14:paraId="4BE39456"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Expertní skupina také doporučila věnovat se oblastem, které jsou velkou výzvou pro vzdělávací politiku v budoucím období a které bude třeba rozpracovat. Ve vztahu k definovanému specifickému cíli NKR z provedené analýzy se jedná o téma: Pokračovat v podpoře učitelů a ředitelů, ve zlepšování finančního ocenění jejich práce, v podpoře úspěšných vzdělávacích inovací a jejich dalšího rozšiřování.</w:t>
            </w:r>
          </w:p>
          <w:p w14:paraId="74BE8E3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Závazné doporučení ke kontinuitě v předmětných cílech Strategie 2020 je součástí zadání přípravy Strategie 2030+. Zároveň cíle definuje i samotná vize, obecný rámec přípravy a doprovodný text k vizi Strategie 2030+, který byl rovněž popsán výše.</w:t>
            </w:r>
          </w:p>
          <w:p w14:paraId="4D61DDA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Příprava Strategie 2030 staví na přímé kontinuitě s účinnou Strategií vzdělávací politiky do roku 2020, přičemž ta mimo jiné zajištěna i přípravou Dlouhodobého záměru vzdělávání a rozvoje vzdělávací soustavy České republiky na léta 2019-2023. Ta v kontextu oblastí relevantních k předmětnému specifickému cíli NKR staví na podpoře Zlepšení podmínek pedagogických pracovníků v těchto cílech: Podporovat komplexní systém ucelené podpory profesního rozvoje učitelů i ředitelů zahrnující všechny prvky profesionalizačního kontinua, Podporovat procesy strategického řízení rozvoje školy a pedagogického vedení a Zlepšovat podmínky odměňování a výkonu práce pracovníků v regionálním školství (viz výše).</w:t>
            </w:r>
          </w:p>
          <w:p w14:paraId="3E81CA4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Dlouhodobý záměr pro oblast vysokých škol je zaměřen na omezený počet průřezových prioritních cílů, jejichž naplňování vyžaduje koordinaci několika různých opatření ve středně až dlouhodobé perspektivě. Na samotný záměr navazují jeho každoročně vydávané Aktualizace/Plány realizace, které jednak rozpracovávají plán provádění klíčových opatření pro daný rok, jednak rozšiřují seznam priorit o méně komplexní úkoly s jednoletou realizací.</w:t>
            </w:r>
          </w:p>
        </w:tc>
        <w:tc>
          <w:tcPr>
            <w:tcW w:w="249" w:type="dxa"/>
            <w:tcBorders>
              <w:top w:val="nil"/>
              <w:bottom w:val="nil"/>
            </w:tcBorders>
            <w:shd w:val="clear" w:color="auto" w:fill="66CCFF"/>
          </w:tcPr>
          <w:p w14:paraId="143ADC5E" w14:textId="77777777" w:rsidR="00DD3EFA" w:rsidRPr="005A0E7C" w:rsidRDefault="00DD3EFA">
            <w:pPr>
              <w:rPr>
                <w:b/>
              </w:rPr>
            </w:pPr>
          </w:p>
        </w:tc>
      </w:tr>
      <w:tr w:rsidR="00DD3EFA" w:rsidRPr="005A0E7C" w14:paraId="5F13B4C0" w14:textId="77777777" w:rsidTr="0066487B">
        <w:trPr>
          <w:trHeight w:val="938"/>
        </w:trPr>
        <w:tc>
          <w:tcPr>
            <w:tcW w:w="249" w:type="dxa"/>
            <w:tcBorders>
              <w:top w:val="nil"/>
              <w:bottom w:val="nil"/>
            </w:tcBorders>
            <w:shd w:val="clear" w:color="auto" w:fill="66CCFF"/>
          </w:tcPr>
          <w:p w14:paraId="6AFEEE46" w14:textId="77777777" w:rsidR="00DD3EFA" w:rsidRPr="005A0E7C" w:rsidRDefault="00DD3EFA">
            <w:pPr>
              <w:rPr>
                <w:b/>
              </w:rPr>
            </w:pPr>
          </w:p>
        </w:tc>
        <w:tc>
          <w:tcPr>
            <w:tcW w:w="2935" w:type="dxa"/>
            <w:tcBorders>
              <w:bottom w:val="single" w:sz="4" w:space="0" w:color="auto"/>
            </w:tcBorders>
            <w:shd w:val="clear" w:color="auto" w:fill="FFFFFF" w:themeFill="background1"/>
          </w:tcPr>
          <w:p w14:paraId="5107E5B2"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implementační mechanismus</w:t>
            </w:r>
          </w:p>
          <w:p w14:paraId="3703B7A7" w14:textId="77777777" w:rsidR="00DD3EFA" w:rsidRPr="005A0E7C" w:rsidRDefault="00DD3EFA" w:rsidP="00B15ECB">
            <w:pPr>
              <w:spacing w:before="60" w:after="60"/>
              <w:rPr>
                <w:rFonts w:eastAsiaTheme="majorEastAsia"/>
                <w:b/>
              </w:rPr>
            </w:pPr>
          </w:p>
        </w:tc>
        <w:tc>
          <w:tcPr>
            <w:tcW w:w="6099" w:type="dxa"/>
            <w:tcBorders>
              <w:bottom w:val="single" w:sz="4" w:space="0" w:color="auto"/>
            </w:tcBorders>
            <w:shd w:val="clear" w:color="auto" w:fill="FFFFFF" w:themeFill="background1"/>
          </w:tcPr>
          <w:p w14:paraId="24A96147"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Samotný implementační mechanismus Strategie 2030+ bude podrobně popsán v třetí části předmětného dokumentu. Implementační plán Strategie 2030+ bude zaměřen primárně na detailnější popis dílčích opatření a úkolů vyplývajících z jádrové části dokumentu a definici jejich gesčního, časového a finančního zajištění. Specifikována bude rovněž rámcová indikátorová soustava. Dále bude popsán způsob řízení a kontroly implementace Strategie 2030+ s cílem jasně definovaného procesního vymezení rolí a zodpovědností vedoucí k efektivnímu naplňování priorit, cílů a opatření. S ohledem na moderní způsoby strategického řízení bude předmětná oblast reflektovat teoretické vymezení řízení změn. Dokument rovněž nastaví možnost efektivní reflexe změn dílčích opatření a úkolů s ohledem na proměny vnitřního i vnějšího prostředí, ve kterém Strategie 2030 působí. Dále bude rovněž vypracován plán řízení rizik a komunikační plán, jakožto podpůrný nástroj implementace Strategie 2030.</w:t>
            </w:r>
          </w:p>
          <w:p w14:paraId="1105B1F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Jako implementační dokumenty Strategie 2030+ budou obdobně jako v případě Strategie 2020 sloužit především dlouhodobé záměry (dlouhodobý záměr vzdělávání a rozvoje vzdělávací soustavy České republiky a dlouhodobý záměr vzdělávací a vědecké, výzkumné, vývojové a inovační, umělecké a další tvůrčí činnosti pro oblast vysokých škol), popř. dílčí akční plány, jejichž podobu bude specifikovat implementační část samotné Strategie 2030+.</w:t>
            </w:r>
          </w:p>
        </w:tc>
        <w:tc>
          <w:tcPr>
            <w:tcW w:w="249" w:type="dxa"/>
            <w:tcBorders>
              <w:top w:val="nil"/>
              <w:bottom w:val="nil"/>
            </w:tcBorders>
            <w:shd w:val="clear" w:color="auto" w:fill="66CCFF"/>
          </w:tcPr>
          <w:p w14:paraId="22883987" w14:textId="77777777" w:rsidR="00DD3EFA" w:rsidRPr="005A0E7C" w:rsidRDefault="00DD3EFA">
            <w:pPr>
              <w:rPr>
                <w:b/>
              </w:rPr>
            </w:pPr>
          </w:p>
        </w:tc>
      </w:tr>
      <w:tr w:rsidR="00DD3EFA" w:rsidRPr="005A0E7C" w14:paraId="6E57CAC2" w14:textId="77777777" w:rsidTr="0066487B">
        <w:trPr>
          <w:trHeight w:val="938"/>
        </w:trPr>
        <w:tc>
          <w:tcPr>
            <w:tcW w:w="249" w:type="dxa"/>
            <w:tcBorders>
              <w:top w:val="nil"/>
              <w:bottom w:val="nil"/>
            </w:tcBorders>
            <w:shd w:val="clear" w:color="auto" w:fill="66CCFF"/>
          </w:tcPr>
          <w:p w14:paraId="120A193F" w14:textId="77777777" w:rsidR="00DD3EFA" w:rsidRPr="005A0E7C" w:rsidRDefault="00DD3EFA">
            <w:pPr>
              <w:rPr>
                <w:b/>
              </w:rPr>
            </w:pPr>
          </w:p>
        </w:tc>
        <w:tc>
          <w:tcPr>
            <w:tcW w:w="2935" w:type="dxa"/>
            <w:tcBorders>
              <w:bottom w:val="single" w:sz="4" w:space="0" w:color="auto"/>
            </w:tcBorders>
            <w:shd w:val="clear" w:color="auto" w:fill="FFFFFF" w:themeFill="background1"/>
          </w:tcPr>
          <w:p w14:paraId="28774427"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monitoring a evaluace</w:t>
            </w:r>
          </w:p>
        </w:tc>
        <w:tc>
          <w:tcPr>
            <w:tcW w:w="6099" w:type="dxa"/>
            <w:tcBorders>
              <w:bottom w:val="single" w:sz="4" w:space="0" w:color="auto"/>
            </w:tcBorders>
            <w:shd w:val="clear" w:color="auto" w:fill="FFFFFF" w:themeFill="background1"/>
          </w:tcPr>
          <w:p w14:paraId="027E63D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Jak již bylo popsáno výše, předmětná část bude rozpracována v implementačním plánu. Implementační plán Strategie 2030+ bude zaměřen primárně na detailnější popis dílčích opatření a úkolů vyplývajících z jádrové části dokumentu a definici jejich gesčního, časového a finančního zajištění. Specifikována bude rovněž rámcová indikátorová soustava. Dále bude popsán způsob řízení a kontroly implementace Strategie 2030+ s cílem jasně definovaného procesního vymezení rolí a zodpovědností vedoucí k efektivnímu naplňování priorit, cílů a opatření. S ohledem na moderní způsoby strategického řízení bude předmětná oblast reflektovat teoretické vymezení řízení změn. Dokument rovněž nastaví možnost efektivní reflexe změn dílčích opatření a úkolů s ohledem na proměny vnitřního i vnějšího prostředí, ve kterém Strategie 2030+ působí.</w:t>
            </w:r>
          </w:p>
          <w:p w14:paraId="45C8D02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Součástí dlouhodobého záměru pro oblast vysokých škol seznam indikátorů vytyčených pro jednotlivé prioritní cíle. Prostřednictvím nich došlo na přelomu 2018/2019 k průběžnému vyhodnocení naplňování prioritních cílů. Po skončení programového období bude provedeno závěrečná evaluace stanovených indikátorů a tím celého záměru. Obdobně byla stanovena série kritérií k dílčímu opatření dlouhodobého záměru pro oblast regionálního školství.</w:t>
            </w:r>
          </w:p>
        </w:tc>
        <w:tc>
          <w:tcPr>
            <w:tcW w:w="249" w:type="dxa"/>
            <w:tcBorders>
              <w:top w:val="nil"/>
              <w:bottom w:val="nil"/>
            </w:tcBorders>
            <w:shd w:val="clear" w:color="auto" w:fill="66CCFF"/>
          </w:tcPr>
          <w:p w14:paraId="43E61F9E" w14:textId="77777777" w:rsidR="00DD3EFA" w:rsidRPr="005A0E7C" w:rsidRDefault="00DD3EFA">
            <w:pPr>
              <w:rPr>
                <w:b/>
              </w:rPr>
            </w:pPr>
          </w:p>
        </w:tc>
      </w:tr>
      <w:tr w:rsidR="00DD3EFA" w:rsidRPr="005A0E7C" w14:paraId="6DB52006" w14:textId="77777777" w:rsidTr="0066487B">
        <w:trPr>
          <w:trHeight w:val="130"/>
        </w:trPr>
        <w:tc>
          <w:tcPr>
            <w:tcW w:w="249" w:type="dxa"/>
            <w:tcBorders>
              <w:top w:val="nil"/>
              <w:bottom w:val="nil"/>
              <w:right w:val="nil"/>
            </w:tcBorders>
            <w:shd w:val="clear" w:color="auto" w:fill="66CCFF"/>
          </w:tcPr>
          <w:p w14:paraId="390A76ED" w14:textId="77777777" w:rsidR="00DD3EFA" w:rsidRPr="005A0E7C" w:rsidRDefault="00DD3EFA">
            <w:pPr>
              <w:rPr>
                <w:b/>
              </w:rPr>
            </w:pPr>
          </w:p>
        </w:tc>
        <w:tc>
          <w:tcPr>
            <w:tcW w:w="2935" w:type="dxa"/>
            <w:tcBorders>
              <w:left w:val="nil"/>
              <w:right w:val="nil"/>
            </w:tcBorders>
            <w:shd w:val="clear" w:color="auto" w:fill="66CCFF"/>
          </w:tcPr>
          <w:p w14:paraId="61814514" w14:textId="77777777" w:rsidR="00DD3EFA" w:rsidRPr="005A0E7C" w:rsidRDefault="00DD3EFA" w:rsidP="00B15ECB">
            <w:pPr>
              <w:rPr>
                <w:b/>
              </w:rPr>
            </w:pPr>
          </w:p>
        </w:tc>
        <w:tc>
          <w:tcPr>
            <w:tcW w:w="6099" w:type="dxa"/>
            <w:tcBorders>
              <w:left w:val="nil"/>
              <w:right w:val="nil"/>
            </w:tcBorders>
            <w:shd w:val="clear" w:color="auto" w:fill="66CCFF"/>
          </w:tcPr>
          <w:p w14:paraId="3743E81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b/>
                <w:noProof/>
              </w:rPr>
            </w:pPr>
          </w:p>
        </w:tc>
        <w:tc>
          <w:tcPr>
            <w:tcW w:w="249" w:type="dxa"/>
            <w:tcBorders>
              <w:top w:val="nil"/>
              <w:left w:val="nil"/>
              <w:bottom w:val="nil"/>
            </w:tcBorders>
            <w:shd w:val="clear" w:color="auto" w:fill="66CCFF"/>
          </w:tcPr>
          <w:p w14:paraId="432B42F9" w14:textId="77777777" w:rsidR="00DD3EFA" w:rsidRPr="005A0E7C" w:rsidRDefault="00DD3EFA">
            <w:pPr>
              <w:rPr>
                <w:b/>
              </w:rPr>
            </w:pPr>
          </w:p>
        </w:tc>
      </w:tr>
      <w:tr w:rsidR="00DD3EFA" w:rsidRPr="005A0E7C" w14:paraId="56C7FA9A" w14:textId="77777777" w:rsidTr="0066487B">
        <w:trPr>
          <w:trHeight w:val="1258"/>
        </w:trPr>
        <w:tc>
          <w:tcPr>
            <w:tcW w:w="249" w:type="dxa"/>
            <w:tcBorders>
              <w:top w:val="nil"/>
              <w:bottom w:val="nil"/>
              <w:right w:val="nil"/>
            </w:tcBorders>
            <w:shd w:val="clear" w:color="auto" w:fill="66CCFF"/>
          </w:tcPr>
          <w:p w14:paraId="589A70A7" w14:textId="77777777" w:rsidR="00DD3EFA" w:rsidRPr="005A0E7C" w:rsidRDefault="00DD3EFA">
            <w:pPr>
              <w:rPr>
                <w:b/>
              </w:rPr>
            </w:pPr>
          </w:p>
        </w:tc>
        <w:tc>
          <w:tcPr>
            <w:tcW w:w="9038" w:type="dxa"/>
            <w:gridSpan w:val="2"/>
            <w:shd w:val="clear" w:color="auto" w:fill="FFFFFF" w:themeFill="background1"/>
          </w:tcPr>
          <w:p w14:paraId="37E094DB"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3DBB5566" w14:textId="77777777" w:rsidR="00DD3EFA" w:rsidRPr="005A0E7C" w:rsidRDefault="00DD3EFA">
            <w:pPr>
              <w:rPr>
                <w:b/>
              </w:rPr>
            </w:pPr>
          </w:p>
        </w:tc>
      </w:tr>
      <w:tr w:rsidR="00DD3EFA" w:rsidRPr="005A0E7C" w14:paraId="0DBC2084" w14:textId="77777777" w:rsidTr="0066487B">
        <w:trPr>
          <w:trHeight w:val="1258"/>
        </w:trPr>
        <w:tc>
          <w:tcPr>
            <w:tcW w:w="249" w:type="dxa"/>
            <w:tcBorders>
              <w:top w:val="nil"/>
              <w:bottom w:val="nil"/>
              <w:right w:val="nil"/>
            </w:tcBorders>
            <w:shd w:val="clear" w:color="auto" w:fill="66CCFF"/>
          </w:tcPr>
          <w:p w14:paraId="50E5C9E6" w14:textId="77777777" w:rsidR="00DD3EFA" w:rsidRPr="005A0E7C" w:rsidRDefault="00DD3EFA">
            <w:pPr>
              <w:rPr>
                <w:b/>
              </w:rPr>
            </w:pPr>
          </w:p>
        </w:tc>
        <w:tc>
          <w:tcPr>
            <w:tcW w:w="2935" w:type="dxa"/>
            <w:shd w:val="clear" w:color="auto" w:fill="FFFFFF" w:themeFill="background1"/>
          </w:tcPr>
          <w:p w14:paraId="1A7F623C" w14:textId="77777777" w:rsidR="00DD3EFA" w:rsidRPr="005A0E7C" w:rsidRDefault="00DD3EFA" w:rsidP="00B15ECB">
            <w:pPr>
              <w:rPr>
                <w:rFonts w:eastAsiaTheme="majorEastAsia"/>
                <w:b/>
              </w:rPr>
            </w:pPr>
            <w:r w:rsidRPr="005A0E7C">
              <w:rPr>
                <w:rFonts w:eastAsiaTheme="majorEastAsia"/>
                <w:b/>
              </w:rPr>
              <w:t>Věcný posun oblasti</w:t>
            </w:r>
          </w:p>
          <w:p w14:paraId="23E85DEF"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6099" w:type="dxa"/>
            <w:shd w:val="clear" w:color="auto" w:fill="FFFFFF" w:themeFill="background1"/>
          </w:tcPr>
          <w:p w14:paraId="24684DE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Jednou z priorit OP VVV bylo i zvýšení kompetencí pedagogických a akademických pracovníků, včetně zvýšení kvality pregraduální přípravy. Podporovány byly a jsou i aktivity vedoucí ke zvýšení atraktivity a profesionalizace učitelské profese. Na systémové úrovni byl vytvořen a pilotně ověřen model metodické podpory pro pedagogické pracovníky zahrnující podporu začínajících učitelů a rozvoj dovedností i v další praxi a to formou sítě metodických kabinetů v krajích. Praktikující učitelé byli dále podporováni ve zvyšování pedagogických i odborných kompetencí různými formami dalšího vzdělávání zahrnujícími klasické kurzy DVPP, ale i vzájemnou výměnu zkušeností, stáže a spolupráci s NNO. V pregraduální přípravě pedagogických pracovníků bylo podpořeno zavedení inovativních prvků do počáteční přípravy a zejména posílení reflektované praxe studenů fakult připravujících k výkonu regulované profese učitele. Podpora se soustředila i na zvýšení pedagogických kompetencí akademických pracovníků, včetně mentorské podpory.</w:t>
            </w:r>
          </w:p>
          <w:p w14:paraId="5081539C" w14:textId="77777777" w:rsidR="00DD3EFA" w:rsidRPr="005A0E7C" w:rsidRDefault="00DD3EFA">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Z dosavadního průběžného hodnocení aktivit OP VVV pro zvýšení</w:t>
            </w:r>
            <w:r w:rsidRPr="005A0E7C">
              <w:rPr>
                <w:rFonts w:ascii="Times New Roman" w:hAnsi="Times New Roman"/>
              </w:rPr>
              <w:t xml:space="preserve"> pedagogických i odborných kompetencí</w:t>
            </w:r>
            <w:r w:rsidRPr="005A0E7C">
              <w:rPr>
                <w:rFonts w:ascii="Times New Roman" w:eastAsiaTheme="minorHAnsi" w:hAnsi="Times New Roman"/>
              </w:rPr>
              <w:t xml:space="preserve">, které byly určeny přímo školám, vyplývá, že tyto aktivity jsou pro vzdělávající systém důležité. Školy, které pro ně využily podporu z OP VVV, je považují za přínosné a mají potřebu a zájem v jejich podpoře pokračovat. </w:t>
            </w:r>
          </w:p>
          <w:p w14:paraId="0C71667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eastAsiaTheme="minorHAnsi" w:hAnsi="Times New Roman"/>
              </w:rPr>
              <w:t xml:space="preserve">Z hodnocení předchozího programového období 2007–2013, konkrétně ze závěrů evaluace OP VK vyplývá, že projekty OP VK přispěly ke změně metod a forem práce se žáky škol počátečního vzdělávání. Konkrétně projekty OP VK přispěly ke zvýšení kompetencí pedagogických pracovníků, zejm. zlepšily komunikaci pedagogických pracovníků, zvyšovaly jejich kompetence ke zvládání konfliktních situací a schopnost motivovat a aktivizovat žáky. Dále z hodnocení vyplynulo, </w:t>
            </w:r>
            <w:r w:rsidRPr="005A0E7C">
              <w:rPr>
                <w:rFonts w:ascii="Times New Roman" w:hAnsi="Times New Roman"/>
              </w:rPr>
              <w:t>že pro odborný rozvoj z hlediska rozšiřování (i prohlubování) odbornosti pedagogických pracovníků na všech stupních vzdělávání byly velmi pozitivně hodnoceny výměny zkušeností, školení a zahraniční stáže.</w:t>
            </w:r>
          </w:p>
        </w:tc>
        <w:tc>
          <w:tcPr>
            <w:tcW w:w="249" w:type="dxa"/>
            <w:tcBorders>
              <w:top w:val="nil"/>
              <w:left w:val="nil"/>
              <w:bottom w:val="nil"/>
            </w:tcBorders>
            <w:shd w:val="clear" w:color="auto" w:fill="66CCFF"/>
          </w:tcPr>
          <w:p w14:paraId="757467B9" w14:textId="77777777" w:rsidR="00DD3EFA" w:rsidRPr="005A0E7C" w:rsidRDefault="00DD3EFA">
            <w:pPr>
              <w:rPr>
                <w:b/>
              </w:rPr>
            </w:pPr>
          </w:p>
        </w:tc>
      </w:tr>
      <w:tr w:rsidR="00DD3EFA" w:rsidRPr="005A0E7C" w14:paraId="07CE01A4" w14:textId="77777777" w:rsidTr="0066487B">
        <w:trPr>
          <w:trHeight w:val="1258"/>
        </w:trPr>
        <w:tc>
          <w:tcPr>
            <w:tcW w:w="249" w:type="dxa"/>
            <w:tcBorders>
              <w:top w:val="nil"/>
              <w:bottom w:val="nil"/>
              <w:right w:val="nil"/>
            </w:tcBorders>
            <w:shd w:val="clear" w:color="auto" w:fill="66CCFF"/>
          </w:tcPr>
          <w:p w14:paraId="0538289F" w14:textId="77777777" w:rsidR="00DD3EFA" w:rsidRPr="005A0E7C" w:rsidRDefault="00DD3EFA">
            <w:pPr>
              <w:rPr>
                <w:b/>
              </w:rPr>
            </w:pPr>
          </w:p>
        </w:tc>
        <w:tc>
          <w:tcPr>
            <w:tcW w:w="2935" w:type="dxa"/>
            <w:shd w:val="clear" w:color="auto" w:fill="FFFFFF" w:themeFill="background1"/>
          </w:tcPr>
          <w:p w14:paraId="567B05DF" w14:textId="77777777" w:rsidR="00DD3EFA" w:rsidRPr="005A0E7C" w:rsidRDefault="00DD3EFA" w:rsidP="00B15ECB">
            <w:pPr>
              <w:rPr>
                <w:rFonts w:eastAsiaTheme="majorEastAsia"/>
                <w:b/>
              </w:rPr>
            </w:pPr>
            <w:r w:rsidRPr="005A0E7C">
              <w:rPr>
                <w:rFonts w:eastAsiaTheme="majorEastAsia"/>
                <w:b/>
              </w:rPr>
              <w:t>Synergické a multiplikační efekty</w:t>
            </w:r>
          </w:p>
          <w:p w14:paraId="489D18FF"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6099" w:type="dxa"/>
            <w:shd w:val="clear" w:color="auto" w:fill="FFFFFF" w:themeFill="background1"/>
          </w:tcPr>
          <w:p w14:paraId="4DD4D86F" w14:textId="77777777" w:rsidR="00DD3EFA" w:rsidRPr="005A0E7C" w:rsidRDefault="00DD3EFA" w:rsidP="00B15ECB">
            <w:pPr>
              <w:tabs>
                <w:tab w:val="left" w:pos="284"/>
                <w:tab w:val="left" w:pos="567"/>
              </w:tabs>
              <w:suppressAutoHyphens/>
              <w:rPr>
                <w:rFonts w:eastAsia="Calibri"/>
              </w:rPr>
            </w:pPr>
            <w:r w:rsidRPr="005A0E7C">
              <w:rPr>
                <w:rFonts w:eastAsia="Calibri"/>
              </w:rPr>
              <w:t xml:space="preserve">Multiplikační efekty lze spatřovat v důsledku řádné koordinace komplementarit, jak uvnitř OP VVV, tak i mezi jinými operačními programy a dalšími veřejnými zdroji. Z dosavadního hodnocení procesů vyplynulo, že nastavení implementační struktury OP VVV je z hlediska řízení komplementarit funkční. Koordinace OP VVV vůči komunitárním a národním programům probíhá v souladu s nastavenými mechanismy koordinace. Nejintenzivnější koordinace probíhá s relevantními operačními programy a jednotlivými sekcemi MŠMT zejm. prostřednictvím zastoupení příslušných aktérů na platformách pro přípravu výzev a účastí v pracovních týmech pro přípravu relevantních komplementárních výzev. V oblasti regionálního školství probíhá velmi intenzivní koordinační mechanismus mezi Integrovaným regionálním operačním programem, ze kterého jsou hrazeny infrastrukturní investice do škol a komplementárně k těmto investicím jsou vyhlašovány výzvy v OP VVV zejména na podporu pedagogických pracovníků. V případě Erasmus+ koordinace probíhá s Domem zahraniční spolupráce, s Ministerstvem životního prostředí probíhá paralelní koordinace v oblasti environmentálního vzdělávání. </w:t>
            </w:r>
          </w:p>
          <w:p w14:paraId="79800671" w14:textId="77777777" w:rsidR="00DD3EFA" w:rsidRPr="005A0E7C" w:rsidRDefault="00DD3EFA" w:rsidP="00B15ECB">
            <w:pPr>
              <w:tabs>
                <w:tab w:val="left" w:pos="284"/>
                <w:tab w:val="left" w:pos="567"/>
              </w:tabs>
              <w:suppressAutoHyphens/>
              <w:rPr>
                <w:rFonts w:eastAsia="Calibri"/>
              </w:rPr>
            </w:pPr>
            <w:r w:rsidRPr="005A0E7C">
              <w:rPr>
                <w:rFonts w:eastAsia="Calibri"/>
              </w:rPr>
              <w:t>Ze závěrů realizovaného šetření na téma doplňkovosti jednotlivých intervencí vyplývá, že příjemci komplementárních výzev měli obecně dostatek informací o komplementárních vazbách, resp. si informace aktivně zjišťovali a byli si vědomi doplňkovosti jednotlivých projektů. Věcná doplňkovost komplementárních projektů se projevila jak na úrovni vnitřních komplementarit OP VVV, tak i napříč operačními programy. V oblasti vysokoškolského vzdělávání bylo možné prostřednictvím doplňkových ESF a ERDF intervencí komplexním způsobem podpořit kvalitu vzdělávání na VŠ, konkrétně např. souběžnou modernizací studijních programů a vzdělávací infrastruktury. Z hodnocení komplementarit projektů OP VVV a IROP vyplynulo, že i v těchto případech byla komplementarita využita v dostatečné míře, a to jak na úrovni projektových aktivit, tak i na úrovni cílových skupin projektů.  Komplementaritu na úrovni provázanosti cílových skupin projektů IROP a OP VVVV je možné deklarovat např. efektivním sdílením zkušeností pedagogických pracovníků škol v daném území (intervence OP VVV) v modernizovaných učebnách s modernizovaným vybavení (intervence IROP), anebo navýšením kapacit zařízení pro předškolní vzdělávání (intervence IROP) s využitím podporovaných aktivit OP VVV pro zvýšení kvality a inkluzivity předškolního vzdělávání.</w:t>
            </w:r>
          </w:p>
          <w:p w14:paraId="3F84216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eastAsiaTheme="minorHAnsi" w:hAnsi="Times New Roman"/>
                <w:noProof/>
              </w:rPr>
              <w:t>Zkvalitnění vzdělávací činnosti, ať prostřednictvím investičních či neinvestičních aktivit, přispívá k rozvoji kompetencí pro trh práce a dlouhodobé potřeby společnosti, což jsou nesporné multiplikační efekty.</w:t>
            </w:r>
          </w:p>
        </w:tc>
        <w:tc>
          <w:tcPr>
            <w:tcW w:w="249" w:type="dxa"/>
            <w:tcBorders>
              <w:top w:val="nil"/>
              <w:left w:val="nil"/>
              <w:bottom w:val="nil"/>
            </w:tcBorders>
            <w:shd w:val="clear" w:color="auto" w:fill="66CCFF"/>
          </w:tcPr>
          <w:p w14:paraId="4B013152" w14:textId="77777777" w:rsidR="00DD3EFA" w:rsidRPr="005A0E7C" w:rsidRDefault="00DD3EFA">
            <w:pPr>
              <w:rPr>
                <w:b/>
              </w:rPr>
            </w:pPr>
          </w:p>
        </w:tc>
      </w:tr>
      <w:tr w:rsidR="00DD3EFA" w:rsidRPr="005A0E7C" w14:paraId="74D829AF" w14:textId="77777777" w:rsidTr="0066487B">
        <w:trPr>
          <w:trHeight w:val="180"/>
        </w:trPr>
        <w:tc>
          <w:tcPr>
            <w:tcW w:w="249" w:type="dxa"/>
            <w:tcBorders>
              <w:top w:val="nil"/>
              <w:bottom w:val="nil"/>
              <w:right w:val="nil"/>
            </w:tcBorders>
            <w:shd w:val="clear" w:color="auto" w:fill="66CCFF"/>
          </w:tcPr>
          <w:p w14:paraId="0521A4CF" w14:textId="77777777" w:rsidR="00DD3EFA" w:rsidRPr="005A0E7C" w:rsidRDefault="00DD3EFA">
            <w:pPr>
              <w:rPr>
                <w:b/>
              </w:rPr>
            </w:pPr>
          </w:p>
        </w:tc>
        <w:tc>
          <w:tcPr>
            <w:tcW w:w="2935" w:type="dxa"/>
            <w:tcBorders>
              <w:left w:val="nil"/>
              <w:bottom w:val="single" w:sz="4" w:space="0" w:color="auto"/>
              <w:right w:val="nil"/>
            </w:tcBorders>
            <w:shd w:val="clear" w:color="auto" w:fill="66CCFF"/>
          </w:tcPr>
          <w:p w14:paraId="76BC3D76" w14:textId="77777777" w:rsidR="00DD3EFA" w:rsidRPr="005A0E7C" w:rsidRDefault="00DD3EFA" w:rsidP="00B15ECB">
            <w:pPr>
              <w:rPr>
                <w:b/>
              </w:rPr>
            </w:pPr>
          </w:p>
        </w:tc>
        <w:tc>
          <w:tcPr>
            <w:tcW w:w="6099" w:type="dxa"/>
            <w:tcBorders>
              <w:left w:val="nil"/>
              <w:bottom w:val="single" w:sz="4" w:space="0" w:color="auto"/>
              <w:right w:val="nil"/>
            </w:tcBorders>
            <w:shd w:val="clear" w:color="auto" w:fill="66CCFF"/>
          </w:tcPr>
          <w:p w14:paraId="2E8ED4C6" w14:textId="77777777" w:rsidR="00DD3EFA" w:rsidRPr="005A0E7C" w:rsidRDefault="00DD3EFA" w:rsidP="00B15ECB">
            <w:pPr>
              <w:rPr>
                <w:b/>
              </w:rPr>
            </w:pPr>
          </w:p>
        </w:tc>
        <w:tc>
          <w:tcPr>
            <w:tcW w:w="249" w:type="dxa"/>
            <w:tcBorders>
              <w:top w:val="nil"/>
              <w:left w:val="nil"/>
              <w:bottom w:val="nil"/>
            </w:tcBorders>
            <w:shd w:val="clear" w:color="auto" w:fill="66CCFF"/>
          </w:tcPr>
          <w:p w14:paraId="388581FA" w14:textId="77777777" w:rsidR="00DD3EFA" w:rsidRPr="005A0E7C" w:rsidRDefault="00DD3EFA">
            <w:pPr>
              <w:rPr>
                <w:b/>
              </w:rPr>
            </w:pPr>
          </w:p>
        </w:tc>
      </w:tr>
      <w:tr w:rsidR="00DD3EFA" w:rsidRPr="005A0E7C" w14:paraId="4304CCA0" w14:textId="77777777" w:rsidTr="0066487B">
        <w:trPr>
          <w:trHeight w:val="990"/>
        </w:trPr>
        <w:tc>
          <w:tcPr>
            <w:tcW w:w="249" w:type="dxa"/>
            <w:tcBorders>
              <w:top w:val="nil"/>
              <w:bottom w:val="nil"/>
            </w:tcBorders>
            <w:shd w:val="clear" w:color="auto" w:fill="66CCFF"/>
          </w:tcPr>
          <w:p w14:paraId="23C424EC" w14:textId="77777777" w:rsidR="00DD3EFA" w:rsidRPr="005A0E7C" w:rsidRDefault="00DD3EFA">
            <w:pPr>
              <w:rPr>
                <w:b/>
              </w:rPr>
            </w:pPr>
          </w:p>
        </w:tc>
        <w:tc>
          <w:tcPr>
            <w:tcW w:w="9038" w:type="dxa"/>
            <w:gridSpan w:val="2"/>
            <w:tcBorders>
              <w:bottom w:val="single" w:sz="4" w:space="0" w:color="auto"/>
            </w:tcBorders>
            <w:shd w:val="clear" w:color="auto" w:fill="FFFFFF" w:themeFill="background1"/>
          </w:tcPr>
          <w:p w14:paraId="36C93F70"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61936D06"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6FCA6800" w14:textId="77777777" w:rsidR="00DD3EFA" w:rsidRPr="005A0E7C" w:rsidRDefault="00DD3EFA">
            <w:pPr>
              <w:rPr>
                <w:b/>
              </w:rPr>
            </w:pPr>
          </w:p>
        </w:tc>
      </w:tr>
      <w:tr w:rsidR="00DD3EFA" w:rsidRPr="005A0E7C" w14:paraId="03E30099" w14:textId="77777777" w:rsidTr="0066487B">
        <w:trPr>
          <w:trHeight w:val="1260"/>
        </w:trPr>
        <w:tc>
          <w:tcPr>
            <w:tcW w:w="249" w:type="dxa"/>
            <w:tcBorders>
              <w:top w:val="nil"/>
              <w:bottom w:val="nil"/>
            </w:tcBorders>
            <w:shd w:val="clear" w:color="auto" w:fill="66CCFF"/>
          </w:tcPr>
          <w:p w14:paraId="2A2ADD15" w14:textId="77777777" w:rsidR="00DD3EFA" w:rsidRPr="005A0E7C" w:rsidRDefault="00DD3EFA">
            <w:pPr>
              <w:rPr>
                <w:b/>
              </w:rPr>
            </w:pPr>
          </w:p>
        </w:tc>
        <w:tc>
          <w:tcPr>
            <w:tcW w:w="2935" w:type="dxa"/>
            <w:tcBorders>
              <w:bottom w:val="single" w:sz="4" w:space="0" w:color="auto"/>
            </w:tcBorders>
            <w:shd w:val="clear" w:color="auto" w:fill="FFFFFF" w:themeFill="background1"/>
          </w:tcPr>
          <w:p w14:paraId="497048FE"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Zhodnocení abs. kapacity v minulém a stávajícím období (tj. v období 2014 – 2020, příp. 2007 – 2013)</w:t>
            </w:r>
          </w:p>
        </w:tc>
        <w:tc>
          <w:tcPr>
            <w:tcW w:w="6099" w:type="dxa"/>
            <w:tcBorders>
              <w:bottom w:val="single" w:sz="4" w:space="0" w:color="auto"/>
            </w:tcBorders>
            <w:shd w:val="clear" w:color="auto" w:fill="FFFFFF" w:themeFill="background1"/>
          </w:tcPr>
          <w:p w14:paraId="73AD145C" w14:textId="77777777" w:rsidR="00DD3EFA" w:rsidRPr="005A0E7C" w:rsidRDefault="00DD3EFA">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 xml:space="preserve">OP PPR v rámci PO 4 směřující ke zvýšení kvality vzdělávání prostřednictvím posílení inkluze v multikulturní společnosti podporuje zvyšování kompetencí pedagogických pracovníků, pracovníků organizací působících ve vzdělávání pro inkluzivní, inovativní a kvalitní výuku (ESF). Obecně je v PO 4 dostatečná absorpční kapacita. </w:t>
            </w:r>
          </w:p>
          <w:p w14:paraId="51F2F054" w14:textId="77777777" w:rsidR="00DD3EFA" w:rsidRPr="005A0E7C" w:rsidRDefault="00DD3EFA">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Výzvy vyhlašované v prioritní ose 3 OP VVV podporují zvyšování kompetencí pedagogických pracovníků i pracovníků ve vzdělávání. Jedná se např. o výzvy Podpora škol formou projektů zjednodušeného vykazování – Šablony pro MŠ a ZŠ I, Šablony pro SŠ a VOŠ a výzva Šablony II. Dále např. výzvy Pregraduální vzdělávání I (která je zaměřena i na budoucí pedagogické pracovníky), Budování kapacit pro rozvoj škol I a II a další. Pedagogičtí pracovníci i pracovníci ve vzdělávání jsou podpořeni formou  DVPP, mají možnost sdílení zkušeností, vzájemné spolupráce, na zvyšování jejich kompetencí jsou zaměřena i centra kolegiální podpory a další aktivity.</w:t>
            </w:r>
          </w:p>
          <w:p w14:paraId="6FFA975C"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eastAsiaTheme="minorHAnsi" w:hAnsi="Times New Roman"/>
              </w:rPr>
              <w:t>Výzvy vyhlašované v prioritní ose 2 OP VVV také podporují zvyšování kompetencí akademických i neakademických pracovníků vysokých škol. Jedná se například o výzvy ESF výzva pro vysoké školy, Rozvoj výzkumně zaměřených studijních programů, ESF výzva pro vysoké školy – Strukturálně postižené regiony, Rozvoj kapacit pro výzkum a vývoj, Celoživotní vzdělávání na vysokých školách. Akademičtí a neakademičtí pracovníci jsou podporováni např. formou kurzů, workshopů či školení.</w:t>
            </w:r>
          </w:p>
        </w:tc>
        <w:tc>
          <w:tcPr>
            <w:tcW w:w="249" w:type="dxa"/>
            <w:tcBorders>
              <w:top w:val="nil"/>
              <w:bottom w:val="nil"/>
            </w:tcBorders>
            <w:shd w:val="clear" w:color="auto" w:fill="66CCFF"/>
          </w:tcPr>
          <w:p w14:paraId="7B8DA43F" w14:textId="77777777" w:rsidR="00DD3EFA" w:rsidRPr="005A0E7C" w:rsidRDefault="00DD3EFA">
            <w:pPr>
              <w:rPr>
                <w:b/>
              </w:rPr>
            </w:pPr>
          </w:p>
        </w:tc>
      </w:tr>
      <w:tr w:rsidR="00DD3EFA" w:rsidRPr="005A0E7C" w14:paraId="580CC9EE" w14:textId="77777777" w:rsidTr="0066487B">
        <w:trPr>
          <w:trHeight w:val="850"/>
        </w:trPr>
        <w:tc>
          <w:tcPr>
            <w:tcW w:w="249" w:type="dxa"/>
            <w:tcBorders>
              <w:top w:val="nil"/>
              <w:bottom w:val="nil"/>
            </w:tcBorders>
            <w:shd w:val="clear" w:color="auto" w:fill="66CCFF"/>
          </w:tcPr>
          <w:p w14:paraId="369A9CDD" w14:textId="77777777" w:rsidR="00DD3EFA" w:rsidRPr="005A0E7C" w:rsidRDefault="00DD3EFA">
            <w:pPr>
              <w:rPr>
                <w:b/>
              </w:rPr>
            </w:pPr>
          </w:p>
        </w:tc>
        <w:tc>
          <w:tcPr>
            <w:tcW w:w="2935" w:type="dxa"/>
            <w:tcBorders>
              <w:bottom w:val="single" w:sz="4" w:space="0" w:color="auto"/>
            </w:tcBorders>
            <w:shd w:val="clear" w:color="auto" w:fill="FFFFFF" w:themeFill="background1"/>
          </w:tcPr>
          <w:p w14:paraId="6480955D"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Poptávka příjemců</w:t>
            </w:r>
          </w:p>
        </w:tc>
        <w:tc>
          <w:tcPr>
            <w:tcW w:w="6099" w:type="dxa"/>
            <w:tcBorders>
              <w:bottom w:val="single" w:sz="4" w:space="0" w:color="auto"/>
            </w:tcBorders>
            <w:shd w:val="clear" w:color="auto" w:fill="FFFFFF" w:themeFill="background1"/>
          </w:tcPr>
          <w:p w14:paraId="33EEEAC6" w14:textId="77777777" w:rsidR="00DD3EFA" w:rsidRPr="005A0E7C" w:rsidRDefault="00DD3EFA" w:rsidP="00B15ECB">
            <w:pPr>
              <w:spacing w:before="60" w:after="60"/>
              <w:rPr>
                <w:rFonts w:eastAsiaTheme="majorEastAsia"/>
              </w:rPr>
            </w:pPr>
            <w:r w:rsidRPr="005A0E7C">
              <w:rPr>
                <w:rFonts w:eastAsiaTheme="majorEastAsia"/>
              </w:rPr>
              <w:t xml:space="preserve">Podpora pedagogických a akademických pracovníků a zejména pak rozvoje jejich pedagogických kompetencí a tzv. měkkých dovedností je jedním z průřezových témat celého OP VVV. Velká absorpční kapacita je zejména v oblasti dalšího vzdělávání, kde jsou podporovány tradiční kurzy DVPP, ale také nové formy dalšího profesního rozvoje spočívající ve vzájemné výměně zkušeností, mentoringu a kaučingu. </w:t>
            </w:r>
          </w:p>
          <w:p w14:paraId="6FB18D89" w14:textId="77777777" w:rsidR="00DD3EFA" w:rsidRPr="005A0E7C" w:rsidRDefault="00DD3EFA" w:rsidP="00B15ECB">
            <w:pPr>
              <w:spacing w:before="60" w:after="60"/>
              <w:rPr>
                <w:rFonts w:eastAsiaTheme="majorEastAsia"/>
              </w:rPr>
            </w:pPr>
            <w:r w:rsidRPr="005A0E7C">
              <w:rPr>
                <w:rFonts w:eastAsiaTheme="majorEastAsia"/>
              </w:rPr>
              <w:t>V oblasti regionálního školství v PO 3 OP VVV bylo vyhlášeno 28 výzev, ve kterých bylo předloženo do konce roku 2018 celkem 10 210 žádostí o podporu s požadovaným objemem 25,6 mld. Kč, schváleno k realizaci bylo 9 047 žádostí o podporu v celkové výši 18,2 mld. Kč, tj. 71 %. Z velké části je prioritní osa 3 implementována jednotkovými náklady, tj. zjednodušenou formou financování. Celkem bylo těchto projektů do konce roku 2018 doporučeno k financování 8 389 v celkovém objemu 6,4 mld. Kč. Vzhledem k těmto datům je i pro budoucí programové období zajištěna dostatečná absorpční kapacita, což je deklarováno i v současné době od příjemců, kteří nadále chtějí pokračovat v realizaci aktivit hrazených z ESIF. Jedná se zejména o intervence v oblasti zvyšování kompetencí pedagogických pracovníků a rovném přístupu ke vzdělávání.</w:t>
            </w:r>
          </w:p>
          <w:p w14:paraId="098FB849" w14:textId="77777777" w:rsidR="00DD3EFA" w:rsidRPr="005A0E7C" w:rsidRDefault="00DD3EFA" w:rsidP="00B15ECB">
            <w:pPr>
              <w:spacing w:before="60" w:after="60"/>
              <w:rPr>
                <w:rFonts w:eastAsiaTheme="majorEastAsia"/>
                <w:i/>
              </w:rPr>
            </w:pPr>
            <w:r w:rsidRPr="005A0E7C">
              <w:t>Z dosavadního průběžného hodnocení aktivit OP VVV pro zvýšení pedagogických i odborných kompetencí, které byly určeny přímo školám, vyplývá, že tyto aktivity jsou pro vzdělávající systém důležité. Školy, které pro ně využily podporu z OP VVV, je považují za přínosné a mají potřebu a zájem v jejich podpoře pokračovat. Tudíž předpokládáme v této oblasti dostatečnou absorpční kapacitu, která je dokladována i průběžnými evaluacemi u příjemců.</w:t>
            </w:r>
          </w:p>
        </w:tc>
        <w:tc>
          <w:tcPr>
            <w:tcW w:w="249" w:type="dxa"/>
            <w:tcBorders>
              <w:top w:val="nil"/>
              <w:bottom w:val="nil"/>
            </w:tcBorders>
            <w:shd w:val="clear" w:color="auto" w:fill="66CCFF"/>
          </w:tcPr>
          <w:p w14:paraId="699D7134" w14:textId="77777777" w:rsidR="00DD3EFA" w:rsidRPr="005A0E7C" w:rsidRDefault="00DD3EFA">
            <w:pPr>
              <w:rPr>
                <w:b/>
              </w:rPr>
            </w:pPr>
          </w:p>
        </w:tc>
      </w:tr>
      <w:tr w:rsidR="00DD3EFA" w:rsidRPr="005A0E7C" w14:paraId="3ACDC566" w14:textId="77777777" w:rsidTr="0066487B">
        <w:trPr>
          <w:trHeight w:val="925"/>
        </w:trPr>
        <w:tc>
          <w:tcPr>
            <w:tcW w:w="249" w:type="dxa"/>
            <w:tcBorders>
              <w:top w:val="nil"/>
              <w:bottom w:val="nil"/>
            </w:tcBorders>
            <w:shd w:val="clear" w:color="auto" w:fill="66CCFF"/>
          </w:tcPr>
          <w:p w14:paraId="7DAB9AD4" w14:textId="77777777" w:rsidR="00DD3EFA" w:rsidRPr="005A0E7C" w:rsidRDefault="00DD3EFA">
            <w:pPr>
              <w:rPr>
                <w:b/>
              </w:rPr>
            </w:pPr>
          </w:p>
        </w:tc>
        <w:tc>
          <w:tcPr>
            <w:tcW w:w="2935" w:type="dxa"/>
            <w:tcBorders>
              <w:bottom w:val="single" w:sz="4" w:space="0" w:color="auto"/>
            </w:tcBorders>
            <w:shd w:val="clear" w:color="auto" w:fill="FFFFFF" w:themeFill="background1"/>
          </w:tcPr>
          <w:p w14:paraId="3B5FC262"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Příprava projektových záměrů</w:t>
            </w:r>
          </w:p>
        </w:tc>
        <w:tc>
          <w:tcPr>
            <w:tcW w:w="6099" w:type="dxa"/>
            <w:tcBorders>
              <w:bottom w:val="single" w:sz="4" w:space="0" w:color="auto"/>
            </w:tcBorders>
            <w:shd w:val="clear" w:color="auto" w:fill="FFFFFF" w:themeFill="background1"/>
          </w:tcPr>
          <w:p w14:paraId="63B0FDBF" w14:textId="6A2D3FC1" w:rsidR="00DD3EFA" w:rsidRPr="005A0E7C" w:rsidRDefault="00DD3EFA">
            <w:pPr>
              <w:spacing w:before="60" w:after="60"/>
              <w:rPr>
                <w:rFonts w:eastAsiaTheme="majorEastAsia"/>
              </w:rPr>
            </w:pPr>
            <w:r w:rsidRPr="005A0E7C">
              <w:rPr>
                <w:rFonts w:eastAsiaTheme="majorEastAsia"/>
              </w:rPr>
              <w:t xml:space="preserve">V oblasti regionálního školství pak ve vztahu k předmětnému specifickému cíli NKR jde o realizaci zpracování dílčích výzkumných potřeb, </w:t>
            </w:r>
            <w:r w:rsidR="0066487B" w:rsidRPr="005A0E7C">
              <w:rPr>
                <w:rFonts w:eastAsiaTheme="majorEastAsia"/>
              </w:rPr>
              <w:t xml:space="preserve">ať již zadaných či v přípravě, </w:t>
            </w:r>
            <w:r w:rsidRPr="005A0E7C">
              <w:rPr>
                <w:rFonts w:eastAsiaTheme="majorEastAsia"/>
              </w:rPr>
              <w:t xml:space="preserve">prostřednictvím programu TAČR Beta, kdy výstupy realizovaných projektů mají sloužit mimo jiné i jako vhodné analytické předpoklady dalšího zacílení a realizace prostřednictvím fondů ESIF. </w:t>
            </w:r>
          </w:p>
          <w:p w14:paraId="1803618E" w14:textId="77777777" w:rsidR="00DD3EFA" w:rsidRPr="005A0E7C" w:rsidRDefault="00DD3EFA" w:rsidP="00B15ECB">
            <w:pPr>
              <w:spacing w:before="60" w:after="60"/>
              <w:rPr>
                <w:rFonts w:eastAsiaTheme="majorEastAsia"/>
                <w:i/>
              </w:rPr>
            </w:pPr>
            <w:r w:rsidRPr="005A0E7C">
              <w:rPr>
                <w:rFonts w:eastAsiaTheme="majorEastAsia"/>
              </w:rPr>
              <w:t xml:space="preserve">Dále se jedná o rovněž o spolupráci s Evropskou komisí v rámci Programu na podporu strukturálních reforem. Projekt se zaměřuje na předčasné odchody ze základního vzdělávání v sociálně vyloučených lokalitách ve třech krajích se strukturálními problémy – Ústeckém, Karlovarském a Moravskoslezském. Cílem je během dvou let ve spolupráci se zahraničními experty navrhnout opatření, která se budou zaměřovat primárně na školu a rodinu a která povedou ke snížení předčasných odchodů ze vzdělávání. Navrhnutá opatření budou následně otestována v pilotním šetření. </w:t>
            </w:r>
          </w:p>
        </w:tc>
        <w:tc>
          <w:tcPr>
            <w:tcW w:w="249" w:type="dxa"/>
            <w:tcBorders>
              <w:top w:val="nil"/>
              <w:bottom w:val="nil"/>
            </w:tcBorders>
            <w:shd w:val="clear" w:color="auto" w:fill="66CCFF"/>
          </w:tcPr>
          <w:p w14:paraId="54C23DE8" w14:textId="77777777" w:rsidR="00DD3EFA" w:rsidRPr="005A0E7C" w:rsidRDefault="00DD3EFA">
            <w:pPr>
              <w:rPr>
                <w:b/>
              </w:rPr>
            </w:pPr>
          </w:p>
        </w:tc>
      </w:tr>
      <w:tr w:rsidR="00DD3EFA" w:rsidRPr="005A0E7C" w14:paraId="72636327" w14:textId="77777777" w:rsidTr="0066487B">
        <w:trPr>
          <w:trHeight w:val="1001"/>
        </w:trPr>
        <w:tc>
          <w:tcPr>
            <w:tcW w:w="249" w:type="dxa"/>
            <w:tcBorders>
              <w:top w:val="nil"/>
              <w:bottom w:val="nil"/>
            </w:tcBorders>
            <w:shd w:val="clear" w:color="auto" w:fill="66CCFF"/>
          </w:tcPr>
          <w:p w14:paraId="031AA4E9" w14:textId="77777777" w:rsidR="00DD3EFA" w:rsidRPr="005A0E7C" w:rsidRDefault="00DD3EFA">
            <w:pPr>
              <w:rPr>
                <w:b/>
              </w:rPr>
            </w:pPr>
          </w:p>
        </w:tc>
        <w:tc>
          <w:tcPr>
            <w:tcW w:w="2935" w:type="dxa"/>
            <w:tcBorders>
              <w:bottom w:val="single" w:sz="4" w:space="0" w:color="auto"/>
            </w:tcBorders>
            <w:shd w:val="clear" w:color="auto" w:fill="FFFFFF" w:themeFill="background1"/>
          </w:tcPr>
          <w:p w14:paraId="303543BB"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Bariéry</w:t>
            </w:r>
          </w:p>
        </w:tc>
        <w:tc>
          <w:tcPr>
            <w:tcW w:w="6099" w:type="dxa"/>
            <w:tcBorders>
              <w:bottom w:val="single" w:sz="4" w:space="0" w:color="auto"/>
            </w:tcBorders>
            <w:shd w:val="clear" w:color="auto" w:fill="FFFFFF" w:themeFill="background1"/>
          </w:tcPr>
          <w:p w14:paraId="0674228C" w14:textId="77777777" w:rsidR="00DD3EFA" w:rsidRPr="005A0E7C" w:rsidRDefault="00DD3EFA">
            <w:pPr>
              <w:spacing w:before="60" w:after="60"/>
              <w:rPr>
                <w:rFonts w:eastAsiaTheme="majorEastAsia"/>
              </w:rPr>
            </w:pPr>
            <w:r w:rsidRPr="005A0E7C">
              <w:rPr>
                <w:rFonts w:eastAsiaTheme="majorEastAsia"/>
              </w:rPr>
              <w:t>V současné době nejsou identifikovány žádné zákonné bariéry bránící podpoře této oblasti z ESIF. Jejich výskyt není předpokládán ani v budoucnosti.</w:t>
            </w:r>
          </w:p>
          <w:p w14:paraId="305E1586"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46C8628" w14:textId="77777777" w:rsidR="00DD3EFA" w:rsidRPr="005A0E7C" w:rsidRDefault="00DD3EFA">
            <w:pPr>
              <w:rPr>
                <w:b/>
              </w:rPr>
            </w:pPr>
          </w:p>
        </w:tc>
      </w:tr>
      <w:tr w:rsidR="00DD3EFA" w:rsidRPr="005A0E7C" w14:paraId="62004900" w14:textId="77777777" w:rsidTr="0066487B">
        <w:trPr>
          <w:trHeight w:val="613"/>
        </w:trPr>
        <w:tc>
          <w:tcPr>
            <w:tcW w:w="249" w:type="dxa"/>
            <w:tcBorders>
              <w:top w:val="nil"/>
              <w:left w:val="single" w:sz="4" w:space="0" w:color="auto"/>
              <w:bottom w:val="single" w:sz="4" w:space="0" w:color="auto"/>
              <w:right w:val="nil"/>
            </w:tcBorders>
            <w:shd w:val="clear" w:color="auto" w:fill="66CCFF"/>
          </w:tcPr>
          <w:p w14:paraId="69DFB8F7" w14:textId="77777777" w:rsidR="00DD3EFA" w:rsidRPr="005A0E7C" w:rsidRDefault="00DD3EFA">
            <w:pPr>
              <w:rPr>
                <w:b/>
              </w:rPr>
            </w:pPr>
          </w:p>
        </w:tc>
        <w:tc>
          <w:tcPr>
            <w:tcW w:w="2935" w:type="dxa"/>
            <w:tcBorders>
              <w:top w:val="single" w:sz="4" w:space="0" w:color="auto"/>
              <w:left w:val="nil"/>
              <w:bottom w:val="single" w:sz="4" w:space="0" w:color="auto"/>
              <w:right w:val="nil"/>
            </w:tcBorders>
            <w:shd w:val="clear" w:color="auto" w:fill="66CCFF"/>
          </w:tcPr>
          <w:p w14:paraId="46C7C7DA" w14:textId="77777777" w:rsidR="00DD3EFA" w:rsidRPr="005A0E7C" w:rsidRDefault="00DD3EFA" w:rsidP="00B15ECB">
            <w:pPr>
              <w:spacing w:before="60" w:after="60"/>
              <w:rPr>
                <w:rFonts w:eastAsiaTheme="majorEastAsia"/>
                <w:b/>
              </w:rPr>
            </w:pPr>
          </w:p>
        </w:tc>
        <w:tc>
          <w:tcPr>
            <w:tcW w:w="6099" w:type="dxa"/>
            <w:tcBorders>
              <w:top w:val="single" w:sz="4" w:space="0" w:color="auto"/>
              <w:left w:val="nil"/>
              <w:bottom w:val="single" w:sz="4" w:space="0" w:color="auto"/>
              <w:right w:val="nil"/>
            </w:tcBorders>
            <w:shd w:val="clear" w:color="auto" w:fill="66CCFF"/>
          </w:tcPr>
          <w:p w14:paraId="794AD427"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46B9D3D4" w14:textId="77777777" w:rsidR="00DD3EFA" w:rsidRPr="005A0E7C" w:rsidRDefault="00DD3EFA">
            <w:pPr>
              <w:rPr>
                <w:b/>
              </w:rPr>
            </w:pPr>
          </w:p>
        </w:tc>
      </w:tr>
      <w:tr w:rsidR="00DD3EFA" w:rsidRPr="005A0E7C" w14:paraId="41902E90" w14:textId="77777777" w:rsidTr="0066487B">
        <w:trPr>
          <w:trHeight w:val="1559"/>
        </w:trPr>
        <w:tc>
          <w:tcPr>
            <w:tcW w:w="249" w:type="dxa"/>
            <w:tcBorders>
              <w:top w:val="single" w:sz="4" w:space="0" w:color="auto"/>
              <w:bottom w:val="nil"/>
            </w:tcBorders>
            <w:shd w:val="clear" w:color="auto" w:fill="66CCFF"/>
          </w:tcPr>
          <w:p w14:paraId="3FFD6ECD" w14:textId="77777777" w:rsidR="00DD3EFA" w:rsidRPr="005A0E7C" w:rsidRDefault="00DD3EFA">
            <w:pPr>
              <w:rPr>
                <w:b/>
              </w:rPr>
            </w:pPr>
          </w:p>
        </w:tc>
        <w:tc>
          <w:tcPr>
            <w:tcW w:w="9038" w:type="dxa"/>
            <w:gridSpan w:val="2"/>
            <w:tcBorders>
              <w:top w:val="single" w:sz="4" w:space="0" w:color="auto"/>
            </w:tcBorders>
            <w:shd w:val="clear" w:color="auto" w:fill="FFFFFF" w:themeFill="background1"/>
          </w:tcPr>
          <w:p w14:paraId="7890743A"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58C7D964" w14:textId="77777777" w:rsidR="00DD3EFA" w:rsidRPr="005A0E7C" w:rsidRDefault="00DD3EFA" w:rsidP="00B15ECB">
            <w:pPr>
              <w:spacing w:before="60" w:after="60"/>
              <w:rPr>
                <w:rFonts w:eastAsiaTheme="majorEastAsia"/>
                <w:i/>
              </w:rPr>
            </w:pPr>
          </w:p>
        </w:tc>
        <w:tc>
          <w:tcPr>
            <w:tcW w:w="249" w:type="dxa"/>
            <w:tcBorders>
              <w:top w:val="single" w:sz="4" w:space="0" w:color="auto"/>
              <w:bottom w:val="nil"/>
            </w:tcBorders>
            <w:shd w:val="clear" w:color="auto" w:fill="66CCFF"/>
          </w:tcPr>
          <w:p w14:paraId="05EBC924" w14:textId="77777777" w:rsidR="00DD3EFA" w:rsidRPr="005A0E7C" w:rsidRDefault="00DD3EFA">
            <w:pPr>
              <w:rPr>
                <w:b/>
              </w:rPr>
            </w:pPr>
          </w:p>
        </w:tc>
      </w:tr>
      <w:tr w:rsidR="00DD3EFA" w:rsidRPr="005A0E7C" w14:paraId="3CACED3A" w14:textId="77777777" w:rsidTr="0066487B">
        <w:trPr>
          <w:trHeight w:val="1968"/>
        </w:trPr>
        <w:tc>
          <w:tcPr>
            <w:tcW w:w="249" w:type="dxa"/>
            <w:tcBorders>
              <w:top w:val="nil"/>
              <w:bottom w:val="nil"/>
            </w:tcBorders>
            <w:shd w:val="clear" w:color="auto" w:fill="66CCFF"/>
          </w:tcPr>
          <w:p w14:paraId="535724E6" w14:textId="77777777" w:rsidR="00DD3EFA" w:rsidRPr="005A0E7C" w:rsidRDefault="00DD3EFA">
            <w:pPr>
              <w:rPr>
                <w:b/>
              </w:rPr>
            </w:pPr>
          </w:p>
        </w:tc>
        <w:tc>
          <w:tcPr>
            <w:tcW w:w="2935" w:type="dxa"/>
            <w:tcBorders>
              <w:top w:val="nil"/>
            </w:tcBorders>
            <w:shd w:val="clear" w:color="auto" w:fill="FFFFFF" w:themeFill="background1"/>
          </w:tcPr>
          <w:p w14:paraId="512F7C8C"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6099" w:type="dxa"/>
            <w:tcBorders>
              <w:top w:val="nil"/>
            </w:tcBorders>
            <w:shd w:val="clear" w:color="auto" w:fill="FFFFFF" w:themeFill="background1"/>
          </w:tcPr>
          <w:p w14:paraId="25C9DD67" w14:textId="04082132" w:rsidR="00DD3EFA" w:rsidRPr="005A0E7C" w:rsidRDefault="00DD3EFA" w:rsidP="00B15ECB">
            <w:pPr>
              <w:spacing w:before="60" w:after="60"/>
              <w:rPr>
                <w:rFonts w:eastAsiaTheme="majorEastAsia"/>
              </w:rPr>
            </w:pPr>
            <w:r w:rsidRPr="005A0E7C">
              <w:rPr>
                <w:rFonts w:eastAsiaTheme="majorEastAsia"/>
              </w:rPr>
              <w:t xml:space="preserve">Z unijních programů je v oblasti možnosti podpory pedagogických pracovníků v regionálním školství </w:t>
            </w:r>
            <w:r w:rsidR="0066487B" w:rsidRPr="005A0E7C">
              <w:rPr>
                <w:rFonts w:eastAsiaTheme="majorEastAsia"/>
              </w:rPr>
              <w:t>relevantní</w:t>
            </w:r>
            <w:r w:rsidRPr="005A0E7C">
              <w:rPr>
                <w:rFonts w:eastAsiaTheme="majorEastAsia"/>
              </w:rPr>
              <w:t xml:space="preserve"> pouze Erasmus+ a to zejména v aktivitách studijních stáží pracovníků ve vzdělávání v zemích EU.</w:t>
            </w:r>
          </w:p>
        </w:tc>
        <w:tc>
          <w:tcPr>
            <w:tcW w:w="249" w:type="dxa"/>
            <w:tcBorders>
              <w:top w:val="nil"/>
              <w:bottom w:val="nil"/>
            </w:tcBorders>
            <w:shd w:val="clear" w:color="auto" w:fill="66CCFF"/>
          </w:tcPr>
          <w:p w14:paraId="4C3F8A64" w14:textId="77777777" w:rsidR="00DD3EFA" w:rsidRPr="005A0E7C" w:rsidRDefault="00DD3EFA">
            <w:pPr>
              <w:rPr>
                <w:b/>
              </w:rPr>
            </w:pPr>
          </w:p>
        </w:tc>
      </w:tr>
      <w:tr w:rsidR="00DD3EFA" w:rsidRPr="005A0E7C" w14:paraId="1F2F10FD" w14:textId="77777777" w:rsidTr="0066487B">
        <w:trPr>
          <w:trHeight w:val="1968"/>
        </w:trPr>
        <w:tc>
          <w:tcPr>
            <w:tcW w:w="249" w:type="dxa"/>
            <w:tcBorders>
              <w:top w:val="nil"/>
              <w:bottom w:val="nil"/>
            </w:tcBorders>
            <w:shd w:val="clear" w:color="auto" w:fill="66CCFF"/>
          </w:tcPr>
          <w:p w14:paraId="5115AE2C" w14:textId="77777777" w:rsidR="00DD3EFA" w:rsidRPr="005A0E7C" w:rsidRDefault="00DD3EFA">
            <w:pPr>
              <w:rPr>
                <w:b/>
              </w:rPr>
            </w:pPr>
          </w:p>
        </w:tc>
        <w:tc>
          <w:tcPr>
            <w:tcW w:w="2935" w:type="dxa"/>
            <w:tcBorders>
              <w:top w:val="nil"/>
            </w:tcBorders>
            <w:shd w:val="clear" w:color="auto" w:fill="FFFFFF" w:themeFill="background1"/>
          </w:tcPr>
          <w:p w14:paraId="47C7C199"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6099" w:type="dxa"/>
            <w:tcBorders>
              <w:top w:val="nil"/>
            </w:tcBorders>
            <w:shd w:val="clear" w:color="auto" w:fill="FFFFFF" w:themeFill="background1"/>
          </w:tcPr>
          <w:p w14:paraId="555AEED6" w14:textId="0C61536A" w:rsidR="00DD3EFA" w:rsidRPr="005A0E7C" w:rsidRDefault="00DD3EFA" w:rsidP="00B15ECB">
            <w:pPr>
              <w:spacing w:before="60" w:after="60"/>
              <w:rPr>
                <w:rFonts w:eastAsiaTheme="majorEastAsia"/>
              </w:rPr>
            </w:pPr>
            <w:r w:rsidRPr="005A0E7C">
              <w:rPr>
                <w:rFonts w:eastAsiaTheme="majorEastAsia"/>
              </w:rPr>
              <w:t>Specifický cíl může být v menší míře podpořen z veřejných rozpočtů ČR. Z hlediska dosavadního vývoje a navyšování výdajů státního rozpočtu na mandatorní výdaje kapitoly MŠMT však nelze v dlouho</w:t>
            </w:r>
            <w:r w:rsidR="0066487B" w:rsidRPr="005A0E7C">
              <w:rPr>
                <w:rFonts w:eastAsiaTheme="majorEastAsia"/>
              </w:rPr>
              <w:t>do</w:t>
            </w:r>
            <w:r w:rsidRPr="005A0E7C">
              <w:rPr>
                <w:rFonts w:eastAsiaTheme="majorEastAsia"/>
              </w:rPr>
              <w:t>bém výhledu vývoje veřejných financí očekávat významnou podporu vedoucí k přímému dosažení specifického cíle a to zejména v oblasti regionálního školství. Nepřímo však SR přispívá k dosažení cíle, zejména v souvislosti s atraktivitou profese, prostřednictvím dynamického růstu platů pedagogických i nepedagogických pracovníků.</w:t>
            </w:r>
          </w:p>
          <w:p w14:paraId="1C8962EF" w14:textId="77777777" w:rsidR="00DD3EFA" w:rsidRPr="005A0E7C" w:rsidRDefault="00DD3EFA" w:rsidP="00B15ECB">
            <w:pPr>
              <w:spacing w:before="60" w:after="60"/>
              <w:rPr>
                <w:rFonts w:eastAsiaTheme="majorEastAsia"/>
              </w:rPr>
            </w:pPr>
            <w:r w:rsidRPr="005A0E7C">
              <w:rPr>
                <w:rFonts w:eastAsiaTheme="majorEastAsia"/>
              </w:rPr>
              <w:t>Na základě společných projektů soutěží vysoké školy o podporu vyčleněnou na Centralizované rozvojové programy a to v rámci několika tematických okruhů každoročně stanovených ministerstvem. Tato témata ještě více specifikují rozvojové cíle stanovené v DZ pro oblast vysokých škol 2016-2020 a jejich aktualizací pro jednotlivé roky. Projekty jsou podpořeny na základě doporučení Rady programů, poradního orgánu ministerstva.</w:t>
            </w:r>
          </w:p>
          <w:p w14:paraId="5DA52079" w14:textId="77777777" w:rsidR="00DD3EFA" w:rsidRPr="005A0E7C" w:rsidRDefault="00DD3EFA" w:rsidP="00B15ECB">
            <w:pPr>
              <w:spacing w:before="60" w:after="60"/>
              <w:rPr>
                <w:rFonts w:eastAsiaTheme="majorEastAsia"/>
              </w:rPr>
            </w:pPr>
            <w:r w:rsidRPr="005A0E7C">
              <w:rPr>
                <w:rFonts w:eastAsiaTheme="majorEastAsia"/>
              </w:rPr>
              <w:t>V rámci Institucionálního programu získávají vysoké školy prostředky na základě předloženého tříletého Institucionálního plánu, jehož prostřednictvím hodlají dosáhnout konkrétních cílů vycházejících z národních i institucionálních strategických dokumentů na dané období. Institucionální plán zároveň obsahuje návrh sledovatelných ukazatelů výkonu a jejich cílových hodnot za účelem monitoringu a evaluace stanovených cílů.</w:t>
            </w:r>
          </w:p>
          <w:p w14:paraId="22DB9DE5" w14:textId="0BB9DD7D" w:rsidR="00DD3EFA" w:rsidRPr="005A0E7C" w:rsidRDefault="00DD3EFA" w:rsidP="00B15ECB">
            <w:pPr>
              <w:spacing w:before="60" w:after="60"/>
              <w:rPr>
                <w:rFonts w:eastAsiaTheme="majorEastAsia"/>
                <w:i/>
              </w:rPr>
            </w:pPr>
            <w:r w:rsidRPr="005A0E7C">
              <w:rPr>
                <w:rFonts w:eastAsiaTheme="majorEastAsia"/>
                <w:bCs/>
              </w:rPr>
              <w:t xml:space="preserve">Prostřednictvím podpory na rozvoj a obnovu materiálně technické základny jednotlivých vysokých škol financuje ministerstvo </w:t>
            </w:r>
            <w:r w:rsidR="0066487B" w:rsidRPr="005A0E7C">
              <w:rPr>
                <w:rFonts w:eastAsiaTheme="majorEastAsia"/>
                <w:bCs/>
              </w:rPr>
              <w:t>realizaci</w:t>
            </w:r>
            <w:r w:rsidRPr="005A0E7C">
              <w:rPr>
                <w:rFonts w:eastAsiaTheme="majorEastAsia"/>
                <w:bCs/>
              </w:rPr>
              <w:t xml:space="preserve"> výlučně investičních akcí, které jsou součástí investičního plánu.</w:t>
            </w:r>
          </w:p>
        </w:tc>
        <w:tc>
          <w:tcPr>
            <w:tcW w:w="249" w:type="dxa"/>
            <w:tcBorders>
              <w:top w:val="nil"/>
              <w:bottom w:val="nil"/>
            </w:tcBorders>
            <w:shd w:val="clear" w:color="auto" w:fill="66CCFF"/>
          </w:tcPr>
          <w:p w14:paraId="5E452F29" w14:textId="77777777" w:rsidR="00DD3EFA" w:rsidRPr="005A0E7C" w:rsidRDefault="00DD3EFA">
            <w:pPr>
              <w:rPr>
                <w:b/>
              </w:rPr>
            </w:pPr>
          </w:p>
        </w:tc>
      </w:tr>
      <w:tr w:rsidR="00DD3EFA" w:rsidRPr="005A0E7C" w14:paraId="31053CE1" w14:textId="77777777" w:rsidTr="0066487B">
        <w:trPr>
          <w:trHeight w:val="1968"/>
        </w:trPr>
        <w:tc>
          <w:tcPr>
            <w:tcW w:w="249" w:type="dxa"/>
            <w:tcBorders>
              <w:top w:val="nil"/>
              <w:bottom w:val="nil"/>
            </w:tcBorders>
            <w:shd w:val="clear" w:color="auto" w:fill="66CCFF"/>
          </w:tcPr>
          <w:p w14:paraId="6BAB6C42" w14:textId="77777777" w:rsidR="00DD3EFA" w:rsidRPr="005A0E7C" w:rsidRDefault="00DD3EFA">
            <w:pPr>
              <w:rPr>
                <w:b/>
              </w:rPr>
            </w:pPr>
          </w:p>
        </w:tc>
        <w:tc>
          <w:tcPr>
            <w:tcW w:w="2935" w:type="dxa"/>
            <w:tcBorders>
              <w:top w:val="nil"/>
            </w:tcBorders>
            <w:shd w:val="clear" w:color="auto" w:fill="FFFFFF" w:themeFill="background1"/>
          </w:tcPr>
          <w:p w14:paraId="2A652294"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6099" w:type="dxa"/>
            <w:tcBorders>
              <w:top w:val="nil"/>
            </w:tcBorders>
            <w:shd w:val="clear" w:color="auto" w:fill="FFFFFF" w:themeFill="background1"/>
          </w:tcPr>
          <w:p w14:paraId="04EC5253" w14:textId="77777777" w:rsidR="00DD3EFA" w:rsidRPr="005A0E7C" w:rsidRDefault="00DD3EFA" w:rsidP="00B15ECB">
            <w:pPr>
              <w:spacing w:before="60" w:after="60"/>
              <w:rPr>
                <w:rFonts w:eastAsiaTheme="majorEastAsia"/>
                <w:i/>
              </w:rPr>
            </w:pPr>
            <w:r w:rsidRPr="005A0E7C">
              <w:rPr>
                <w:rFonts w:eastAsiaTheme="majorEastAsia"/>
              </w:rPr>
              <w:t>Naplňování specifického cíle nelze dosáhnout skrze tržní nástroje, popřípadě komerční formou financování.</w:t>
            </w:r>
          </w:p>
        </w:tc>
        <w:tc>
          <w:tcPr>
            <w:tcW w:w="249" w:type="dxa"/>
            <w:tcBorders>
              <w:top w:val="nil"/>
              <w:bottom w:val="nil"/>
            </w:tcBorders>
            <w:shd w:val="clear" w:color="auto" w:fill="66CCFF"/>
          </w:tcPr>
          <w:p w14:paraId="791EE35C" w14:textId="77777777" w:rsidR="00DD3EFA" w:rsidRPr="005A0E7C" w:rsidRDefault="00DD3EFA">
            <w:pPr>
              <w:rPr>
                <w:b/>
              </w:rPr>
            </w:pPr>
          </w:p>
        </w:tc>
      </w:tr>
      <w:tr w:rsidR="00DD3EFA" w:rsidRPr="005A0E7C" w14:paraId="0A161AB8" w14:textId="77777777" w:rsidTr="0066487B">
        <w:trPr>
          <w:trHeight w:val="1968"/>
        </w:trPr>
        <w:tc>
          <w:tcPr>
            <w:tcW w:w="249" w:type="dxa"/>
            <w:tcBorders>
              <w:top w:val="nil"/>
              <w:bottom w:val="nil"/>
            </w:tcBorders>
            <w:shd w:val="clear" w:color="auto" w:fill="66CCFF"/>
          </w:tcPr>
          <w:p w14:paraId="30FD5257" w14:textId="77777777" w:rsidR="00DD3EFA" w:rsidRPr="005A0E7C" w:rsidRDefault="00DD3EFA">
            <w:pPr>
              <w:rPr>
                <w:b/>
              </w:rPr>
            </w:pPr>
          </w:p>
        </w:tc>
        <w:tc>
          <w:tcPr>
            <w:tcW w:w="2935" w:type="dxa"/>
            <w:tcBorders>
              <w:top w:val="nil"/>
            </w:tcBorders>
            <w:shd w:val="clear" w:color="auto" w:fill="FFFFFF" w:themeFill="background1"/>
          </w:tcPr>
          <w:p w14:paraId="014C9BD7"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6099" w:type="dxa"/>
            <w:tcBorders>
              <w:top w:val="nil"/>
            </w:tcBorders>
            <w:shd w:val="clear" w:color="auto" w:fill="FFFFFF" w:themeFill="background1"/>
          </w:tcPr>
          <w:p w14:paraId="73033E7A" w14:textId="77777777" w:rsidR="00DD3EFA" w:rsidRPr="005A0E7C" w:rsidRDefault="00DD3EFA" w:rsidP="00B15ECB">
            <w:pPr>
              <w:spacing w:before="60" w:after="60"/>
              <w:rPr>
                <w:rFonts w:eastAsiaTheme="majorEastAsia"/>
                <w:i/>
              </w:rPr>
            </w:pPr>
            <w:r w:rsidRPr="005A0E7C">
              <w:rPr>
                <w:rFonts w:eastAsiaTheme="majorEastAsia"/>
              </w:rPr>
              <w:t>V této oblasti nebyly ani analýzou společnosti PWC (Analýza ne/využitelnosti finančních nástrojů pro oblast výzkumu, vývoje a vzdělávání) identifikovány možnosti využití finančních nástrojů.</w:t>
            </w:r>
          </w:p>
        </w:tc>
        <w:tc>
          <w:tcPr>
            <w:tcW w:w="249" w:type="dxa"/>
            <w:tcBorders>
              <w:top w:val="nil"/>
              <w:bottom w:val="nil"/>
            </w:tcBorders>
            <w:shd w:val="clear" w:color="auto" w:fill="66CCFF"/>
          </w:tcPr>
          <w:p w14:paraId="5E80B113" w14:textId="77777777" w:rsidR="00DD3EFA" w:rsidRPr="005A0E7C" w:rsidRDefault="00DD3EFA">
            <w:pPr>
              <w:rPr>
                <w:b/>
              </w:rPr>
            </w:pPr>
          </w:p>
        </w:tc>
      </w:tr>
      <w:tr w:rsidR="00DD3EFA" w:rsidRPr="005A0E7C" w14:paraId="3C7B5639" w14:textId="77777777" w:rsidTr="0066487B">
        <w:trPr>
          <w:trHeight w:val="150"/>
        </w:trPr>
        <w:tc>
          <w:tcPr>
            <w:tcW w:w="249" w:type="dxa"/>
            <w:tcBorders>
              <w:top w:val="nil"/>
              <w:right w:val="nil"/>
            </w:tcBorders>
            <w:shd w:val="clear" w:color="auto" w:fill="66CCFF"/>
          </w:tcPr>
          <w:p w14:paraId="0D0BBF24" w14:textId="77777777" w:rsidR="00DD3EFA" w:rsidRPr="005A0E7C" w:rsidRDefault="00DD3EFA">
            <w:pPr>
              <w:rPr>
                <w:b/>
              </w:rPr>
            </w:pPr>
          </w:p>
        </w:tc>
        <w:tc>
          <w:tcPr>
            <w:tcW w:w="2935" w:type="dxa"/>
            <w:tcBorders>
              <w:left w:val="nil"/>
              <w:right w:val="nil"/>
            </w:tcBorders>
            <w:shd w:val="clear" w:color="auto" w:fill="66CCFF"/>
          </w:tcPr>
          <w:p w14:paraId="16B087B2" w14:textId="77777777" w:rsidR="00DD3EFA" w:rsidRPr="005A0E7C" w:rsidRDefault="00DD3EFA" w:rsidP="00B15ECB">
            <w:pPr>
              <w:rPr>
                <w:b/>
              </w:rPr>
            </w:pPr>
          </w:p>
        </w:tc>
        <w:tc>
          <w:tcPr>
            <w:tcW w:w="6099" w:type="dxa"/>
            <w:tcBorders>
              <w:left w:val="nil"/>
              <w:right w:val="nil"/>
            </w:tcBorders>
            <w:shd w:val="clear" w:color="auto" w:fill="66CCFF"/>
          </w:tcPr>
          <w:p w14:paraId="0D52734F" w14:textId="77777777" w:rsidR="00DD3EFA" w:rsidRPr="005A0E7C" w:rsidRDefault="00DD3EFA" w:rsidP="00B15ECB">
            <w:pPr>
              <w:rPr>
                <w:b/>
              </w:rPr>
            </w:pPr>
          </w:p>
        </w:tc>
        <w:tc>
          <w:tcPr>
            <w:tcW w:w="249" w:type="dxa"/>
            <w:tcBorders>
              <w:top w:val="nil"/>
              <w:left w:val="nil"/>
            </w:tcBorders>
            <w:shd w:val="clear" w:color="auto" w:fill="66CCFF"/>
          </w:tcPr>
          <w:p w14:paraId="2F1E67A8" w14:textId="77777777" w:rsidR="00DD3EFA" w:rsidRPr="005A0E7C" w:rsidRDefault="00DD3EFA">
            <w:pPr>
              <w:rPr>
                <w:b/>
              </w:rPr>
            </w:pPr>
          </w:p>
        </w:tc>
      </w:tr>
    </w:tbl>
    <w:p w14:paraId="62A79967" w14:textId="77777777" w:rsidR="00DD3EFA" w:rsidRPr="005A0E7C" w:rsidRDefault="00DD3EFA">
      <w:pPr>
        <w:rPr>
          <w:rFonts w:ascii="Times New Roman" w:hAnsi="Times New Roman" w:cs="Times New Roman"/>
          <w:sz w:val="20"/>
          <w:szCs w:val="20"/>
        </w:rPr>
      </w:pPr>
    </w:p>
    <w:p w14:paraId="52B4F64F" w14:textId="77777777" w:rsidR="00DD3EFA" w:rsidRPr="005A0E7C" w:rsidRDefault="00DD3EFA" w:rsidP="00B15ECB">
      <w:pPr>
        <w:rPr>
          <w:rFonts w:ascii="Times New Roman" w:hAnsi="Times New Roman" w:cs="Times New Roman"/>
          <w:sz w:val="20"/>
          <w:szCs w:val="20"/>
        </w:rPr>
      </w:pPr>
    </w:p>
    <w:p w14:paraId="035A1224"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p w14:paraId="31768F99" w14:textId="77777777" w:rsidR="00D762E9" w:rsidRPr="00C107A7" w:rsidRDefault="00D762E9" w:rsidP="00391907">
      <w:pPr>
        <w:pStyle w:val="Nadpis1"/>
        <w:numPr>
          <w:ilvl w:val="0"/>
          <w:numId w:val="1"/>
        </w:numPr>
        <w:rPr>
          <w:rFonts w:ascii="Times New Roman" w:hAnsi="Times New Roman" w:cs="Times New Roman"/>
        </w:rPr>
      </w:pPr>
      <w:bookmarkStart w:id="3" w:name="_Toc9511882"/>
      <w:r w:rsidRPr="00C107A7">
        <w:rPr>
          <w:rFonts w:ascii="Times New Roman" w:hAnsi="Times New Roman" w:cs="Times New Roman"/>
        </w:rPr>
        <w:t>Sociální začleňování, boj s chudobou a péče o zdraví</w:t>
      </w:r>
      <w:bookmarkEnd w:id="3"/>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5049B23" w14:textId="77777777" w:rsidTr="00B15ECB">
        <w:trPr>
          <w:trHeight w:val="180"/>
        </w:trPr>
        <w:tc>
          <w:tcPr>
            <w:tcW w:w="249" w:type="dxa"/>
            <w:tcBorders>
              <w:bottom w:val="nil"/>
              <w:right w:val="nil"/>
            </w:tcBorders>
            <w:shd w:val="clear" w:color="auto" w:fill="66CCFF"/>
          </w:tcPr>
          <w:p w14:paraId="2C6FB3FB" w14:textId="77777777" w:rsidR="00DD3EFA" w:rsidRPr="005A0E7C" w:rsidRDefault="00DD3EFA" w:rsidP="00B15ECB">
            <w:pPr>
              <w:rPr>
                <w:b/>
              </w:rPr>
            </w:pPr>
          </w:p>
        </w:tc>
        <w:tc>
          <w:tcPr>
            <w:tcW w:w="2548" w:type="dxa"/>
            <w:tcBorders>
              <w:left w:val="nil"/>
              <w:right w:val="nil"/>
            </w:tcBorders>
            <w:shd w:val="clear" w:color="auto" w:fill="66CCFF"/>
          </w:tcPr>
          <w:p w14:paraId="54585E07" w14:textId="77777777" w:rsidR="00DD3EFA" w:rsidRPr="005A0E7C" w:rsidRDefault="00DD3EFA" w:rsidP="00B15ECB">
            <w:pPr>
              <w:rPr>
                <w:b/>
              </w:rPr>
            </w:pPr>
          </w:p>
        </w:tc>
        <w:tc>
          <w:tcPr>
            <w:tcW w:w="5978" w:type="dxa"/>
            <w:tcBorders>
              <w:left w:val="nil"/>
              <w:right w:val="nil"/>
            </w:tcBorders>
            <w:shd w:val="clear" w:color="auto" w:fill="66CCFF"/>
          </w:tcPr>
          <w:p w14:paraId="5D1C1512" w14:textId="77777777" w:rsidR="00DD3EFA" w:rsidRPr="005A0E7C" w:rsidRDefault="00DD3EFA" w:rsidP="00B15ECB">
            <w:pPr>
              <w:rPr>
                <w:b/>
              </w:rPr>
            </w:pPr>
          </w:p>
        </w:tc>
        <w:tc>
          <w:tcPr>
            <w:tcW w:w="249" w:type="dxa"/>
            <w:tcBorders>
              <w:left w:val="nil"/>
              <w:bottom w:val="nil"/>
            </w:tcBorders>
            <w:shd w:val="clear" w:color="auto" w:fill="66CCFF"/>
          </w:tcPr>
          <w:p w14:paraId="19614E46" w14:textId="77777777" w:rsidR="00DD3EFA" w:rsidRPr="005A0E7C" w:rsidRDefault="00DD3EFA" w:rsidP="00B15ECB">
            <w:pPr>
              <w:rPr>
                <w:b/>
              </w:rPr>
            </w:pPr>
          </w:p>
        </w:tc>
      </w:tr>
      <w:tr w:rsidR="00DD3EFA" w:rsidRPr="005A0E7C" w14:paraId="5859B9BE" w14:textId="77777777" w:rsidTr="00B15ECB">
        <w:trPr>
          <w:trHeight w:val="561"/>
        </w:trPr>
        <w:tc>
          <w:tcPr>
            <w:tcW w:w="249" w:type="dxa"/>
            <w:tcBorders>
              <w:top w:val="nil"/>
              <w:bottom w:val="nil"/>
            </w:tcBorders>
            <w:shd w:val="clear" w:color="auto" w:fill="66CCFF"/>
          </w:tcPr>
          <w:p w14:paraId="5CC06109" w14:textId="77777777" w:rsidR="00DD3EFA" w:rsidRPr="005A0E7C" w:rsidRDefault="00DD3EFA" w:rsidP="00B15ECB">
            <w:pPr>
              <w:rPr>
                <w:b/>
              </w:rPr>
            </w:pPr>
          </w:p>
        </w:tc>
        <w:tc>
          <w:tcPr>
            <w:tcW w:w="2548" w:type="dxa"/>
            <w:shd w:val="clear" w:color="auto" w:fill="0070C0"/>
          </w:tcPr>
          <w:p w14:paraId="5B576F82"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445DB4E1"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5978" w:type="dxa"/>
            <w:shd w:val="clear" w:color="auto" w:fill="0070C0"/>
          </w:tcPr>
          <w:p w14:paraId="59F0EFBB"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10"/>
            </w:r>
            <w:r w:rsidRPr="005A0E7C">
              <w:rPr>
                <w:rFonts w:eastAsiaTheme="majorEastAsia"/>
                <w:b/>
                <w:color w:val="FFFFFF" w:themeColor="background1"/>
                <w:u w:val="single"/>
              </w:rPr>
              <w:t xml:space="preserve">: </w:t>
            </w:r>
          </w:p>
          <w:p w14:paraId="5D4B5E9B"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Sociální začleňování</w:t>
            </w:r>
          </w:p>
        </w:tc>
        <w:tc>
          <w:tcPr>
            <w:tcW w:w="249" w:type="dxa"/>
            <w:tcBorders>
              <w:top w:val="nil"/>
              <w:bottom w:val="nil"/>
            </w:tcBorders>
            <w:shd w:val="clear" w:color="auto" w:fill="66CCFF"/>
          </w:tcPr>
          <w:p w14:paraId="2F7937AD" w14:textId="77777777" w:rsidR="00DD3EFA" w:rsidRPr="005A0E7C" w:rsidRDefault="00DD3EFA" w:rsidP="00B15ECB">
            <w:pPr>
              <w:rPr>
                <w:b/>
              </w:rPr>
            </w:pPr>
          </w:p>
        </w:tc>
      </w:tr>
      <w:tr w:rsidR="00DD3EFA" w:rsidRPr="005A0E7C" w14:paraId="6DF9D0DB" w14:textId="77777777" w:rsidTr="00B15ECB">
        <w:trPr>
          <w:trHeight w:val="180"/>
        </w:trPr>
        <w:tc>
          <w:tcPr>
            <w:tcW w:w="249" w:type="dxa"/>
            <w:tcBorders>
              <w:top w:val="nil"/>
              <w:bottom w:val="nil"/>
              <w:right w:val="nil"/>
            </w:tcBorders>
            <w:shd w:val="clear" w:color="auto" w:fill="66CCFF"/>
          </w:tcPr>
          <w:p w14:paraId="05379C52" w14:textId="77777777" w:rsidR="00DD3EFA" w:rsidRPr="005A0E7C" w:rsidRDefault="00DD3EFA" w:rsidP="00B15ECB">
            <w:pPr>
              <w:rPr>
                <w:b/>
              </w:rPr>
            </w:pPr>
          </w:p>
        </w:tc>
        <w:tc>
          <w:tcPr>
            <w:tcW w:w="2548" w:type="dxa"/>
            <w:tcBorders>
              <w:left w:val="nil"/>
              <w:right w:val="nil"/>
            </w:tcBorders>
            <w:shd w:val="clear" w:color="auto" w:fill="66CCFF"/>
          </w:tcPr>
          <w:p w14:paraId="4174B7A7" w14:textId="77777777" w:rsidR="00DD3EFA" w:rsidRPr="005A0E7C" w:rsidRDefault="00DD3EFA" w:rsidP="00B15ECB">
            <w:pPr>
              <w:rPr>
                <w:b/>
              </w:rPr>
            </w:pPr>
          </w:p>
        </w:tc>
        <w:tc>
          <w:tcPr>
            <w:tcW w:w="5978" w:type="dxa"/>
            <w:tcBorders>
              <w:left w:val="nil"/>
              <w:right w:val="nil"/>
            </w:tcBorders>
            <w:shd w:val="clear" w:color="auto" w:fill="66CCFF"/>
          </w:tcPr>
          <w:p w14:paraId="35B64E8C" w14:textId="77777777" w:rsidR="00DD3EFA" w:rsidRPr="005A0E7C" w:rsidRDefault="00DD3EFA" w:rsidP="00B15ECB">
            <w:pPr>
              <w:rPr>
                <w:b/>
              </w:rPr>
            </w:pPr>
          </w:p>
        </w:tc>
        <w:tc>
          <w:tcPr>
            <w:tcW w:w="249" w:type="dxa"/>
            <w:tcBorders>
              <w:top w:val="nil"/>
              <w:left w:val="nil"/>
              <w:bottom w:val="nil"/>
            </w:tcBorders>
            <w:shd w:val="clear" w:color="auto" w:fill="66CCFF"/>
          </w:tcPr>
          <w:p w14:paraId="2DF01246" w14:textId="77777777" w:rsidR="00DD3EFA" w:rsidRPr="005A0E7C" w:rsidRDefault="00DD3EFA" w:rsidP="00B15ECB">
            <w:pPr>
              <w:rPr>
                <w:b/>
              </w:rPr>
            </w:pPr>
          </w:p>
        </w:tc>
      </w:tr>
      <w:tr w:rsidR="00DD3EFA" w:rsidRPr="005A0E7C" w14:paraId="30FB8D87" w14:textId="77777777" w:rsidTr="00B15ECB">
        <w:trPr>
          <w:trHeight w:val="892"/>
        </w:trPr>
        <w:tc>
          <w:tcPr>
            <w:tcW w:w="249" w:type="dxa"/>
            <w:tcBorders>
              <w:top w:val="nil"/>
              <w:bottom w:val="nil"/>
            </w:tcBorders>
            <w:shd w:val="clear" w:color="auto" w:fill="66CCFF"/>
          </w:tcPr>
          <w:p w14:paraId="23CE6210" w14:textId="77777777" w:rsidR="00DD3EFA" w:rsidRPr="005A0E7C" w:rsidRDefault="00DD3EFA" w:rsidP="00B15ECB">
            <w:pPr>
              <w:rPr>
                <w:b/>
              </w:rPr>
            </w:pPr>
          </w:p>
        </w:tc>
        <w:tc>
          <w:tcPr>
            <w:tcW w:w="2548" w:type="dxa"/>
            <w:shd w:val="clear" w:color="auto" w:fill="FFFFFF" w:themeFill="background1"/>
          </w:tcPr>
          <w:p w14:paraId="3F94C712"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49A5CD6A" w14:textId="77777777" w:rsidR="00DD3EFA" w:rsidRPr="005A0E7C" w:rsidRDefault="00DD3EFA" w:rsidP="00B15ECB">
            <w:pPr>
              <w:pStyle w:val="slovanodstavec"/>
              <w:rPr>
                <w:rFonts w:ascii="Times New Roman" w:hAnsi="Times New Roman"/>
              </w:rPr>
            </w:pPr>
            <w:r w:rsidRPr="005A0E7C">
              <w:rPr>
                <w:rFonts w:ascii="Times New Roman" w:hAnsi="Times New Roman"/>
              </w:rPr>
              <w:t xml:space="preserve">Sociálním začleňováním rozumíme takovou politiku a procesy, které zajišťují,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 Nejde pouze o řešení příjmové chudoby (i když to je součástí), nýbrž o integraci do společnosti cestou odstraňování bariér, posilování autonomie jednotlivců i reformy jednotlivých institucí, aby principům politiky sociálního začleňování dostály. </w:t>
            </w:r>
          </w:p>
          <w:p w14:paraId="78C6271B" w14:textId="77777777" w:rsidR="00DD3EFA" w:rsidRPr="005A0E7C" w:rsidRDefault="00DD3EFA" w:rsidP="00B15ECB">
            <w:pPr>
              <w:pStyle w:val="slovanodstavec"/>
              <w:rPr>
                <w:rFonts w:ascii="Times New Roman" w:hAnsi="Times New Roman"/>
              </w:rPr>
            </w:pPr>
            <w:r w:rsidRPr="005A0E7C">
              <w:rPr>
                <w:rFonts w:ascii="Times New Roman" w:hAnsi="Times New Roman"/>
              </w:rPr>
              <w:t>Tato podoblast je náročná na provázanost jednotlivých veřejných politik, které se sociálního začleňování týkají (mj. zaměstnanost, bydlení, vzdělávání, péče o zdraví) a které jsou podrobněji popsány v jiných částech materiálu. Samotná podoblast sociálního začleňování jednak obsahuje vlastní soubory opatření, jednak ale představuje zastřešující princip, podle kterého musejí být související podoblasti provázány a koordinovány, a to v rámci místního rozvoje, jelikož pouze komplexní opatření ve více podoblastech mohou mít pozitivní dopad na cílovou populaci.</w:t>
            </w:r>
          </w:p>
        </w:tc>
        <w:tc>
          <w:tcPr>
            <w:tcW w:w="249" w:type="dxa"/>
            <w:tcBorders>
              <w:top w:val="nil"/>
              <w:bottom w:val="nil"/>
            </w:tcBorders>
            <w:shd w:val="clear" w:color="auto" w:fill="66CCFF"/>
          </w:tcPr>
          <w:p w14:paraId="64D74193" w14:textId="77777777" w:rsidR="00DD3EFA" w:rsidRPr="005A0E7C" w:rsidRDefault="00DD3EFA" w:rsidP="00B15ECB">
            <w:pPr>
              <w:rPr>
                <w:b/>
              </w:rPr>
            </w:pPr>
          </w:p>
        </w:tc>
      </w:tr>
      <w:tr w:rsidR="00DD3EFA" w:rsidRPr="005A0E7C" w14:paraId="2486AD52" w14:textId="77777777" w:rsidTr="00B15ECB">
        <w:trPr>
          <w:trHeight w:val="46"/>
        </w:trPr>
        <w:tc>
          <w:tcPr>
            <w:tcW w:w="249" w:type="dxa"/>
            <w:tcBorders>
              <w:top w:val="nil"/>
              <w:bottom w:val="nil"/>
              <w:right w:val="nil"/>
            </w:tcBorders>
            <w:shd w:val="clear" w:color="auto" w:fill="66CCFF"/>
          </w:tcPr>
          <w:p w14:paraId="3D7147D0"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3DDCD340"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BA10C2D" w14:textId="77777777" w:rsidR="00DD3EFA" w:rsidRPr="005A0E7C" w:rsidRDefault="00DD3EFA" w:rsidP="00B15ECB">
            <w:pPr>
              <w:rPr>
                <w:b/>
              </w:rPr>
            </w:pPr>
          </w:p>
        </w:tc>
        <w:tc>
          <w:tcPr>
            <w:tcW w:w="249" w:type="dxa"/>
            <w:tcBorders>
              <w:top w:val="nil"/>
              <w:left w:val="nil"/>
              <w:bottom w:val="nil"/>
            </w:tcBorders>
            <w:shd w:val="clear" w:color="auto" w:fill="66CCFF"/>
          </w:tcPr>
          <w:p w14:paraId="4C5CF097" w14:textId="77777777" w:rsidR="00DD3EFA" w:rsidRPr="005A0E7C" w:rsidRDefault="00DD3EFA" w:rsidP="00B15ECB">
            <w:pPr>
              <w:rPr>
                <w:b/>
              </w:rPr>
            </w:pPr>
          </w:p>
        </w:tc>
      </w:tr>
      <w:tr w:rsidR="00DD3EFA" w:rsidRPr="005A0E7C" w14:paraId="230D8B59" w14:textId="77777777" w:rsidTr="00B15ECB">
        <w:trPr>
          <w:trHeight w:val="1274"/>
        </w:trPr>
        <w:tc>
          <w:tcPr>
            <w:tcW w:w="249" w:type="dxa"/>
            <w:tcBorders>
              <w:top w:val="nil"/>
              <w:bottom w:val="nil"/>
            </w:tcBorders>
            <w:shd w:val="clear" w:color="auto" w:fill="66CCFF"/>
          </w:tcPr>
          <w:p w14:paraId="5DB3DBC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80476CE"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E4E982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Velkým rizikem pro další rozvoj je především pokračující nárůst počtu sociálně vyloučených osob a osob sociálním vyloučením ohrožených, stejně jako sociálně vyloučených lokalit. Regionální rozložení sociální exkluze či prvky a uplatňované formy diskriminace vůči vybraným skupinám obyvatel představují potenciálně narušení sociální soudržnosti a riziko pro ekonomický, sociální a regionální rozvoj, pro kvalitu života všech obyvatel České republiky.</w:t>
            </w:r>
          </w:p>
          <w:p w14:paraId="6830B9E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oblasti sociálního začleňování se významně projevují slabá místa veřejné správy ČR, systémová neprovázanost a resortismus, nepružnost přijímání potřebných legislativních změn, lobbistické zájmy, nadměrná administrativní zátěž, nejasné a mnohdy nejisté kompetence a absence celistvého vnímání a přístupu. Ten je navíc </w:t>
            </w:r>
            <w:r w:rsidRPr="005A0E7C">
              <w:rPr>
                <w:rFonts w:ascii="Times New Roman" w:hAnsi="Times New Roman"/>
                <w:noProof/>
              </w:rPr>
              <w:t>stále opakovaně nekoncepčně pozměňován krátkozrakými a populistickými požadavky střídajících se politických a mocenských garnitur</w:t>
            </w:r>
            <w:r w:rsidRPr="005A0E7C">
              <w:rPr>
                <w:rFonts w:ascii="Times New Roman" w:hAnsi="Times New Roman"/>
              </w:rPr>
              <w:t>.</w:t>
            </w:r>
          </w:p>
          <w:p w14:paraId="3059D985" w14:textId="1E28F5CB" w:rsidR="00DD3EFA" w:rsidRPr="005A0E7C" w:rsidRDefault="00DD3EFA" w:rsidP="00B15ECB">
            <w:r w:rsidRPr="005A0E7C">
              <w:t xml:space="preserve">Za zásadní pro naplnění těchto výzev je především udržení, popř. posílení finanční podpory prostřednictvím ESIF, z nichž jsou realizovány jak koordinované a komplexní přístupy, tak systémové i dílčí projekty v této oblasti, jako transformace a deinstitucionalizace sociálních služeb a zařízení ústavní péče pro děti, rozvoj služeb komunitního typu, </w:t>
            </w:r>
            <w:r w:rsidR="0066487B" w:rsidRPr="005A0E7C">
              <w:t>ambulantních</w:t>
            </w:r>
            <w:r w:rsidRPr="005A0E7C">
              <w:t xml:space="preserve"> a terénních služeb, integrace zdravotních a sociálních služeb, profesionalizace a dostupnost výkonu sociální práce a projekty určené na podporu neformální a sdílené péče, služeb zaměstnanosti, vzdělávání, odstraňování příjmových nerovností apod. Podpora bydlení, zejména sociálního, je z ESIF  pro ČR aktuálně klíčová. </w:t>
            </w:r>
          </w:p>
          <w:p w14:paraId="01FA990A" w14:textId="77777777" w:rsidR="00DD3EFA" w:rsidRPr="005A0E7C" w:rsidRDefault="00DD3EFA" w:rsidP="00B15ECB">
            <w:pPr>
              <w:rPr>
                <w:color w:val="FF0000"/>
              </w:rPr>
            </w:pPr>
          </w:p>
          <w:p w14:paraId="05CDC052" w14:textId="194A49F8" w:rsidR="00DD3EFA" w:rsidRPr="005A0E7C" w:rsidRDefault="00DD3EFA" w:rsidP="00B15ECB">
            <w:r w:rsidRPr="005A0E7C">
              <w:t xml:space="preserve">Důležité je také posílení opatření vedoucích k sociálnímu začleňování na úrovni vzdělávání (předškolního a základního), které ve větších městech může vykazovat prvky segregace (školy umístěné u sociálně vyloučených lokalit apod.). </w:t>
            </w:r>
            <w:r w:rsidR="00296DF4" w:rsidRPr="005A0E7C">
              <w:t xml:space="preserve">Současně se již na úrovni dětí </w:t>
            </w:r>
            <w:r w:rsidRPr="005A0E7C">
              <w:t>projevují sociální rozdíly, se kterými je nutné pracovat tak, aby nedocházelo k přenosu vzorců života v sociálním vyloučení z generace na generaci. Vzdělání a zaměstnání jsou jedním z hlavních zdrojů vedoucích k možnosti získání ekonomické stability a vyhovujícího bydlení. Podle dosavadních zpráv (např. Gabal 2015 atd.) je stále vzdělání obyvatel v sociálně vyloučených lokalitách nižší než u zbytku populace ČR.</w:t>
            </w:r>
          </w:p>
          <w:p w14:paraId="4157B94C" w14:textId="77777777" w:rsidR="00DD3EFA" w:rsidRPr="005A0E7C" w:rsidRDefault="00DD3EFA" w:rsidP="00B15ECB"/>
        </w:tc>
        <w:tc>
          <w:tcPr>
            <w:tcW w:w="249" w:type="dxa"/>
            <w:tcBorders>
              <w:top w:val="nil"/>
              <w:bottom w:val="nil"/>
            </w:tcBorders>
            <w:shd w:val="clear" w:color="auto" w:fill="66CCFF"/>
          </w:tcPr>
          <w:p w14:paraId="5D6C6939" w14:textId="77777777" w:rsidR="00DD3EFA" w:rsidRPr="005A0E7C" w:rsidRDefault="00DD3EFA" w:rsidP="00B15ECB">
            <w:pPr>
              <w:rPr>
                <w:b/>
              </w:rPr>
            </w:pPr>
          </w:p>
        </w:tc>
      </w:tr>
      <w:tr w:rsidR="00DD3EFA" w:rsidRPr="005A0E7C" w14:paraId="201B522F" w14:textId="77777777" w:rsidTr="00B15ECB">
        <w:trPr>
          <w:trHeight w:val="1274"/>
        </w:trPr>
        <w:tc>
          <w:tcPr>
            <w:tcW w:w="249" w:type="dxa"/>
            <w:tcBorders>
              <w:top w:val="nil"/>
              <w:bottom w:val="nil"/>
            </w:tcBorders>
            <w:shd w:val="clear" w:color="auto" w:fill="66CCFF"/>
          </w:tcPr>
          <w:p w14:paraId="59A78E6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C0FD52D"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5671D033" w14:textId="77777777" w:rsidR="00DD3EFA" w:rsidRPr="005A0E7C" w:rsidRDefault="00DD3EFA" w:rsidP="00B15ECB">
            <w:pPr>
              <w:spacing w:before="60" w:after="60"/>
            </w:pPr>
            <w:r w:rsidRPr="005A0E7C">
              <w:t>Ačkoliv je ČR v evropském srovnání dosud zemí s relativně rovnostářsky rozdělenými příjmy a nízkou mírou chudoby a sociální exkluze, rizika sociálního vyloučení zůstávají vysoká a situaci se v posledním období nedaří zlepšit. Dokládají to i trendy v narůstajícím počtu lidí bez domova či vysoký počet lidí v exekuci, který převyšuje průměr v EU. Stále více se bude prohlubovat rozdíl mezi bohatými a chudými, tento trend bude do roku 2030 narůstat.</w:t>
            </w:r>
          </w:p>
          <w:p w14:paraId="674D1ED9" w14:textId="77777777" w:rsidR="00DD3EFA" w:rsidRPr="005A0E7C" w:rsidRDefault="00DD3EFA" w:rsidP="00B15ECB">
            <w:pPr>
              <w:spacing w:before="60" w:after="60"/>
            </w:pPr>
            <w:r w:rsidRPr="005A0E7C">
              <w:t xml:space="preserve">Do sociálního vyloučení se propadají nejen Romové a další viditelné menšiny, ale i lidé se zdravotním postižením (včetně duševního), senioři či cizinci. V některých případech současná právní úprava tomuto stavu nenapomáhá (Zákon o státní sociální podpoře – příspěvek na bydlení; Zákon o pomoci v hmotné nouzi – doplatek na bydlení) a naopak vede k tzv. obchodu s chudobou. Kontroverzní se jeví také vyhlášení oblastí se zvýšeným výskytem sociálně nežádoucích jevů (vyloučených lokalit), které umožnila novela </w:t>
            </w:r>
            <w:r w:rsidRPr="005A0E7C">
              <w:rPr>
                <w:bCs/>
              </w:rPr>
              <w:t>zákona</w:t>
            </w:r>
            <w:r w:rsidRPr="005A0E7C">
              <w:t xml:space="preserve"> o pomoci v hmotné nouzi (jde o formu opatření obecné povahy). Další novela zákona o pomoci v hmotné nouzi zavedla povinnost vykonávat veřejnou službu pro dlouhodobě nezaměstnané osoby a vyplácení části příspěvku na živobytí poukázkami místo peněz. Tyto zákonné úpravy vedly k prohlubování stigmatizace dotčených občanů, zhoršování jejich finanční tísně, narušování sociální smíru a prohlubování jejich sociálního vyloučení. Do sociální izolace a chudoby stále častěji propadají také lidé v aktivním věku, kteří musí dlouhodobě pečovat o osobu blízkou, čímž ztrácí možnost pracovat – podpora těchto neformálních pečovatelů je naprosto neadekvátní.</w:t>
            </w:r>
          </w:p>
          <w:p w14:paraId="14A5615F" w14:textId="77777777" w:rsidR="00DD3EFA" w:rsidRPr="005A0E7C" w:rsidRDefault="00DD3EFA" w:rsidP="00B15ECB">
            <w:pPr>
              <w:spacing w:before="60" w:after="60"/>
            </w:pPr>
            <w:r w:rsidRPr="005A0E7C">
              <w:t>Jak bylo uvedeno výše, řada z klíčových opatření sociálního začleňování spadá do jiných podoblastí, nicméně v rámci této podoblasti se předpokládá zaměření na následující problémy:</w:t>
            </w:r>
          </w:p>
          <w:p w14:paraId="27953AA0" w14:textId="77777777" w:rsidR="00DD3EFA" w:rsidRPr="005A0E7C" w:rsidRDefault="00DD3EFA" w:rsidP="00391907">
            <w:pPr>
              <w:pStyle w:val="Odstavecseseznamem"/>
              <w:numPr>
                <w:ilvl w:val="0"/>
                <w:numId w:val="21"/>
              </w:numPr>
              <w:spacing w:before="60" w:after="60"/>
              <w:jc w:val="both"/>
            </w:pPr>
            <w:r w:rsidRPr="005A0E7C">
              <w:t>rostoucí počet sociálně vyloučených lokalit a počet osob, které v nich žijí</w:t>
            </w:r>
          </w:p>
          <w:p w14:paraId="22F6E00C" w14:textId="77777777" w:rsidR="00DD3EFA" w:rsidRPr="005A0E7C" w:rsidRDefault="00DD3EFA" w:rsidP="00391907">
            <w:pPr>
              <w:pStyle w:val="Odstavecseseznamem"/>
              <w:numPr>
                <w:ilvl w:val="0"/>
                <w:numId w:val="21"/>
              </w:numPr>
              <w:spacing w:before="60" w:after="60"/>
              <w:jc w:val="both"/>
            </w:pPr>
            <w:r w:rsidRPr="005A0E7C">
              <w:t>nárůst počtů osob sociálním vyloučením ohrožených</w:t>
            </w:r>
          </w:p>
          <w:p w14:paraId="73FDF09E" w14:textId="77777777" w:rsidR="00DD3EFA" w:rsidRPr="005A0E7C" w:rsidRDefault="00DD3EFA" w:rsidP="00391907">
            <w:pPr>
              <w:pStyle w:val="Odstavecseseznamem"/>
              <w:numPr>
                <w:ilvl w:val="0"/>
                <w:numId w:val="21"/>
              </w:numPr>
              <w:spacing w:before="60" w:after="60"/>
              <w:jc w:val="both"/>
            </w:pPr>
            <w:r w:rsidRPr="005A0E7C">
              <w:t>vyšší míra sociálního vyloučení a ohrožení i specifických skupin obyvatel, nárůst počtu takovýchto skupin obyvatel</w:t>
            </w:r>
          </w:p>
          <w:p w14:paraId="7004C971" w14:textId="77777777" w:rsidR="00DD3EFA" w:rsidRPr="005A0E7C" w:rsidRDefault="00DD3EFA" w:rsidP="00391907">
            <w:pPr>
              <w:pStyle w:val="Odstavecseseznamem"/>
              <w:numPr>
                <w:ilvl w:val="0"/>
                <w:numId w:val="21"/>
              </w:numPr>
              <w:spacing w:before="60" w:after="60"/>
              <w:jc w:val="both"/>
            </w:pPr>
            <w:r w:rsidRPr="005A0E7C">
              <w:t xml:space="preserve">neadekvátní, diskontinuitní a fragmentované veřejné politiky sociálního začleňování, nejednotná koncepce s negativním vlivem politického cyklu </w:t>
            </w:r>
          </w:p>
          <w:p w14:paraId="02B0F18F" w14:textId="77777777" w:rsidR="00DD3EFA" w:rsidRPr="005A0E7C" w:rsidRDefault="00DD3EFA" w:rsidP="00391907">
            <w:pPr>
              <w:pStyle w:val="Odstavecseseznamem"/>
              <w:numPr>
                <w:ilvl w:val="0"/>
                <w:numId w:val="21"/>
              </w:numPr>
              <w:spacing w:before="60" w:after="60"/>
              <w:jc w:val="both"/>
            </w:pPr>
            <w:r w:rsidRPr="005A0E7C">
              <w:t>nedostatečný monitoring sociálního vyloučení, absence aktuálních a adekvátních dat k sociálně vyloučené populaci a její regionální distribuci</w:t>
            </w:r>
          </w:p>
          <w:p w14:paraId="592FB804" w14:textId="77777777" w:rsidR="00DD3EFA" w:rsidRPr="005A0E7C" w:rsidRDefault="00DD3EFA" w:rsidP="00391907">
            <w:pPr>
              <w:pStyle w:val="Odstavecseseznamem"/>
              <w:numPr>
                <w:ilvl w:val="0"/>
                <w:numId w:val="21"/>
              </w:numPr>
              <w:spacing w:before="60" w:after="60"/>
              <w:jc w:val="both"/>
            </w:pPr>
            <w:r w:rsidRPr="005A0E7C">
              <w:t xml:space="preserve">nedostatečná opora v zákonných a prováděcích nařízeních </w:t>
            </w:r>
          </w:p>
          <w:p w14:paraId="16B34CB9" w14:textId="0B9D1D9C" w:rsidR="00DD3EFA" w:rsidRPr="005A0E7C" w:rsidRDefault="00DD3EFA" w:rsidP="00391907">
            <w:pPr>
              <w:pStyle w:val="Odstavecseseznamem"/>
              <w:numPr>
                <w:ilvl w:val="0"/>
                <w:numId w:val="21"/>
              </w:numPr>
              <w:spacing w:before="60" w:after="60"/>
              <w:jc w:val="both"/>
            </w:pPr>
            <w:r w:rsidRPr="005A0E7C">
              <w:t>nedostatečná kapacita, dostupnost, udržitelnost a efektivita relevantních veřejných služeb (sociální bydlení, sociální služby, vzdělávání, trh práce, prevence a řešení zadluženosti, státní soc</w:t>
            </w:r>
            <w:r w:rsidR="00296DF4" w:rsidRPr="005A0E7C">
              <w:t xml:space="preserve">iální podpora, zdravotní péče, </w:t>
            </w:r>
            <w:r w:rsidRPr="005A0E7C">
              <w:t>apod.) a výkonu sociální práce</w:t>
            </w:r>
          </w:p>
          <w:p w14:paraId="77930276" w14:textId="62EF232F" w:rsidR="00DD3EFA" w:rsidRPr="005A0E7C" w:rsidRDefault="00DD3EFA" w:rsidP="00391907">
            <w:pPr>
              <w:pStyle w:val="Odstavecseseznamem"/>
              <w:numPr>
                <w:ilvl w:val="0"/>
                <w:numId w:val="21"/>
              </w:numPr>
              <w:spacing w:before="60" w:after="60"/>
              <w:jc w:val="both"/>
            </w:pPr>
            <w:r w:rsidRPr="005A0E7C">
              <w:t>diskriminace jednotlivců nebo skupin na základě etnicity, zdravotního</w:t>
            </w:r>
            <w:r w:rsidR="00296DF4" w:rsidRPr="005A0E7C">
              <w:t xml:space="preserve"> či sociálního hendikepu, věku </w:t>
            </w:r>
            <w:r w:rsidRPr="005A0E7C">
              <w:t>apod.</w:t>
            </w:r>
          </w:p>
          <w:p w14:paraId="5DD25DFB" w14:textId="77777777" w:rsidR="00DD3EFA" w:rsidRPr="005A0E7C" w:rsidRDefault="00DD3EFA" w:rsidP="00391907">
            <w:pPr>
              <w:pStyle w:val="Odstavecseseznamem"/>
              <w:numPr>
                <w:ilvl w:val="0"/>
                <w:numId w:val="21"/>
              </w:numPr>
              <w:spacing w:before="60" w:after="60"/>
              <w:jc w:val="both"/>
            </w:pPr>
            <w:r w:rsidRPr="005A0E7C">
              <w:t>nedostatečná podpora nástrojů na integraci cizinců na národní a místní úrovni</w:t>
            </w:r>
          </w:p>
          <w:p w14:paraId="6A6C3C6C" w14:textId="77777777" w:rsidR="00DD3EFA" w:rsidRPr="005A0E7C" w:rsidRDefault="00DD3EFA" w:rsidP="00B15ECB">
            <w:pPr>
              <w:pStyle w:val="Odstavecseseznamem"/>
              <w:spacing w:before="60" w:after="60"/>
            </w:pPr>
          </w:p>
          <w:p w14:paraId="5556FE0F" w14:textId="77777777" w:rsidR="00DD3EFA" w:rsidRPr="005A0E7C" w:rsidRDefault="00DD3EFA" w:rsidP="00B15ECB">
            <w:pPr>
              <w:spacing w:before="60" w:after="60"/>
            </w:pPr>
            <w:r w:rsidRPr="005A0E7C">
              <w:t>Vývoj v podpoře aktivního sociálního začleňování by se měl ubírat v kontextu schváleného Evropského pilíře sociálních práv, jenž by měl sloužit jako vodítko na cestě k efektivním výsledkům v oblasti zaměstnanosti a sociální oblasti při řešení současných a budoucích výzev, které jsou přímo zaměřeny na uspokojení nezbytných potřeb lidí, i na cestě k zajištění lepšího uplatňování sociálních práv.</w:t>
            </w:r>
          </w:p>
          <w:p w14:paraId="055D64D6" w14:textId="77777777" w:rsidR="00DD3EFA" w:rsidRPr="005A0E7C" w:rsidRDefault="00DD3EFA" w:rsidP="00B15ECB">
            <w:pPr>
              <w:autoSpaceDE w:val="0"/>
              <w:autoSpaceDN w:val="0"/>
              <w:adjustRightInd w:val="0"/>
            </w:pPr>
            <w:r w:rsidRPr="005A0E7C">
              <w:t>V souvislosti s aktuálním vývojem bude pro nadcházející období důležité postupně naplňovat Evropský akt dostupnosti - European Accessibility Act, jenž požaduje zlepšit dostupnost zboží a služeb. To je ve veřejném zájmu a výhody z dostupnosti budou mít vedle lidí s postižením například i starší občané nebo rodiče s dětmi.</w:t>
            </w:r>
          </w:p>
          <w:p w14:paraId="6AF221FB" w14:textId="77777777" w:rsidR="00DD3EFA" w:rsidRPr="005A0E7C" w:rsidRDefault="00DD3EFA" w:rsidP="00B15ECB">
            <w:pPr>
              <w:autoSpaceDE w:val="0"/>
              <w:autoSpaceDN w:val="0"/>
              <w:adjustRightInd w:val="0"/>
            </w:pPr>
            <w:r w:rsidRPr="005A0E7C">
              <w:t xml:space="preserve">Významný dopad v následujících letech bude bezesporu mít demografický vývoj predikující významný úbytek aktivně pracujících osob a také nástup robotizace (Průmysl 4.0, resp. Práce 4.0.), který v dlouhodobějším horizontu zcela jistě ovlivní a promění celou společnost.  </w:t>
            </w:r>
          </w:p>
          <w:p w14:paraId="660E9BE2" w14:textId="77777777" w:rsidR="00DD3EFA" w:rsidRPr="005A0E7C" w:rsidRDefault="00DD3EFA" w:rsidP="00B15ECB">
            <w:pPr>
              <w:pStyle w:val="Textkomente"/>
            </w:pPr>
            <w:r w:rsidRPr="005A0E7C">
              <w:t xml:space="preserve">Souvisejícím tématem pro další období je rovněž podpora malých a středních podniků, včetně sociálních podniků, zejména v obcích a menších městech. Tyto podniky mohou díky své flexibilitě a dojezdové dostupnosti zaměstnávat na nejrůznější činnosti pracující seniory, osoby se zdravotním znevýhodněním, osoby sociálně vyloučené nebo sociálním vyloučením ohrožené, a další skupiny obyvatel ohrožených na trhu práce. </w:t>
            </w:r>
          </w:p>
          <w:p w14:paraId="597F1720" w14:textId="77777777" w:rsidR="00DD3EFA" w:rsidRPr="005A0E7C" w:rsidRDefault="00DD3EFA" w:rsidP="00B15ECB">
            <w:pPr>
              <w:spacing w:before="60" w:after="60"/>
            </w:pPr>
            <w:r w:rsidRPr="005A0E7C">
              <w:t>Nezbytné je zefektivnění využívání nástrojů aktivní politiky zaměstnanosti a soustředění na provázanost a prostupnost jednotlivých nástrojů aktivní politiky zaměstnanosti tak, aby byla maximalizována možnost získání a udržení stabilního zaměstnání i pro osoby velmi vzdálené od primárního trhu práce.</w:t>
            </w:r>
          </w:p>
          <w:p w14:paraId="7BA70149" w14:textId="77777777" w:rsidR="00DD3EFA" w:rsidRPr="005A0E7C" w:rsidRDefault="00DD3EFA" w:rsidP="00B15ECB">
            <w:pPr>
              <w:rPr>
                <w:i/>
              </w:rPr>
            </w:pPr>
          </w:p>
        </w:tc>
        <w:tc>
          <w:tcPr>
            <w:tcW w:w="249" w:type="dxa"/>
            <w:tcBorders>
              <w:top w:val="nil"/>
              <w:bottom w:val="nil"/>
            </w:tcBorders>
            <w:shd w:val="clear" w:color="auto" w:fill="66CCFF"/>
          </w:tcPr>
          <w:p w14:paraId="50E9457B" w14:textId="77777777" w:rsidR="00DD3EFA" w:rsidRPr="005A0E7C" w:rsidRDefault="00DD3EFA" w:rsidP="00B15ECB">
            <w:pPr>
              <w:rPr>
                <w:b/>
              </w:rPr>
            </w:pPr>
          </w:p>
        </w:tc>
      </w:tr>
      <w:tr w:rsidR="00DD3EFA" w:rsidRPr="005A0E7C" w14:paraId="39D65D38" w14:textId="77777777" w:rsidTr="00B15ECB">
        <w:trPr>
          <w:trHeight w:val="1274"/>
        </w:trPr>
        <w:tc>
          <w:tcPr>
            <w:tcW w:w="249" w:type="dxa"/>
            <w:tcBorders>
              <w:top w:val="nil"/>
              <w:bottom w:val="nil"/>
            </w:tcBorders>
            <w:shd w:val="clear" w:color="auto" w:fill="66CCFF"/>
          </w:tcPr>
          <w:p w14:paraId="532C880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E6B3BCC"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22E1F75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1DADD15" w14:textId="77777777" w:rsidR="00DD3EFA" w:rsidRPr="005A0E7C" w:rsidRDefault="00DD3EFA" w:rsidP="00B15ECB">
            <w:pPr>
              <w:spacing w:before="60" w:after="60"/>
            </w:pPr>
            <w:r w:rsidRPr="005A0E7C">
              <w:t>Připravovaná Strategie sociálního začleňování 2021 – 2030 bude stanovovat strategické cíle v následujících oblastech:</w:t>
            </w:r>
          </w:p>
          <w:p w14:paraId="546060F8" w14:textId="77777777" w:rsidR="00DD3EFA" w:rsidRPr="005A0E7C" w:rsidRDefault="00DD3EFA" w:rsidP="00B15ECB">
            <w:pPr>
              <w:tabs>
                <w:tab w:val="left" w:pos="567"/>
                <w:tab w:val="left" w:pos="851"/>
              </w:tabs>
              <w:autoSpaceDE w:val="0"/>
              <w:autoSpaceDN w:val="0"/>
              <w:adjustRightInd w:val="0"/>
              <w:spacing w:before="360"/>
              <w:ind w:left="568" w:hanging="284"/>
              <w:rPr>
                <w:bCs/>
                <w:color w:val="000000"/>
              </w:rPr>
            </w:pPr>
            <w:r w:rsidRPr="005A0E7C">
              <w:rPr>
                <w:rFonts w:eastAsia="Calibri"/>
              </w:rPr>
              <w:t xml:space="preserve">● </w:t>
            </w:r>
            <w:r w:rsidRPr="005A0E7C">
              <w:rPr>
                <w:bCs/>
                <w:color w:val="000000"/>
              </w:rPr>
              <w:t>podpora přístupu k zaměstnání a jeho udržení;</w:t>
            </w:r>
          </w:p>
          <w:p w14:paraId="1074EAFB" w14:textId="77777777" w:rsidR="00DD3EFA" w:rsidRPr="005A0E7C" w:rsidRDefault="00DD3EFA" w:rsidP="00B15ECB">
            <w:pPr>
              <w:tabs>
                <w:tab w:val="left" w:pos="567"/>
                <w:tab w:val="left" w:pos="851"/>
              </w:tabs>
              <w:autoSpaceDE w:val="0"/>
              <w:autoSpaceDN w:val="0"/>
              <w:adjustRightInd w:val="0"/>
              <w:ind w:left="568" w:hanging="284"/>
              <w:rPr>
                <w:b/>
                <w:bCs/>
                <w:color w:val="000000"/>
              </w:rPr>
            </w:pPr>
            <w:r w:rsidRPr="005A0E7C">
              <w:rPr>
                <w:rFonts w:eastAsia="Calibri"/>
              </w:rPr>
              <w:t xml:space="preserve">● </w:t>
            </w:r>
            <w:r w:rsidRPr="005A0E7C">
              <w:rPr>
                <w:bCs/>
                <w:color w:val="000000"/>
              </w:rPr>
              <w:t>sociální služby;</w:t>
            </w:r>
          </w:p>
          <w:p w14:paraId="70674D56"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podpora rodiny;</w:t>
            </w:r>
          </w:p>
          <w:p w14:paraId="460ED840"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podpora rovného přístupu ke vzdělání;</w:t>
            </w:r>
          </w:p>
          <w:p w14:paraId="428ADA67"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podpora </w:t>
            </w:r>
            <w:r w:rsidRPr="005A0E7C">
              <w:rPr>
                <w:bCs/>
                <w:color w:val="000000"/>
              </w:rPr>
              <w:t>přístupu k bydlení, prevence ztráty bydlení a udržení bydlení;</w:t>
            </w:r>
          </w:p>
          <w:p w14:paraId="63E98260"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podpora přístupu ke zdravotní péči;</w:t>
            </w:r>
          </w:p>
          <w:p w14:paraId="103B785E"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rovné příležitosti žen a mužů a genderová rovnost;</w:t>
            </w:r>
          </w:p>
          <w:p w14:paraId="5485594E" w14:textId="77777777" w:rsidR="00DD3EFA" w:rsidRPr="005A0E7C" w:rsidDel="000D7282"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sidDel="000D7282">
              <w:rPr>
                <w:bCs/>
                <w:color w:val="000000"/>
              </w:rPr>
              <w:t>zajištění důstojných životních podmínek;</w:t>
            </w:r>
          </w:p>
          <w:p w14:paraId="1ABFF728" w14:textId="77777777" w:rsidR="00DD3EFA" w:rsidRPr="005A0E7C" w:rsidRDefault="00DD3EFA" w:rsidP="00B15ECB">
            <w:pPr>
              <w:tabs>
                <w:tab w:val="left" w:pos="567"/>
              </w:tabs>
              <w:autoSpaceDE w:val="0"/>
              <w:autoSpaceDN w:val="0"/>
              <w:adjustRightInd w:val="0"/>
              <w:spacing w:after="480"/>
              <w:ind w:left="568" w:hanging="284"/>
              <w:rPr>
                <w:bCs/>
                <w:color w:val="000000"/>
              </w:rPr>
            </w:pPr>
            <w:r w:rsidRPr="005A0E7C">
              <w:rPr>
                <w:rFonts w:eastAsia="Calibri"/>
              </w:rPr>
              <w:t xml:space="preserve">● </w:t>
            </w:r>
            <w:r w:rsidRPr="005A0E7C">
              <w:rPr>
                <w:bCs/>
                <w:color w:val="000000"/>
              </w:rPr>
              <w:t>podpora dalším začleňujícím službám.</w:t>
            </w:r>
          </w:p>
        </w:tc>
        <w:tc>
          <w:tcPr>
            <w:tcW w:w="249" w:type="dxa"/>
            <w:tcBorders>
              <w:top w:val="nil"/>
              <w:bottom w:val="nil"/>
            </w:tcBorders>
            <w:shd w:val="clear" w:color="auto" w:fill="66CCFF"/>
          </w:tcPr>
          <w:p w14:paraId="517969A2" w14:textId="77777777" w:rsidR="00DD3EFA" w:rsidRPr="005A0E7C" w:rsidRDefault="00DD3EFA" w:rsidP="00B15ECB">
            <w:pPr>
              <w:rPr>
                <w:b/>
              </w:rPr>
            </w:pPr>
          </w:p>
        </w:tc>
      </w:tr>
      <w:tr w:rsidR="00DD3EFA" w:rsidRPr="005A0E7C" w14:paraId="2614A73C" w14:textId="77777777" w:rsidTr="00B15ECB">
        <w:trPr>
          <w:trHeight w:val="1274"/>
        </w:trPr>
        <w:tc>
          <w:tcPr>
            <w:tcW w:w="249" w:type="dxa"/>
            <w:tcBorders>
              <w:top w:val="nil"/>
              <w:bottom w:val="nil"/>
            </w:tcBorders>
            <w:shd w:val="clear" w:color="auto" w:fill="66CCFF"/>
          </w:tcPr>
          <w:p w14:paraId="6FC3005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6F1D384"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264C3FCD"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78" w:type="dxa"/>
            <w:tcBorders>
              <w:bottom w:val="single" w:sz="4" w:space="0" w:color="auto"/>
            </w:tcBorders>
            <w:shd w:val="clear" w:color="auto" w:fill="FFFFFF" w:themeFill="background1"/>
          </w:tcPr>
          <w:p w14:paraId="563874F0" w14:textId="77777777" w:rsidR="00DD3EFA" w:rsidRPr="005A0E7C" w:rsidRDefault="00DD3EFA" w:rsidP="00B15ECB">
            <w:pPr>
              <w:spacing w:before="60" w:after="60"/>
              <w:rPr>
                <w:rFonts w:eastAsiaTheme="majorEastAsia"/>
                <w:i/>
                <w:u w:val="single"/>
              </w:rPr>
            </w:pPr>
            <w:r w:rsidRPr="005A0E7C">
              <w:t>V roce 2018 byl připraven Rámec sociálního začleňování 2021 – 2030, který stanovuje obecné cíle pro toto období. Předpokládané výstupy budou identifikovány v rámci tvorby Strategie sociálního začleňování 2021 – 2030.</w:t>
            </w:r>
          </w:p>
        </w:tc>
        <w:tc>
          <w:tcPr>
            <w:tcW w:w="249" w:type="dxa"/>
            <w:tcBorders>
              <w:top w:val="nil"/>
              <w:bottom w:val="nil"/>
            </w:tcBorders>
            <w:shd w:val="clear" w:color="auto" w:fill="66CCFF"/>
          </w:tcPr>
          <w:p w14:paraId="4EEAF061" w14:textId="77777777" w:rsidR="00DD3EFA" w:rsidRPr="005A0E7C" w:rsidRDefault="00DD3EFA" w:rsidP="00B15ECB">
            <w:pPr>
              <w:rPr>
                <w:b/>
              </w:rPr>
            </w:pPr>
          </w:p>
        </w:tc>
      </w:tr>
      <w:tr w:rsidR="00DD3EFA" w:rsidRPr="005A0E7C" w14:paraId="5B34A84E" w14:textId="77777777" w:rsidTr="00B15ECB">
        <w:trPr>
          <w:trHeight w:val="1274"/>
        </w:trPr>
        <w:tc>
          <w:tcPr>
            <w:tcW w:w="249" w:type="dxa"/>
            <w:tcBorders>
              <w:top w:val="nil"/>
              <w:bottom w:val="nil"/>
            </w:tcBorders>
            <w:shd w:val="clear" w:color="auto" w:fill="66CCFF"/>
          </w:tcPr>
          <w:p w14:paraId="0160752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C7B102A"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8280189" w14:textId="77777777" w:rsidR="00DD3EFA" w:rsidRPr="005A0E7C" w:rsidRDefault="00DD3EFA" w:rsidP="00B15ECB">
            <w:pPr>
              <w:spacing w:before="60" w:after="60"/>
              <w:rPr>
                <w:rFonts w:eastAsiaTheme="majorEastAsia"/>
                <w:i/>
                <w:u w:val="single"/>
              </w:rPr>
            </w:pPr>
            <w:r w:rsidRPr="005A0E7C">
              <w:t>Odhadovaný podíl ESIF na plnění tohoto specifického cíle předpokládáme v rozsahu cca 70 – 100 %.</w:t>
            </w:r>
            <w:r w:rsidRPr="005A0E7C">
              <w:rPr>
                <w:rFonts w:eastAsiaTheme="majorEastAsia"/>
                <w:i/>
                <w:u w:val="single"/>
              </w:rPr>
              <w:t xml:space="preserve"> </w:t>
            </w:r>
          </w:p>
        </w:tc>
        <w:tc>
          <w:tcPr>
            <w:tcW w:w="249" w:type="dxa"/>
            <w:tcBorders>
              <w:top w:val="nil"/>
              <w:bottom w:val="nil"/>
            </w:tcBorders>
            <w:shd w:val="clear" w:color="auto" w:fill="66CCFF"/>
          </w:tcPr>
          <w:p w14:paraId="41CFC7E6" w14:textId="77777777" w:rsidR="00DD3EFA" w:rsidRPr="005A0E7C" w:rsidRDefault="00DD3EFA" w:rsidP="00B15ECB">
            <w:pPr>
              <w:rPr>
                <w:b/>
              </w:rPr>
            </w:pPr>
          </w:p>
        </w:tc>
      </w:tr>
      <w:tr w:rsidR="00DD3EFA" w:rsidRPr="005A0E7C" w14:paraId="02ABEC7E" w14:textId="77777777" w:rsidTr="00B15ECB">
        <w:trPr>
          <w:trHeight w:val="1274"/>
        </w:trPr>
        <w:tc>
          <w:tcPr>
            <w:tcW w:w="249" w:type="dxa"/>
            <w:tcBorders>
              <w:top w:val="nil"/>
              <w:bottom w:val="nil"/>
            </w:tcBorders>
            <w:shd w:val="clear" w:color="auto" w:fill="66CCFF"/>
          </w:tcPr>
          <w:p w14:paraId="0E29ABC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FB0ADCA"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680801CF"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Cíle stanovené v období 2014 – 2020 se v porovnání s aktuálními daty jeví jako stále relevantní i pro následující období, tj. nelze konstatovat pozitivní posun (zde však lze předpokládat, že reálný dopad realizovaných projektů na cílovou skupinu se projeví až v delším časovém horizontu). </w:t>
            </w:r>
          </w:p>
          <w:p w14:paraId="163A63E7"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Pro další období se jeví jako nezbytné posílení administrativních i odborných kapacit k formulaci adekvátních veřejných politik a jejich vzájemnému provázání, na národní, regionální i místní úrovni, následkem čehož dojde i ke zvýšení absorpční kapacity. Základem úspěšné intervence v sociálním začleňování bude její dlouhodobost a koordinace různých aktérů v území, která bude podporována vhodnými nástroji. Klíčová je také dostatečná motivace (případně i zakotvení povinnosti) územních partnerů k řešení problémů sociálního vyloučení na jejich území. </w:t>
            </w:r>
          </w:p>
          <w:p w14:paraId="59175881"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Měla by být prohloubena provázanost relevantních OP (zajištění souběhu intervencí, investičních a neinvestičních projektů) a zároveň by podpora měla být podmíněna komplexností intervence. Podmínky OP by měly být flexibilnější ve vztahu k potřebám na místní úrovni. Za zcela zásadní je nutné skutečné a nikoli deklaratorní snížení a zjednodušení administrativní zátěže a jednotná koncepce, která na základě analýzy bude vycházet ze skutečných potřeb, tak jak je požadují sociálně vyloučené nebo sociálním vyloučením ohrožené skupiny a jednotlivci. Ne všechny intervence vnímané z pohledu majoritní společnosti, doporučované specialisty a vytvořenými strategiemi jako prospěšné, přijímají dotčené skupiny stejně.</w:t>
            </w:r>
          </w:p>
          <w:p w14:paraId="6FAB208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Za zásadní lze považovat také zajištění sledování relevantních dat k sociální exkluzi a k sociální inkluzi až do úrovně jednotlivých sociálně vyloučených lokalit a jejich koordinované využívání pro sledování efektivity a doporučování politik.</w:t>
            </w:r>
          </w:p>
          <w:p w14:paraId="130CE3AC" w14:textId="77777777" w:rsidR="00DD3EFA" w:rsidRPr="005A0E7C" w:rsidRDefault="00DD3EFA" w:rsidP="00B15ECB">
            <w:pPr>
              <w:rPr>
                <w:i/>
              </w:rPr>
            </w:pPr>
          </w:p>
        </w:tc>
        <w:tc>
          <w:tcPr>
            <w:tcW w:w="249" w:type="dxa"/>
            <w:tcBorders>
              <w:top w:val="nil"/>
              <w:bottom w:val="nil"/>
            </w:tcBorders>
            <w:shd w:val="clear" w:color="auto" w:fill="66CCFF"/>
          </w:tcPr>
          <w:p w14:paraId="7086E92A" w14:textId="77777777" w:rsidR="00DD3EFA" w:rsidRPr="005A0E7C" w:rsidRDefault="00DD3EFA" w:rsidP="00B15ECB">
            <w:pPr>
              <w:rPr>
                <w:b/>
              </w:rPr>
            </w:pPr>
          </w:p>
        </w:tc>
      </w:tr>
      <w:tr w:rsidR="00DD3EFA" w:rsidRPr="005A0E7C" w14:paraId="4FDB0B60" w14:textId="77777777" w:rsidTr="00B15ECB">
        <w:trPr>
          <w:trHeight w:val="272"/>
        </w:trPr>
        <w:tc>
          <w:tcPr>
            <w:tcW w:w="249" w:type="dxa"/>
            <w:tcBorders>
              <w:top w:val="nil"/>
              <w:bottom w:val="nil"/>
              <w:right w:val="nil"/>
            </w:tcBorders>
            <w:shd w:val="clear" w:color="auto" w:fill="66CCFF"/>
          </w:tcPr>
          <w:p w14:paraId="189C578C"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0D74B10"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E676DF2"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00F19B2F" w14:textId="77777777" w:rsidR="00DD3EFA" w:rsidRPr="005A0E7C" w:rsidRDefault="00DD3EFA" w:rsidP="00B15ECB">
            <w:pPr>
              <w:rPr>
                <w:b/>
              </w:rPr>
            </w:pPr>
          </w:p>
        </w:tc>
      </w:tr>
      <w:tr w:rsidR="00DD3EFA" w:rsidRPr="005A0E7C" w14:paraId="203B98D3" w14:textId="77777777" w:rsidTr="00B15ECB">
        <w:trPr>
          <w:trHeight w:val="835"/>
        </w:trPr>
        <w:tc>
          <w:tcPr>
            <w:tcW w:w="249" w:type="dxa"/>
            <w:tcBorders>
              <w:top w:val="nil"/>
              <w:bottom w:val="nil"/>
            </w:tcBorders>
            <w:shd w:val="clear" w:color="auto" w:fill="66CCFF"/>
          </w:tcPr>
          <w:p w14:paraId="21504FA6"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210C5638"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71545DAF"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4C9AFD62" w14:textId="77777777" w:rsidR="00DD3EFA" w:rsidRPr="005A0E7C" w:rsidRDefault="00DD3EFA" w:rsidP="00B15ECB">
            <w:pPr>
              <w:spacing w:before="60" w:after="60"/>
            </w:pPr>
            <w:r w:rsidRPr="005A0E7C">
              <w:t>Připravovaná Strategie sociálního začleňování 2021 – 2030 bude stanovovat strategické cíle v následujících oblastech:</w:t>
            </w:r>
          </w:p>
          <w:p w14:paraId="70F76759" w14:textId="77777777" w:rsidR="00DD3EFA" w:rsidRPr="005A0E7C" w:rsidRDefault="00DD3EFA" w:rsidP="00B15ECB">
            <w:pPr>
              <w:tabs>
                <w:tab w:val="left" w:pos="567"/>
                <w:tab w:val="left" w:pos="851"/>
              </w:tabs>
              <w:autoSpaceDE w:val="0"/>
              <w:autoSpaceDN w:val="0"/>
              <w:adjustRightInd w:val="0"/>
              <w:spacing w:before="360"/>
              <w:ind w:left="568" w:hanging="284"/>
              <w:rPr>
                <w:bCs/>
                <w:color w:val="000000"/>
              </w:rPr>
            </w:pPr>
            <w:r w:rsidRPr="005A0E7C">
              <w:rPr>
                <w:rFonts w:eastAsia="Calibri"/>
              </w:rPr>
              <w:t xml:space="preserve">● </w:t>
            </w:r>
            <w:r w:rsidRPr="005A0E7C">
              <w:rPr>
                <w:bCs/>
                <w:color w:val="000000"/>
              </w:rPr>
              <w:t>podpora přístupu k zaměstnání a jeho udržení;</w:t>
            </w:r>
          </w:p>
          <w:p w14:paraId="5E44BDDD" w14:textId="77777777" w:rsidR="00DD3EFA" w:rsidRPr="005A0E7C" w:rsidRDefault="00DD3EFA" w:rsidP="00B15ECB">
            <w:pPr>
              <w:tabs>
                <w:tab w:val="left" w:pos="567"/>
                <w:tab w:val="left" w:pos="851"/>
              </w:tabs>
              <w:autoSpaceDE w:val="0"/>
              <w:autoSpaceDN w:val="0"/>
              <w:adjustRightInd w:val="0"/>
              <w:ind w:left="568" w:hanging="284"/>
              <w:rPr>
                <w:b/>
                <w:bCs/>
                <w:color w:val="000000"/>
              </w:rPr>
            </w:pPr>
            <w:r w:rsidRPr="005A0E7C">
              <w:rPr>
                <w:rFonts w:eastAsia="Calibri"/>
              </w:rPr>
              <w:t xml:space="preserve">● </w:t>
            </w:r>
            <w:r w:rsidRPr="005A0E7C">
              <w:rPr>
                <w:bCs/>
                <w:color w:val="000000"/>
              </w:rPr>
              <w:t>sociální služby;</w:t>
            </w:r>
          </w:p>
          <w:p w14:paraId="0E349CEE"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podpora rodiny;</w:t>
            </w:r>
          </w:p>
          <w:p w14:paraId="1375218B"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podpora rovného přístupu ke vzdělání;</w:t>
            </w:r>
          </w:p>
          <w:p w14:paraId="0F948520"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podpora </w:t>
            </w:r>
            <w:r w:rsidRPr="005A0E7C">
              <w:rPr>
                <w:bCs/>
                <w:color w:val="000000"/>
              </w:rPr>
              <w:t>přístupu k bydlení, prevence ztráty bydlení a udržení bydlení;</w:t>
            </w:r>
          </w:p>
          <w:p w14:paraId="4FC3D5DF"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podpora přístupu ke zdravotní péči;</w:t>
            </w:r>
          </w:p>
          <w:p w14:paraId="26F09D29" w14:textId="77777777" w:rsidR="00DD3EFA" w:rsidRPr="005A0E7C"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Pr>
                <w:bCs/>
                <w:color w:val="000000"/>
              </w:rPr>
              <w:t>rovné příležitosti žen a mužů;</w:t>
            </w:r>
          </w:p>
          <w:p w14:paraId="77C9FCDE" w14:textId="77777777" w:rsidR="00DD3EFA" w:rsidRPr="005A0E7C" w:rsidDel="000D7282" w:rsidRDefault="00DD3EFA" w:rsidP="00B15ECB">
            <w:pPr>
              <w:tabs>
                <w:tab w:val="left" w:pos="567"/>
                <w:tab w:val="left" w:pos="851"/>
              </w:tabs>
              <w:autoSpaceDE w:val="0"/>
              <w:autoSpaceDN w:val="0"/>
              <w:adjustRightInd w:val="0"/>
              <w:ind w:left="568" w:hanging="284"/>
              <w:rPr>
                <w:bCs/>
                <w:color w:val="000000"/>
              </w:rPr>
            </w:pPr>
            <w:r w:rsidRPr="005A0E7C">
              <w:rPr>
                <w:rFonts w:eastAsia="Calibri"/>
              </w:rPr>
              <w:t xml:space="preserve">● </w:t>
            </w:r>
            <w:r w:rsidRPr="005A0E7C" w:rsidDel="000D7282">
              <w:rPr>
                <w:bCs/>
                <w:color w:val="000000"/>
              </w:rPr>
              <w:t>zajištění důstojných životních podmínek;</w:t>
            </w:r>
          </w:p>
          <w:p w14:paraId="1AF6BBB9" w14:textId="77777777" w:rsidR="00DD3EFA" w:rsidRPr="005A0E7C" w:rsidRDefault="00DD3EFA" w:rsidP="00B15ECB">
            <w:pPr>
              <w:tabs>
                <w:tab w:val="left" w:pos="567"/>
              </w:tabs>
              <w:autoSpaceDE w:val="0"/>
              <w:autoSpaceDN w:val="0"/>
              <w:adjustRightInd w:val="0"/>
              <w:spacing w:after="480"/>
              <w:ind w:left="568" w:hanging="284"/>
              <w:rPr>
                <w:bCs/>
                <w:color w:val="000000"/>
              </w:rPr>
            </w:pPr>
            <w:r w:rsidRPr="005A0E7C">
              <w:rPr>
                <w:rFonts w:eastAsia="Calibri"/>
              </w:rPr>
              <w:t xml:space="preserve">● </w:t>
            </w:r>
            <w:r w:rsidRPr="005A0E7C">
              <w:rPr>
                <w:bCs/>
                <w:color w:val="000000"/>
              </w:rPr>
              <w:t>podpora dalším začleňujícím službám.</w:t>
            </w:r>
          </w:p>
          <w:p w14:paraId="068C716A" w14:textId="77777777" w:rsidR="00DD3EFA" w:rsidRPr="005A0E7C" w:rsidRDefault="00DD3EFA" w:rsidP="00B15ECB">
            <w:pPr>
              <w:tabs>
                <w:tab w:val="left" w:pos="567"/>
              </w:tabs>
              <w:autoSpaceDE w:val="0"/>
              <w:autoSpaceDN w:val="0"/>
              <w:adjustRightInd w:val="0"/>
              <w:spacing w:after="480"/>
              <w:rPr>
                <w:bCs/>
                <w:color w:val="000000"/>
              </w:rPr>
            </w:pPr>
            <w:r w:rsidRPr="005A0E7C">
              <w:rPr>
                <w:rFonts w:eastAsia="Calibri"/>
              </w:rPr>
              <w:t>Dílčí cíle budou stanoveny v rámci prací na nové Strategii.</w:t>
            </w:r>
          </w:p>
          <w:p w14:paraId="54E7B4BE"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580DB091" w14:textId="77777777" w:rsidR="00DD3EFA" w:rsidRPr="005A0E7C" w:rsidRDefault="00DD3EFA" w:rsidP="00B15ECB">
            <w:pPr>
              <w:rPr>
                <w:b/>
              </w:rPr>
            </w:pPr>
          </w:p>
        </w:tc>
      </w:tr>
      <w:tr w:rsidR="00DD3EFA" w:rsidRPr="005A0E7C" w14:paraId="23BF66DB" w14:textId="77777777" w:rsidTr="00B15ECB">
        <w:trPr>
          <w:trHeight w:val="377"/>
        </w:trPr>
        <w:tc>
          <w:tcPr>
            <w:tcW w:w="249" w:type="dxa"/>
            <w:tcBorders>
              <w:top w:val="nil"/>
              <w:bottom w:val="nil"/>
              <w:right w:val="nil"/>
            </w:tcBorders>
            <w:shd w:val="clear" w:color="auto" w:fill="66CCFF"/>
          </w:tcPr>
          <w:p w14:paraId="29628A94"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46B24E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D72D920"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1A009777" w14:textId="77777777" w:rsidR="00DD3EFA" w:rsidRPr="005A0E7C" w:rsidRDefault="00DD3EFA" w:rsidP="00B15ECB">
            <w:pPr>
              <w:rPr>
                <w:b/>
              </w:rPr>
            </w:pPr>
          </w:p>
        </w:tc>
      </w:tr>
      <w:tr w:rsidR="00DD3EFA" w:rsidRPr="005A0E7C" w14:paraId="1F48F5DB" w14:textId="77777777" w:rsidTr="00B15ECB">
        <w:trPr>
          <w:trHeight w:val="1202"/>
        </w:trPr>
        <w:tc>
          <w:tcPr>
            <w:tcW w:w="249" w:type="dxa"/>
            <w:tcBorders>
              <w:top w:val="nil"/>
              <w:bottom w:val="nil"/>
            </w:tcBorders>
            <w:shd w:val="clear" w:color="auto" w:fill="66CCFF"/>
          </w:tcPr>
          <w:p w14:paraId="00D9A300"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384ED665"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4383BEA7"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035E96E" w14:textId="77777777" w:rsidR="00DD3EFA" w:rsidRPr="005A0E7C" w:rsidRDefault="00DD3EFA" w:rsidP="00B15ECB">
            <w:pPr>
              <w:rPr>
                <w:b/>
              </w:rPr>
            </w:pPr>
          </w:p>
        </w:tc>
      </w:tr>
      <w:tr w:rsidR="00DD3EFA" w:rsidRPr="005A0E7C" w14:paraId="7B6D37A1" w14:textId="77777777" w:rsidTr="00B15ECB">
        <w:trPr>
          <w:trHeight w:val="1202"/>
        </w:trPr>
        <w:tc>
          <w:tcPr>
            <w:tcW w:w="249" w:type="dxa"/>
            <w:tcBorders>
              <w:top w:val="nil"/>
              <w:bottom w:val="nil"/>
            </w:tcBorders>
            <w:shd w:val="clear" w:color="auto" w:fill="66CCFF"/>
          </w:tcPr>
          <w:p w14:paraId="4D0CA4A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916840B"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6FD49C3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A7A04DB" w14:textId="77777777" w:rsidR="00DD3EFA" w:rsidRPr="005A0E7C" w:rsidRDefault="00DD3EFA" w:rsidP="00B15ECB">
            <w:pPr>
              <w:spacing w:before="60" w:after="60"/>
            </w:pPr>
            <w:r w:rsidRPr="005A0E7C">
              <w:t xml:space="preserve">Mapa sociálně vyloučených lokalit v ČR se výrazně proměňuje ve prospěch většího počtu menších celků, které se často přesouvají zejména do periferních oblastí. Narostl počet jednotlivých sociálně vyloučených lokalit, zatímco počet jejich obyvatel se výrazně nezměnil. Vyšší míru sociálního začlenění blokuje mj. nedostatek sociálních bytů, nedostatek podpory prevence ztráty bydlení a podpory udržení bydlení, překážky na trhu práce, </w:t>
            </w:r>
            <w:r w:rsidRPr="005A0E7C">
              <w:rPr>
                <w:rFonts w:eastAsiaTheme="majorEastAsia"/>
              </w:rPr>
              <w:t>nedostatečné personální zajištění a dostupnost výkonu sociální práce</w:t>
            </w:r>
            <w:r w:rsidRPr="005A0E7C">
              <w:t xml:space="preserve"> a vysoká míra předluženosti sociálně vyloučených osob, stejně jako přetrvávající diskriminační přístupy  k vybraným skupinám obyvatel. Vysoká míra vnitřní migrace vede ke vzniku nových lokalit zejména ve strukturálně postižených, zejména v příhraničních oblastech – Moravskoslezský, Ústecký či Karlovarský kraj. Zde míra vyloučení stále roste větším tempem než v ostatních regionech. Nově se sociálně vyloučené lokality objevují i ve velmi malých obcích, které nejsou na sociální začleňování vybaveny ani finančně, ani personálně, kompetenčně či odborným know-how. </w:t>
            </w:r>
          </w:p>
          <w:p w14:paraId="461930C8" w14:textId="77777777" w:rsidR="00DD3EFA" w:rsidRPr="005A0E7C" w:rsidRDefault="00DD3EFA" w:rsidP="00B15ECB">
            <w:pPr>
              <w:spacing w:before="60" w:after="60"/>
            </w:pPr>
            <w:r w:rsidRPr="005A0E7C">
              <w:t>Část území zasaženého sociálním vyloučením se potýká s devastací soukromého i obecního majetku. Někteří vlastníci rezignovali na své vlastnictví, řádnou péči o byt vyplývající z občanského zákoníku ze strany nájemců nevymáhají, o bytové domy se nestarají, což ztěžuje snahu o regeneraci území. Ti, kteří nerezignovali, musejí suplovat nedostupnou sociální práci se svými nájemci, aby jejich byty byly řádně užívány v souladu se zákonem.</w:t>
            </w:r>
          </w:p>
          <w:p w14:paraId="4F713FB9" w14:textId="77777777" w:rsidR="00DD3EFA" w:rsidRPr="005A0E7C" w:rsidRDefault="00DD3EFA" w:rsidP="00B15ECB">
            <w:pPr>
              <w:pStyle w:val="slovanodstavec"/>
              <w:tabs>
                <w:tab w:val="left" w:pos="284"/>
              </w:tabs>
              <w:suppressAutoHyphens/>
              <w:spacing w:line="240" w:lineRule="auto"/>
              <w:rPr>
                <w:rFonts w:ascii="Times New Roman" w:hAnsi="Times New Roman"/>
                <w:b/>
              </w:rPr>
            </w:pPr>
            <w:r w:rsidRPr="005A0E7C">
              <w:rPr>
                <w:rFonts w:ascii="Times New Roman" w:hAnsi="Times New Roman"/>
              </w:rPr>
              <w:t>Zároveň koncentrace sociálně vyloučených osob a jejich segregace v některých čtvrtích narušuje sociální a územní soudržnost uvnitř některých sídel. Důležitá je provazba fyzického a sociálního prostředí, kdy stav a kvalita veřejného prostoru ovlivňuje chování jednotlivců a naopak.</w:t>
            </w:r>
          </w:p>
        </w:tc>
        <w:tc>
          <w:tcPr>
            <w:tcW w:w="249" w:type="dxa"/>
            <w:tcBorders>
              <w:top w:val="nil"/>
              <w:bottom w:val="nil"/>
            </w:tcBorders>
            <w:shd w:val="clear" w:color="auto" w:fill="66CCFF"/>
          </w:tcPr>
          <w:p w14:paraId="46A67898" w14:textId="77777777" w:rsidR="00DD3EFA" w:rsidRPr="005A0E7C" w:rsidRDefault="00DD3EFA" w:rsidP="00B15ECB">
            <w:pPr>
              <w:rPr>
                <w:b/>
              </w:rPr>
            </w:pPr>
          </w:p>
        </w:tc>
      </w:tr>
      <w:tr w:rsidR="00DD3EFA" w:rsidRPr="005A0E7C" w14:paraId="74BB5F24" w14:textId="77777777" w:rsidTr="00B15ECB">
        <w:trPr>
          <w:trHeight w:val="1202"/>
        </w:trPr>
        <w:tc>
          <w:tcPr>
            <w:tcW w:w="249" w:type="dxa"/>
            <w:tcBorders>
              <w:top w:val="nil"/>
              <w:bottom w:val="nil"/>
            </w:tcBorders>
            <w:shd w:val="clear" w:color="auto" w:fill="66CCFF"/>
          </w:tcPr>
          <w:p w14:paraId="27FC289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FAD90CF"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1098FCE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82B5AD3" w14:textId="77777777" w:rsidR="00DD3EFA" w:rsidRPr="005A0E7C" w:rsidRDefault="00DD3EFA" w:rsidP="00B15ECB">
            <w:pPr>
              <w:spacing w:before="60" w:after="60"/>
              <w:rPr>
                <w:rFonts w:eastAsiaTheme="majorEastAsia"/>
              </w:rPr>
            </w:pPr>
            <w:r w:rsidRPr="005A0E7C">
              <w:rPr>
                <w:rFonts w:eastAsiaTheme="majorEastAsia"/>
              </w:rPr>
              <w:t xml:space="preserve">- - - </w:t>
            </w:r>
          </w:p>
        </w:tc>
        <w:tc>
          <w:tcPr>
            <w:tcW w:w="249" w:type="dxa"/>
            <w:tcBorders>
              <w:top w:val="nil"/>
              <w:bottom w:val="nil"/>
            </w:tcBorders>
            <w:shd w:val="clear" w:color="auto" w:fill="66CCFF"/>
          </w:tcPr>
          <w:p w14:paraId="124824E0" w14:textId="77777777" w:rsidR="00DD3EFA" w:rsidRPr="005A0E7C" w:rsidRDefault="00DD3EFA" w:rsidP="00B15ECB">
            <w:pPr>
              <w:rPr>
                <w:b/>
              </w:rPr>
            </w:pPr>
          </w:p>
        </w:tc>
      </w:tr>
      <w:tr w:rsidR="00DD3EFA" w:rsidRPr="005A0E7C" w14:paraId="1BA29140" w14:textId="77777777" w:rsidTr="00B15ECB">
        <w:trPr>
          <w:trHeight w:val="1202"/>
        </w:trPr>
        <w:tc>
          <w:tcPr>
            <w:tcW w:w="249" w:type="dxa"/>
            <w:tcBorders>
              <w:top w:val="nil"/>
              <w:bottom w:val="nil"/>
            </w:tcBorders>
            <w:shd w:val="clear" w:color="auto" w:fill="66CCFF"/>
          </w:tcPr>
          <w:p w14:paraId="533DEA0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9470102"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03FE58A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F9B0D73" w14:textId="77777777" w:rsidR="00DD3EFA" w:rsidRPr="005A0E7C" w:rsidRDefault="00DD3EFA" w:rsidP="00B15ECB">
            <w:r w:rsidRPr="005A0E7C">
              <w:t>Akční plán pro Společnost 4.0 se problematiky sociálního začleňování dotýká především v podpoře přístupu osob s nízkým sociálním statusem k digitálním technologiím a k digitální gramotnosti (přičemž tato problematika však z větší části náleží do oblasti Trhu práce) a dále – v souvislosti s informačními systémy veřejné správy – v efektivnějším sledování sociálních jevů, což může být využito při analýze a tvorbě opatření v oblasti politiky sociálního začleňování.</w:t>
            </w:r>
          </w:p>
        </w:tc>
        <w:tc>
          <w:tcPr>
            <w:tcW w:w="249" w:type="dxa"/>
            <w:tcBorders>
              <w:top w:val="nil"/>
              <w:bottom w:val="nil"/>
            </w:tcBorders>
            <w:shd w:val="clear" w:color="auto" w:fill="66CCFF"/>
          </w:tcPr>
          <w:p w14:paraId="0A5FE360" w14:textId="77777777" w:rsidR="00DD3EFA" w:rsidRPr="005A0E7C" w:rsidRDefault="00DD3EFA" w:rsidP="00B15ECB">
            <w:pPr>
              <w:rPr>
                <w:b/>
              </w:rPr>
            </w:pPr>
          </w:p>
        </w:tc>
      </w:tr>
      <w:tr w:rsidR="00DD3EFA" w:rsidRPr="005A0E7C" w14:paraId="741708C8" w14:textId="77777777" w:rsidTr="00B15ECB">
        <w:trPr>
          <w:trHeight w:val="1202"/>
        </w:trPr>
        <w:tc>
          <w:tcPr>
            <w:tcW w:w="249" w:type="dxa"/>
            <w:tcBorders>
              <w:top w:val="nil"/>
              <w:bottom w:val="nil"/>
            </w:tcBorders>
            <w:shd w:val="clear" w:color="auto" w:fill="66CCFF"/>
          </w:tcPr>
          <w:p w14:paraId="46AB00A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9447CDB"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437698E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7D4AA5D" w14:textId="77777777" w:rsidR="00DD3EFA" w:rsidRPr="005A0E7C" w:rsidRDefault="00DD3EFA" w:rsidP="00B15ECB">
            <w:pPr>
              <w:spacing w:before="60" w:after="60"/>
              <w:rPr>
                <w:rFonts w:eastAsiaTheme="majorEastAsia"/>
                <w:i/>
              </w:rPr>
            </w:pPr>
            <w:r w:rsidRPr="005A0E7C">
              <w:rPr>
                <w:rFonts w:eastAsiaTheme="majorEastAsia"/>
                <w:i/>
              </w:rPr>
              <w:t>Posun civilizace ke znalostní ekonomice</w:t>
            </w:r>
          </w:p>
          <w:p w14:paraId="74988075" w14:textId="77777777" w:rsidR="00DD3EFA" w:rsidRPr="005A0E7C" w:rsidRDefault="00DD3EFA" w:rsidP="00B15ECB">
            <w:pPr>
              <w:spacing w:before="60" w:after="60"/>
              <w:rPr>
                <w:rFonts w:eastAsiaTheme="majorEastAsia"/>
                <w:i/>
              </w:rPr>
            </w:pPr>
            <w:r w:rsidRPr="005A0E7C">
              <w:rPr>
                <w:rFonts w:eastAsiaTheme="majorEastAsia"/>
                <w:i/>
              </w:rPr>
              <w:t>Virtualizace</w:t>
            </w:r>
          </w:p>
          <w:p w14:paraId="1984FE12" w14:textId="77777777" w:rsidR="00DD3EFA" w:rsidRPr="005A0E7C" w:rsidRDefault="00DD3EFA" w:rsidP="00B15ECB">
            <w:pPr>
              <w:spacing w:before="60" w:after="60"/>
              <w:rPr>
                <w:rFonts w:eastAsiaTheme="majorEastAsia"/>
                <w:i/>
              </w:rPr>
            </w:pPr>
            <w:r w:rsidRPr="005A0E7C">
              <w:rPr>
                <w:rFonts w:eastAsiaTheme="majorEastAsia"/>
                <w:i/>
              </w:rPr>
              <w:t>Rostoucí mobilita</w:t>
            </w:r>
          </w:p>
          <w:p w14:paraId="1E13ABDE" w14:textId="77777777" w:rsidR="00DD3EFA" w:rsidRPr="005A0E7C" w:rsidRDefault="00DD3EFA" w:rsidP="00B15ECB">
            <w:pPr>
              <w:spacing w:before="60" w:after="60"/>
              <w:rPr>
                <w:rFonts w:eastAsiaTheme="majorEastAsia"/>
                <w:i/>
              </w:rPr>
            </w:pPr>
            <w:r w:rsidRPr="005A0E7C">
              <w:rPr>
                <w:rFonts w:eastAsiaTheme="majorEastAsia"/>
                <w:i/>
              </w:rPr>
              <w:t>Změna klimatu a její dopady</w:t>
            </w:r>
          </w:p>
          <w:p w14:paraId="73B52761" w14:textId="77777777" w:rsidR="00DD3EFA" w:rsidRPr="005A0E7C" w:rsidRDefault="00DD3EFA" w:rsidP="00B15ECB">
            <w:pPr>
              <w:spacing w:before="60" w:after="60"/>
              <w:rPr>
                <w:rFonts w:eastAsiaTheme="majorEastAsia"/>
                <w:i/>
              </w:rPr>
            </w:pPr>
            <w:r w:rsidRPr="005A0E7C">
              <w:rPr>
                <w:rFonts w:eastAsiaTheme="majorEastAsia"/>
                <w:i/>
              </w:rPr>
              <w:t>Rostoucí spotřeba zdrojů a energie</w:t>
            </w:r>
          </w:p>
          <w:p w14:paraId="07B4BC3D" w14:textId="77777777" w:rsidR="00DD3EFA" w:rsidRPr="005A0E7C" w:rsidRDefault="00DD3EFA" w:rsidP="00B15ECB">
            <w:pPr>
              <w:spacing w:before="60" w:after="60"/>
              <w:rPr>
                <w:rFonts w:eastAsiaTheme="majorEastAsia"/>
                <w:i/>
              </w:rPr>
            </w:pPr>
            <w:r w:rsidRPr="005A0E7C">
              <w:rPr>
                <w:rFonts w:eastAsiaTheme="majorEastAsia"/>
                <w:i/>
              </w:rPr>
              <w:t>Urbanizace</w:t>
            </w:r>
          </w:p>
          <w:p w14:paraId="3BA61759" w14:textId="77777777" w:rsidR="00DD3EFA" w:rsidRPr="005A0E7C" w:rsidRDefault="00DD3EFA" w:rsidP="00B15ECB">
            <w:pPr>
              <w:spacing w:before="60" w:after="60"/>
              <w:rPr>
                <w:rFonts w:eastAsiaTheme="majorEastAsia"/>
                <w:i/>
              </w:rPr>
            </w:pPr>
            <w:r w:rsidRPr="005A0E7C">
              <w:rPr>
                <w:rFonts w:eastAsiaTheme="majorEastAsia"/>
              </w:rPr>
              <w:t>(jedná se o výčet megatrendů, kterých se fakticky dotýkají cíle připravované Strategie, a to i přesto, že v matici uvedené na str. 10 NKR nejsou takto u soc. začleňování identifikovány)</w:t>
            </w:r>
          </w:p>
        </w:tc>
        <w:tc>
          <w:tcPr>
            <w:tcW w:w="249" w:type="dxa"/>
            <w:tcBorders>
              <w:top w:val="nil"/>
              <w:bottom w:val="nil"/>
            </w:tcBorders>
            <w:shd w:val="clear" w:color="auto" w:fill="66CCFF"/>
          </w:tcPr>
          <w:p w14:paraId="6DDA8B18" w14:textId="77777777" w:rsidR="00DD3EFA" w:rsidRPr="005A0E7C" w:rsidRDefault="00DD3EFA" w:rsidP="00B15ECB">
            <w:pPr>
              <w:rPr>
                <w:b/>
              </w:rPr>
            </w:pPr>
          </w:p>
        </w:tc>
      </w:tr>
      <w:tr w:rsidR="00DD3EFA" w:rsidRPr="005A0E7C" w14:paraId="4DB2D110" w14:textId="77777777" w:rsidTr="00B15ECB">
        <w:trPr>
          <w:trHeight w:val="1202"/>
        </w:trPr>
        <w:tc>
          <w:tcPr>
            <w:tcW w:w="249" w:type="dxa"/>
            <w:tcBorders>
              <w:top w:val="nil"/>
              <w:bottom w:val="nil"/>
            </w:tcBorders>
            <w:shd w:val="clear" w:color="auto" w:fill="66CCFF"/>
          </w:tcPr>
          <w:p w14:paraId="32B8E49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A26E33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40E71403" w14:textId="77777777" w:rsidR="00DD3EFA" w:rsidRPr="005A0E7C" w:rsidRDefault="00DD3EFA" w:rsidP="00B15ECB">
            <w:pPr>
              <w:spacing w:before="60" w:after="60"/>
              <w:rPr>
                <w:i/>
              </w:rPr>
            </w:pPr>
            <w:r w:rsidRPr="005A0E7C">
              <w:rPr>
                <w:i/>
              </w:rPr>
              <w:t>Cíl politiky 4 Sociálnější Evropa – provádění evropského pilíře sociálních práv</w:t>
            </w:r>
          </w:p>
          <w:p w14:paraId="7BF793EC" w14:textId="77777777" w:rsidR="00DD3EFA" w:rsidRPr="005A0E7C" w:rsidRDefault="00DD3EFA" w:rsidP="00B15ECB">
            <w:pPr>
              <w:spacing w:before="60" w:after="60"/>
              <w:rPr>
                <w:i/>
              </w:rPr>
            </w:pPr>
            <w:r w:rsidRPr="005A0E7C">
              <w:rPr>
                <w:i/>
              </w:rPr>
              <w:t xml:space="preserve">Specifické cíle ESF+: </w:t>
            </w:r>
          </w:p>
          <w:p w14:paraId="63F2C6F5" w14:textId="77777777" w:rsidR="00DD3EFA" w:rsidRPr="005A0E7C" w:rsidRDefault="00DD3EFA" w:rsidP="00B15ECB">
            <w:pPr>
              <w:spacing w:before="60" w:after="60"/>
              <w:rPr>
                <w:i/>
              </w:rPr>
            </w:pPr>
            <w:r w:rsidRPr="005A0E7C">
              <w:rPr>
                <w:i/>
              </w:rPr>
              <w:t>vii)</w:t>
            </w:r>
            <w:r w:rsidRPr="005A0E7C">
              <w:rPr>
                <w:i/>
              </w:rPr>
              <w:tab/>
              <w:t>posílit aktivní začleňování občanů, a podpořit tak jejich rovné příležitosti a aktivní účast a nabídnout jim lepší zaměstnatelnost;</w:t>
            </w:r>
          </w:p>
          <w:p w14:paraId="73C79984" w14:textId="77777777" w:rsidR="00DD3EFA" w:rsidRPr="005A0E7C" w:rsidRDefault="00DD3EFA" w:rsidP="00B15ECB">
            <w:pPr>
              <w:spacing w:before="60" w:after="60"/>
              <w:rPr>
                <w:i/>
              </w:rPr>
            </w:pPr>
            <w:r w:rsidRPr="005A0E7C">
              <w:rPr>
                <w:i/>
              </w:rPr>
              <w:t>viii)</w:t>
            </w:r>
            <w:r w:rsidRPr="005A0E7C">
              <w:rPr>
                <w:i/>
              </w:rPr>
              <w:tab/>
              <w:t xml:space="preserve">podporovat sociálně-ekonomickou integraci státních příslušníků třetích zemí a marginalizovaných komunit, jako jsou Romové;  </w:t>
            </w:r>
          </w:p>
          <w:p w14:paraId="4B59481A" w14:textId="77777777" w:rsidR="00DD3EFA" w:rsidRPr="005A0E7C" w:rsidRDefault="00DD3EFA" w:rsidP="00B15ECB">
            <w:pPr>
              <w:spacing w:before="60" w:after="60"/>
              <w:rPr>
                <w:i/>
              </w:rPr>
            </w:pPr>
            <w:r w:rsidRPr="005A0E7C">
              <w:rPr>
                <w:i/>
              </w:rPr>
              <w:t>x)</w:t>
            </w:r>
            <w:r w:rsidRPr="005A0E7C">
              <w:rPr>
                <w:i/>
              </w:rPr>
              <w:tab/>
              <w:t>podporovat sociální začlenění osob ohrožených chudobou nebo sociálním vyloučením včetně nejchudších osob a dětí;</w:t>
            </w:r>
          </w:p>
          <w:p w14:paraId="3B2FDDB2" w14:textId="77777777" w:rsidR="00DD3EFA" w:rsidRPr="005A0E7C" w:rsidRDefault="00DD3EFA" w:rsidP="00B15ECB">
            <w:pPr>
              <w:spacing w:before="60" w:after="60"/>
              <w:rPr>
                <w:i/>
              </w:rPr>
            </w:pPr>
            <w:r w:rsidRPr="005A0E7C">
              <w:rPr>
                <w:i/>
              </w:rPr>
              <w:t>xi) řešit materiální deprivaci poskytnutím potravinové a/nebo základní materiální pomoci nejchudším osobám, včetně doprovodných opatření.</w:t>
            </w:r>
          </w:p>
          <w:p w14:paraId="3658BDBF" w14:textId="77777777" w:rsidR="00DD3EFA" w:rsidRPr="005A0E7C" w:rsidRDefault="00DD3EFA" w:rsidP="00B15ECB">
            <w:pPr>
              <w:spacing w:before="60" w:after="60"/>
              <w:rPr>
                <w:i/>
              </w:rPr>
            </w:pPr>
          </w:p>
          <w:p w14:paraId="05741830" w14:textId="77777777" w:rsidR="00DD3EFA" w:rsidRPr="005A0E7C" w:rsidRDefault="00DD3EFA" w:rsidP="00B15ECB">
            <w:pPr>
              <w:spacing w:before="60" w:after="60"/>
              <w:rPr>
                <w:i/>
              </w:rPr>
            </w:pPr>
            <w:r w:rsidRPr="005A0E7C">
              <w:rPr>
                <w:i/>
              </w:rPr>
              <w:t>(pozn. znění cílů dle návrhů nařízení ze strany EK)</w:t>
            </w:r>
          </w:p>
        </w:tc>
        <w:tc>
          <w:tcPr>
            <w:tcW w:w="249" w:type="dxa"/>
            <w:tcBorders>
              <w:top w:val="nil"/>
              <w:bottom w:val="nil"/>
            </w:tcBorders>
            <w:shd w:val="clear" w:color="auto" w:fill="66CCFF"/>
          </w:tcPr>
          <w:p w14:paraId="51D0AE12" w14:textId="77777777" w:rsidR="00DD3EFA" w:rsidRPr="005A0E7C" w:rsidRDefault="00DD3EFA" w:rsidP="00B15ECB">
            <w:pPr>
              <w:rPr>
                <w:b/>
              </w:rPr>
            </w:pPr>
          </w:p>
        </w:tc>
      </w:tr>
      <w:tr w:rsidR="00DD3EFA" w:rsidRPr="005A0E7C" w14:paraId="047EF1FF" w14:textId="77777777" w:rsidTr="00B15ECB">
        <w:trPr>
          <w:trHeight w:val="1202"/>
        </w:trPr>
        <w:tc>
          <w:tcPr>
            <w:tcW w:w="249" w:type="dxa"/>
            <w:tcBorders>
              <w:top w:val="nil"/>
              <w:bottom w:val="nil"/>
            </w:tcBorders>
            <w:shd w:val="clear" w:color="auto" w:fill="66CCFF"/>
          </w:tcPr>
          <w:p w14:paraId="600B3B9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9F8DA9B"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4AE7373D" w14:textId="77777777" w:rsidR="00DD3EFA" w:rsidRPr="005A0E7C" w:rsidRDefault="00DD3EFA" w:rsidP="00B15ECB">
            <w:pPr>
              <w:spacing w:before="60" w:after="60"/>
              <w:rPr>
                <w:rFonts w:eastAsiaTheme="majorEastAsia"/>
              </w:rPr>
            </w:pPr>
            <w:r w:rsidRPr="005A0E7C">
              <w:t xml:space="preserve">SDR 2018, Doporučení č. 2, </w:t>
            </w:r>
            <w:r w:rsidRPr="005A0E7C">
              <w:rPr>
                <w:rFonts w:eastAsiaTheme="majorEastAsia"/>
              </w:rPr>
              <w:t xml:space="preserve">(zvýrazněna část týkající se sociálního začleňování): </w:t>
            </w:r>
          </w:p>
          <w:p w14:paraId="233EEB37" w14:textId="77777777" w:rsidR="00DD3EFA" w:rsidRPr="005A0E7C" w:rsidRDefault="00DD3EFA" w:rsidP="00B15ECB">
            <w:pPr>
              <w:spacing w:before="60" w:after="60"/>
              <w:rPr>
                <w:rFonts w:eastAsiaTheme="majorEastAsia"/>
                <w:i/>
              </w:rPr>
            </w:pPr>
            <w:r w:rsidRPr="005A0E7C">
              <w:rPr>
                <w:rFonts w:eastAsiaTheme="majorEastAsia"/>
              </w:rPr>
              <w:t xml:space="preserve">„Snížit administrativní zátěž pro investice, mimo jiné zrychlením povolovacích postupů u infrastrukturních projektů. Odstranit překážky brzdící výzkum, vývoj a inovace, zejména zvýšením inovační kapacity domácích podniků. Posílit schopnost vzdělávacího systému poskytovat kvalitní inkluzivní vzdělávání, mimo jiné podporou učitelského povolání. </w:t>
            </w:r>
            <w:r w:rsidRPr="005A0E7C">
              <w:rPr>
                <w:rFonts w:eastAsiaTheme="majorEastAsia"/>
                <w:b/>
              </w:rPr>
              <w:t>Podporovat zaměstnávání žen, osob s nízkou kvalifikací a osob se zdravotním postižením, mimo jiné zvýšením účinnosti aktivních politik na trhu práce.</w:t>
            </w:r>
            <w:r w:rsidRPr="005A0E7C">
              <w:rPr>
                <w:rFonts w:eastAsiaTheme="majorEastAsia"/>
              </w:rPr>
              <w:t>“</w:t>
            </w:r>
          </w:p>
        </w:tc>
        <w:tc>
          <w:tcPr>
            <w:tcW w:w="249" w:type="dxa"/>
            <w:tcBorders>
              <w:top w:val="nil"/>
              <w:bottom w:val="nil"/>
            </w:tcBorders>
            <w:shd w:val="clear" w:color="auto" w:fill="66CCFF"/>
          </w:tcPr>
          <w:p w14:paraId="3FD25E78" w14:textId="77777777" w:rsidR="00DD3EFA" w:rsidRPr="005A0E7C" w:rsidRDefault="00DD3EFA" w:rsidP="00B15ECB">
            <w:pPr>
              <w:rPr>
                <w:b/>
              </w:rPr>
            </w:pPr>
          </w:p>
        </w:tc>
      </w:tr>
      <w:tr w:rsidR="00DD3EFA" w:rsidRPr="005A0E7C" w14:paraId="39AD50A1" w14:textId="77777777" w:rsidTr="00B15ECB">
        <w:trPr>
          <w:trHeight w:val="180"/>
        </w:trPr>
        <w:tc>
          <w:tcPr>
            <w:tcW w:w="249" w:type="dxa"/>
            <w:tcBorders>
              <w:top w:val="nil"/>
              <w:bottom w:val="nil"/>
              <w:right w:val="nil"/>
            </w:tcBorders>
            <w:shd w:val="clear" w:color="auto" w:fill="66CCFF"/>
          </w:tcPr>
          <w:p w14:paraId="1516734B" w14:textId="77777777" w:rsidR="00DD3EFA" w:rsidRPr="005A0E7C" w:rsidRDefault="00DD3EFA" w:rsidP="00B15ECB">
            <w:pPr>
              <w:rPr>
                <w:b/>
              </w:rPr>
            </w:pPr>
          </w:p>
        </w:tc>
        <w:tc>
          <w:tcPr>
            <w:tcW w:w="2548" w:type="dxa"/>
            <w:tcBorders>
              <w:left w:val="nil"/>
              <w:right w:val="nil"/>
            </w:tcBorders>
            <w:shd w:val="clear" w:color="auto" w:fill="66CCFF"/>
          </w:tcPr>
          <w:p w14:paraId="1951CBCE" w14:textId="77777777" w:rsidR="00DD3EFA" w:rsidRPr="005A0E7C" w:rsidRDefault="00DD3EFA" w:rsidP="00B15ECB">
            <w:pPr>
              <w:rPr>
                <w:b/>
              </w:rPr>
            </w:pPr>
          </w:p>
        </w:tc>
        <w:tc>
          <w:tcPr>
            <w:tcW w:w="5978" w:type="dxa"/>
            <w:tcBorders>
              <w:left w:val="nil"/>
              <w:right w:val="nil"/>
            </w:tcBorders>
            <w:shd w:val="clear" w:color="auto" w:fill="66CCFF"/>
          </w:tcPr>
          <w:p w14:paraId="72046338" w14:textId="77777777" w:rsidR="00DD3EFA" w:rsidRPr="005A0E7C" w:rsidRDefault="00DD3EFA" w:rsidP="00B15ECB">
            <w:pPr>
              <w:rPr>
                <w:b/>
              </w:rPr>
            </w:pPr>
          </w:p>
        </w:tc>
        <w:tc>
          <w:tcPr>
            <w:tcW w:w="249" w:type="dxa"/>
            <w:tcBorders>
              <w:top w:val="nil"/>
              <w:left w:val="nil"/>
              <w:bottom w:val="nil"/>
            </w:tcBorders>
            <w:shd w:val="clear" w:color="auto" w:fill="66CCFF"/>
          </w:tcPr>
          <w:p w14:paraId="2D5F3CD4" w14:textId="77777777" w:rsidR="00DD3EFA" w:rsidRPr="005A0E7C" w:rsidRDefault="00DD3EFA" w:rsidP="00B15ECB">
            <w:pPr>
              <w:rPr>
                <w:b/>
              </w:rPr>
            </w:pPr>
          </w:p>
        </w:tc>
      </w:tr>
      <w:tr w:rsidR="00DD3EFA" w:rsidRPr="005A0E7C" w14:paraId="62649310" w14:textId="77777777" w:rsidTr="00B15ECB">
        <w:trPr>
          <w:trHeight w:val="938"/>
        </w:trPr>
        <w:tc>
          <w:tcPr>
            <w:tcW w:w="249" w:type="dxa"/>
            <w:tcBorders>
              <w:top w:val="nil"/>
              <w:bottom w:val="nil"/>
            </w:tcBorders>
            <w:shd w:val="clear" w:color="auto" w:fill="66CCFF"/>
          </w:tcPr>
          <w:p w14:paraId="48FB127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3015C17"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4636C2E9"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3DE0355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 roce 2018 byl připraven Strategický rámec pro oblast sociálního začleňování na období 2021− 2030, který bude výchozím dokumentem pro tvorbu </w:t>
            </w:r>
            <w:r w:rsidRPr="005A0E7C">
              <w:rPr>
                <w:rFonts w:ascii="Times New Roman" w:hAnsi="Times New Roman"/>
                <w:bCs/>
                <w:color w:val="000000"/>
              </w:rPr>
              <w:t>Strategie sociálního začleňování 2021 − 2030</w:t>
            </w:r>
            <w:r w:rsidRPr="005A0E7C">
              <w:rPr>
                <w:rFonts w:ascii="Times New Roman" w:hAnsi="Times New Roman"/>
              </w:rPr>
              <w:t xml:space="preserve">. Strategický rámec pro oblast sociálního začleňování byl schválen poradou vedení MPSV dne 17. 12. 2018. </w:t>
            </w:r>
          </w:p>
          <w:p w14:paraId="5D6B3C7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Strategie sociálního začleňování 2021 – 2030 má být předložena poradě vedení MPSV do konce března 2019. Připravovaná Strategie jako národní dokument pro oblast sociálního začleňování v ČR bude zastřešovat hlavní oblasti sociálního začleňování osob sociálně vyloučených a sociálním vyloučením ohrožených a boj s chudobou. Stanoví prioritní témata ČR v oblastech důležitých pro sociální začleňování a financování ze zdrojů ČR i EU. Strategii bude možné využít i při vyjednávání s Evropskou komisí o naplnění základní podmínky pro čerpání prostředků z fondů EU pro oblast sociálního začleňování a snižování chudoby.</w:t>
            </w:r>
          </w:p>
          <w:p w14:paraId="75FCB19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průběhu plnění celé Strategie předpokládáme přípravu tříletých Akčních plánů jako nástroje strategického řízení, které budou obsahovat soubor opatření, jejichž realizace povede k naplnění cílů Strategie. Současně budou v nové Strategii jasně nastavené indikátory plnění jednotlivých opatření.</w:t>
            </w:r>
          </w:p>
        </w:tc>
        <w:tc>
          <w:tcPr>
            <w:tcW w:w="249" w:type="dxa"/>
            <w:tcBorders>
              <w:top w:val="nil"/>
              <w:bottom w:val="nil"/>
            </w:tcBorders>
            <w:shd w:val="clear" w:color="auto" w:fill="66CCFF"/>
          </w:tcPr>
          <w:p w14:paraId="7A351B48" w14:textId="77777777" w:rsidR="00DD3EFA" w:rsidRPr="005A0E7C" w:rsidRDefault="00DD3EFA" w:rsidP="00B15ECB">
            <w:pPr>
              <w:rPr>
                <w:b/>
              </w:rPr>
            </w:pPr>
          </w:p>
        </w:tc>
      </w:tr>
      <w:tr w:rsidR="00DD3EFA" w:rsidRPr="005A0E7C" w14:paraId="66A3F829" w14:textId="77777777" w:rsidTr="00B15ECB">
        <w:trPr>
          <w:trHeight w:val="938"/>
        </w:trPr>
        <w:tc>
          <w:tcPr>
            <w:tcW w:w="249" w:type="dxa"/>
            <w:tcBorders>
              <w:top w:val="nil"/>
              <w:bottom w:val="nil"/>
            </w:tcBorders>
            <w:shd w:val="clear" w:color="auto" w:fill="66CCFF"/>
          </w:tcPr>
          <w:p w14:paraId="476ABB0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4960329"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6A04334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E2F2C0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Bude obsaženo ve Strategii sociálního začleňování 2021 – 2030, která je aktuálně připravována.  S ohledem na to, že Strategie je v současné době v přípravě, nelze uvést konkrétní analýzy a potřeby, které budou identifikovány v tomto dokumentu.</w:t>
            </w:r>
          </w:p>
        </w:tc>
        <w:tc>
          <w:tcPr>
            <w:tcW w:w="249" w:type="dxa"/>
            <w:tcBorders>
              <w:top w:val="nil"/>
              <w:bottom w:val="nil"/>
            </w:tcBorders>
            <w:shd w:val="clear" w:color="auto" w:fill="66CCFF"/>
          </w:tcPr>
          <w:p w14:paraId="32B86268" w14:textId="77777777" w:rsidR="00DD3EFA" w:rsidRPr="005A0E7C" w:rsidRDefault="00DD3EFA" w:rsidP="00B15ECB">
            <w:pPr>
              <w:rPr>
                <w:b/>
              </w:rPr>
            </w:pPr>
          </w:p>
        </w:tc>
      </w:tr>
      <w:tr w:rsidR="00DD3EFA" w:rsidRPr="005A0E7C" w14:paraId="15A7AEAE" w14:textId="77777777" w:rsidTr="00B15ECB">
        <w:trPr>
          <w:trHeight w:val="938"/>
        </w:trPr>
        <w:tc>
          <w:tcPr>
            <w:tcW w:w="249" w:type="dxa"/>
            <w:tcBorders>
              <w:top w:val="nil"/>
              <w:bottom w:val="nil"/>
            </w:tcBorders>
            <w:shd w:val="clear" w:color="auto" w:fill="66CCFF"/>
          </w:tcPr>
          <w:p w14:paraId="3B74289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2451D3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607DA47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F1B1D9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Bude obsaženo ve Strategii sociálního začleňování 2021 – 2030, která je aktuálně připravována.  S ohledem na to, že Strategie je v současné době v přípravě, nelze uvést konkrétní cíle a opatření, které budou identifikovány v tomto dokumentu.</w:t>
            </w:r>
          </w:p>
        </w:tc>
        <w:tc>
          <w:tcPr>
            <w:tcW w:w="249" w:type="dxa"/>
            <w:tcBorders>
              <w:top w:val="nil"/>
              <w:bottom w:val="nil"/>
            </w:tcBorders>
            <w:shd w:val="clear" w:color="auto" w:fill="66CCFF"/>
          </w:tcPr>
          <w:p w14:paraId="5E4B9BDF" w14:textId="77777777" w:rsidR="00DD3EFA" w:rsidRPr="005A0E7C" w:rsidRDefault="00DD3EFA" w:rsidP="00B15ECB">
            <w:pPr>
              <w:rPr>
                <w:b/>
              </w:rPr>
            </w:pPr>
          </w:p>
        </w:tc>
      </w:tr>
      <w:tr w:rsidR="00DD3EFA" w:rsidRPr="005A0E7C" w14:paraId="18984FD5" w14:textId="77777777" w:rsidTr="00B15ECB">
        <w:trPr>
          <w:trHeight w:val="938"/>
        </w:trPr>
        <w:tc>
          <w:tcPr>
            <w:tcW w:w="249" w:type="dxa"/>
            <w:tcBorders>
              <w:top w:val="nil"/>
              <w:bottom w:val="nil"/>
            </w:tcBorders>
            <w:shd w:val="clear" w:color="auto" w:fill="66CCFF"/>
          </w:tcPr>
          <w:p w14:paraId="5CE4F59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6ADA9E5"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5F5B977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7CDE7C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Bude blíže popsáno ve Strategii sociálního začleňování 2021 – 2030, která je aktuálně připravována.  Předpokládáme tvorbu tříletých akčních plánů.</w:t>
            </w:r>
          </w:p>
        </w:tc>
        <w:tc>
          <w:tcPr>
            <w:tcW w:w="249" w:type="dxa"/>
            <w:tcBorders>
              <w:top w:val="nil"/>
              <w:bottom w:val="nil"/>
            </w:tcBorders>
            <w:shd w:val="clear" w:color="auto" w:fill="66CCFF"/>
          </w:tcPr>
          <w:p w14:paraId="11417E55" w14:textId="77777777" w:rsidR="00DD3EFA" w:rsidRPr="005A0E7C" w:rsidRDefault="00DD3EFA" w:rsidP="00B15ECB">
            <w:pPr>
              <w:rPr>
                <w:b/>
              </w:rPr>
            </w:pPr>
          </w:p>
        </w:tc>
      </w:tr>
      <w:tr w:rsidR="00DD3EFA" w:rsidRPr="005A0E7C" w14:paraId="1EDBF771" w14:textId="77777777" w:rsidTr="00B15ECB">
        <w:trPr>
          <w:trHeight w:val="938"/>
        </w:trPr>
        <w:tc>
          <w:tcPr>
            <w:tcW w:w="249" w:type="dxa"/>
            <w:tcBorders>
              <w:top w:val="nil"/>
              <w:bottom w:val="nil"/>
            </w:tcBorders>
            <w:shd w:val="clear" w:color="auto" w:fill="66CCFF"/>
          </w:tcPr>
          <w:p w14:paraId="263B66C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FE20C26"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2DF8E85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Bude blíže popsáno ve Strategii sociálního začleňování 2021 – 2030, která je aktuálně připravována.  Předpokládáme tvorbu tříletých akčních plánů, které napomohou lepšímu monitoringu plnění jednotlivých opatření.</w:t>
            </w:r>
          </w:p>
        </w:tc>
        <w:tc>
          <w:tcPr>
            <w:tcW w:w="249" w:type="dxa"/>
            <w:tcBorders>
              <w:top w:val="nil"/>
              <w:bottom w:val="nil"/>
            </w:tcBorders>
            <w:shd w:val="clear" w:color="auto" w:fill="66CCFF"/>
          </w:tcPr>
          <w:p w14:paraId="40F55573" w14:textId="77777777" w:rsidR="00DD3EFA" w:rsidRPr="005A0E7C" w:rsidRDefault="00DD3EFA" w:rsidP="00B15ECB">
            <w:pPr>
              <w:rPr>
                <w:b/>
              </w:rPr>
            </w:pPr>
          </w:p>
        </w:tc>
      </w:tr>
      <w:tr w:rsidR="00DD3EFA" w:rsidRPr="005A0E7C" w14:paraId="51E42D40" w14:textId="77777777" w:rsidTr="00B15ECB">
        <w:trPr>
          <w:trHeight w:val="130"/>
        </w:trPr>
        <w:tc>
          <w:tcPr>
            <w:tcW w:w="249" w:type="dxa"/>
            <w:tcBorders>
              <w:top w:val="nil"/>
              <w:bottom w:val="nil"/>
              <w:right w:val="nil"/>
            </w:tcBorders>
            <w:shd w:val="clear" w:color="auto" w:fill="66CCFF"/>
          </w:tcPr>
          <w:p w14:paraId="77B07BA5" w14:textId="77777777" w:rsidR="00DD3EFA" w:rsidRPr="005A0E7C" w:rsidRDefault="00DD3EFA" w:rsidP="00B15ECB">
            <w:pPr>
              <w:rPr>
                <w:b/>
              </w:rPr>
            </w:pPr>
          </w:p>
        </w:tc>
        <w:tc>
          <w:tcPr>
            <w:tcW w:w="2548" w:type="dxa"/>
            <w:tcBorders>
              <w:left w:val="nil"/>
              <w:right w:val="nil"/>
            </w:tcBorders>
            <w:shd w:val="clear" w:color="auto" w:fill="66CCFF"/>
          </w:tcPr>
          <w:p w14:paraId="488461BA" w14:textId="77777777" w:rsidR="00DD3EFA" w:rsidRPr="005A0E7C" w:rsidRDefault="00DD3EFA" w:rsidP="00B15ECB">
            <w:pPr>
              <w:rPr>
                <w:b/>
              </w:rPr>
            </w:pPr>
          </w:p>
        </w:tc>
        <w:tc>
          <w:tcPr>
            <w:tcW w:w="5978" w:type="dxa"/>
            <w:tcBorders>
              <w:left w:val="nil"/>
              <w:right w:val="nil"/>
            </w:tcBorders>
            <w:shd w:val="clear" w:color="auto" w:fill="66CCFF"/>
          </w:tcPr>
          <w:p w14:paraId="19A5EEE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0DCB78C1" w14:textId="77777777" w:rsidR="00DD3EFA" w:rsidRPr="005A0E7C" w:rsidRDefault="00DD3EFA" w:rsidP="00B15ECB">
            <w:pPr>
              <w:rPr>
                <w:b/>
              </w:rPr>
            </w:pPr>
          </w:p>
        </w:tc>
      </w:tr>
      <w:tr w:rsidR="00DD3EFA" w:rsidRPr="005A0E7C" w14:paraId="21AF590E" w14:textId="77777777" w:rsidTr="00B15ECB">
        <w:trPr>
          <w:trHeight w:val="1258"/>
        </w:trPr>
        <w:tc>
          <w:tcPr>
            <w:tcW w:w="249" w:type="dxa"/>
            <w:tcBorders>
              <w:top w:val="nil"/>
              <w:bottom w:val="nil"/>
              <w:right w:val="nil"/>
            </w:tcBorders>
            <w:shd w:val="clear" w:color="auto" w:fill="66CCFF"/>
          </w:tcPr>
          <w:p w14:paraId="39A8BF60" w14:textId="77777777" w:rsidR="00DD3EFA" w:rsidRPr="005A0E7C" w:rsidRDefault="00DD3EFA" w:rsidP="00B15ECB">
            <w:pPr>
              <w:rPr>
                <w:b/>
              </w:rPr>
            </w:pPr>
          </w:p>
        </w:tc>
        <w:tc>
          <w:tcPr>
            <w:tcW w:w="8526" w:type="dxa"/>
            <w:gridSpan w:val="2"/>
            <w:shd w:val="clear" w:color="auto" w:fill="FFFFFF" w:themeFill="background1"/>
          </w:tcPr>
          <w:p w14:paraId="19C29886"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59620D91" w14:textId="77777777" w:rsidR="00DD3EFA" w:rsidRPr="005A0E7C" w:rsidRDefault="00DD3EFA" w:rsidP="00B15ECB">
            <w:pPr>
              <w:rPr>
                <w:b/>
              </w:rPr>
            </w:pPr>
          </w:p>
        </w:tc>
      </w:tr>
      <w:tr w:rsidR="00DD3EFA" w:rsidRPr="005A0E7C" w14:paraId="7B0E8AE1" w14:textId="77777777" w:rsidTr="00B15ECB">
        <w:trPr>
          <w:trHeight w:val="1258"/>
        </w:trPr>
        <w:tc>
          <w:tcPr>
            <w:tcW w:w="249" w:type="dxa"/>
            <w:tcBorders>
              <w:top w:val="nil"/>
              <w:bottom w:val="nil"/>
              <w:right w:val="nil"/>
            </w:tcBorders>
            <w:shd w:val="clear" w:color="auto" w:fill="66CCFF"/>
          </w:tcPr>
          <w:p w14:paraId="5EF83EB5" w14:textId="77777777" w:rsidR="00DD3EFA" w:rsidRPr="005A0E7C" w:rsidRDefault="00DD3EFA" w:rsidP="00B15ECB">
            <w:pPr>
              <w:rPr>
                <w:b/>
              </w:rPr>
            </w:pPr>
          </w:p>
        </w:tc>
        <w:tc>
          <w:tcPr>
            <w:tcW w:w="2548" w:type="dxa"/>
            <w:shd w:val="clear" w:color="auto" w:fill="FFFFFF" w:themeFill="background1"/>
          </w:tcPr>
          <w:p w14:paraId="748A90AC" w14:textId="77777777" w:rsidR="00DD3EFA" w:rsidRPr="005A0E7C" w:rsidRDefault="00DD3EFA" w:rsidP="00B15ECB">
            <w:pPr>
              <w:rPr>
                <w:rFonts w:eastAsiaTheme="majorEastAsia"/>
                <w:b/>
              </w:rPr>
            </w:pPr>
            <w:r w:rsidRPr="005A0E7C">
              <w:rPr>
                <w:rFonts w:eastAsiaTheme="majorEastAsia"/>
                <w:b/>
              </w:rPr>
              <w:t>Věcný posun oblasti</w:t>
            </w:r>
          </w:p>
          <w:p w14:paraId="02DD1E69"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77E4426F" w14:textId="77777777" w:rsidR="00DD3EFA" w:rsidRPr="005A0E7C" w:rsidRDefault="00DD3EFA" w:rsidP="00B15ECB">
            <w:pPr>
              <w:spacing w:before="60" w:after="60"/>
              <w:rPr>
                <w:rFonts w:eastAsiaTheme="majorEastAsia"/>
              </w:rPr>
            </w:pPr>
            <w:r w:rsidRPr="005A0E7C">
              <w:rPr>
                <w:rFonts w:eastAsiaTheme="majorEastAsia"/>
              </w:rPr>
              <w:t>Oblast sociálního začleňování je podporována z fondů EU již od období 2004-2006. Intervence jsou průběžně upravovány dle potřeb a početnosti cílové skupiny a při zohlednění výstupů z evaluací.</w:t>
            </w:r>
          </w:p>
          <w:p w14:paraId="0AD5A78C" w14:textId="77777777" w:rsidR="00DD3EFA" w:rsidRPr="005A0E7C" w:rsidRDefault="00DD3EFA" w:rsidP="00B15ECB">
            <w:pPr>
              <w:spacing w:before="60" w:after="60"/>
            </w:pPr>
            <w:r w:rsidRPr="005A0E7C">
              <w:t xml:space="preserve">V období 2014 - 2020 je podporován Koordinovaný přístup k sociálně vyloučeným lokalitám, tedy koordinace intervencí z více programů s podporou Agentury pro sociální začleňování. Dle procesní evaluace KPSVL je největším kvalitativním přínosem tohoto přístupu zpracování komplexního Strategického plánu sociálního začleňování a diskuze projektových záměrů na lokálním partnerství. Je obtížné vyhodnotit věcný posun v oblasti sociálně vyloučených lokalit, jelikož nejde o problém statický ale dynamický, který je ovlivňován řadou socioekonomických faktorů. Přestože ani koordinované intervence z programů nedokázaly tento problém vyřešit, neznamená to, že jsou zbytečné nebo neefektivní. Obecně v oblasti investic do lidí platí, že jde o průběžnou činnost, kde pozitivním výsledkem často může být i zachování/ nezhoršování současného stavu. </w:t>
            </w:r>
          </w:p>
          <w:p w14:paraId="41895CC8" w14:textId="77777777" w:rsidR="00DD3EFA" w:rsidRPr="005A0E7C" w:rsidRDefault="00DD3EFA" w:rsidP="00B15ECB">
            <w:pPr>
              <w:spacing w:before="60" w:after="60"/>
              <w:rPr>
                <w:i/>
              </w:rPr>
            </w:pPr>
            <w:r w:rsidRPr="005A0E7C">
              <w:t xml:space="preserve">Výstupy z evaluací intervencí podporovaných v operačních programech v gesci MPSV v obdobích 2014-2020, 2007-2013 a 2004-2006 jsou k dispozici na odkaze: </w:t>
            </w:r>
            <w:hyperlink r:id="rId19" w:history="1">
              <w:r w:rsidRPr="005A0E7C">
                <w:rPr>
                  <w:rStyle w:val="Hypertextovodkaz"/>
                </w:rPr>
                <w:t>https://www.esfcr.cz/evaluace</w:t>
              </w:r>
            </w:hyperlink>
            <w:r w:rsidRPr="005A0E7C">
              <w:t xml:space="preserve">. Zmínit lze například </w:t>
            </w:r>
            <w:r w:rsidRPr="005A0E7C">
              <w:rPr>
                <w:i/>
              </w:rPr>
              <w:t>Procesní evaluaci implementace KPSVL, Evaluaci sociálního a inkluzivního podnikání v OP LZZ, Průběžnou dlouhodobou evaluaci účinků podpory OP LZZ na cílové skupiny programu, nebo</w:t>
            </w:r>
            <w:r w:rsidRPr="005A0E7C">
              <w:rPr>
                <w:b/>
                <w:i/>
              </w:rPr>
              <w:t xml:space="preserve"> </w:t>
            </w:r>
            <w:r w:rsidRPr="005A0E7C">
              <w:rPr>
                <w:i/>
              </w:rPr>
              <w:t xml:space="preserve">Evaluaci dopadů a dobré praxe OP LZZ na základě případových studií a jejich meta-analýzy. </w:t>
            </w:r>
          </w:p>
          <w:p w14:paraId="4DB943F7" w14:textId="77777777" w:rsidR="00DD3EFA" w:rsidRPr="005A0E7C" w:rsidRDefault="00DD3EFA" w:rsidP="00B15ECB">
            <w:pPr>
              <w:spacing w:before="60" w:after="60"/>
            </w:pPr>
            <w:r w:rsidRPr="005A0E7C">
              <w:t>Strategická evaluace OPZ I – relevance z 30. března 2017 konstatovala, že nastavená intervenční logika investičních priorit OPZ zaměřených na sociální začleňování a boj s chudobou je stále aktuální a potřebná. Z cílových skupin byla v návaznosti na analytickou část jako nejdůležitější označena skupina sociálně vyloučených osob a osob sociálním vyloučením ohrožených, jejichž počet výrazně narostl a vzrostla potřeba problém řešit.</w:t>
            </w:r>
          </w:p>
          <w:p w14:paraId="5771365E" w14:textId="77777777" w:rsidR="00DD3EFA" w:rsidRPr="005A0E7C" w:rsidRDefault="00DD3EFA" w:rsidP="00B15ECB">
            <w:pPr>
              <w:spacing w:before="60" w:after="60"/>
              <w:rPr>
                <w:highlight w:val="yellow"/>
              </w:rPr>
            </w:pPr>
            <w:r w:rsidRPr="005A0E7C">
              <w:t xml:space="preserve">Průběžná dlouhodobá evaluace účinků podpory OP LZZ na cílové skupiny programu doporučila integrační projekty propojovat s pracovním poradenstvím a prevencí dlouhodobé nezaměstnanosti. Jako nadějná strategie se jeví podpora sociálního podnikání a podpora zkrácených a flexibilních úvazků. Specifickou cílovou skupinou z hlediska integrace jsou imigranti, azylanti, cizinci a etnické menšiny (vyjma Romů), u kterých je zásadním momentem integrace zvládnutí českého jazyka. Ukazuje se také, že podpořené osoby se často nacházejí již v tak závažné situaci, že je zapotřebí dlouhodobá a trpělivá spolupráce, přičemž nelze očekávat převratné hmatatelné výsledky. I stabilizaci situace lze v těchto případech označit za dobrý výsledek. Příjemci tedy musí mít možnost (a být připraveni) průběžně identifikovat nejpalčivější problémy cílových skupin v předmětné oblasti intervence a soustředit se na jejich flexibilní řešení. </w:t>
            </w:r>
          </w:p>
        </w:tc>
        <w:tc>
          <w:tcPr>
            <w:tcW w:w="249" w:type="dxa"/>
            <w:tcBorders>
              <w:top w:val="nil"/>
              <w:left w:val="nil"/>
              <w:bottom w:val="nil"/>
            </w:tcBorders>
            <w:shd w:val="clear" w:color="auto" w:fill="66CCFF"/>
          </w:tcPr>
          <w:p w14:paraId="2D3F939C" w14:textId="77777777" w:rsidR="00DD3EFA" w:rsidRPr="005A0E7C" w:rsidRDefault="00DD3EFA" w:rsidP="00B15ECB">
            <w:pPr>
              <w:rPr>
                <w:b/>
              </w:rPr>
            </w:pPr>
          </w:p>
        </w:tc>
      </w:tr>
      <w:tr w:rsidR="00DD3EFA" w:rsidRPr="005A0E7C" w14:paraId="2C9DB2BF" w14:textId="77777777" w:rsidTr="00B15ECB">
        <w:trPr>
          <w:trHeight w:val="1258"/>
        </w:trPr>
        <w:tc>
          <w:tcPr>
            <w:tcW w:w="249" w:type="dxa"/>
            <w:tcBorders>
              <w:top w:val="nil"/>
              <w:bottom w:val="nil"/>
              <w:right w:val="nil"/>
            </w:tcBorders>
            <w:shd w:val="clear" w:color="auto" w:fill="66CCFF"/>
          </w:tcPr>
          <w:p w14:paraId="77F2D751" w14:textId="77777777" w:rsidR="00DD3EFA" w:rsidRPr="005A0E7C" w:rsidRDefault="00DD3EFA" w:rsidP="00B15ECB">
            <w:pPr>
              <w:rPr>
                <w:b/>
              </w:rPr>
            </w:pPr>
          </w:p>
        </w:tc>
        <w:tc>
          <w:tcPr>
            <w:tcW w:w="2548" w:type="dxa"/>
            <w:shd w:val="clear" w:color="auto" w:fill="FFFFFF" w:themeFill="background1"/>
          </w:tcPr>
          <w:p w14:paraId="3A3B28C0" w14:textId="77777777" w:rsidR="00DD3EFA" w:rsidRPr="005A0E7C" w:rsidRDefault="00DD3EFA" w:rsidP="00B15ECB">
            <w:pPr>
              <w:rPr>
                <w:rFonts w:eastAsiaTheme="majorEastAsia"/>
                <w:b/>
              </w:rPr>
            </w:pPr>
            <w:r w:rsidRPr="005A0E7C">
              <w:rPr>
                <w:rFonts w:eastAsiaTheme="majorEastAsia"/>
                <w:b/>
              </w:rPr>
              <w:t>Synergické a multiplikační efekty</w:t>
            </w:r>
          </w:p>
          <w:p w14:paraId="0A971E00"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6266AE1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Synergická vazba nebyla v dané oblasti identifikována. Pro období 2014-2020 je v rámci OPZ popsána komplementární vazba „Sociální začleňování a boj s chudobou“ – pro plnění této vazby byly nastaveny dostatečné koordinační mechanismy, je zajišťována doplňkovost jednotlivých operací s relevantními aktivitami v rámci výzev OP VVV, IROP i OP PPR. Zároveň je v rámci této oblasti uplatňován koordinovaný přístup (OPZ, OP VVV, IROP) k sociálně vyloučeným lokalitám (spolupráce s Úřadem vlády – sekce pro lidská práva).</w:t>
            </w:r>
          </w:p>
          <w:p w14:paraId="18312B6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Podrobnější informace o plnění komplementárních vazeb v OPZ jsou uvedeny v Přehledu plnění synergických a komplementárních vazeb v MS2014, který je každoročně vyplňován jednotlivými ŘO podle Metodického pokynu pro monitorování implementace ESIF v ČR v programovém období 2014-2020.</w:t>
            </w:r>
          </w:p>
        </w:tc>
        <w:tc>
          <w:tcPr>
            <w:tcW w:w="249" w:type="dxa"/>
            <w:tcBorders>
              <w:top w:val="nil"/>
              <w:left w:val="nil"/>
              <w:bottom w:val="nil"/>
            </w:tcBorders>
            <w:shd w:val="clear" w:color="auto" w:fill="66CCFF"/>
          </w:tcPr>
          <w:p w14:paraId="315BDF99" w14:textId="77777777" w:rsidR="00DD3EFA" w:rsidRPr="005A0E7C" w:rsidRDefault="00DD3EFA" w:rsidP="00B15ECB">
            <w:pPr>
              <w:rPr>
                <w:b/>
              </w:rPr>
            </w:pPr>
          </w:p>
        </w:tc>
      </w:tr>
      <w:tr w:rsidR="00DD3EFA" w:rsidRPr="005A0E7C" w14:paraId="2F45148E" w14:textId="77777777" w:rsidTr="00B15ECB">
        <w:trPr>
          <w:trHeight w:val="180"/>
        </w:trPr>
        <w:tc>
          <w:tcPr>
            <w:tcW w:w="249" w:type="dxa"/>
            <w:tcBorders>
              <w:top w:val="nil"/>
              <w:bottom w:val="nil"/>
              <w:right w:val="nil"/>
            </w:tcBorders>
            <w:shd w:val="clear" w:color="auto" w:fill="66CCFF"/>
          </w:tcPr>
          <w:p w14:paraId="38DF0BC6"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5FD38238"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0378FA2" w14:textId="77777777" w:rsidR="00DD3EFA" w:rsidRPr="005A0E7C" w:rsidRDefault="00DD3EFA" w:rsidP="00B15ECB">
            <w:pPr>
              <w:rPr>
                <w:b/>
              </w:rPr>
            </w:pPr>
          </w:p>
        </w:tc>
        <w:tc>
          <w:tcPr>
            <w:tcW w:w="249" w:type="dxa"/>
            <w:tcBorders>
              <w:top w:val="nil"/>
              <w:left w:val="nil"/>
              <w:bottom w:val="nil"/>
            </w:tcBorders>
            <w:shd w:val="clear" w:color="auto" w:fill="66CCFF"/>
          </w:tcPr>
          <w:p w14:paraId="7E8E2C43" w14:textId="77777777" w:rsidR="00DD3EFA" w:rsidRPr="005A0E7C" w:rsidRDefault="00DD3EFA" w:rsidP="00B15ECB">
            <w:pPr>
              <w:rPr>
                <w:b/>
              </w:rPr>
            </w:pPr>
          </w:p>
        </w:tc>
      </w:tr>
      <w:tr w:rsidR="00DD3EFA" w:rsidRPr="005A0E7C" w14:paraId="7E7FA5ED" w14:textId="77777777" w:rsidTr="00B15ECB">
        <w:trPr>
          <w:trHeight w:val="990"/>
        </w:trPr>
        <w:tc>
          <w:tcPr>
            <w:tcW w:w="249" w:type="dxa"/>
            <w:tcBorders>
              <w:top w:val="nil"/>
              <w:bottom w:val="nil"/>
            </w:tcBorders>
            <w:shd w:val="clear" w:color="auto" w:fill="66CCFF"/>
          </w:tcPr>
          <w:p w14:paraId="08325C23"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0F05684F"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5D7F5E03"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7A468595" w14:textId="77777777" w:rsidR="00DD3EFA" w:rsidRPr="005A0E7C" w:rsidRDefault="00DD3EFA" w:rsidP="00B15ECB">
            <w:pPr>
              <w:rPr>
                <w:b/>
              </w:rPr>
            </w:pPr>
          </w:p>
        </w:tc>
      </w:tr>
      <w:tr w:rsidR="00DD3EFA" w:rsidRPr="005A0E7C" w14:paraId="7763D56C" w14:textId="77777777" w:rsidTr="00B15ECB">
        <w:trPr>
          <w:trHeight w:val="1260"/>
        </w:trPr>
        <w:tc>
          <w:tcPr>
            <w:tcW w:w="249" w:type="dxa"/>
            <w:tcBorders>
              <w:top w:val="nil"/>
              <w:bottom w:val="nil"/>
            </w:tcBorders>
            <w:shd w:val="clear" w:color="auto" w:fill="66CCFF"/>
          </w:tcPr>
          <w:p w14:paraId="020D7E9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ABE4CA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5190A9A5"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 souladu s interdisciplinárním charakterem sociálního začleňování je finanční podpora k této podoblasti vyhrazena v několika operačních programech – OP Z, OP VVV a IROP – které pokrývají všechna zásadní témata, a také OP PPR a PRV. </w:t>
            </w:r>
          </w:p>
          <w:p w14:paraId="35C9082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Podpora je poskytována jak prostřednictvím běžných soutěžních výzev vyhlašovaných v rámci relevantních operačních programů, tak prostřednictvím výzev pro integrované nástroje a výzev vyhlašovaných prostřednictvím specifického meziresortního mechanismu, který byl zaveden ke koncentraci pomoci v této oblasti, tj. prostřednictvím Koordinovaného přístupu k sociálně vyloučeným lokalitám (KPSVL), jehož věcným garantem je Agentura pro sociální začleňování (ASZ). ASZ zajišťuje na základě memorand o spolupráci s obcemi vznik místních partnerství a poskytuje podporu obcím při přípravě a implementaci Strategických plánů sociálního začleňování (SPSZ). V rámci KPSVL jsou vyhlašovány specifické výzvy v jednotlivých uvedených operačních programech (OP Z, OP VVV a IROP). Absorpční kapacita se v dané podoblasti obtížně hodnotí z celkového hlediska (některé části jsou také podrobněji popsány z hlediska jednotlivých OP v jiných částech materiálu) a situace byla v uplynulém období různá dle dílčích oblastí sociálního začleňování: např. v oblasti infrastruktury základních škol nebo neformální vzdělávání žádosti několikanásobně převýšily alokaci (IROP – v rámci celého specifického cíle 2.4, nikoliv jen KPSVL), stejně tak v OP Z jsou zdroje na KPSVL již absorbovány. Oproti tomu zejména v OP VVV zůstávají výzvy v rámci KPSVL nedočerpány. Pro některé obce se sociálně vyloučenými lokalitami je obtížné akceptovat časovou náročnost sestavování SPSZ, danou nutností jejich projednání se všemi relevantními partnery (včetně místní politické reprezentace). Problematická je i nedostatečná meziresortní koordinace ze strany jednotlivých řídících orgánů, zejména komplementarita a načasování jednotlivých výzev (např. v současném programovém období byla koordinace v načasování výzev zejména mezi programy OPZ a IROP malá). Také složitost celého procesu odrazuje nejednoho představitele obce (komplikace v čerpání prostředků v rámci KPSVL jsou identifikovány právě v roztříštěnosti jednotlivých zdrojů – výzev v rámci ESIF). Nejedná se přitom pouze o faktor roztříštěnosti zdrojů, ale také v této souvislosti i o roztříštěnost procesů a kompetencí v rámci KPSVL. Kromě časové náročnosti je problémem často také kvalita SPSZ a proveditelnost opatření ve zpracovaných SPSZ a projektů, proces výběru obcí ke spolupráci (který je v kompetenci dalšího subjektu, konkrétně Rady vlády pro záležitosti romské menšiny), financování činnosti ASZ a tedy KPSVL prostřednictvím 2 projektů a klíčová role krajských samospráv v oblasti zajištění a financování sociálních služeb.</w:t>
            </w:r>
          </w:p>
          <w:p w14:paraId="7C4A27D0"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Nicméně jak v IROP, tak v OP Z jsou zdroje KPSVL prostřednictvím vydaných právních aktů v podstatě alokovány na jednotlivé projekty v realizaci a přetrvávající poptávka bude uspokojena jen v případě úspor v jiných oblastech. Nicméně ve většině výzev IROP, ve kterých byla uvedena samostatná alokace pro KPSVL, nebyla toto alokace vyčerpána a peníze byly rozděleny mezi jiné projekty v SVL. Výzvou pro budoucí období je zachovat silné stránky KPSVL (tj. ze strany ASZ dlouhodobá, komplexní podpora obcím a místním partnerstvím při řešení SVL na jejich území). Předpokladem je zajištění multifondovosti a silnější mechanismus prosazování koordinace výzev z jednotlivých OP a zajištění větší obsahové flexibility výzev. Žádoucí je možnost rozložit alokovanou finanční podporu v čase dle připravenosti kapacit místních aktérů.   </w:t>
            </w:r>
          </w:p>
          <w:p w14:paraId="43E6557E"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Koordinovaný přístup v oblasti sociální inkluze a současně náročná práce s vyloučenými skupinami a jednotlivci vyžaduje zapojení velkého množství aktérů, jak na úrovni celkového řešení, tak v detailu, tedy především v terénu v přímé interakci s cílovou skupinou a jejími příslušníky.   Proto by bylo potřebné vytvořit doplňkový multifunkční nástroj, který by byl přístupný a využitelný pro aktéry, kteří v terénu přímo operují a provozují přímou pomoc cílovým skupinám. Tento nástroj by měl být zaměřený na malé projekty a administrativně zjednodušený s ohledem na typ příjemců podpory (NNO, malé obce).  </w:t>
            </w:r>
          </w:p>
          <w:p w14:paraId="766A9138"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 Posílení role meziresortní koordinace je důležitou výzvou pro další programové období, stejně jako využití KPSVL a níže uvedených integrovaných nástrojů při komplexnějším řešení problematiky sociálního vyloučení v rámci jednotného integrovaného přístupu k území, který by zahrnoval více oblastí, vedoucí k celkovému zlepšení socioekonomických podmínek vybraného území. </w:t>
            </w:r>
          </w:p>
          <w:p w14:paraId="7152185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Dalším mezirezortním nástrojem řešení problematiky sociálního vyloučení je Komunitně vedený místní rozvoj (CLLD), který navazuje na metodu LEADER. Komunitně vedený místní rozvoj (CLLD) je v období 2014-2020 realizován multifondově prostřednictvím Místních akčních skupin (MAS) a zapojeno je několik operačních programů (IROP, PRV, OPZ a OPŽP). CLLD umožňuje v území realizovat komplexní opatření pro cílové skupiny za zapojení partnerů z oblasti jak veřejného sektoru, tak i soukromého, neziskového a občanského. Tato opatření tak lépe odpovídají místním potřebám. CLLD také umožňuje budovat zdroje a kapacity i na malých obcích, které nejsou vybaveny na to čelit problémům spojeným se sociálním vyloučením, zvyšovat pracovní příležitosti ve venkovských oblastech a přispívat tak k omezování jejich vylidňování. Realizace CLLD  je zatím různě postupující v jednotlivých OP, absorpční kapacitu v OPZ lze pokládat za úspěšnou vzhledem k zájmu území, předkládaným žádostem a realizovaným projektům. Problematika sociálního vyloučení je řešena i v rámci některých ITI a IPRÚ.</w:t>
            </w:r>
          </w:p>
          <w:p w14:paraId="757D8DE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Na území hl. m. Prahy je oblast sociálního začleňování podporována z OP PPR v rámci PO 3 Podpora sociálního začleňování a boj proti chudobě, a to jak z EFRR, tak z ESF. Z pohledu plnění milníků v roce 2018 byla PO 3 vyhodnocena jako riziková, v současné době tedy nedochází k plnění milníků, nicméně lze říci, že o aktivity z ESF (posílené aktivity pro integraci, komunitní služby a prevenci) je větší zájem ze strany žadatelů. V porovnání např. se sociálním bydlením je ze strany žadatelů větší zájem o podporu komunitních služeb a kulturně komunitních center. </w:t>
            </w:r>
          </w:p>
          <w:p w14:paraId="6CBA13A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OP Z je sociální začleňování podporováno v IP 2.1 Aktivní začleňování, včetně začleňování s ohledem na podporu rovných příležitostí a aktivní účast a zlepšení zaměstnanosti, v IP 2.2 Zlepšování přístupu k dostupným, udržitelným a vysoce kvalitním službám, včetně zdravotnictví a sociálních služeb obecného zájmu a v IP 3 Strategie komunitně vedeného místního rozvoje. V prioritní ose 2 OPZ byly věcné i finanční milníky 2018 naplněny. Ke konci roku 2018 bylo v PO2 OPZ podpořeno celkem 31 836 osob a kapacita podpořených služeb dosáhla hodnoty 18 589 míst.</w:t>
            </w:r>
          </w:p>
          <w:p w14:paraId="39912984"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v IP 2.1 OPZ ke konci roku 2018:</w:t>
            </w:r>
          </w:p>
          <w:p w14:paraId="10F26ED1"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10 mld. Kč</w:t>
            </w:r>
          </w:p>
          <w:p w14:paraId="3F9214CD"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8,3 mld. Kč (83%)</w:t>
            </w:r>
          </w:p>
          <w:p w14:paraId="6234E43F"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vyúčtovaný v ŽoP: 3,5 mld. Kč (35 %)</w:t>
            </w:r>
          </w:p>
          <w:p w14:paraId="222534AF" w14:textId="77777777" w:rsidR="00DD3EFA" w:rsidRPr="005A0E7C" w:rsidRDefault="00DD3EFA" w:rsidP="00B15ECB">
            <w:pPr>
              <w:pStyle w:val="slovanodstavec"/>
              <w:tabs>
                <w:tab w:val="left" w:pos="284"/>
              </w:tabs>
              <w:suppressAutoHyphens/>
              <w:spacing w:line="240" w:lineRule="auto"/>
              <w:rPr>
                <w:rFonts w:ascii="Times New Roman" w:hAnsi="Times New Roman"/>
              </w:rPr>
            </w:pPr>
          </w:p>
          <w:p w14:paraId="0862D15A"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v IP 2.2 OPZ ke konci roku 2018:</w:t>
            </w:r>
          </w:p>
          <w:p w14:paraId="520630E0"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6,57 mld. Kč</w:t>
            </w:r>
          </w:p>
          <w:p w14:paraId="528DF0A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5,35 mld. Kč (81%)</w:t>
            </w:r>
          </w:p>
          <w:p w14:paraId="2A55B9AB"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vyúčtovaný v ŽoP: 1 mld. Kč (16 %)</w:t>
            </w:r>
          </w:p>
          <w:p w14:paraId="35C092CA" w14:textId="77777777" w:rsidR="00DD3EFA" w:rsidRPr="005A0E7C" w:rsidRDefault="00DD3EFA" w:rsidP="00B15ECB">
            <w:pPr>
              <w:pStyle w:val="slovanodstavec"/>
              <w:tabs>
                <w:tab w:val="left" w:pos="284"/>
              </w:tabs>
              <w:suppressAutoHyphens/>
              <w:spacing w:line="240" w:lineRule="auto"/>
              <w:rPr>
                <w:rFonts w:ascii="Times New Roman" w:hAnsi="Times New Roman"/>
              </w:rPr>
            </w:pPr>
          </w:p>
          <w:p w14:paraId="37CC15AB"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v IP 2.3 OPZ ke konci roku 2018:</w:t>
            </w:r>
          </w:p>
          <w:p w14:paraId="2B680322"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1,75 mld. Kč</w:t>
            </w:r>
          </w:p>
          <w:p w14:paraId="504D0A2A"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665 mil. Kč (38%)</w:t>
            </w:r>
          </w:p>
          <w:p w14:paraId="368BCCCB"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vyúčtovaný v ŽoP: 50 mil. Kč (3 %)</w:t>
            </w:r>
          </w:p>
          <w:p w14:paraId="2C3C51ED" w14:textId="77777777" w:rsidR="00DD3EFA" w:rsidRPr="005A0E7C" w:rsidRDefault="00DD3EFA" w:rsidP="00B15ECB">
            <w:pPr>
              <w:pStyle w:val="slovanodstavec"/>
              <w:tabs>
                <w:tab w:val="left" w:pos="284"/>
              </w:tabs>
              <w:suppressAutoHyphens/>
              <w:spacing w:line="240" w:lineRule="auto"/>
              <w:rPr>
                <w:rFonts w:ascii="Times New Roman" w:hAnsi="Times New Roman"/>
              </w:rPr>
            </w:pPr>
          </w:p>
          <w:p w14:paraId="211FC432"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 rámci OP VVV je oblast sociálního začleňování podporována především prostřednictvím PO 3 Rovný přístup ke kvalitnímu předškolnímu, primárnímu a sekundárnímu vzdělávání. Dosud byly vyhlášeny např. výzvy: Inkluzivní vzdělávání pro KPSVL  I a II nebo Inkluzivní vzdělávání pro sociálně vyloučené lokality. Dvě poslední výzvy jsou stále otevřeny a nelze tedy zcela zhodnotit zájem žadatelů. Jeví se však velmi pravděpodobné, že ani jedna z výzev nebude cele vyčerpána. Je to dáno mj. tím, že žadatelé mohou získat podporu na podobné aktivity v rámci výzev na šablony, jejichž administrace je pro ně snazší. </w:t>
            </w:r>
          </w:p>
          <w:p w14:paraId="5AB6767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oblasti vysokoškolského vzdělávání pak program poskytuje také podporu na zvýšení účasti studentů se specifickými potřebami, ze socio-ekonomicky znevýhodněných skupin a etnických minorit, a to v rámci PO 2 Rozvoj vysokých škol a lidských zdrojů pro výzkum a vývoj.</w:t>
            </w:r>
          </w:p>
          <w:p w14:paraId="24ECD92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rámci IROP probíhá podpora SVL v rámci PO 2. Z prostředků IROP je možné financovat sociální bydlení, sociální služby, sociální podnikání či podpořit infrastrukturu vzdělávání. Obecně je poptávka po výzvách SVL velmi vysoká a převyšuje alokaci výzev.</w:t>
            </w:r>
          </w:p>
        </w:tc>
        <w:tc>
          <w:tcPr>
            <w:tcW w:w="249" w:type="dxa"/>
            <w:tcBorders>
              <w:top w:val="nil"/>
              <w:bottom w:val="nil"/>
            </w:tcBorders>
            <w:shd w:val="clear" w:color="auto" w:fill="66CCFF"/>
          </w:tcPr>
          <w:p w14:paraId="2D53800A" w14:textId="77777777" w:rsidR="00DD3EFA" w:rsidRPr="005A0E7C" w:rsidRDefault="00DD3EFA" w:rsidP="00B15ECB">
            <w:pPr>
              <w:rPr>
                <w:b/>
              </w:rPr>
            </w:pPr>
          </w:p>
        </w:tc>
      </w:tr>
      <w:tr w:rsidR="00DD3EFA" w:rsidRPr="005A0E7C" w14:paraId="7C2D0913" w14:textId="77777777" w:rsidTr="00B15ECB">
        <w:trPr>
          <w:trHeight w:val="850"/>
        </w:trPr>
        <w:tc>
          <w:tcPr>
            <w:tcW w:w="249" w:type="dxa"/>
            <w:tcBorders>
              <w:top w:val="nil"/>
              <w:bottom w:val="nil"/>
            </w:tcBorders>
            <w:shd w:val="clear" w:color="auto" w:fill="66CCFF"/>
          </w:tcPr>
          <w:p w14:paraId="4BFF8F9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6354BC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65A91803" w14:textId="77777777" w:rsidR="00DD3EFA" w:rsidRPr="005A0E7C" w:rsidRDefault="00DD3EFA" w:rsidP="00B15ECB">
            <w:pPr>
              <w:spacing w:before="60" w:after="60"/>
              <w:rPr>
                <w:rFonts w:eastAsiaTheme="majorEastAsia"/>
              </w:rPr>
            </w:pPr>
            <w:r w:rsidRPr="005A0E7C">
              <w:rPr>
                <w:rFonts w:eastAsiaTheme="majorEastAsia"/>
              </w:rPr>
              <w:t>Z výše uvedených údajů o čerpání je zřejmé, že poptávka příjemců je dostatečná a odpovídá vyčleněné alokaci pro období 2014-2020. Poptávka příjemců se odvíjí mj. od početnosti cílových skupin. V okamžiku zhoršení situace na trhu práce, které lze v delším časovém horizontu očekávat, a zvýšení počtu osob ohrožených chudobou a sociálním vyloučením, se poptávka příjemců i absorpční kapacita patrně výrazně navýší oproti současné situaci.</w:t>
            </w:r>
          </w:p>
        </w:tc>
        <w:tc>
          <w:tcPr>
            <w:tcW w:w="249" w:type="dxa"/>
            <w:tcBorders>
              <w:top w:val="nil"/>
              <w:bottom w:val="nil"/>
            </w:tcBorders>
            <w:shd w:val="clear" w:color="auto" w:fill="66CCFF"/>
          </w:tcPr>
          <w:p w14:paraId="230B1B8F" w14:textId="77777777" w:rsidR="00DD3EFA" w:rsidRPr="005A0E7C" w:rsidRDefault="00DD3EFA" w:rsidP="00B15ECB">
            <w:pPr>
              <w:rPr>
                <w:b/>
              </w:rPr>
            </w:pPr>
          </w:p>
        </w:tc>
      </w:tr>
      <w:tr w:rsidR="00DD3EFA" w:rsidRPr="005A0E7C" w14:paraId="7954E255" w14:textId="77777777" w:rsidTr="00B15ECB">
        <w:trPr>
          <w:trHeight w:val="925"/>
        </w:trPr>
        <w:tc>
          <w:tcPr>
            <w:tcW w:w="249" w:type="dxa"/>
            <w:tcBorders>
              <w:top w:val="nil"/>
              <w:bottom w:val="nil"/>
            </w:tcBorders>
            <w:shd w:val="clear" w:color="auto" w:fill="66CCFF"/>
          </w:tcPr>
          <w:p w14:paraId="66C20CB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D6EE18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61D0084F" w14:textId="77777777" w:rsidR="00DD3EFA" w:rsidRPr="005A0E7C" w:rsidRDefault="00DD3EFA" w:rsidP="00B15ECB">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tc>
        <w:tc>
          <w:tcPr>
            <w:tcW w:w="249" w:type="dxa"/>
            <w:tcBorders>
              <w:top w:val="nil"/>
              <w:bottom w:val="nil"/>
            </w:tcBorders>
            <w:shd w:val="clear" w:color="auto" w:fill="66CCFF"/>
          </w:tcPr>
          <w:p w14:paraId="04DBA4FB" w14:textId="77777777" w:rsidR="00DD3EFA" w:rsidRPr="005A0E7C" w:rsidRDefault="00DD3EFA" w:rsidP="00B15ECB">
            <w:pPr>
              <w:rPr>
                <w:b/>
              </w:rPr>
            </w:pPr>
          </w:p>
        </w:tc>
      </w:tr>
      <w:tr w:rsidR="00DD3EFA" w:rsidRPr="005A0E7C" w14:paraId="17776890" w14:textId="77777777" w:rsidTr="00B15ECB">
        <w:trPr>
          <w:trHeight w:val="1001"/>
        </w:trPr>
        <w:tc>
          <w:tcPr>
            <w:tcW w:w="249" w:type="dxa"/>
            <w:tcBorders>
              <w:top w:val="nil"/>
              <w:bottom w:val="nil"/>
            </w:tcBorders>
            <w:shd w:val="clear" w:color="auto" w:fill="66CCFF"/>
          </w:tcPr>
          <w:p w14:paraId="487BDD1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2DD080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0489E47D" w14:textId="77777777" w:rsidR="00DD3EFA" w:rsidRPr="005A0E7C" w:rsidRDefault="00DD3EFA" w:rsidP="00B15ECB">
            <w:pPr>
              <w:spacing w:before="60" w:after="60"/>
              <w:rPr>
                <w:rFonts w:eastAsiaTheme="majorEastAsia"/>
              </w:rPr>
            </w:pPr>
            <w:r w:rsidRPr="005A0E7C">
              <w:rPr>
                <w:rFonts w:eastAsiaTheme="majorEastAsia"/>
              </w:rPr>
              <w:t>- Administrativní překážky</w:t>
            </w:r>
          </w:p>
          <w:p w14:paraId="390F511F" w14:textId="77777777" w:rsidR="00DD3EFA" w:rsidRPr="005A0E7C" w:rsidRDefault="00DD3EFA" w:rsidP="00B15ECB">
            <w:pPr>
              <w:spacing w:before="60" w:after="60"/>
              <w:rPr>
                <w:rFonts w:eastAsiaTheme="majorEastAsia"/>
              </w:rPr>
            </w:pPr>
            <w:r w:rsidRPr="005A0E7C">
              <w:rPr>
                <w:rFonts w:eastAsiaTheme="majorEastAsia"/>
              </w:rPr>
              <w:t>- Nedostatečná spolupráce na úrovni veřejné správy</w:t>
            </w:r>
          </w:p>
          <w:p w14:paraId="1BA7F791" w14:textId="77777777" w:rsidR="00DD3EFA" w:rsidRPr="005A0E7C" w:rsidRDefault="00DD3EFA" w:rsidP="00B15ECB">
            <w:pPr>
              <w:spacing w:before="60" w:after="60"/>
              <w:rPr>
                <w:rFonts w:eastAsiaTheme="majorEastAsia"/>
                <w:i/>
              </w:rPr>
            </w:pPr>
            <w:r w:rsidRPr="005A0E7C">
              <w:rPr>
                <w:rFonts w:eastAsiaTheme="majorEastAsia"/>
              </w:rPr>
              <w:t>- Neadekvátní nastavení národní legislativy</w:t>
            </w:r>
          </w:p>
        </w:tc>
        <w:tc>
          <w:tcPr>
            <w:tcW w:w="249" w:type="dxa"/>
            <w:tcBorders>
              <w:top w:val="nil"/>
              <w:bottom w:val="nil"/>
            </w:tcBorders>
            <w:shd w:val="clear" w:color="auto" w:fill="66CCFF"/>
          </w:tcPr>
          <w:p w14:paraId="15D13F55" w14:textId="77777777" w:rsidR="00DD3EFA" w:rsidRPr="005A0E7C" w:rsidRDefault="00DD3EFA" w:rsidP="00B15ECB">
            <w:pPr>
              <w:rPr>
                <w:b/>
              </w:rPr>
            </w:pPr>
          </w:p>
        </w:tc>
      </w:tr>
      <w:tr w:rsidR="00DD3EFA" w:rsidRPr="005A0E7C" w14:paraId="03F0EAC7"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AF31721"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ACB3D6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1FE9DC3"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FF70E6B" w14:textId="77777777" w:rsidR="00DD3EFA" w:rsidRPr="005A0E7C" w:rsidRDefault="00DD3EFA" w:rsidP="00B15ECB">
            <w:pPr>
              <w:rPr>
                <w:b/>
              </w:rPr>
            </w:pPr>
          </w:p>
        </w:tc>
      </w:tr>
      <w:tr w:rsidR="00DD3EFA" w:rsidRPr="005A0E7C" w14:paraId="217F40E7" w14:textId="77777777" w:rsidTr="00B15ECB">
        <w:trPr>
          <w:trHeight w:val="1559"/>
        </w:trPr>
        <w:tc>
          <w:tcPr>
            <w:tcW w:w="249" w:type="dxa"/>
            <w:tcBorders>
              <w:top w:val="single" w:sz="4" w:space="0" w:color="auto"/>
              <w:bottom w:val="nil"/>
            </w:tcBorders>
            <w:shd w:val="clear" w:color="auto" w:fill="66CCFF"/>
          </w:tcPr>
          <w:p w14:paraId="4C6B87D8"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5447421C"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4CC00171" w14:textId="77777777" w:rsidR="00DD3EFA" w:rsidRPr="005A0E7C" w:rsidRDefault="00DD3EFA" w:rsidP="00B15ECB">
            <w:pPr>
              <w:spacing w:before="60" w:after="60"/>
              <w:rPr>
                <w:rFonts w:eastAsiaTheme="majorEastAsia"/>
                <w:i/>
              </w:rPr>
            </w:pPr>
          </w:p>
        </w:tc>
        <w:tc>
          <w:tcPr>
            <w:tcW w:w="249" w:type="dxa"/>
            <w:tcBorders>
              <w:top w:val="single" w:sz="4" w:space="0" w:color="auto"/>
              <w:bottom w:val="nil"/>
            </w:tcBorders>
            <w:shd w:val="clear" w:color="auto" w:fill="66CCFF"/>
          </w:tcPr>
          <w:p w14:paraId="7D041AA6" w14:textId="77777777" w:rsidR="00DD3EFA" w:rsidRPr="005A0E7C" w:rsidRDefault="00DD3EFA" w:rsidP="00B15ECB">
            <w:pPr>
              <w:rPr>
                <w:b/>
              </w:rPr>
            </w:pPr>
          </w:p>
        </w:tc>
      </w:tr>
      <w:tr w:rsidR="00DD3EFA" w:rsidRPr="005A0E7C" w14:paraId="2EAE414C" w14:textId="77777777" w:rsidTr="00B15ECB">
        <w:trPr>
          <w:trHeight w:val="1968"/>
        </w:trPr>
        <w:tc>
          <w:tcPr>
            <w:tcW w:w="249" w:type="dxa"/>
            <w:tcBorders>
              <w:top w:val="nil"/>
              <w:bottom w:val="nil"/>
            </w:tcBorders>
            <w:shd w:val="clear" w:color="auto" w:fill="66CCFF"/>
          </w:tcPr>
          <w:p w14:paraId="29E9954B" w14:textId="77777777" w:rsidR="00DD3EFA" w:rsidRPr="005A0E7C" w:rsidRDefault="00DD3EFA" w:rsidP="00B15ECB">
            <w:pPr>
              <w:rPr>
                <w:b/>
              </w:rPr>
            </w:pPr>
          </w:p>
        </w:tc>
        <w:tc>
          <w:tcPr>
            <w:tcW w:w="2548" w:type="dxa"/>
            <w:tcBorders>
              <w:top w:val="nil"/>
            </w:tcBorders>
            <w:shd w:val="clear" w:color="auto" w:fill="FFFFFF" w:themeFill="background1"/>
          </w:tcPr>
          <w:p w14:paraId="01111AA4"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0837C87E" w14:textId="77777777" w:rsidR="00DD3EFA" w:rsidRPr="005A0E7C" w:rsidRDefault="00DD3EFA" w:rsidP="00B15ECB">
            <w:pPr>
              <w:spacing w:before="60" w:after="60"/>
              <w:rPr>
                <w:rFonts w:eastAsiaTheme="majorEastAsia"/>
              </w:rPr>
            </w:pPr>
            <w:r w:rsidRPr="005A0E7C">
              <w:rPr>
                <w:rFonts w:eastAsiaTheme="majorEastAsia"/>
              </w:rPr>
              <w:t xml:space="preserve">Žádné významnější prostředky v jiných unijních programech nad rámec ESF+ nejsou k dispozici. </w:t>
            </w:r>
          </w:p>
          <w:p w14:paraId="5F13451E" w14:textId="77777777" w:rsidR="00DD3EFA" w:rsidRPr="005A0E7C" w:rsidRDefault="00DD3EFA" w:rsidP="00B15ECB">
            <w:pPr>
              <w:spacing w:before="60" w:after="60"/>
            </w:pPr>
            <w:r w:rsidRPr="005A0E7C">
              <w:t xml:space="preserve">Zůstává pouze Evropský fond pro přizpůsobení se globalizaci, který se však zaměřuje výhradně na podporu pracovníků, kteří byli propuštěni v důsledku významných změn ve struktuře světového obchodu způsobených globalizací se značným negativním dopadem na regionální nebo místní ekonomiky. </w:t>
            </w:r>
          </w:p>
          <w:p w14:paraId="014F6FD9" w14:textId="77777777" w:rsidR="00DD3EFA" w:rsidRPr="005A0E7C" w:rsidRDefault="00DD3EFA" w:rsidP="00B15ECB">
            <w:pPr>
              <w:spacing w:before="60" w:after="60"/>
              <w:rPr>
                <w:rFonts w:eastAsiaTheme="majorEastAsia"/>
              </w:rPr>
            </w:pPr>
            <w:r w:rsidRPr="005A0E7C">
              <w:t>Program na podporu zaměstnanosti a sociálních inovací (EaSI) byl pro období 2021-2027 nově začleněn do ESF+.</w:t>
            </w:r>
          </w:p>
        </w:tc>
        <w:tc>
          <w:tcPr>
            <w:tcW w:w="249" w:type="dxa"/>
            <w:tcBorders>
              <w:top w:val="nil"/>
              <w:bottom w:val="nil"/>
            </w:tcBorders>
            <w:shd w:val="clear" w:color="auto" w:fill="66CCFF"/>
          </w:tcPr>
          <w:p w14:paraId="5F828ED4" w14:textId="77777777" w:rsidR="00DD3EFA" w:rsidRPr="005A0E7C" w:rsidRDefault="00DD3EFA" w:rsidP="00B15ECB">
            <w:pPr>
              <w:rPr>
                <w:b/>
              </w:rPr>
            </w:pPr>
          </w:p>
        </w:tc>
      </w:tr>
      <w:tr w:rsidR="00DD3EFA" w:rsidRPr="005A0E7C" w14:paraId="73BDD1AC" w14:textId="77777777" w:rsidTr="00B15ECB">
        <w:trPr>
          <w:trHeight w:val="1015"/>
        </w:trPr>
        <w:tc>
          <w:tcPr>
            <w:tcW w:w="249" w:type="dxa"/>
            <w:tcBorders>
              <w:top w:val="nil"/>
              <w:bottom w:val="nil"/>
            </w:tcBorders>
            <w:shd w:val="clear" w:color="auto" w:fill="66CCFF"/>
          </w:tcPr>
          <w:p w14:paraId="6E0BBD39" w14:textId="77777777" w:rsidR="00DD3EFA" w:rsidRPr="005A0E7C" w:rsidRDefault="00DD3EFA" w:rsidP="00B15ECB">
            <w:pPr>
              <w:rPr>
                <w:b/>
              </w:rPr>
            </w:pPr>
          </w:p>
        </w:tc>
        <w:tc>
          <w:tcPr>
            <w:tcW w:w="2548" w:type="dxa"/>
            <w:tcBorders>
              <w:top w:val="nil"/>
            </w:tcBorders>
            <w:shd w:val="clear" w:color="auto" w:fill="FFFFFF" w:themeFill="background1"/>
          </w:tcPr>
          <w:p w14:paraId="536731E3"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38F1A6CF" w14:textId="77777777" w:rsidR="00DD3EFA" w:rsidRPr="005A0E7C" w:rsidRDefault="00DD3EFA" w:rsidP="00B15ECB">
            <w:pPr>
              <w:spacing w:before="60" w:after="60"/>
              <w:rPr>
                <w:rFonts w:eastAsiaTheme="majorEastAsia"/>
              </w:rPr>
            </w:pPr>
            <w:r w:rsidRPr="005A0E7C">
              <w:rPr>
                <w:rFonts w:eastAsiaTheme="majorEastAsia"/>
              </w:rPr>
              <w:t xml:space="preserve">Sociální začleňování je financováno rovněž ze státního rozpočtu a ze zdrojů obcí a krajů. Případné chybějící zdroje ESIF by bylo třeba nahradit těmito veřejnými prostředky. </w:t>
            </w:r>
          </w:p>
        </w:tc>
        <w:tc>
          <w:tcPr>
            <w:tcW w:w="249" w:type="dxa"/>
            <w:tcBorders>
              <w:top w:val="nil"/>
              <w:bottom w:val="nil"/>
            </w:tcBorders>
            <w:shd w:val="clear" w:color="auto" w:fill="66CCFF"/>
          </w:tcPr>
          <w:p w14:paraId="299928C5" w14:textId="77777777" w:rsidR="00DD3EFA" w:rsidRPr="005A0E7C" w:rsidRDefault="00DD3EFA" w:rsidP="00B15ECB">
            <w:pPr>
              <w:rPr>
                <w:b/>
              </w:rPr>
            </w:pPr>
          </w:p>
        </w:tc>
      </w:tr>
      <w:tr w:rsidR="00DD3EFA" w:rsidRPr="005A0E7C" w14:paraId="26F3C56C" w14:textId="77777777" w:rsidTr="00B15ECB">
        <w:trPr>
          <w:trHeight w:val="986"/>
        </w:trPr>
        <w:tc>
          <w:tcPr>
            <w:tcW w:w="249" w:type="dxa"/>
            <w:tcBorders>
              <w:top w:val="nil"/>
              <w:bottom w:val="nil"/>
            </w:tcBorders>
            <w:shd w:val="clear" w:color="auto" w:fill="66CCFF"/>
          </w:tcPr>
          <w:p w14:paraId="5421B7F5" w14:textId="77777777" w:rsidR="00DD3EFA" w:rsidRPr="005A0E7C" w:rsidRDefault="00DD3EFA" w:rsidP="00B15ECB">
            <w:pPr>
              <w:rPr>
                <w:b/>
              </w:rPr>
            </w:pPr>
          </w:p>
        </w:tc>
        <w:tc>
          <w:tcPr>
            <w:tcW w:w="2548" w:type="dxa"/>
            <w:tcBorders>
              <w:top w:val="nil"/>
            </w:tcBorders>
            <w:shd w:val="clear" w:color="auto" w:fill="FFFFFF" w:themeFill="background1"/>
          </w:tcPr>
          <w:p w14:paraId="2C9B113D"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53F125D4" w14:textId="77777777" w:rsidR="00DD3EFA" w:rsidRPr="005A0E7C" w:rsidRDefault="00DD3EFA" w:rsidP="00B15ECB">
            <w:pPr>
              <w:spacing w:before="60" w:after="60"/>
              <w:rPr>
                <w:rFonts w:eastAsiaTheme="majorEastAsia"/>
              </w:rPr>
            </w:pPr>
            <w:r w:rsidRPr="005A0E7C">
              <w:rPr>
                <w:rFonts w:eastAsiaTheme="majorEastAsia"/>
              </w:rPr>
              <w:t>Žádné významnější zdroje mimo veřejné rozpočty nejsou k dispozici.</w:t>
            </w:r>
          </w:p>
        </w:tc>
        <w:tc>
          <w:tcPr>
            <w:tcW w:w="249" w:type="dxa"/>
            <w:tcBorders>
              <w:top w:val="nil"/>
              <w:bottom w:val="nil"/>
            </w:tcBorders>
            <w:shd w:val="clear" w:color="auto" w:fill="66CCFF"/>
          </w:tcPr>
          <w:p w14:paraId="65451998" w14:textId="77777777" w:rsidR="00DD3EFA" w:rsidRPr="005A0E7C" w:rsidRDefault="00DD3EFA" w:rsidP="00B15ECB">
            <w:pPr>
              <w:rPr>
                <w:b/>
              </w:rPr>
            </w:pPr>
          </w:p>
        </w:tc>
      </w:tr>
      <w:tr w:rsidR="00DD3EFA" w:rsidRPr="005A0E7C" w14:paraId="4A50EC7E" w14:textId="77777777" w:rsidTr="00B15ECB">
        <w:trPr>
          <w:trHeight w:val="1968"/>
        </w:trPr>
        <w:tc>
          <w:tcPr>
            <w:tcW w:w="249" w:type="dxa"/>
            <w:tcBorders>
              <w:top w:val="nil"/>
              <w:bottom w:val="nil"/>
            </w:tcBorders>
            <w:shd w:val="clear" w:color="auto" w:fill="66CCFF"/>
          </w:tcPr>
          <w:p w14:paraId="70E9749B" w14:textId="77777777" w:rsidR="00DD3EFA" w:rsidRPr="005A0E7C" w:rsidRDefault="00DD3EFA" w:rsidP="00B15ECB">
            <w:pPr>
              <w:rPr>
                <w:b/>
              </w:rPr>
            </w:pPr>
          </w:p>
        </w:tc>
        <w:tc>
          <w:tcPr>
            <w:tcW w:w="2548" w:type="dxa"/>
            <w:tcBorders>
              <w:top w:val="nil"/>
            </w:tcBorders>
            <w:shd w:val="clear" w:color="auto" w:fill="FFFFFF" w:themeFill="background1"/>
          </w:tcPr>
          <w:p w14:paraId="472B5D3D"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65A4BB9C" w14:textId="77777777" w:rsidR="00DD3EFA" w:rsidRPr="005A0E7C" w:rsidRDefault="00DD3EFA" w:rsidP="00B15ECB">
            <w:pPr>
              <w:spacing w:before="60" w:after="60"/>
              <w:rPr>
                <w:rFonts w:eastAsiaTheme="majorEastAsia"/>
              </w:rPr>
            </w:pPr>
            <w:r w:rsidRPr="005A0E7C">
              <w:rPr>
                <w:rFonts w:eastAsiaTheme="majorEastAsia"/>
              </w:rPr>
              <w:t>Využití finančních nástrojů v dané oblasti není možné, protože podpořené projekty negenerují podstatnější příjmy, které by mohly být využity ke vrácení poskytnuté podpory. Jedinou výjimku představuje oblast sociálního podnikání, v rámci které je podpora formou finančního nástroje testována v období 2014-2020 v OPZ.</w:t>
            </w:r>
          </w:p>
        </w:tc>
        <w:tc>
          <w:tcPr>
            <w:tcW w:w="249" w:type="dxa"/>
            <w:tcBorders>
              <w:top w:val="nil"/>
              <w:bottom w:val="nil"/>
            </w:tcBorders>
            <w:shd w:val="clear" w:color="auto" w:fill="66CCFF"/>
          </w:tcPr>
          <w:p w14:paraId="7BBE3053" w14:textId="77777777" w:rsidR="00DD3EFA" w:rsidRPr="005A0E7C" w:rsidRDefault="00DD3EFA" w:rsidP="00B15ECB">
            <w:pPr>
              <w:rPr>
                <w:b/>
              </w:rPr>
            </w:pPr>
          </w:p>
        </w:tc>
      </w:tr>
      <w:tr w:rsidR="00DD3EFA" w:rsidRPr="005A0E7C" w14:paraId="7F2FAB76" w14:textId="77777777" w:rsidTr="00B15ECB">
        <w:trPr>
          <w:trHeight w:val="150"/>
        </w:trPr>
        <w:tc>
          <w:tcPr>
            <w:tcW w:w="249" w:type="dxa"/>
            <w:tcBorders>
              <w:top w:val="nil"/>
              <w:right w:val="nil"/>
            </w:tcBorders>
            <w:shd w:val="clear" w:color="auto" w:fill="66CCFF"/>
          </w:tcPr>
          <w:p w14:paraId="1D8D7FDB" w14:textId="77777777" w:rsidR="00DD3EFA" w:rsidRPr="005A0E7C" w:rsidRDefault="00DD3EFA" w:rsidP="00B15ECB">
            <w:pPr>
              <w:rPr>
                <w:b/>
              </w:rPr>
            </w:pPr>
          </w:p>
        </w:tc>
        <w:tc>
          <w:tcPr>
            <w:tcW w:w="2548" w:type="dxa"/>
            <w:tcBorders>
              <w:left w:val="nil"/>
              <w:right w:val="nil"/>
            </w:tcBorders>
            <w:shd w:val="clear" w:color="auto" w:fill="66CCFF"/>
          </w:tcPr>
          <w:p w14:paraId="586EC57B" w14:textId="77777777" w:rsidR="00DD3EFA" w:rsidRPr="005A0E7C" w:rsidRDefault="00DD3EFA" w:rsidP="00B15ECB">
            <w:pPr>
              <w:rPr>
                <w:b/>
              </w:rPr>
            </w:pPr>
          </w:p>
        </w:tc>
        <w:tc>
          <w:tcPr>
            <w:tcW w:w="5978" w:type="dxa"/>
            <w:tcBorders>
              <w:left w:val="nil"/>
              <w:right w:val="nil"/>
            </w:tcBorders>
            <w:shd w:val="clear" w:color="auto" w:fill="66CCFF"/>
          </w:tcPr>
          <w:p w14:paraId="2C9AE01E" w14:textId="77777777" w:rsidR="00DD3EFA" w:rsidRPr="005A0E7C" w:rsidRDefault="00DD3EFA" w:rsidP="00B15ECB">
            <w:pPr>
              <w:rPr>
                <w:b/>
              </w:rPr>
            </w:pPr>
          </w:p>
        </w:tc>
        <w:tc>
          <w:tcPr>
            <w:tcW w:w="249" w:type="dxa"/>
            <w:tcBorders>
              <w:top w:val="nil"/>
              <w:left w:val="nil"/>
            </w:tcBorders>
            <w:shd w:val="clear" w:color="auto" w:fill="66CCFF"/>
          </w:tcPr>
          <w:p w14:paraId="4C94AFF8" w14:textId="77777777" w:rsidR="00DD3EFA" w:rsidRPr="005A0E7C" w:rsidRDefault="00DD3EFA" w:rsidP="00B15ECB">
            <w:pPr>
              <w:rPr>
                <w:b/>
              </w:rPr>
            </w:pPr>
          </w:p>
        </w:tc>
      </w:tr>
    </w:tbl>
    <w:p w14:paraId="62D1BD0F" w14:textId="77777777" w:rsidR="00DD3EFA" w:rsidRPr="005A0E7C" w:rsidRDefault="00DD3EFA" w:rsidP="00B15ECB">
      <w:pPr>
        <w:rPr>
          <w:rFonts w:ascii="Times New Roman" w:hAnsi="Times New Roman" w:cs="Times New Roman"/>
          <w:b/>
          <w:sz w:val="20"/>
          <w:szCs w:val="20"/>
        </w:rPr>
      </w:pPr>
    </w:p>
    <w:p w14:paraId="234ED792" w14:textId="77777777" w:rsidR="00DD3EFA" w:rsidRPr="005A0E7C" w:rsidRDefault="00DD3EFA" w:rsidP="00B15ECB">
      <w:pPr>
        <w:rPr>
          <w:rFonts w:ascii="Times New Roman" w:hAnsi="Times New Roman" w:cs="Times New Roman"/>
          <w:sz w:val="20"/>
          <w:szCs w:val="20"/>
        </w:rPr>
      </w:pPr>
    </w:p>
    <w:p w14:paraId="22B0BDD4" w14:textId="77777777" w:rsidR="00DD3EFA" w:rsidRPr="005A0E7C" w:rsidRDefault="00DD3EFA">
      <w:pPr>
        <w:rPr>
          <w:rFonts w:ascii="Times New Roman" w:hAnsi="Times New Roman" w:cs="Times New Roman"/>
          <w:sz w:val="20"/>
          <w:szCs w:val="20"/>
        </w:rPr>
      </w:pPr>
    </w:p>
    <w:p w14:paraId="716F33EC"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51BEC9A3" w14:textId="77777777" w:rsidTr="00B15ECB">
        <w:trPr>
          <w:trHeight w:val="180"/>
        </w:trPr>
        <w:tc>
          <w:tcPr>
            <w:tcW w:w="249" w:type="dxa"/>
            <w:tcBorders>
              <w:bottom w:val="nil"/>
              <w:right w:val="nil"/>
            </w:tcBorders>
            <w:shd w:val="clear" w:color="auto" w:fill="66CCFF"/>
          </w:tcPr>
          <w:p w14:paraId="5227D0A1" w14:textId="77777777" w:rsidR="00DD3EFA" w:rsidRPr="005A0E7C" w:rsidRDefault="00DD3EFA" w:rsidP="00B15ECB">
            <w:pPr>
              <w:rPr>
                <w:b/>
              </w:rPr>
            </w:pPr>
          </w:p>
        </w:tc>
        <w:tc>
          <w:tcPr>
            <w:tcW w:w="2548" w:type="dxa"/>
            <w:tcBorders>
              <w:left w:val="nil"/>
              <w:right w:val="nil"/>
            </w:tcBorders>
            <w:shd w:val="clear" w:color="auto" w:fill="66CCFF"/>
          </w:tcPr>
          <w:p w14:paraId="5C7B9FE8" w14:textId="77777777" w:rsidR="00DD3EFA" w:rsidRPr="005A0E7C" w:rsidRDefault="00DD3EFA" w:rsidP="00B15ECB">
            <w:pPr>
              <w:rPr>
                <w:b/>
              </w:rPr>
            </w:pPr>
          </w:p>
        </w:tc>
        <w:tc>
          <w:tcPr>
            <w:tcW w:w="5978" w:type="dxa"/>
            <w:tcBorders>
              <w:left w:val="nil"/>
              <w:right w:val="nil"/>
            </w:tcBorders>
            <w:shd w:val="clear" w:color="auto" w:fill="66CCFF"/>
          </w:tcPr>
          <w:p w14:paraId="0DB264F2" w14:textId="77777777" w:rsidR="00DD3EFA" w:rsidRPr="005A0E7C" w:rsidRDefault="00DD3EFA" w:rsidP="00B15ECB">
            <w:pPr>
              <w:rPr>
                <w:b/>
              </w:rPr>
            </w:pPr>
          </w:p>
        </w:tc>
        <w:tc>
          <w:tcPr>
            <w:tcW w:w="249" w:type="dxa"/>
            <w:tcBorders>
              <w:left w:val="nil"/>
              <w:bottom w:val="nil"/>
            </w:tcBorders>
            <w:shd w:val="clear" w:color="auto" w:fill="66CCFF"/>
          </w:tcPr>
          <w:p w14:paraId="0FD74D57" w14:textId="77777777" w:rsidR="00DD3EFA" w:rsidRPr="005A0E7C" w:rsidRDefault="00DD3EFA" w:rsidP="00B15ECB">
            <w:pPr>
              <w:rPr>
                <w:b/>
              </w:rPr>
            </w:pPr>
          </w:p>
        </w:tc>
      </w:tr>
      <w:tr w:rsidR="00DD3EFA" w:rsidRPr="005A0E7C" w14:paraId="683C4646" w14:textId="77777777" w:rsidTr="00B15ECB">
        <w:trPr>
          <w:trHeight w:val="561"/>
        </w:trPr>
        <w:tc>
          <w:tcPr>
            <w:tcW w:w="249" w:type="dxa"/>
            <w:tcBorders>
              <w:top w:val="nil"/>
              <w:bottom w:val="nil"/>
            </w:tcBorders>
            <w:shd w:val="clear" w:color="auto" w:fill="66CCFF"/>
          </w:tcPr>
          <w:p w14:paraId="1F4A538D" w14:textId="77777777" w:rsidR="00DD3EFA" w:rsidRPr="005A0E7C" w:rsidRDefault="00DD3EFA" w:rsidP="00B15ECB">
            <w:pPr>
              <w:rPr>
                <w:b/>
              </w:rPr>
            </w:pPr>
          </w:p>
        </w:tc>
        <w:tc>
          <w:tcPr>
            <w:tcW w:w="2548" w:type="dxa"/>
            <w:shd w:val="clear" w:color="auto" w:fill="0070C0"/>
          </w:tcPr>
          <w:p w14:paraId="0173F9D4"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5943F6EE"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5978" w:type="dxa"/>
            <w:shd w:val="clear" w:color="auto" w:fill="0070C0"/>
          </w:tcPr>
          <w:p w14:paraId="1F64FC27"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11"/>
            </w:r>
            <w:r w:rsidRPr="005A0E7C">
              <w:rPr>
                <w:rFonts w:eastAsiaTheme="majorEastAsia"/>
                <w:b/>
                <w:color w:val="FFFFFF" w:themeColor="background1"/>
                <w:u w:val="single"/>
              </w:rPr>
              <w:t xml:space="preserve">: </w:t>
            </w:r>
          </w:p>
          <w:p w14:paraId="6E2C94D2"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Klientsky orientované sociální služby</w:t>
            </w:r>
          </w:p>
        </w:tc>
        <w:tc>
          <w:tcPr>
            <w:tcW w:w="249" w:type="dxa"/>
            <w:tcBorders>
              <w:top w:val="nil"/>
              <w:bottom w:val="nil"/>
            </w:tcBorders>
            <w:shd w:val="clear" w:color="auto" w:fill="66CCFF"/>
          </w:tcPr>
          <w:p w14:paraId="3F562E55" w14:textId="77777777" w:rsidR="00DD3EFA" w:rsidRPr="005A0E7C" w:rsidRDefault="00DD3EFA" w:rsidP="00B15ECB">
            <w:pPr>
              <w:rPr>
                <w:b/>
              </w:rPr>
            </w:pPr>
          </w:p>
        </w:tc>
      </w:tr>
      <w:tr w:rsidR="00DD3EFA" w:rsidRPr="005A0E7C" w14:paraId="1E84EB28" w14:textId="77777777" w:rsidTr="00B15ECB">
        <w:trPr>
          <w:trHeight w:val="180"/>
        </w:trPr>
        <w:tc>
          <w:tcPr>
            <w:tcW w:w="249" w:type="dxa"/>
            <w:tcBorders>
              <w:top w:val="nil"/>
              <w:bottom w:val="nil"/>
              <w:right w:val="nil"/>
            </w:tcBorders>
            <w:shd w:val="clear" w:color="auto" w:fill="66CCFF"/>
          </w:tcPr>
          <w:p w14:paraId="6B60CBA3" w14:textId="77777777" w:rsidR="00DD3EFA" w:rsidRPr="005A0E7C" w:rsidRDefault="00DD3EFA" w:rsidP="00B15ECB">
            <w:pPr>
              <w:rPr>
                <w:b/>
              </w:rPr>
            </w:pPr>
          </w:p>
        </w:tc>
        <w:tc>
          <w:tcPr>
            <w:tcW w:w="2548" w:type="dxa"/>
            <w:tcBorders>
              <w:left w:val="nil"/>
              <w:right w:val="nil"/>
            </w:tcBorders>
            <w:shd w:val="clear" w:color="auto" w:fill="66CCFF"/>
          </w:tcPr>
          <w:p w14:paraId="7B710EBE" w14:textId="77777777" w:rsidR="00DD3EFA" w:rsidRPr="005A0E7C" w:rsidRDefault="00DD3EFA" w:rsidP="00B15ECB">
            <w:pPr>
              <w:rPr>
                <w:b/>
              </w:rPr>
            </w:pPr>
          </w:p>
        </w:tc>
        <w:tc>
          <w:tcPr>
            <w:tcW w:w="5978" w:type="dxa"/>
            <w:tcBorders>
              <w:left w:val="nil"/>
              <w:right w:val="nil"/>
            </w:tcBorders>
            <w:shd w:val="clear" w:color="auto" w:fill="66CCFF"/>
          </w:tcPr>
          <w:p w14:paraId="3B4F89D5" w14:textId="77777777" w:rsidR="00DD3EFA" w:rsidRPr="005A0E7C" w:rsidRDefault="00DD3EFA" w:rsidP="00B15ECB">
            <w:pPr>
              <w:rPr>
                <w:b/>
              </w:rPr>
            </w:pPr>
          </w:p>
        </w:tc>
        <w:tc>
          <w:tcPr>
            <w:tcW w:w="249" w:type="dxa"/>
            <w:tcBorders>
              <w:top w:val="nil"/>
              <w:left w:val="nil"/>
              <w:bottom w:val="nil"/>
            </w:tcBorders>
            <w:shd w:val="clear" w:color="auto" w:fill="66CCFF"/>
          </w:tcPr>
          <w:p w14:paraId="75677F20" w14:textId="77777777" w:rsidR="00DD3EFA" w:rsidRPr="005A0E7C" w:rsidRDefault="00DD3EFA" w:rsidP="00B15ECB">
            <w:pPr>
              <w:rPr>
                <w:b/>
              </w:rPr>
            </w:pPr>
          </w:p>
        </w:tc>
      </w:tr>
      <w:tr w:rsidR="00DD3EFA" w:rsidRPr="005A0E7C" w14:paraId="356AF9AD" w14:textId="77777777" w:rsidTr="00B15ECB">
        <w:trPr>
          <w:trHeight w:val="892"/>
        </w:trPr>
        <w:tc>
          <w:tcPr>
            <w:tcW w:w="249" w:type="dxa"/>
            <w:tcBorders>
              <w:top w:val="nil"/>
              <w:bottom w:val="nil"/>
            </w:tcBorders>
            <w:shd w:val="clear" w:color="auto" w:fill="66CCFF"/>
          </w:tcPr>
          <w:p w14:paraId="6C3E332C" w14:textId="77777777" w:rsidR="00DD3EFA" w:rsidRPr="005A0E7C" w:rsidRDefault="00DD3EFA" w:rsidP="00B15ECB">
            <w:pPr>
              <w:rPr>
                <w:b/>
              </w:rPr>
            </w:pPr>
          </w:p>
        </w:tc>
        <w:tc>
          <w:tcPr>
            <w:tcW w:w="2548" w:type="dxa"/>
            <w:shd w:val="clear" w:color="auto" w:fill="FFFFFF" w:themeFill="background1"/>
          </w:tcPr>
          <w:p w14:paraId="293E106D"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4D08FFBC" w14:textId="77777777" w:rsidR="00DD3EFA" w:rsidRPr="005A0E7C" w:rsidRDefault="00DD3EFA" w:rsidP="00B15ECB">
            <w:pPr>
              <w:spacing w:before="60" w:after="60"/>
            </w:pPr>
            <w:r w:rsidRPr="005A0E7C">
              <w:t>Sociální služby jsou nepostradatelným nástrojem k předcházení a řešení klíčových společenských problémů, které souvisejí se sociálním vyloučením, stárnutím populace, adaptabilitou na trhu práce, diskriminací vybraných skupin obyvatel nebo integrací cizinců. Sociální služby jsou plánovány, financovány a poskytovány na základě specifického zákona o sociálních službách, přičemž je důležitá také koordinace s ostatními veřejnými službami, především službami trhu práce, vzděláváním a zdravotnictvím, a spolupráce mezi množstvím aktérů, včetně územních samospráv a NNO.</w:t>
            </w:r>
          </w:p>
          <w:p w14:paraId="6D47BCD7" w14:textId="77777777" w:rsidR="00DD3EFA" w:rsidRPr="005A0E7C" w:rsidRDefault="00DD3EFA" w:rsidP="00B15ECB">
            <w:pPr>
              <w:spacing w:before="60" w:after="60"/>
            </w:pPr>
            <w:r w:rsidRPr="005A0E7C">
              <w:t xml:space="preserve">V účinnosti hraje zásadní roli aspekt kvality, dostupnosti, prostupnosti a komplexnosti systému sociálních služeb, včetně jejich provázanosti na další relevantní služby dle potřeb klientů. Sociální služby skrze svoji činnost reagují na potřeby osob či cílových skupin sociálně vyloučených případně sociálním vyloučením ohrožených a zároveň reagují na nepříznivé sociální jevy, které se vyskytují v místě působnosti. </w:t>
            </w:r>
          </w:p>
        </w:tc>
        <w:tc>
          <w:tcPr>
            <w:tcW w:w="249" w:type="dxa"/>
            <w:tcBorders>
              <w:top w:val="nil"/>
              <w:bottom w:val="nil"/>
            </w:tcBorders>
            <w:shd w:val="clear" w:color="auto" w:fill="66CCFF"/>
          </w:tcPr>
          <w:p w14:paraId="7424735F" w14:textId="77777777" w:rsidR="00DD3EFA" w:rsidRPr="005A0E7C" w:rsidRDefault="00DD3EFA" w:rsidP="00B15ECB">
            <w:pPr>
              <w:rPr>
                <w:b/>
              </w:rPr>
            </w:pPr>
          </w:p>
        </w:tc>
      </w:tr>
      <w:tr w:rsidR="00DD3EFA" w:rsidRPr="005A0E7C" w14:paraId="06A49B55" w14:textId="77777777" w:rsidTr="00B15ECB">
        <w:trPr>
          <w:trHeight w:val="46"/>
        </w:trPr>
        <w:tc>
          <w:tcPr>
            <w:tcW w:w="249" w:type="dxa"/>
            <w:tcBorders>
              <w:top w:val="nil"/>
              <w:bottom w:val="nil"/>
              <w:right w:val="nil"/>
            </w:tcBorders>
            <w:shd w:val="clear" w:color="auto" w:fill="66CCFF"/>
          </w:tcPr>
          <w:p w14:paraId="63F9268E"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68490514"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454B4E5" w14:textId="77777777" w:rsidR="00DD3EFA" w:rsidRPr="005A0E7C" w:rsidRDefault="00DD3EFA" w:rsidP="00B15ECB">
            <w:pPr>
              <w:rPr>
                <w:b/>
              </w:rPr>
            </w:pPr>
          </w:p>
        </w:tc>
        <w:tc>
          <w:tcPr>
            <w:tcW w:w="249" w:type="dxa"/>
            <w:tcBorders>
              <w:top w:val="nil"/>
              <w:left w:val="nil"/>
              <w:bottom w:val="nil"/>
            </w:tcBorders>
            <w:shd w:val="clear" w:color="auto" w:fill="66CCFF"/>
          </w:tcPr>
          <w:p w14:paraId="50AC8CDB" w14:textId="77777777" w:rsidR="00DD3EFA" w:rsidRPr="005A0E7C" w:rsidRDefault="00DD3EFA" w:rsidP="00B15ECB">
            <w:pPr>
              <w:rPr>
                <w:b/>
              </w:rPr>
            </w:pPr>
          </w:p>
        </w:tc>
      </w:tr>
      <w:tr w:rsidR="00DD3EFA" w:rsidRPr="005A0E7C" w14:paraId="392247B0" w14:textId="77777777" w:rsidTr="00B15ECB">
        <w:trPr>
          <w:trHeight w:val="1274"/>
        </w:trPr>
        <w:tc>
          <w:tcPr>
            <w:tcW w:w="249" w:type="dxa"/>
            <w:tcBorders>
              <w:top w:val="nil"/>
              <w:bottom w:val="nil"/>
            </w:tcBorders>
            <w:shd w:val="clear" w:color="auto" w:fill="66CCFF"/>
          </w:tcPr>
          <w:p w14:paraId="73E7C35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D3D30E1"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4F88E69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Sociální služby jsou nepostradatelným nástrojem veřejné politiky k řešení některých klíčových společenských problémů společnosti. Jedná se především o stárnutí populace, sociální vyloučení nebo rostoucí migraci. Systém sociálních služeb přitom reaguje jednak na potřeby konkrétních klientů a řeší jejich sociální problémy, jednak ale také reaguje na negativní jevy ve společnosti, pomáhá je řešit a předcházet jim.</w:t>
            </w:r>
          </w:p>
          <w:p w14:paraId="52038AF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 tématem rovněž velice silně souvisí dodržování lidskoprávních národních i mezinárodních závazků, zvlášť pak Úmluvy o právech osob se zdravotním postižením.</w:t>
            </w:r>
          </w:p>
          <w:p w14:paraId="6CF8257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Vzhledem k predikovanému vývoji (především pokračující demografické změny, nelepšící se sociální exkluze, rostoucí migrace, vysoká míra předlužení, vysoký počet osob ve výkonu trestu odnětí svobody apod.) je nutné systém sociálních služeb pozměnit tak, aby flexibilněji dokázal reagovat na měnící se potřeby jednotlivých cílových skupin i jednotlivců, podílel se na aktivním sociálním začleňování, byl dobře propojen s dalšími veřejnými službami (zejména se zdravotními službami) a disponoval také efektivním způsobem financování. Klíčové je zajištění adekvátní dostupnosti a nabídky sociálních služeb s ohledem na měnící se potřeby a mobilitu osob ohrožených či sociálně vyloučených, systematické plánování a vyhodnocení dopadu těchto služeb a podpora osvědčených řešení těchto společenských problémů (vč. osvědčené zahraniční praxe a jejího přenosu do podmínek ČR).</w:t>
            </w:r>
          </w:p>
        </w:tc>
        <w:tc>
          <w:tcPr>
            <w:tcW w:w="249" w:type="dxa"/>
            <w:tcBorders>
              <w:top w:val="nil"/>
              <w:bottom w:val="nil"/>
            </w:tcBorders>
            <w:shd w:val="clear" w:color="auto" w:fill="66CCFF"/>
          </w:tcPr>
          <w:p w14:paraId="06C11A80" w14:textId="77777777" w:rsidR="00DD3EFA" w:rsidRPr="005A0E7C" w:rsidRDefault="00DD3EFA" w:rsidP="00B15ECB">
            <w:pPr>
              <w:rPr>
                <w:b/>
              </w:rPr>
            </w:pPr>
          </w:p>
        </w:tc>
      </w:tr>
      <w:tr w:rsidR="00DD3EFA" w:rsidRPr="005A0E7C" w14:paraId="0E9C0593" w14:textId="77777777" w:rsidTr="00B15ECB">
        <w:trPr>
          <w:trHeight w:val="1274"/>
        </w:trPr>
        <w:tc>
          <w:tcPr>
            <w:tcW w:w="249" w:type="dxa"/>
            <w:tcBorders>
              <w:top w:val="nil"/>
              <w:bottom w:val="nil"/>
            </w:tcBorders>
            <w:shd w:val="clear" w:color="auto" w:fill="66CCFF"/>
          </w:tcPr>
          <w:p w14:paraId="732504B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E323817"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179ECE4F" w14:textId="77777777" w:rsidR="00DD3EFA" w:rsidRPr="005A0E7C" w:rsidRDefault="00DD3EFA" w:rsidP="00B15ECB">
            <w:pPr>
              <w:spacing w:before="60" w:after="60"/>
            </w:pPr>
            <w:r w:rsidRPr="005A0E7C">
              <w:t>Podle sociodemografických prognóz bude v České republice přibývat osob, které budou vyžadovat některý z typů intervence, které sociální služby poskytují. Jde především o stárnutí populace, kdy se u velké části této skupiny obyvatel předpokládá nějaké zdravotní nebo sociální omezení, o různé formy sociálního vyloučení nebo ohrožení sociálním vyloučením, nárůst počtu cizinců apod.</w:t>
            </w:r>
          </w:p>
          <w:p w14:paraId="425D5B3B" w14:textId="77777777" w:rsidR="00DD3EFA" w:rsidRPr="005A0E7C" w:rsidRDefault="00DD3EFA" w:rsidP="00B15ECB">
            <w:pPr>
              <w:spacing w:before="60" w:after="60"/>
            </w:pPr>
            <w:r w:rsidRPr="005A0E7C">
              <w:t>Systém sociálních služeb ve stávající podobě přitom není dostatečně připraven na nadcházející výzvy. Systém v současnosti spoléhá především na residenční služby, které mohou vést k pasivitě klientů a které nejsou dostatečně flexibilní. Problémem je i přílišný „resortismus“ (typy jednotlivých služeb, spolupráce se zdravotnickými nebo vzdělávacímu službami), který nevychází vstříc potřebám klientů. Nedostatečná nabídka a dostupnost terénních služeb a nízká kvalita sociálních služeb vedou ke snižování kvality života lidí se sníženou soběstačností a k omezování jejich svobody při volbě místa k životu, ale i v dalších rozhodnutích.</w:t>
            </w:r>
          </w:p>
          <w:p w14:paraId="1281B88F" w14:textId="77777777" w:rsidR="00DD3EFA" w:rsidRPr="005A0E7C" w:rsidRDefault="00DD3EFA" w:rsidP="00B15ECB">
            <w:pPr>
              <w:spacing w:before="60" w:after="60"/>
            </w:pPr>
            <w:r w:rsidRPr="005A0E7C">
              <w:t>Ze statistik vyplývá, že počet sociálních pracovníků působících v sociálních službách je poddimenzován a činnosti sociální práce nejsou vykonávány v potřebném rozsahu a tím i kvalitě. Mzdy pracovníku v oblasti sociálních služeb jsou výrazně nižší, než je průměrná mzda v ČR.</w:t>
            </w:r>
          </w:p>
          <w:p w14:paraId="1591FC6D" w14:textId="77777777" w:rsidR="00DD3EFA" w:rsidRPr="005A0E7C" w:rsidRDefault="00DD3EFA" w:rsidP="00B15ECB">
            <w:pPr>
              <w:spacing w:before="60" w:after="60"/>
            </w:pPr>
            <w:r w:rsidRPr="005A0E7C">
              <w:t>Systém sociálních služeb je nutno uzpůsobit tak, aby více reagoval na jevy ve společnosti, potřeby společnosti a uživatelů, sociálně nepříznivé situace nebo události. Dále je nezbytné zpřehlednit systém pro cílové uživatele, nastavit multidisciplinární spolupráci a rozdělování a monitorování dle uvedených parametrů.  Podmínkou tohoto výhledu je modernizace systému sledování kvality, efektivity a dopadu sociálních služeb, podpora profese a pracovní pozice sociálního pracovníka a dalších pracovních pozic v systému poskytování sociálních služeb, dále podpora vzniku modelů evaluace služeb sociálního začleňování, a to jak z hlediska procesu, tak i dopadu, dále z hlediska kvality i kvantity. Součástí je i vytvoření nového modelu financování, který zajistí rovný přístup k finačních zdrojům pro příspěvkové organiazce i pro nestátní neziskové poskytovale sociálních služeb. Tento model by měl také vyřešit odlišnosti ve financování zdravotní a sociální péče.</w:t>
            </w:r>
          </w:p>
          <w:p w14:paraId="1C8D9719" w14:textId="77777777" w:rsidR="00DD3EFA" w:rsidRPr="005A0E7C" w:rsidRDefault="00DD3EFA" w:rsidP="00B15ECB">
            <w:pPr>
              <w:spacing w:before="60" w:after="60"/>
            </w:pPr>
            <w:r w:rsidRPr="005A0E7C">
              <w:t xml:space="preserve">Pro další období bude nezbytné vytvořit komplexní multifunkční model zahrnující zdravotněsociální přístup ke klientovi. Další důraz bude kladen na vytvoření informačního systému, který poskytne klientovi přehled všech nabízených, jak pobytových, tak ambulantních a domácích služeb z řad státních, neziskových a dobrovolnických zařízení pro daný případ. Informační systém by měl napomoci vyhledat nejvhodnější, takřka na míru ušitou službu z aktuálně dostupných či volných zařízení. Zároveň by měl umožnit klientovi nabídnout alternativy v rámci ČR.  </w:t>
            </w:r>
          </w:p>
          <w:p w14:paraId="7EEA6814" w14:textId="77777777" w:rsidR="00DD3EFA" w:rsidRPr="005A0E7C" w:rsidRDefault="00DD3EFA" w:rsidP="00B15ECB">
            <w:pPr>
              <w:spacing w:before="60" w:after="60"/>
            </w:pPr>
            <w:r w:rsidRPr="005A0E7C">
              <w:t>Česká republika je charakteristická nižší úrovní dostupnosti a nabídky služeb formální péče poskytované v domácím prostředí a nízkým zapojením podnikatelského sektoru do poskytování sociálních služeb. Většinu veřejných služeb domácí péče poskytované v ČR zahrnuje  pouze dovoz jídla. V této souvislosti nelze opomenout neformální péči – od podpůrné péče přes neosobní až po intenzivní osobní péči. Proto bude nutné vytvořit celostátní síť a zajistit podporu prostřednictvím obcí a komunit formou sociálněpsychologického poradenství, bezplatného vzdělávaní, poskytování dostupných informací, zapůjčovaní podpůrných prostředků a zajištění odlehčovacích služeb pro dlouhodobě pečující, případně zajištění domácí hospicové paliativní péče. Nastavit komplementaritu a sdílení mezi formálními a neformálními poskytovateli sociálnězdravotní péče. Zajistit financování, především pečujících v produktivním věku, ve výši odpovidající adekvátně potřebám těchto pečovatelů a podporovat práci z domova a další prostředky umožňující sladění výkonu práce a péče o blízkou osobu, která z důvodu dlouhodobě nepříznivého zdravotního stavu potřebuje pomoc jiné osoby.</w:t>
            </w:r>
          </w:p>
          <w:p w14:paraId="01A7CAD8" w14:textId="77777777" w:rsidR="00DD3EFA" w:rsidRPr="005A0E7C" w:rsidRDefault="00DD3EFA" w:rsidP="00B15ECB">
            <w:pPr>
              <w:spacing w:before="60" w:after="60"/>
            </w:pPr>
            <w:r w:rsidRPr="005A0E7C">
              <w:t>Důležitým cílem je důslednější prosazení sociální práce v dalších typech služeb (tj. kromě sociálních služeb) pro cílovou populaci, zejména v oblasti vzdělávání, zdravotnictví, služeb zaměstnanosti, řešení zadluženosti, vězeňství a resocializace pachatelů, prevence ztráty bydlení, a multidisciplinární charakter a provázanost těchto služeb.</w:t>
            </w:r>
          </w:p>
          <w:p w14:paraId="1D1D7273" w14:textId="77777777" w:rsidR="00DD3EFA" w:rsidRPr="005A0E7C" w:rsidRDefault="00DD3EFA" w:rsidP="00B15ECB">
            <w:pPr>
              <w:rPr>
                <w:i/>
              </w:rPr>
            </w:pPr>
            <w:r w:rsidRPr="005A0E7C">
              <w:t>Zaznamenaným negativním trendem je fragmentace sociálně vyloučených lokalit do území menších obcí, které nedisponují potřebnou infrastrukturou a kapacitou sociálních služeb řešících nepříznivou sociální situaci osob ohrožených či nacházejících se v situaci sociálního vyloučení. Problémem spojeným s tímto fenoménem je rovněž nedostatek sociální pracovníků obcí, kteří by zajišťovali účinnou koordinaci poskytované podpory a zejména kapacit a kompetencí malých obcí (I. typu). Naplnění globálního cíle zániku či zásadní eliminace sociálně vyloučených lokalit nelze dosáhnout bez koordinovaných aktivit kombinujících nástroje sociálního začleňování, kterými jsou jednak účinné sociální služby, efektivní a cílená sociální práce a aktivizace komunity.  Integrální součást tohoto rámce z hlediska typologie / forem představuje terénní sociální práce, komunitní práce a dluhové poradenství, které vyžadují zajištění systémové podpory pro jejich rovnoměrné pokrytí.</w:t>
            </w:r>
          </w:p>
        </w:tc>
        <w:tc>
          <w:tcPr>
            <w:tcW w:w="249" w:type="dxa"/>
            <w:tcBorders>
              <w:top w:val="nil"/>
              <w:bottom w:val="nil"/>
            </w:tcBorders>
            <w:shd w:val="clear" w:color="auto" w:fill="66CCFF"/>
          </w:tcPr>
          <w:p w14:paraId="0DBC5F2D" w14:textId="77777777" w:rsidR="00DD3EFA" w:rsidRPr="005A0E7C" w:rsidRDefault="00DD3EFA" w:rsidP="00B15ECB">
            <w:pPr>
              <w:rPr>
                <w:b/>
              </w:rPr>
            </w:pPr>
          </w:p>
        </w:tc>
      </w:tr>
      <w:tr w:rsidR="00DD3EFA" w:rsidRPr="005A0E7C" w14:paraId="517F9353" w14:textId="77777777" w:rsidTr="00B15ECB">
        <w:trPr>
          <w:trHeight w:val="1274"/>
        </w:trPr>
        <w:tc>
          <w:tcPr>
            <w:tcW w:w="249" w:type="dxa"/>
            <w:tcBorders>
              <w:top w:val="nil"/>
              <w:bottom w:val="nil"/>
            </w:tcBorders>
            <w:shd w:val="clear" w:color="auto" w:fill="66CCFF"/>
          </w:tcPr>
          <w:p w14:paraId="128E876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0EE001C"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4586E10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2741AEE" w14:textId="77777777" w:rsidR="00DD3EFA" w:rsidRPr="005A0E7C" w:rsidRDefault="00DD3EFA" w:rsidP="00B15ECB">
            <w:pPr>
              <w:spacing w:before="60" w:after="60"/>
              <w:rPr>
                <w:rFonts w:eastAsiaTheme="majorEastAsia"/>
              </w:rPr>
            </w:pPr>
            <w:r w:rsidRPr="005A0E7C">
              <w:rPr>
                <w:rFonts w:eastAsiaTheme="majorEastAsia"/>
              </w:rPr>
              <w:t>V oblasti sociálních služeb lze vycházet ze současné strategie – Národní strategie rozvoje sociálních služeb na období 2016-2025 (NSRSS).</w:t>
            </w:r>
          </w:p>
          <w:p w14:paraId="1B3A0570" w14:textId="77777777" w:rsidR="00DD3EFA" w:rsidRPr="005A0E7C" w:rsidRDefault="00DD3EFA" w:rsidP="00B15ECB">
            <w:pPr>
              <w:spacing w:before="60" w:after="60"/>
              <w:rPr>
                <w:rFonts w:eastAsiaTheme="majorEastAsia"/>
              </w:rPr>
            </w:pPr>
          </w:p>
          <w:p w14:paraId="1BEF5F86" w14:textId="77777777" w:rsidR="00DD3EFA" w:rsidRPr="005A0E7C" w:rsidRDefault="00DD3EFA" w:rsidP="00B15ECB">
            <w:pPr>
              <w:spacing w:before="60" w:after="60"/>
              <w:rPr>
                <w:rFonts w:eastAsiaTheme="majorEastAsia"/>
              </w:rPr>
            </w:pPr>
            <w:r w:rsidRPr="005A0E7C">
              <w:rPr>
                <w:rFonts w:eastAsiaTheme="majorEastAsia"/>
              </w:rPr>
              <w:t>Nejobecnější strategické cíle v oblasti sociálních služeb jsou definovány v NSRSS:</w:t>
            </w:r>
          </w:p>
          <w:p w14:paraId="4930563F" w14:textId="77777777" w:rsidR="00DD3EFA" w:rsidRPr="005A0E7C" w:rsidRDefault="00DD3EFA" w:rsidP="00B15ECB">
            <w:pPr>
              <w:spacing w:before="60" w:after="60"/>
              <w:rPr>
                <w:rFonts w:eastAsiaTheme="majorEastAsia"/>
              </w:rPr>
            </w:pPr>
            <w:r w:rsidRPr="005A0E7C">
              <w:rPr>
                <w:rFonts w:eastAsiaTheme="majorEastAsia"/>
              </w:rPr>
              <w:t>Jedná se o tyto cíle:</w:t>
            </w:r>
          </w:p>
          <w:p w14:paraId="5E697C10" w14:textId="77777777" w:rsidR="00DD3EFA" w:rsidRPr="005A0E7C" w:rsidRDefault="00DD3EFA" w:rsidP="00B15ECB">
            <w:pPr>
              <w:spacing w:before="60" w:after="60"/>
              <w:rPr>
                <w:rFonts w:eastAsiaTheme="majorEastAsia"/>
              </w:rPr>
            </w:pPr>
            <w:r w:rsidRPr="005A0E7C">
              <w:rPr>
                <w:rFonts w:eastAsiaTheme="majorEastAsia"/>
              </w:rPr>
              <w:t>A) Zajistit přechod od institucionálního modelu péče o osoby se zdravotním postižením k podpoře osob v přirozeném prostředí</w:t>
            </w:r>
          </w:p>
          <w:p w14:paraId="0FC94F1A" w14:textId="77777777" w:rsidR="00DD3EFA" w:rsidRPr="005A0E7C" w:rsidRDefault="00DD3EFA" w:rsidP="00B15ECB">
            <w:pPr>
              <w:spacing w:before="60" w:after="60"/>
              <w:rPr>
                <w:rFonts w:eastAsiaTheme="majorEastAsia"/>
              </w:rPr>
            </w:pPr>
            <w:r w:rsidRPr="005A0E7C">
              <w:rPr>
                <w:rFonts w:eastAsiaTheme="majorEastAsia"/>
              </w:rPr>
              <w:t>B) Zajistit dlouhodobou udržitelnost financování sociálních služeb, jež budou odpovídat potřebám uživatelů</w:t>
            </w:r>
          </w:p>
          <w:p w14:paraId="38EC5164" w14:textId="77777777" w:rsidR="00DD3EFA" w:rsidRPr="005A0E7C" w:rsidRDefault="00DD3EFA" w:rsidP="00B15ECB">
            <w:pPr>
              <w:spacing w:before="60" w:after="60"/>
              <w:rPr>
                <w:rFonts w:eastAsiaTheme="majorEastAsia"/>
              </w:rPr>
            </w:pPr>
            <w:r w:rsidRPr="005A0E7C">
              <w:rPr>
                <w:rFonts w:eastAsiaTheme="majorEastAsia"/>
              </w:rPr>
              <w:t>C) Prostřednictvím prostupných sociálních a zdravotních služeb naplňovat potřeby uživatelů/pacientů</w:t>
            </w:r>
          </w:p>
          <w:p w14:paraId="5CFB44F7" w14:textId="77777777" w:rsidR="00DD3EFA" w:rsidRPr="005A0E7C" w:rsidRDefault="00DD3EFA" w:rsidP="00B15ECB">
            <w:pPr>
              <w:spacing w:before="60" w:after="60"/>
              <w:rPr>
                <w:rFonts w:eastAsiaTheme="majorEastAsia"/>
              </w:rPr>
            </w:pPr>
            <w:r w:rsidRPr="005A0E7C">
              <w:rPr>
                <w:rFonts w:eastAsiaTheme="majorEastAsia"/>
              </w:rPr>
              <w:t>D) Zlepšit postavení pečujících osob a pečující rodiny</w:t>
            </w:r>
          </w:p>
          <w:p w14:paraId="2E919731" w14:textId="77777777" w:rsidR="00DD3EFA" w:rsidRPr="005A0E7C" w:rsidRDefault="00DD3EFA" w:rsidP="00B15ECB">
            <w:pPr>
              <w:spacing w:before="60" w:after="60"/>
              <w:rPr>
                <w:rFonts w:eastAsiaTheme="majorEastAsia"/>
              </w:rPr>
            </w:pPr>
            <w:r w:rsidRPr="005A0E7C">
              <w:rPr>
                <w:rFonts w:eastAsiaTheme="majorEastAsia"/>
              </w:rPr>
              <w:t>E) Upravit nastavení systému inspekcí s důrazem na sledování kvality sociálních služeb</w:t>
            </w:r>
          </w:p>
          <w:p w14:paraId="2261F603" w14:textId="77777777" w:rsidR="00DD3EFA" w:rsidRPr="005A0E7C" w:rsidRDefault="00DD3EFA" w:rsidP="00B15ECB">
            <w:pPr>
              <w:spacing w:before="60" w:after="60"/>
              <w:rPr>
                <w:rFonts w:eastAsiaTheme="majorEastAsia"/>
              </w:rPr>
            </w:pPr>
            <w:r w:rsidRPr="005A0E7C">
              <w:rPr>
                <w:rFonts w:eastAsiaTheme="majorEastAsia"/>
              </w:rPr>
              <w:t>F) Upravit způsob vstupu do systému sociálních služeb</w:t>
            </w:r>
          </w:p>
          <w:p w14:paraId="2327A84F" w14:textId="77777777" w:rsidR="00DD3EFA" w:rsidRPr="005A0E7C" w:rsidRDefault="00DD3EFA" w:rsidP="00B15ECB">
            <w:pPr>
              <w:spacing w:before="60" w:after="60"/>
              <w:rPr>
                <w:rFonts w:eastAsiaTheme="majorEastAsia"/>
              </w:rPr>
            </w:pPr>
            <w:r w:rsidRPr="005A0E7C">
              <w:rPr>
                <w:rFonts w:eastAsiaTheme="majorEastAsia"/>
              </w:rPr>
              <w:t>G) Rozvoj sociální práce a profese sociálního pracovníka. Rozvoj povolání pracovníků v sociálních službách</w:t>
            </w:r>
          </w:p>
          <w:p w14:paraId="4370A2A9" w14:textId="77777777" w:rsidR="00DD3EFA" w:rsidRPr="005A0E7C" w:rsidRDefault="00DD3EFA" w:rsidP="00B15ECB">
            <w:pPr>
              <w:spacing w:before="60" w:after="60"/>
              <w:rPr>
                <w:rFonts w:eastAsiaTheme="majorEastAsia"/>
              </w:rPr>
            </w:pPr>
            <w:r w:rsidRPr="005A0E7C">
              <w:rPr>
                <w:rFonts w:eastAsiaTheme="majorEastAsia"/>
              </w:rPr>
              <w:t>H) Vytvářet sítě sociálních služeb, které reagují na nepříznivou sociální situaci obyvatel</w:t>
            </w:r>
          </w:p>
          <w:p w14:paraId="531CFD91" w14:textId="77777777" w:rsidR="00DD3EFA" w:rsidRPr="005A0E7C" w:rsidRDefault="00DD3EFA" w:rsidP="00B15ECB">
            <w:pPr>
              <w:spacing w:before="60" w:after="60"/>
              <w:rPr>
                <w:rFonts w:eastAsiaTheme="majorEastAsia"/>
              </w:rPr>
            </w:pPr>
            <w:r w:rsidRPr="005A0E7C">
              <w:rPr>
                <w:rFonts w:eastAsiaTheme="majorEastAsia"/>
              </w:rPr>
              <w:t>I) Zajistit jednotné chápání a používání základních pojmů včetně revize současných druhů sociálních služeb</w:t>
            </w:r>
          </w:p>
          <w:p w14:paraId="1A388B28" w14:textId="77777777" w:rsidR="00DD3EFA" w:rsidRPr="005A0E7C" w:rsidRDefault="00DD3EFA" w:rsidP="00B15ECB">
            <w:pPr>
              <w:spacing w:before="60" w:after="60"/>
              <w:rPr>
                <w:rFonts w:eastAsiaTheme="majorEastAsia"/>
              </w:rPr>
            </w:pPr>
            <w:r w:rsidRPr="005A0E7C">
              <w:rPr>
                <w:rFonts w:eastAsiaTheme="majorEastAsia"/>
              </w:rPr>
              <w:t>J) Podporovat tripartitní vyjednání v oblasti rozvoje sociálních služeb</w:t>
            </w:r>
          </w:p>
          <w:p w14:paraId="063F2B17" w14:textId="77777777" w:rsidR="00DD3EFA" w:rsidRPr="005A0E7C" w:rsidRDefault="00DD3EFA" w:rsidP="00B15ECB">
            <w:pPr>
              <w:spacing w:before="60" w:after="60"/>
              <w:rPr>
                <w:rFonts w:eastAsiaTheme="majorEastAsia"/>
              </w:rPr>
            </w:pPr>
          </w:p>
          <w:p w14:paraId="4064D59E" w14:textId="77777777" w:rsidR="00DD3EFA" w:rsidRPr="005A0E7C" w:rsidRDefault="00DD3EFA" w:rsidP="00B15ECB">
            <w:pPr>
              <w:spacing w:before="60" w:after="60"/>
              <w:rPr>
                <w:rFonts w:eastAsiaTheme="majorEastAsia"/>
              </w:rPr>
            </w:pPr>
            <w:r w:rsidRPr="005A0E7C">
              <w:rPr>
                <w:rFonts w:eastAsiaTheme="majorEastAsia"/>
              </w:rPr>
              <w:t>Z hlediska NKR jsou relevantními cíli, které lze vyabstrahovat z široce a obecně formulovaných cílů NSRSS (případně z dalších dílčích podcílů), tyto:</w:t>
            </w:r>
          </w:p>
          <w:p w14:paraId="7763D414" w14:textId="77777777" w:rsidR="00DD3EFA" w:rsidRPr="005A0E7C" w:rsidRDefault="00DD3EFA" w:rsidP="00B15ECB">
            <w:pPr>
              <w:spacing w:before="60" w:after="60"/>
              <w:rPr>
                <w:rFonts w:eastAsiaTheme="majorEastAsia"/>
              </w:rPr>
            </w:pPr>
          </w:p>
          <w:p w14:paraId="4BCC009F" w14:textId="77777777" w:rsidR="00DD3EFA" w:rsidRPr="005A0E7C" w:rsidRDefault="00DD3EFA" w:rsidP="00B15ECB">
            <w:pPr>
              <w:spacing w:before="60" w:after="60"/>
              <w:rPr>
                <w:rFonts w:eastAsiaTheme="majorEastAsia"/>
              </w:rPr>
            </w:pPr>
            <w:r w:rsidRPr="005A0E7C">
              <w:rPr>
                <w:rFonts w:eastAsiaTheme="majorEastAsia"/>
              </w:rPr>
              <w:t>1.</w:t>
            </w:r>
            <w:r w:rsidRPr="005A0E7C">
              <w:rPr>
                <w:rFonts w:eastAsiaTheme="majorEastAsia"/>
              </w:rPr>
              <w:tab/>
              <w:t>Rozvoj infrastruktury služeb sociální péče a prevence.</w:t>
            </w:r>
          </w:p>
          <w:p w14:paraId="6C40A941" w14:textId="77777777" w:rsidR="00DD3EFA" w:rsidRPr="005A0E7C" w:rsidRDefault="00DD3EFA" w:rsidP="00B15ECB">
            <w:pPr>
              <w:spacing w:before="60" w:after="60"/>
              <w:rPr>
                <w:rFonts w:eastAsiaTheme="majorEastAsia"/>
              </w:rPr>
            </w:pPr>
            <w:r w:rsidRPr="005A0E7C">
              <w:rPr>
                <w:rFonts w:eastAsiaTheme="majorEastAsia"/>
              </w:rPr>
              <w:t>2.</w:t>
            </w:r>
            <w:r w:rsidRPr="005A0E7C">
              <w:rPr>
                <w:rFonts w:eastAsiaTheme="majorEastAsia"/>
              </w:rPr>
              <w:tab/>
              <w:t>Navýšení kapacit služeb sociální péče komunitního typu.</w:t>
            </w:r>
          </w:p>
          <w:p w14:paraId="07AA061F" w14:textId="77777777" w:rsidR="00DD3EFA" w:rsidRPr="005A0E7C" w:rsidRDefault="00DD3EFA" w:rsidP="00B15ECB">
            <w:pPr>
              <w:spacing w:before="60" w:after="60"/>
              <w:rPr>
                <w:rFonts w:eastAsiaTheme="majorEastAsia"/>
              </w:rPr>
            </w:pPr>
            <w:r w:rsidRPr="005A0E7C">
              <w:rPr>
                <w:rFonts w:eastAsiaTheme="majorEastAsia"/>
              </w:rPr>
              <w:t>3.          Snížení kapacit lůžek sociální péče ústavního typu.</w:t>
            </w:r>
          </w:p>
          <w:p w14:paraId="20B98F22" w14:textId="77777777" w:rsidR="00DD3EFA" w:rsidRPr="005A0E7C" w:rsidRDefault="00DD3EFA" w:rsidP="00B15ECB">
            <w:pPr>
              <w:spacing w:before="60" w:after="60"/>
              <w:rPr>
                <w:rFonts w:eastAsiaTheme="majorEastAsia"/>
              </w:rPr>
            </w:pPr>
            <w:r w:rsidRPr="005A0E7C">
              <w:rPr>
                <w:rFonts w:eastAsiaTheme="majorEastAsia"/>
              </w:rPr>
              <w:t>4.</w:t>
            </w:r>
            <w:r w:rsidRPr="005A0E7C">
              <w:rPr>
                <w:rFonts w:eastAsiaTheme="majorEastAsia"/>
              </w:rPr>
              <w:tab/>
              <w:t>Rozvoj infrastruktury služeb sociálně-zdravotního pomezí.</w:t>
            </w:r>
          </w:p>
          <w:p w14:paraId="09B4C3DA" w14:textId="77777777" w:rsidR="00DD3EFA" w:rsidRPr="005A0E7C" w:rsidRDefault="00DD3EFA" w:rsidP="00B15ECB">
            <w:pPr>
              <w:spacing w:before="60" w:after="60"/>
              <w:rPr>
                <w:rFonts w:eastAsiaTheme="majorEastAsia"/>
              </w:rPr>
            </w:pPr>
            <w:r w:rsidRPr="005A0E7C">
              <w:rPr>
                <w:rFonts w:eastAsiaTheme="majorEastAsia"/>
              </w:rPr>
              <w:t>5.        Rozvoj systému sociálních služeb jako takového ve všech myslitelných aspektech (rozvoj kvality, racionalizace registračních podmínek, změna systému financování, propojení s dalšími službami – zdravotní péče)</w:t>
            </w:r>
          </w:p>
          <w:p w14:paraId="76CA3405"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463A9C00" w14:textId="77777777" w:rsidR="00DD3EFA" w:rsidRPr="005A0E7C" w:rsidRDefault="00DD3EFA" w:rsidP="00B15ECB">
            <w:pPr>
              <w:rPr>
                <w:b/>
              </w:rPr>
            </w:pPr>
          </w:p>
        </w:tc>
      </w:tr>
      <w:tr w:rsidR="00DD3EFA" w:rsidRPr="005A0E7C" w14:paraId="6C272F73" w14:textId="77777777" w:rsidTr="00B15ECB">
        <w:trPr>
          <w:trHeight w:val="1274"/>
        </w:trPr>
        <w:tc>
          <w:tcPr>
            <w:tcW w:w="249" w:type="dxa"/>
            <w:tcBorders>
              <w:top w:val="nil"/>
              <w:bottom w:val="nil"/>
            </w:tcBorders>
            <w:shd w:val="clear" w:color="auto" w:fill="66CCFF"/>
          </w:tcPr>
          <w:p w14:paraId="2643C38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0AFD201"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4418354C"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78" w:type="dxa"/>
            <w:tcBorders>
              <w:bottom w:val="single" w:sz="4" w:space="0" w:color="auto"/>
            </w:tcBorders>
            <w:shd w:val="clear" w:color="auto" w:fill="FFFFFF" w:themeFill="background1"/>
          </w:tcPr>
          <w:p w14:paraId="6FC182A4" w14:textId="77777777" w:rsidR="00DD3EFA" w:rsidRPr="005A0E7C" w:rsidRDefault="00DD3EFA" w:rsidP="00B15ECB">
            <w:pPr>
              <w:spacing w:before="60" w:after="60"/>
              <w:rPr>
                <w:rFonts w:eastAsiaTheme="majorEastAsia"/>
              </w:rPr>
            </w:pPr>
            <w:r w:rsidRPr="005A0E7C">
              <w:rPr>
                <w:rFonts w:eastAsiaTheme="majorEastAsia"/>
              </w:rPr>
              <w:t>V kontextu výše uvedených strategických cílů v oblasti sociálních služeb jde o poměrně lapidární předpokládané měřitelné výstupy:</w:t>
            </w:r>
          </w:p>
          <w:p w14:paraId="6DBDCC34" w14:textId="77777777" w:rsidR="00DD3EFA" w:rsidRPr="005A0E7C" w:rsidRDefault="00DD3EFA" w:rsidP="00B15ECB">
            <w:pPr>
              <w:spacing w:before="60" w:after="60"/>
              <w:rPr>
                <w:rFonts w:eastAsiaTheme="majorEastAsia"/>
              </w:rPr>
            </w:pPr>
          </w:p>
          <w:p w14:paraId="254FE632" w14:textId="77777777" w:rsidR="00DD3EFA" w:rsidRPr="005A0E7C" w:rsidRDefault="00DD3EFA" w:rsidP="00391907">
            <w:pPr>
              <w:pStyle w:val="Odstavecseseznamem"/>
              <w:numPr>
                <w:ilvl w:val="0"/>
                <w:numId w:val="28"/>
              </w:numPr>
              <w:spacing w:before="60" w:after="60"/>
              <w:rPr>
                <w:rFonts w:eastAsiaTheme="majorEastAsia"/>
              </w:rPr>
            </w:pPr>
            <w:r w:rsidRPr="005A0E7C">
              <w:rPr>
                <w:rFonts w:eastAsiaTheme="majorEastAsia"/>
              </w:rPr>
              <w:t>Navýšené kapacity služeb sociální péče a sociální prevence</w:t>
            </w:r>
          </w:p>
          <w:p w14:paraId="053ED705" w14:textId="77777777" w:rsidR="00DD3EFA" w:rsidRPr="005A0E7C" w:rsidRDefault="00DD3EFA" w:rsidP="00391907">
            <w:pPr>
              <w:pStyle w:val="Odstavecseseznamem"/>
              <w:numPr>
                <w:ilvl w:val="0"/>
                <w:numId w:val="28"/>
              </w:numPr>
              <w:spacing w:before="60" w:after="60"/>
              <w:rPr>
                <w:rFonts w:eastAsiaTheme="majorEastAsia"/>
              </w:rPr>
            </w:pPr>
            <w:r w:rsidRPr="005A0E7C">
              <w:rPr>
                <w:rFonts w:eastAsiaTheme="majorEastAsia"/>
              </w:rPr>
              <w:t>Větší množství služeb komunitního typu</w:t>
            </w:r>
          </w:p>
          <w:p w14:paraId="56CB9FE6" w14:textId="77777777" w:rsidR="00DD3EFA" w:rsidRPr="005A0E7C" w:rsidRDefault="00DD3EFA" w:rsidP="00391907">
            <w:pPr>
              <w:pStyle w:val="Odstavecseseznamem"/>
              <w:numPr>
                <w:ilvl w:val="0"/>
                <w:numId w:val="28"/>
              </w:numPr>
              <w:spacing w:before="60" w:after="60"/>
              <w:rPr>
                <w:rFonts w:eastAsiaTheme="majorEastAsia"/>
              </w:rPr>
            </w:pPr>
            <w:r w:rsidRPr="005A0E7C">
              <w:rPr>
                <w:rFonts w:eastAsiaTheme="majorEastAsia"/>
              </w:rPr>
              <w:t>Snížení počtu velkokapacitních služeb sociální péče</w:t>
            </w:r>
          </w:p>
          <w:p w14:paraId="5CC22686" w14:textId="77777777" w:rsidR="00DD3EFA" w:rsidRPr="005A0E7C" w:rsidRDefault="00DD3EFA" w:rsidP="00391907">
            <w:pPr>
              <w:pStyle w:val="Odstavecseseznamem"/>
              <w:numPr>
                <w:ilvl w:val="0"/>
                <w:numId w:val="28"/>
              </w:numPr>
              <w:spacing w:before="60" w:after="60"/>
              <w:rPr>
                <w:rFonts w:eastAsiaTheme="majorEastAsia"/>
              </w:rPr>
            </w:pPr>
            <w:r w:rsidRPr="005A0E7C">
              <w:rPr>
                <w:rFonts w:eastAsiaTheme="majorEastAsia"/>
              </w:rPr>
              <w:t>Rozvinutá síť služeb na sociálně zdravotním pomezí</w:t>
            </w:r>
          </w:p>
          <w:p w14:paraId="1F4CD912" w14:textId="77777777" w:rsidR="00DD3EFA" w:rsidRPr="005A0E7C" w:rsidRDefault="00DD3EFA" w:rsidP="00391907">
            <w:pPr>
              <w:pStyle w:val="Odstavecseseznamem"/>
              <w:numPr>
                <w:ilvl w:val="0"/>
                <w:numId w:val="28"/>
              </w:numPr>
              <w:spacing w:before="60" w:after="60"/>
              <w:rPr>
                <w:rFonts w:eastAsiaTheme="majorEastAsia"/>
              </w:rPr>
            </w:pPr>
            <w:r w:rsidRPr="005A0E7C">
              <w:rPr>
                <w:rFonts w:eastAsiaTheme="majorEastAsia"/>
              </w:rPr>
              <w:t>Návrhy na zlepšení systému sociálních služeb (zlepšení kvality, efektivita financování, propojení s dalšími službami – zdravotní péče, atd.)</w:t>
            </w:r>
          </w:p>
          <w:p w14:paraId="62303AB7"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6F495AA4" w14:textId="77777777" w:rsidR="00DD3EFA" w:rsidRPr="005A0E7C" w:rsidRDefault="00DD3EFA" w:rsidP="00B15ECB">
            <w:pPr>
              <w:rPr>
                <w:b/>
              </w:rPr>
            </w:pPr>
          </w:p>
        </w:tc>
      </w:tr>
      <w:tr w:rsidR="00DD3EFA" w:rsidRPr="005A0E7C" w14:paraId="4DC9B49D" w14:textId="77777777" w:rsidTr="00B15ECB">
        <w:trPr>
          <w:trHeight w:val="1274"/>
        </w:trPr>
        <w:tc>
          <w:tcPr>
            <w:tcW w:w="249" w:type="dxa"/>
            <w:tcBorders>
              <w:top w:val="nil"/>
              <w:bottom w:val="nil"/>
            </w:tcBorders>
            <w:shd w:val="clear" w:color="auto" w:fill="66CCFF"/>
          </w:tcPr>
          <w:p w14:paraId="365441F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729B6F"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1CC1C5D9" w14:textId="77777777" w:rsidR="00DD3EFA" w:rsidRPr="005A0E7C" w:rsidRDefault="00DD3EFA" w:rsidP="00B15ECB">
            <w:pPr>
              <w:spacing w:before="60" w:after="60"/>
              <w:rPr>
                <w:rFonts w:eastAsiaTheme="majorEastAsia"/>
                <w:i/>
                <w:u w:val="single"/>
              </w:rPr>
            </w:pPr>
            <w:r w:rsidRPr="005A0E7C">
              <w:t>Odhadovaný podíl ESIF na plnění tohoto specifického cíle předpokládáme v rozsahu cca 70 – 100 %.</w:t>
            </w:r>
          </w:p>
        </w:tc>
        <w:tc>
          <w:tcPr>
            <w:tcW w:w="249" w:type="dxa"/>
            <w:tcBorders>
              <w:top w:val="nil"/>
              <w:bottom w:val="nil"/>
            </w:tcBorders>
            <w:shd w:val="clear" w:color="auto" w:fill="66CCFF"/>
          </w:tcPr>
          <w:p w14:paraId="50CFC51C" w14:textId="77777777" w:rsidR="00DD3EFA" w:rsidRPr="005A0E7C" w:rsidRDefault="00DD3EFA" w:rsidP="00B15ECB">
            <w:pPr>
              <w:rPr>
                <w:b/>
              </w:rPr>
            </w:pPr>
          </w:p>
        </w:tc>
      </w:tr>
      <w:tr w:rsidR="00DD3EFA" w:rsidRPr="005A0E7C" w14:paraId="307D9B99" w14:textId="77777777" w:rsidTr="00B15ECB">
        <w:trPr>
          <w:trHeight w:val="1274"/>
        </w:trPr>
        <w:tc>
          <w:tcPr>
            <w:tcW w:w="249" w:type="dxa"/>
            <w:tcBorders>
              <w:top w:val="nil"/>
              <w:bottom w:val="nil"/>
            </w:tcBorders>
            <w:shd w:val="clear" w:color="auto" w:fill="66CCFF"/>
          </w:tcPr>
          <w:p w14:paraId="4E22C50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6ED56CA"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7A275487" w14:textId="77777777" w:rsidR="00DD3EFA" w:rsidRPr="005A0E7C" w:rsidRDefault="00DD3EFA" w:rsidP="00B15ECB">
            <w:pPr>
              <w:spacing w:before="60" w:after="60"/>
            </w:pPr>
            <w:r w:rsidRPr="005A0E7C">
              <w:t>Neukončený proces deinstitucionalizace a transformace sociálních služeb vede k pokračujícímu trendu spoléhání se na poskytování péče v rezidenčních typech zařízení a k celkovému snižování kompetencí lidí využívajících těchto služeb.</w:t>
            </w:r>
          </w:p>
          <w:p w14:paraId="51E2B461" w14:textId="77777777" w:rsidR="00DD3EFA" w:rsidRPr="005A0E7C" w:rsidRDefault="00DD3EFA" w:rsidP="00B15ECB">
            <w:pPr>
              <w:spacing w:before="60" w:after="60"/>
            </w:pPr>
            <w:r w:rsidRPr="005A0E7C">
              <w:t>Do budoucna by se měly uvedené procesy zaměřit také na další cílové skupiny, které jsou institucionální péčí výrazně zasaženy, zejména seniory. Podstatné je také, aby se sami tito lidé zapojovali do plánování služeb v přirozeném prostředí či do procesu deinstitucionalizace.</w:t>
            </w:r>
          </w:p>
          <w:p w14:paraId="012ED877" w14:textId="77777777" w:rsidR="00DD3EFA" w:rsidRPr="005A0E7C" w:rsidRDefault="00DD3EFA" w:rsidP="00B15ECB">
            <w:r w:rsidRPr="005A0E7C">
              <w:t>V současné době není přímá vazba mezi kvalitou poskytovaných služeb a objemem poskytovaných prostředků. Současný systém financování je ve velké míře zaměřen na potřeby poskytovatelů sociálních služeb. Jeho přesměrování na větší zohlednění potřeb klienta by vedl k úsporám. S tím souvisí výraznější podpora neformální péče, respektive přesunutí části prostředků od formalizovaných institucí k neformálním pečovatelům a aktivizaci komunit.</w:t>
            </w:r>
          </w:p>
          <w:p w14:paraId="7D32FDEE" w14:textId="77777777" w:rsidR="00DD3EFA" w:rsidRPr="005A0E7C" w:rsidRDefault="00DD3EFA" w:rsidP="00B15ECB">
            <w:pPr>
              <w:spacing w:before="60" w:after="60"/>
            </w:pPr>
            <w:r w:rsidRPr="005A0E7C">
              <w:t xml:space="preserve">Dalším problémovým faktorem sociálních služeb je nepropojenost systému zajištujících sociální a zdravotní potřeby klienta, přičemž narůstá potřeba zajistit dostatečnou kapacitu sociálních služeb pro cílovou skupinu osob zdravotně postižených (psychiatrická onemocnění, onemocnění demencí, závislostní chování, imobilita, paliativní péče apod.). Potenciál příležitostí ke zlepšení efektivity a dostupnosti služeb sociálně zdravotního pomezí představuje úprava relevantní legislativy a nastavení vhodných modelů financování, organizování a vzdělávání pracovníků. V procesu etablování zdravotně sociálních služeb musí hrát důležitost součinnost s ostatními resorty a dalšími zájmovými skupinami, jakými jsou nestátní neziskové nebo církevní organizace. Mimo tento faktor je slabou stránkou poskytování sociálních služeb nízká úroveň jejich koordinace. </w:t>
            </w:r>
          </w:p>
          <w:p w14:paraId="28449637" w14:textId="77777777" w:rsidR="00DD3EFA" w:rsidRPr="005A0E7C" w:rsidRDefault="00DD3EFA" w:rsidP="00B15ECB">
            <w:pPr>
              <w:spacing w:before="60" w:after="60"/>
            </w:pPr>
            <w:r w:rsidRPr="005A0E7C">
              <w:t xml:space="preserve">Posílení výkonu sociální práce by se mělo promítnout také do služeb vzdělávání (především do základních a mateřských škol), do služeb zaměstnanosti a do vězeňství. </w:t>
            </w:r>
          </w:p>
          <w:p w14:paraId="6A4379A5" w14:textId="77777777" w:rsidR="00DD3EFA" w:rsidRPr="005A0E7C" w:rsidRDefault="00DD3EFA" w:rsidP="00B15ECB">
            <w:pPr>
              <w:spacing w:before="60" w:after="60"/>
            </w:pPr>
            <w:r w:rsidRPr="005A0E7C">
              <w:t>Jako inovativní řešení se nabízí přeshraniční koordinace služeb sociálního charakteru v příhraničních oblastech.</w:t>
            </w:r>
          </w:p>
          <w:p w14:paraId="399E9B97" w14:textId="77777777" w:rsidR="00DD3EFA" w:rsidRPr="005A0E7C" w:rsidRDefault="00DD3EFA" w:rsidP="00B15ECB">
            <w:pPr>
              <w:spacing w:before="60" w:after="60"/>
            </w:pPr>
            <w:r w:rsidRPr="005A0E7C">
              <w:t>V rámci NSRSS stanovených cílů lze do budoucna identifikovat směr rozvoje, který je svou povahou spíše investiční. Nepředpokládáme masivní financování běžného provozu sociálních služeb jako tomu bylo u dosavadních OP. Zaměření tak bude do oblasti rozvoje kapacit, transformace kapacit, rozvoje infrastruktury (včetně sítí sociálních služeb a služeb na zdravotně sociálním pomezí).</w:t>
            </w:r>
          </w:p>
          <w:p w14:paraId="14C3B1DF" w14:textId="77777777" w:rsidR="00DD3EFA" w:rsidRPr="005A0E7C" w:rsidRDefault="00DD3EFA" w:rsidP="00B15ECB">
            <w:pPr>
              <w:spacing w:before="60" w:after="60"/>
            </w:pPr>
            <w:r w:rsidRPr="005A0E7C">
              <w:t>Důvodem pro tento posun je neudržitelnost optimálního financování provozu sociálních služeb po skončení OP z dalších zdrojů (státní rozpočet, rozpočty ÚSC). Rozvoj kapacit a infrastruktury se tak jeví jako racionálnější a optimálnější z hlediska střednědobé udržitelnosti optimálního financování sociálních služeb.</w:t>
            </w:r>
          </w:p>
          <w:p w14:paraId="328B6C76"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29CCCA67" w14:textId="77777777" w:rsidR="00DD3EFA" w:rsidRPr="005A0E7C" w:rsidRDefault="00DD3EFA" w:rsidP="00B15ECB">
            <w:pPr>
              <w:rPr>
                <w:b/>
              </w:rPr>
            </w:pPr>
          </w:p>
        </w:tc>
      </w:tr>
      <w:tr w:rsidR="00DD3EFA" w:rsidRPr="005A0E7C" w14:paraId="18D759AA" w14:textId="77777777" w:rsidTr="00B15ECB">
        <w:trPr>
          <w:trHeight w:val="272"/>
        </w:trPr>
        <w:tc>
          <w:tcPr>
            <w:tcW w:w="249" w:type="dxa"/>
            <w:tcBorders>
              <w:top w:val="nil"/>
              <w:bottom w:val="nil"/>
              <w:right w:val="nil"/>
            </w:tcBorders>
            <w:shd w:val="clear" w:color="auto" w:fill="66CCFF"/>
          </w:tcPr>
          <w:p w14:paraId="5DC70FAD"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8B14A8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485A984"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16C4D977" w14:textId="77777777" w:rsidR="00DD3EFA" w:rsidRPr="005A0E7C" w:rsidRDefault="00DD3EFA" w:rsidP="00B15ECB">
            <w:pPr>
              <w:rPr>
                <w:b/>
              </w:rPr>
            </w:pPr>
          </w:p>
        </w:tc>
      </w:tr>
      <w:tr w:rsidR="00DD3EFA" w:rsidRPr="005A0E7C" w14:paraId="209F1783" w14:textId="77777777" w:rsidTr="00B15ECB">
        <w:trPr>
          <w:trHeight w:val="835"/>
        </w:trPr>
        <w:tc>
          <w:tcPr>
            <w:tcW w:w="249" w:type="dxa"/>
            <w:tcBorders>
              <w:top w:val="nil"/>
              <w:bottom w:val="nil"/>
            </w:tcBorders>
            <w:shd w:val="clear" w:color="auto" w:fill="66CCFF"/>
          </w:tcPr>
          <w:p w14:paraId="18978169"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74C6AE5"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19AD8D30"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320E348B" w14:textId="77777777" w:rsidR="00DD3EFA" w:rsidRPr="005A0E7C" w:rsidRDefault="00DD3EFA" w:rsidP="00B15ECB">
            <w:pPr>
              <w:spacing w:before="60" w:after="60"/>
            </w:pPr>
            <w:r w:rsidRPr="005A0E7C">
              <w:t>Lze uvést tento demonstrativní výčet dílčích cílů podpory (vychází se z NSRSS na období 2016-2025):</w:t>
            </w:r>
          </w:p>
          <w:p w14:paraId="6602849F" w14:textId="77777777" w:rsidR="00DD3EFA" w:rsidRPr="005A0E7C" w:rsidRDefault="00DD3EFA" w:rsidP="00B15ECB">
            <w:pPr>
              <w:spacing w:before="60" w:after="60"/>
            </w:pPr>
          </w:p>
          <w:p w14:paraId="09A6B696" w14:textId="77777777" w:rsidR="00DD3EFA" w:rsidRPr="005A0E7C" w:rsidRDefault="00DD3EFA" w:rsidP="00B15ECB">
            <w:pPr>
              <w:spacing w:before="60" w:after="60"/>
            </w:pPr>
            <w:r w:rsidRPr="005A0E7C">
              <w:t>- podpora vzniku sociálních služeb komunitního typu</w:t>
            </w:r>
          </w:p>
          <w:p w14:paraId="5BB73E68" w14:textId="77777777" w:rsidR="00DD3EFA" w:rsidRPr="005A0E7C" w:rsidRDefault="00DD3EFA" w:rsidP="00B15ECB">
            <w:pPr>
              <w:spacing w:before="60" w:after="60"/>
            </w:pPr>
            <w:r w:rsidRPr="005A0E7C">
              <w:t>- podpora transformace služeb ústavních ve služby komunitního typu</w:t>
            </w:r>
          </w:p>
          <w:p w14:paraId="1FE1F22D" w14:textId="77777777" w:rsidR="00DD3EFA" w:rsidRPr="005A0E7C" w:rsidRDefault="00DD3EFA" w:rsidP="00B15ECB">
            <w:pPr>
              <w:spacing w:before="60" w:after="60"/>
            </w:pPr>
            <w:r w:rsidRPr="005A0E7C">
              <w:t>- podpora infrastruktury (včetně optimálního nastavení sítí) služeb sociální péče a sociální prevence</w:t>
            </w:r>
          </w:p>
          <w:p w14:paraId="3A146C62" w14:textId="77777777" w:rsidR="00DD3EFA" w:rsidRPr="005A0E7C" w:rsidRDefault="00DD3EFA" w:rsidP="00B15ECB">
            <w:pPr>
              <w:spacing w:before="60" w:after="60"/>
            </w:pPr>
            <w:r w:rsidRPr="005A0E7C">
              <w:t>- podpora pilotních inovativních projektů zaměřujících se především na zvýšení kvality sociálních služeb</w:t>
            </w:r>
          </w:p>
          <w:p w14:paraId="3C8EC2BE" w14:textId="77777777" w:rsidR="00DD3EFA" w:rsidRPr="005A0E7C" w:rsidRDefault="00DD3EFA" w:rsidP="00B15ECB">
            <w:pPr>
              <w:spacing w:before="60" w:after="60"/>
            </w:pPr>
            <w:r w:rsidRPr="005A0E7C">
              <w:t>- podpora vzniku a rozvoje služeb na sociálně zdravotním pomezí (včetně funkčního nastavení sítí)</w:t>
            </w:r>
          </w:p>
          <w:p w14:paraId="4BD1D661"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C1A1B88" w14:textId="77777777" w:rsidR="00DD3EFA" w:rsidRPr="005A0E7C" w:rsidRDefault="00DD3EFA" w:rsidP="00B15ECB">
            <w:pPr>
              <w:rPr>
                <w:b/>
              </w:rPr>
            </w:pPr>
          </w:p>
        </w:tc>
      </w:tr>
      <w:tr w:rsidR="00DD3EFA" w:rsidRPr="005A0E7C" w14:paraId="60A7D7A3" w14:textId="77777777" w:rsidTr="00B15ECB">
        <w:trPr>
          <w:trHeight w:val="377"/>
        </w:trPr>
        <w:tc>
          <w:tcPr>
            <w:tcW w:w="249" w:type="dxa"/>
            <w:tcBorders>
              <w:top w:val="nil"/>
              <w:bottom w:val="nil"/>
              <w:right w:val="nil"/>
            </w:tcBorders>
            <w:shd w:val="clear" w:color="auto" w:fill="66CCFF"/>
          </w:tcPr>
          <w:p w14:paraId="1255ADAC"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BF451F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6FA1AB8"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23DFED85" w14:textId="77777777" w:rsidR="00DD3EFA" w:rsidRPr="005A0E7C" w:rsidRDefault="00DD3EFA" w:rsidP="00B15ECB">
            <w:pPr>
              <w:rPr>
                <w:b/>
              </w:rPr>
            </w:pPr>
          </w:p>
        </w:tc>
      </w:tr>
      <w:tr w:rsidR="00DD3EFA" w:rsidRPr="005A0E7C" w14:paraId="689595EA" w14:textId="77777777" w:rsidTr="00B15ECB">
        <w:trPr>
          <w:trHeight w:val="1202"/>
        </w:trPr>
        <w:tc>
          <w:tcPr>
            <w:tcW w:w="249" w:type="dxa"/>
            <w:tcBorders>
              <w:top w:val="nil"/>
              <w:bottom w:val="nil"/>
            </w:tcBorders>
            <w:shd w:val="clear" w:color="auto" w:fill="66CCFF"/>
          </w:tcPr>
          <w:p w14:paraId="22087DA1"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3AC8552B"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327817A2"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42F607E" w14:textId="77777777" w:rsidR="00DD3EFA" w:rsidRPr="005A0E7C" w:rsidRDefault="00DD3EFA" w:rsidP="00B15ECB">
            <w:pPr>
              <w:rPr>
                <w:b/>
              </w:rPr>
            </w:pPr>
          </w:p>
        </w:tc>
      </w:tr>
      <w:tr w:rsidR="00DD3EFA" w:rsidRPr="005A0E7C" w14:paraId="5B46BED6" w14:textId="77777777" w:rsidTr="00B15ECB">
        <w:trPr>
          <w:trHeight w:val="1202"/>
        </w:trPr>
        <w:tc>
          <w:tcPr>
            <w:tcW w:w="249" w:type="dxa"/>
            <w:tcBorders>
              <w:top w:val="nil"/>
              <w:bottom w:val="nil"/>
            </w:tcBorders>
            <w:shd w:val="clear" w:color="auto" w:fill="66CCFF"/>
          </w:tcPr>
          <w:p w14:paraId="4DA5318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56A3474"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666B1E4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67494D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Sociální jevy, na které sociální služby reagují, mají významné regionální rozdělení (to se týká především sociálního vyloučení). Nedostatečná nabídka sociálních služeb mezi faktory přispívající k migraci sociálně vyloučených rodin od jednoho nevyhovujícího bydlení k jinému (jedná se o problém především v tzv. vnitřních periferiích). Nabídka sociálních služeb je limitovaná především v menších městech a v odlehlých regionech. Důležitým cílem je standardní regionální dostupnost sociálních a dalších služeb (která se musí stát součástí regionální politiky). Na obecní úrovni se jako klíčový faktor dostatečného zabezpečení dostupnosti sociální péče jeví přístup vedení dané obce. </w:t>
            </w:r>
          </w:p>
        </w:tc>
        <w:tc>
          <w:tcPr>
            <w:tcW w:w="249" w:type="dxa"/>
            <w:tcBorders>
              <w:top w:val="nil"/>
              <w:bottom w:val="nil"/>
            </w:tcBorders>
            <w:shd w:val="clear" w:color="auto" w:fill="66CCFF"/>
          </w:tcPr>
          <w:p w14:paraId="317E7477" w14:textId="77777777" w:rsidR="00DD3EFA" w:rsidRPr="005A0E7C" w:rsidRDefault="00DD3EFA" w:rsidP="00B15ECB">
            <w:pPr>
              <w:rPr>
                <w:b/>
              </w:rPr>
            </w:pPr>
          </w:p>
        </w:tc>
      </w:tr>
      <w:tr w:rsidR="00DD3EFA" w:rsidRPr="005A0E7C" w14:paraId="51B39B4D" w14:textId="77777777" w:rsidTr="00B15ECB">
        <w:trPr>
          <w:trHeight w:val="1202"/>
        </w:trPr>
        <w:tc>
          <w:tcPr>
            <w:tcW w:w="249" w:type="dxa"/>
            <w:tcBorders>
              <w:top w:val="nil"/>
              <w:bottom w:val="nil"/>
            </w:tcBorders>
            <w:shd w:val="clear" w:color="auto" w:fill="66CCFF"/>
          </w:tcPr>
          <w:p w14:paraId="44140E2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06EE187"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48CED43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1AFB8C4" w14:textId="77777777" w:rsidR="00DD3EFA" w:rsidRPr="005A0E7C" w:rsidRDefault="00DD3EFA" w:rsidP="00B15ECB">
            <w:pPr>
              <w:spacing w:before="60" w:after="60"/>
              <w:rPr>
                <w:rFonts w:eastAsiaTheme="majorEastAsia"/>
              </w:rPr>
            </w:pPr>
            <w:r w:rsidRPr="005A0E7C">
              <w:rPr>
                <w:rFonts w:eastAsiaTheme="majorEastAsia"/>
              </w:rPr>
              <w:t xml:space="preserve">- - - </w:t>
            </w:r>
          </w:p>
        </w:tc>
        <w:tc>
          <w:tcPr>
            <w:tcW w:w="249" w:type="dxa"/>
            <w:tcBorders>
              <w:top w:val="nil"/>
              <w:bottom w:val="nil"/>
            </w:tcBorders>
            <w:shd w:val="clear" w:color="auto" w:fill="66CCFF"/>
          </w:tcPr>
          <w:p w14:paraId="0D5003EF" w14:textId="77777777" w:rsidR="00DD3EFA" w:rsidRPr="005A0E7C" w:rsidRDefault="00DD3EFA" w:rsidP="00B15ECB">
            <w:pPr>
              <w:rPr>
                <w:b/>
              </w:rPr>
            </w:pPr>
          </w:p>
        </w:tc>
      </w:tr>
      <w:tr w:rsidR="00DD3EFA" w:rsidRPr="005A0E7C" w14:paraId="111F7CDD" w14:textId="77777777" w:rsidTr="00B15ECB">
        <w:trPr>
          <w:trHeight w:val="1202"/>
        </w:trPr>
        <w:tc>
          <w:tcPr>
            <w:tcW w:w="249" w:type="dxa"/>
            <w:tcBorders>
              <w:top w:val="nil"/>
              <w:bottom w:val="nil"/>
            </w:tcBorders>
            <w:shd w:val="clear" w:color="auto" w:fill="66CCFF"/>
          </w:tcPr>
          <w:p w14:paraId="7259AAA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4F45554"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5C7A6C2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F94F381" w14:textId="77777777" w:rsidR="00DD3EFA" w:rsidRPr="005A0E7C" w:rsidRDefault="00DD3EFA" w:rsidP="00B15ECB">
            <w:r w:rsidRPr="005A0E7C">
              <w:t>V oblasti sociálních služeb má dojít k další digitalizaci agendy, např. při registraci sociálních služeb, při vyhodnocování sociálních jevů a efektivity služeb, při metodickém vedení a v dalších procesech.  Důležitou součástí je také další rozvoj portálu práce a sociálních věcí s klientskými službami v sociální oblasti. Tyto cíle jsou obsaženy v Akčním plánu pro Společnost 4.0.</w:t>
            </w:r>
          </w:p>
        </w:tc>
        <w:tc>
          <w:tcPr>
            <w:tcW w:w="249" w:type="dxa"/>
            <w:tcBorders>
              <w:top w:val="nil"/>
              <w:bottom w:val="nil"/>
            </w:tcBorders>
            <w:shd w:val="clear" w:color="auto" w:fill="66CCFF"/>
          </w:tcPr>
          <w:p w14:paraId="704E910C" w14:textId="77777777" w:rsidR="00DD3EFA" w:rsidRPr="005A0E7C" w:rsidRDefault="00DD3EFA" w:rsidP="00B15ECB">
            <w:pPr>
              <w:rPr>
                <w:b/>
              </w:rPr>
            </w:pPr>
          </w:p>
        </w:tc>
      </w:tr>
      <w:tr w:rsidR="00DD3EFA" w:rsidRPr="005A0E7C" w14:paraId="322DDE29" w14:textId="77777777" w:rsidTr="00B15ECB">
        <w:trPr>
          <w:trHeight w:val="1202"/>
        </w:trPr>
        <w:tc>
          <w:tcPr>
            <w:tcW w:w="249" w:type="dxa"/>
            <w:tcBorders>
              <w:top w:val="nil"/>
              <w:bottom w:val="nil"/>
            </w:tcBorders>
            <w:shd w:val="clear" w:color="auto" w:fill="66CCFF"/>
          </w:tcPr>
          <w:p w14:paraId="0005D56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AD761FE"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33D74E3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5E0DF8F" w14:textId="77777777" w:rsidR="00DD3EFA" w:rsidRPr="005A0E7C" w:rsidRDefault="00DD3EFA" w:rsidP="00B15ECB">
            <w:r w:rsidRPr="005A0E7C">
              <w:t>Urbanizace</w:t>
            </w:r>
          </w:p>
          <w:p w14:paraId="7EED5EA4" w14:textId="77777777" w:rsidR="00DD3EFA" w:rsidRPr="005A0E7C" w:rsidRDefault="00DD3EFA" w:rsidP="00B15ECB">
            <w:r w:rsidRPr="005A0E7C">
              <w:t>Rostoucí mobilita</w:t>
            </w:r>
          </w:p>
          <w:p w14:paraId="7354B6C8" w14:textId="77777777" w:rsidR="00DD3EFA" w:rsidRPr="005A0E7C" w:rsidRDefault="00DD3EFA" w:rsidP="00B15ECB">
            <w:r w:rsidRPr="005A0E7C">
              <w:t xml:space="preserve">Rostoucí spotřeba zdrojů a energie </w:t>
            </w:r>
          </w:p>
          <w:p w14:paraId="13F50494" w14:textId="77777777" w:rsidR="00DD3EFA" w:rsidRPr="005A0E7C" w:rsidRDefault="00DD3EFA" w:rsidP="00B15ECB">
            <w:pPr>
              <w:rPr>
                <w:rFonts w:eastAsiaTheme="majorEastAsia"/>
                <w:i/>
              </w:rPr>
            </w:pPr>
            <w:r w:rsidRPr="005A0E7C">
              <w:t>Zvyšující se dostupnost technologií</w:t>
            </w:r>
          </w:p>
        </w:tc>
        <w:tc>
          <w:tcPr>
            <w:tcW w:w="249" w:type="dxa"/>
            <w:tcBorders>
              <w:top w:val="nil"/>
              <w:bottom w:val="nil"/>
            </w:tcBorders>
            <w:shd w:val="clear" w:color="auto" w:fill="66CCFF"/>
          </w:tcPr>
          <w:p w14:paraId="39BD673A" w14:textId="77777777" w:rsidR="00DD3EFA" w:rsidRPr="005A0E7C" w:rsidRDefault="00DD3EFA" w:rsidP="00B15ECB">
            <w:pPr>
              <w:rPr>
                <w:b/>
              </w:rPr>
            </w:pPr>
          </w:p>
        </w:tc>
      </w:tr>
      <w:tr w:rsidR="00DD3EFA" w:rsidRPr="005A0E7C" w14:paraId="4E67761F" w14:textId="77777777" w:rsidTr="00B15ECB">
        <w:trPr>
          <w:trHeight w:val="1202"/>
        </w:trPr>
        <w:tc>
          <w:tcPr>
            <w:tcW w:w="249" w:type="dxa"/>
            <w:tcBorders>
              <w:top w:val="nil"/>
              <w:bottom w:val="nil"/>
            </w:tcBorders>
            <w:shd w:val="clear" w:color="auto" w:fill="66CCFF"/>
          </w:tcPr>
          <w:p w14:paraId="24B0865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31D867A"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3EBCC0E0" w14:textId="77777777" w:rsidR="00DD3EFA" w:rsidRPr="005A0E7C" w:rsidRDefault="00DD3EFA" w:rsidP="00B15ECB">
            <w:pPr>
              <w:spacing w:before="60" w:after="60"/>
              <w:rPr>
                <w:i/>
              </w:rPr>
            </w:pPr>
            <w:r w:rsidRPr="005A0E7C">
              <w:rPr>
                <w:i/>
              </w:rPr>
              <w:t>Cíl politiky 4 Sociálnější Evropa – provádění evropského pilíře sociálních práv</w:t>
            </w:r>
          </w:p>
          <w:p w14:paraId="6A4020F2" w14:textId="77777777" w:rsidR="00DD3EFA" w:rsidRPr="005A0E7C" w:rsidRDefault="00DD3EFA" w:rsidP="00B15ECB">
            <w:pPr>
              <w:spacing w:before="60" w:after="60"/>
              <w:rPr>
                <w:i/>
              </w:rPr>
            </w:pPr>
            <w:r w:rsidRPr="005A0E7C">
              <w:rPr>
                <w:i/>
              </w:rPr>
              <w:t xml:space="preserve">Specifické cíle ESF+: </w:t>
            </w:r>
          </w:p>
          <w:p w14:paraId="393CE05F" w14:textId="77777777" w:rsidR="00DD3EFA" w:rsidRPr="005A0E7C" w:rsidRDefault="00DD3EFA" w:rsidP="00B15ECB">
            <w:pPr>
              <w:spacing w:before="60" w:after="60"/>
              <w:rPr>
                <w:i/>
              </w:rPr>
            </w:pPr>
            <w:r w:rsidRPr="005A0E7C">
              <w:rPr>
                <w:i/>
              </w:rPr>
              <w:t>ix)</w:t>
            </w:r>
            <w:r w:rsidRPr="005A0E7C">
              <w:rPr>
                <w:i/>
              </w:rPr>
              <w:tab/>
              <w:t>zvyšovat rovný a včasný přístup ke kvalitním, udržitelným a fyzicky i cenově dostupným službám; modernizovat systémy sociální ochrany včetně podpory přístupu k sociální ochraně; zlepšit dostupnost, účinnost a odolnost systémů zdravotní péče a služeb dlouhodobé zdravotní péče;</w:t>
            </w:r>
          </w:p>
          <w:p w14:paraId="6F786B09" w14:textId="77777777" w:rsidR="00DD3EFA" w:rsidRPr="005A0E7C" w:rsidRDefault="00DD3EFA" w:rsidP="00B15ECB">
            <w:pPr>
              <w:spacing w:before="60" w:after="60"/>
              <w:rPr>
                <w:rFonts w:eastAsiaTheme="majorEastAsia"/>
                <w:i/>
              </w:rPr>
            </w:pPr>
            <w:r w:rsidRPr="005A0E7C">
              <w:rPr>
                <w:i/>
              </w:rPr>
              <w:t>(pozn. znění cílů dle návrhů nařízení ze strany EK)</w:t>
            </w:r>
          </w:p>
        </w:tc>
        <w:tc>
          <w:tcPr>
            <w:tcW w:w="249" w:type="dxa"/>
            <w:tcBorders>
              <w:top w:val="nil"/>
              <w:bottom w:val="nil"/>
            </w:tcBorders>
            <w:shd w:val="clear" w:color="auto" w:fill="66CCFF"/>
          </w:tcPr>
          <w:p w14:paraId="79AF1FE4" w14:textId="77777777" w:rsidR="00DD3EFA" w:rsidRPr="005A0E7C" w:rsidRDefault="00DD3EFA" w:rsidP="00B15ECB">
            <w:pPr>
              <w:rPr>
                <w:b/>
              </w:rPr>
            </w:pPr>
          </w:p>
        </w:tc>
      </w:tr>
      <w:tr w:rsidR="00DD3EFA" w:rsidRPr="005A0E7C" w14:paraId="233B3B06" w14:textId="77777777" w:rsidTr="00B15ECB">
        <w:trPr>
          <w:trHeight w:val="1202"/>
        </w:trPr>
        <w:tc>
          <w:tcPr>
            <w:tcW w:w="249" w:type="dxa"/>
            <w:tcBorders>
              <w:top w:val="nil"/>
              <w:bottom w:val="nil"/>
            </w:tcBorders>
            <w:shd w:val="clear" w:color="auto" w:fill="66CCFF"/>
          </w:tcPr>
          <w:p w14:paraId="722B6CA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6F5653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0F38E1B3" w14:textId="77777777" w:rsidR="00DD3EFA" w:rsidRPr="005A0E7C" w:rsidRDefault="00DD3EFA" w:rsidP="00B15ECB">
            <w:pPr>
              <w:spacing w:before="60" w:after="60"/>
              <w:rPr>
                <w:rFonts w:eastAsiaTheme="majorEastAsia"/>
              </w:rPr>
            </w:pPr>
            <w:r w:rsidRPr="005A0E7C">
              <w:t xml:space="preserve">SDR 2018, Doporučení č. 2, </w:t>
            </w:r>
            <w:r w:rsidRPr="005A0E7C">
              <w:rPr>
                <w:rFonts w:eastAsiaTheme="majorEastAsia"/>
              </w:rPr>
              <w:t xml:space="preserve">(zvýrazněna část týkající se zprostředkovaně sociálních služeb): </w:t>
            </w:r>
          </w:p>
          <w:p w14:paraId="14374707" w14:textId="77777777" w:rsidR="00DD3EFA" w:rsidRPr="005A0E7C" w:rsidRDefault="00DD3EFA" w:rsidP="00B15ECB">
            <w:pPr>
              <w:spacing w:before="60" w:after="60"/>
              <w:rPr>
                <w:rFonts w:eastAsiaTheme="majorEastAsia"/>
                <w:i/>
              </w:rPr>
            </w:pPr>
            <w:r w:rsidRPr="005A0E7C">
              <w:rPr>
                <w:rFonts w:eastAsiaTheme="majorEastAsia"/>
              </w:rPr>
              <w:t xml:space="preserve">„Snížit administrativní zátěž pro investice, mimo jiné zrychlením povolovacích postupů u infrastrukturních projektů. Odstranit překážky brzdící výzkum, vývoj a inovace, zejména zvýšením inovační kapacity domácích podniků. Posílit schopnost vzdělávacího systému poskytovat kvalitní inkluzivní vzdělávání, mimo jiné podporou učitelského povolání. </w:t>
            </w:r>
            <w:r w:rsidRPr="005A0E7C">
              <w:rPr>
                <w:rFonts w:eastAsiaTheme="majorEastAsia"/>
                <w:b/>
              </w:rPr>
              <w:t>Podporovat zaměstnávání žen, osob s nízkou kvalifikací a osob se zdravotním postižením, mimo jiné zvýšením účinnosti aktivních politik na trhu práce.</w:t>
            </w:r>
            <w:r w:rsidRPr="005A0E7C">
              <w:rPr>
                <w:rFonts w:eastAsiaTheme="majorEastAsia"/>
              </w:rPr>
              <w:t>“</w:t>
            </w:r>
          </w:p>
        </w:tc>
        <w:tc>
          <w:tcPr>
            <w:tcW w:w="249" w:type="dxa"/>
            <w:tcBorders>
              <w:top w:val="nil"/>
              <w:bottom w:val="nil"/>
            </w:tcBorders>
            <w:shd w:val="clear" w:color="auto" w:fill="66CCFF"/>
          </w:tcPr>
          <w:p w14:paraId="27AC9775" w14:textId="77777777" w:rsidR="00DD3EFA" w:rsidRPr="005A0E7C" w:rsidRDefault="00DD3EFA" w:rsidP="00B15ECB">
            <w:pPr>
              <w:rPr>
                <w:b/>
              </w:rPr>
            </w:pPr>
          </w:p>
        </w:tc>
      </w:tr>
      <w:tr w:rsidR="00DD3EFA" w:rsidRPr="005A0E7C" w14:paraId="41AE4560" w14:textId="77777777" w:rsidTr="00B15ECB">
        <w:trPr>
          <w:trHeight w:val="180"/>
        </w:trPr>
        <w:tc>
          <w:tcPr>
            <w:tcW w:w="249" w:type="dxa"/>
            <w:tcBorders>
              <w:top w:val="nil"/>
              <w:bottom w:val="nil"/>
              <w:right w:val="nil"/>
            </w:tcBorders>
            <w:shd w:val="clear" w:color="auto" w:fill="66CCFF"/>
          </w:tcPr>
          <w:p w14:paraId="32540EA7" w14:textId="77777777" w:rsidR="00DD3EFA" w:rsidRPr="005A0E7C" w:rsidRDefault="00DD3EFA" w:rsidP="00B15ECB">
            <w:pPr>
              <w:rPr>
                <w:b/>
              </w:rPr>
            </w:pPr>
          </w:p>
        </w:tc>
        <w:tc>
          <w:tcPr>
            <w:tcW w:w="2548" w:type="dxa"/>
            <w:tcBorders>
              <w:left w:val="nil"/>
              <w:right w:val="nil"/>
            </w:tcBorders>
            <w:shd w:val="clear" w:color="auto" w:fill="66CCFF"/>
          </w:tcPr>
          <w:p w14:paraId="5DC2DC5B" w14:textId="77777777" w:rsidR="00DD3EFA" w:rsidRPr="005A0E7C" w:rsidRDefault="00DD3EFA" w:rsidP="00B15ECB">
            <w:pPr>
              <w:rPr>
                <w:b/>
              </w:rPr>
            </w:pPr>
          </w:p>
        </w:tc>
        <w:tc>
          <w:tcPr>
            <w:tcW w:w="5978" w:type="dxa"/>
            <w:tcBorders>
              <w:left w:val="nil"/>
              <w:right w:val="nil"/>
            </w:tcBorders>
            <w:shd w:val="clear" w:color="auto" w:fill="66CCFF"/>
          </w:tcPr>
          <w:p w14:paraId="178C7809" w14:textId="77777777" w:rsidR="00DD3EFA" w:rsidRPr="005A0E7C" w:rsidRDefault="00DD3EFA" w:rsidP="00B15ECB">
            <w:pPr>
              <w:rPr>
                <w:b/>
              </w:rPr>
            </w:pPr>
          </w:p>
        </w:tc>
        <w:tc>
          <w:tcPr>
            <w:tcW w:w="249" w:type="dxa"/>
            <w:tcBorders>
              <w:top w:val="nil"/>
              <w:left w:val="nil"/>
              <w:bottom w:val="nil"/>
            </w:tcBorders>
            <w:shd w:val="clear" w:color="auto" w:fill="66CCFF"/>
          </w:tcPr>
          <w:p w14:paraId="02E5B71B" w14:textId="77777777" w:rsidR="00DD3EFA" w:rsidRPr="005A0E7C" w:rsidRDefault="00DD3EFA" w:rsidP="00B15ECB">
            <w:pPr>
              <w:rPr>
                <w:b/>
              </w:rPr>
            </w:pPr>
          </w:p>
        </w:tc>
      </w:tr>
      <w:tr w:rsidR="00DD3EFA" w:rsidRPr="005A0E7C" w14:paraId="07C34DD6" w14:textId="77777777" w:rsidTr="00B15ECB">
        <w:trPr>
          <w:trHeight w:val="938"/>
        </w:trPr>
        <w:tc>
          <w:tcPr>
            <w:tcW w:w="249" w:type="dxa"/>
            <w:tcBorders>
              <w:top w:val="nil"/>
              <w:bottom w:val="nil"/>
            </w:tcBorders>
            <w:shd w:val="clear" w:color="auto" w:fill="66CCFF"/>
          </w:tcPr>
          <w:p w14:paraId="55A8410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2D48403"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1DD93D56"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3212C25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Strategické cíle podoblasti jsou obsaženy primárně v dokumentu Národní strategie rozvoje sociálních služeb na období 2016 – 2025 (NRSS). Klíčovým strategickým cílem je přitom dokončení procesu transformace a deinstitucionalizace sociálních služeb.</w:t>
            </w:r>
          </w:p>
          <w:p w14:paraId="14B662F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Blíže viz: </w:t>
            </w:r>
            <w:hyperlink r:id="rId20" w:history="1">
              <w:r w:rsidRPr="005A0E7C">
                <w:rPr>
                  <w:rStyle w:val="Hypertextovodkaz"/>
                  <w:rFonts w:ascii="Times New Roman" w:hAnsi="Times New Roman"/>
                </w:rPr>
                <w:t>https://www.mpsv.cz/files/clanky/29624/NSRSS.pdf</w:t>
              </w:r>
            </w:hyperlink>
            <w:r w:rsidRPr="005A0E7C">
              <w:rPr>
                <w:rFonts w:ascii="Times New Roman" w:hAnsi="Times New Roman"/>
              </w:rPr>
              <w:t xml:space="preserve"> </w:t>
            </w:r>
          </w:p>
          <w:p w14:paraId="34006684" w14:textId="77777777" w:rsidR="00DD3EFA" w:rsidRPr="005A0E7C" w:rsidRDefault="00DD3EFA" w:rsidP="00B15ECB">
            <w:pPr>
              <w:autoSpaceDE w:val="0"/>
              <w:autoSpaceDN w:val="0"/>
              <w:adjustRightInd w:val="0"/>
              <w:rPr>
                <w:i/>
                <w:u w:val="single"/>
              </w:rPr>
            </w:pPr>
          </w:p>
        </w:tc>
        <w:tc>
          <w:tcPr>
            <w:tcW w:w="249" w:type="dxa"/>
            <w:tcBorders>
              <w:top w:val="nil"/>
              <w:bottom w:val="nil"/>
            </w:tcBorders>
            <w:shd w:val="clear" w:color="auto" w:fill="66CCFF"/>
          </w:tcPr>
          <w:p w14:paraId="0E69B14B" w14:textId="77777777" w:rsidR="00DD3EFA" w:rsidRPr="005A0E7C" w:rsidRDefault="00DD3EFA" w:rsidP="00B15ECB">
            <w:pPr>
              <w:rPr>
                <w:b/>
              </w:rPr>
            </w:pPr>
          </w:p>
        </w:tc>
      </w:tr>
      <w:tr w:rsidR="00DD3EFA" w:rsidRPr="005A0E7C" w14:paraId="6B94C085" w14:textId="77777777" w:rsidTr="00B15ECB">
        <w:trPr>
          <w:trHeight w:val="938"/>
        </w:trPr>
        <w:tc>
          <w:tcPr>
            <w:tcW w:w="249" w:type="dxa"/>
            <w:tcBorders>
              <w:top w:val="nil"/>
              <w:bottom w:val="nil"/>
            </w:tcBorders>
            <w:shd w:val="clear" w:color="auto" w:fill="66CCFF"/>
          </w:tcPr>
          <w:p w14:paraId="6A8DB81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DB869E"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55C853C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144021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rámci NSRSS existuje detailní analýza problémů a potřeb v oblasti sociálních služeb.</w:t>
            </w:r>
          </w:p>
        </w:tc>
        <w:tc>
          <w:tcPr>
            <w:tcW w:w="249" w:type="dxa"/>
            <w:tcBorders>
              <w:top w:val="nil"/>
              <w:bottom w:val="nil"/>
            </w:tcBorders>
            <w:shd w:val="clear" w:color="auto" w:fill="66CCFF"/>
          </w:tcPr>
          <w:p w14:paraId="29102629" w14:textId="77777777" w:rsidR="00DD3EFA" w:rsidRPr="005A0E7C" w:rsidRDefault="00DD3EFA" w:rsidP="00B15ECB">
            <w:pPr>
              <w:rPr>
                <w:b/>
              </w:rPr>
            </w:pPr>
          </w:p>
        </w:tc>
      </w:tr>
      <w:tr w:rsidR="00DD3EFA" w:rsidRPr="005A0E7C" w14:paraId="566BCE9F" w14:textId="77777777" w:rsidTr="00B15ECB">
        <w:trPr>
          <w:trHeight w:val="938"/>
        </w:trPr>
        <w:tc>
          <w:tcPr>
            <w:tcW w:w="249" w:type="dxa"/>
            <w:tcBorders>
              <w:top w:val="nil"/>
              <w:bottom w:val="nil"/>
            </w:tcBorders>
            <w:shd w:val="clear" w:color="auto" w:fill="66CCFF"/>
          </w:tcPr>
          <w:p w14:paraId="44AA9A8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FF7E89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44A1D83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FF1AD0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NSRSS obsahuje jasně definované strategické cíle i opatření.</w:t>
            </w:r>
          </w:p>
        </w:tc>
        <w:tc>
          <w:tcPr>
            <w:tcW w:w="249" w:type="dxa"/>
            <w:tcBorders>
              <w:top w:val="nil"/>
              <w:bottom w:val="nil"/>
            </w:tcBorders>
            <w:shd w:val="clear" w:color="auto" w:fill="66CCFF"/>
          </w:tcPr>
          <w:p w14:paraId="458690BF" w14:textId="77777777" w:rsidR="00DD3EFA" w:rsidRPr="005A0E7C" w:rsidRDefault="00DD3EFA" w:rsidP="00B15ECB">
            <w:pPr>
              <w:rPr>
                <w:b/>
              </w:rPr>
            </w:pPr>
          </w:p>
        </w:tc>
      </w:tr>
      <w:tr w:rsidR="00DD3EFA" w:rsidRPr="005A0E7C" w14:paraId="300AC82F" w14:textId="77777777" w:rsidTr="00B15ECB">
        <w:trPr>
          <w:trHeight w:val="938"/>
        </w:trPr>
        <w:tc>
          <w:tcPr>
            <w:tcW w:w="249" w:type="dxa"/>
            <w:tcBorders>
              <w:top w:val="nil"/>
              <w:bottom w:val="nil"/>
            </w:tcBorders>
            <w:shd w:val="clear" w:color="auto" w:fill="66CCFF"/>
          </w:tcPr>
          <w:p w14:paraId="00E27E6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C19258B"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3BC20855"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DC68B1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NSRSS je implementační mechanismus popsán.</w:t>
            </w:r>
          </w:p>
        </w:tc>
        <w:tc>
          <w:tcPr>
            <w:tcW w:w="249" w:type="dxa"/>
            <w:tcBorders>
              <w:top w:val="nil"/>
              <w:bottom w:val="nil"/>
            </w:tcBorders>
            <w:shd w:val="clear" w:color="auto" w:fill="66CCFF"/>
          </w:tcPr>
          <w:p w14:paraId="64D3E526" w14:textId="77777777" w:rsidR="00DD3EFA" w:rsidRPr="005A0E7C" w:rsidRDefault="00DD3EFA" w:rsidP="00B15ECB">
            <w:pPr>
              <w:rPr>
                <w:b/>
              </w:rPr>
            </w:pPr>
          </w:p>
        </w:tc>
      </w:tr>
      <w:tr w:rsidR="00DD3EFA" w:rsidRPr="005A0E7C" w14:paraId="64800559" w14:textId="77777777" w:rsidTr="00B15ECB">
        <w:trPr>
          <w:trHeight w:val="938"/>
        </w:trPr>
        <w:tc>
          <w:tcPr>
            <w:tcW w:w="249" w:type="dxa"/>
            <w:tcBorders>
              <w:top w:val="nil"/>
              <w:bottom w:val="nil"/>
            </w:tcBorders>
            <w:shd w:val="clear" w:color="auto" w:fill="66CCFF"/>
          </w:tcPr>
          <w:p w14:paraId="28AE83B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9FF2E96"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5DAB120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rámci NSRSS jsou jasně stanovené indikátory dosažení cílů a opatření.</w:t>
            </w:r>
          </w:p>
        </w:tc>
        <w:tc>
          <w:tcPr>
            <w:tcW w:w="249" w:type="dxa"/>
            <w:tcBorders>
              <w:top w:val="nil"/>
              <w:bottom w:val="nil"/>
            </w:tcBorders>
            <w:shd w:val="clear" w:color="auto" w:fill="66CCFF"/>
          </w:tcPr>
          <w:p w14:paraId="06E0433C" w14:textId="77777777" w:rsidR="00DD3EFA" w:rsidRPr="005A0E7C" w:rsidRDefault="00DD3EFA" w:rsidP="00B15ECB">
            <w:pPr>
              <w:rPr>
                <w:b/>
              </w:rPr>
            </w:pPr>
          </w:p>
        </w:tc>
      </w:tr>
      <w:tr w:rsidR="00DD3EFA" w:rsidRPr="005A0E7C" w14:paraId="4BF6EB89" w14:textId="77777777" w:rsidTr="00B15ECB">
        <w:trPr>
          <w:trHeight w:val="130"/>
        </w:trPr>
        <w:tc>
          <w:tcPr>
            <w:tcW w:w="249" w:type="dxa"/>
            <w:tcBorders>
              <w:top w:val="nil"/>
              <w:bottom w:val="nil"/>
              <w:right w:val="nil"/>
            </w:tcBorders>
            <w:shd w:val="clear" w:color="auto" w:fill="66CCFF"/>
          </w:tcPr>
          <w:p w14:paraId="1E5A1C26" w14:textId="77777777" w:rsidR="00DD3EFA" w:rsidRPr="005A0E7C" w:rsidRDefault="00DD3EFA" w:rsidP="00B15ECB">
            <w:pPr>
              <w:rPr>
                <w:b/>
              </w:rPr>
            </w:pPr>
          </w:p>
        </w:tc>
        <w:tc>
          <w:tcPr>
            <w:tcW w:w="2548" w:type="dxa"/>
            <w:tcBorders>
              <w:left w:val="nil"/>
              <w:right w:val="nil"/>
            </w:tcBorders>
            <w:shd w:val="clear" w:color="auto" w:fill="66CCFF"/>
          </w:tcPr>
          <w:p w14:paraId="01F6981A" w14:textId="77777777" w:rsidR="00DD3EFA" w:rsidRPr="005A0E7C" w:rsidRDefault="00DD3EFA" w:rsidP="00B15ECB">
            <w:pPr>
              <w:rPr>
                <w:b/>
              </w:rPr>
            </w:pPr>
          </w:p>
        </w:tc>
        <w:tc>
          <w:tcPr>
            <w:tcW w:w="5978" w:type="dxa"/>
            <w:tcBorders>
              <w:left w:val="nil"/>
              <w:right w:val="nil"/>
            </w:tcBorders>
            <w:shd w:val="clear" w:color="auto" w:fill="66CCFF"/>
          </w:tcPr>
          <w:p w14:paraId="6C35DD0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696E6A75" w14:textId="77777777" w:rsidR="00DD3EFA" w:rsidRPr="005A0E7C" w:rsidRDefault="00DD3EFA" w:rsidP="00B15ECB">
            <w:pPr>
              <w:rPr>
                <w:b/>
              </w:rPr>
            </w:pPr>
          </w:p>
        </w:tc>
      </w:tr>
      <w:tr w:rsidR="00DD3EFA" w:rsidRPr="005A0E7C" w14:paraId="6E14E5F6" w14:textId="77777777" w:rsidTr="00B15ECB">
        <w:trPr>
          <w:trHeight w:val="1258"/>
        </w:trPr>
        <w:tc>
          <w:tcPr>
            <w:tcW w:w="249" w:type="dxa"/>
            <w:tcBorders>
              <w:top w:val="nil"/>
              <w:bottom w:val="nil"/>
              <w:right w:val="nil"/>
            </w:tcBorders>
            <w:shd w:val="clear" w:color="auto" w:fill="66CCFF"/>
          </w:tcPr>
          <w:p w14:paraId="5AB6C939" w14:textId="77777777" w:rsidR="00DD3EFA" w:rsidRPr="005A0E7C" w:rsidRDefault="00DD3EFA" w:rsidP="00B15ECB">
            <w:pPr>
              <w:rPr>
                <w:b/>
              </w:rPr>
            </w:pPr>
          </w:p>
        </w:tc>
        <w:tc>
          <w:tcPr>
            <w:tcW w:w="8526" w:type="dxa"/>
            <w:gridSpan w:val="2"/>
            <w:shd w:val="clear" w:color="auto" w:fill="FFFFFF" w:themeFill="background1"/>
          </w:tcPr>
          <w:p w14:paraId="31528379"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458A84C9" w14:textId="77777777" w:rsidR="00DD3EFA" w:rsidRPr="005A0E7C" w:rsidRDefault="00DD3EFA" w:rsidP="00B15ECB">
            <w:pPr>
              <w:rPr>
                <w:b/>
              </w:rPr>
            </w:pPr>
          </w:p>
        </w:tc>
      </w:tr>
      <w:tr w:rsidR="00DD3EFA" w:rsidRPr="005A0E7C" w14:paraId="47025C34" w14:textId="77777777" w:rsidTr="00B15ECB">
        <w:trPr>
          <w:trHeight w:val="274"/>
        </w:trPr>
        <w:tc>
          <w:tcPr>
            <w:tcW w:w="249" w:type="dxa"/>
            <w:tcBorders>
              <w:top w:val="nil"/>
              <w:bottom w:val="nil"/>
              <w:right w:val="nil"/>
            </w:tcBorders>
            <w:shd w:val="clear" w:color="auto" w:fill="66CCFF"/>
          </w:tcPr>
          <w:p w14:paraId="32C7117E" w14:textId="77777777" w:rsidR="00DD3EFA" w:rsidRPr="005A0E7C" w:rsidRDefault="00DD3EFA" w:rsidP="00B15ECB">
            <w:pPr>
              <w:rPr>
                <w:b/>
              </w:rPr>
            </w:pPr>
          </w:p>
        </w:tc>
        <w:tc>
          <w:tcPr>
            <w:tcW w:w="2548" w:type="dxa"/>
            <w:shd w:val="clear" w:color="auto" w:fill="FFFFFF" w:themeFill="background1"/>
          </w:tcPr>
          <w:p w14:paraId="19F6E3D2" w14:textId="77777777" w:rsidR="00DD3EFA" w:rsidRPr="005A0E7C" w:rsidRDefault="00DD3EFA" w:rsidP="00B15ECB">
            <w:pPr>
              <w:rPr>
                <w:rFonts w:eastAsiaTheme="majorEastAsia"/>
                <w:b/>
              </w:rPr>
            </w:pPr>
            <w:r w:rsidRPr="005A0E7C">
              <w:rPr>
                <w:rFonts w:eastAsiaTheme="majorEastAsia"/>
                <w:b/>
              </w:rPr>
              <w:t>Věcný posun oblasti</w:t>
            </w:r>
          </w:p>
          <w:p w14:paraId="2F8EA8FC"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0EF5A025" w14:textId="77777777" w:rsidR="00DD3EFA" w:rsidRPr="005A0E7C" w:rsidRDefault="00DD3EFA" w:rsidP="00B15ECB">
            <w:pPr>
              <w:spacing w:before="60" w:after="60"/>
              <w:rPr>
                <w:rFonts w:eastAsiaTheme="majorEastAsia"/>
              </w:rPr>
            </w:pPr>
            <w:r w:rsidRPr="005A0E7C">
              <w:rPr>
                <w:rFonts w:eastAsiaTheme="majorEastAsia"/>
              </w:rPr>
              <w:t>Oblast sociálního začleňování je podporována z fondů EU již od období 2004-2006. Intervence jsou průběžně upravovány dle potřeb a početnosti cílové skupiny a při zohlednění výstupů z evaluací.</w:t>
            </w:r>
          </w:p>
          <w:p w14:paraId="000D61B2" w14:textId="77777777" w:rsidR="00DD3EFA" w:rsidRPr="005A0E7C" w:rsidRDefault="00DD3EFA" w:rsidP="00B15ECB">
            <w:pPr>
              <w:spacing w:before="60" w:after="60"/>
            </w:pPr>
            <w:r w:rsidRPr="005A0E7C">
              <w:t>Základními věcnými posuny intervencí v OPZ byla orientace na služby sociální prevence, terénní práci, komunitní plánování, transormaci pobytových služeb (deintitucionalizace). Je realizován i posun k dosud málo podporovaným službám na sociálně zdravotním pomezí (např. palialitivní péče). V OPZ jsou v dosud největší míře podporována opatření pro osoby s poruchou autistického spektra včetně destigmatizace tohoto problému. S podporou OPZ byla nastartována reforma psychiatrické péče.</w:t>
            </w:r>
          </w:p>
          <w:p w14:paraId="1C698A4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Výstupy z evaluací intervencí podporovaných v operačních programech v gesci MPSV v obdobích 2014-2020, 2007-2013 a 2004-2006 jsou k dispozici na odkaze: </w:t>
            </w:r>
            <w:hyperlink r:id="rId21" w:history="1">
              <w:r w:rsidRPr="005A0E7C">
                <w:rPr>
                  <w:rStyle w:val="Hypertextovodkaz"/>
                  <w:rFonts w:ascii="Times New Roman" w:hAnsi="Times New Roman"/>
                </w:rPr>
                <w:t>https://www.esfcr.cz/evaluace</w:t>
              </w:r>
            </w:hyperlink>
            <w:r w:rsidRPr="005A0E7C">
              <w:rPr>
                <w:rFonts w:ascii="Times New Roman" w:hAnsi="Times New Roman"/>
              </w:rPr>
              <w:t xml:space="preserve">. Zmínit lze například </w:t>
            </w:r>
            <w:r w:rsidRPr="005A0E7C">
              <w:rPr>
                <w:rFonts w:ascii="Times New Roman" w:hAnsi="Times New Roman"/>
                <w:i/>
              </w:rPr>
              <w:t>Průběžnou dlouhodobou evaluaci účinků podpory OP LZZ na cílové skupiny programu nebo</w:t>
            </w:r>
            <w:r w:rsidRPr="005A0E7C">
              <w:rPr>
                <w:rFonts w:ascii="Times New Roman" w:hAnsi="Times New Roman"/>
                <w:b/>
                <w:i/>
              </w:rPr>
              <w:t xml:space="preserve"> </w:t>
            </w:r>
            <w:r w:rsidRPr="005A0E7C">
              <w:rPr>
                <w:rFonts w:ascii="Times New Roman" w:hAnsi="Times New Roman"/>
                <w:i/>
              </w:rPr>
              <w:t>Evaluaci dopadů a dobré praxe OP LZZ na základě případových studií a jejich meta-analýzy.</w:t>
            </w:r>
          </w:p>
          <w:p w14:paraId="17E9E058" w14:textId="77777777" w:rsidR="00DD3EFA" w:rsidRPr="005A0E7C" w:rsidRDefault="00DD3EFA" w:rsidP="00B15ECB">
            <w:pPr>
              <w:spacing w:before="60" w:after="60"/>
              <w:rPr>
                <w:rFonts w:eastAsiaTheme="majorEastAsia"/>
              </w:rPr>
            </w:pPr>
            <w:r w:rsidRPr="005A0E7C">
              <w:rPr>
                <w:rFonts w:eastAsiaTheme="majorEastAsia"/>
              </w:rPr>
              <w:t>Strategická evaluace OPZ I – relevance z 30. března 2017 konstatovala, že nastavená intervenční logika investičních priorit OPZ zaměřených na sociální začleňování a boj s chudobou je stále aktuální a potřebná. Z</w:t>
            </w:r>
            <w:r w:rsidRPr="005A0E7C">
              <w:t xml:space="preserve">a nejpotřebnější označuje tato evaluace  aktivity podporující poskytování komplexních služeb pro sociálně vyloučené. Důležité jsou pak také aktivity cílící na zavádění nových a inovativních postupů a metod sociální práce a praktická pilotáž před širším zaváděním. Významná je i podpora zkvalitňování služeb, např. formou podpory </w:t>
            </w:r>
            <w:r w:rsidRPr="005A0E7C">
              <w:rPr>
                <w:b/>
              </w:rPr>
              <w:t>transformace a deinstitucionalizace pobytových sociálních služeb</w:t>
            </w:r>
            <w:r w:rsidRPr="005A0E7C">
              <w:t>, ale i vzdělávání sociálních pracovníků a zavádění nových forem sociální práce, které by mohly mít potenciál pozitivního působení na cílové skupiny. Dále byly jako potřebné identifikovány aktivity zaměřené na doplnění sítě služeb poskytujících zdravotní péči ve vybraných regionech.</w:t>
            </w:r>
          </w:p>
          <w:p w14:paraId="02505355" w14:textId="77777777" w:rsidR="00DD3EFA" w:rsidRPr="005A0E7C" w:rsidRDefault="00DD3EFA" w:rsidP="00B15ECB">
            <w:pPr>
              <w:spacing w:before="60" w:after="60"/>
              <w:rPr>
                <w:i/>
              </w:rPr>
            </w:pPr>
            <w:r w:rsidRPr="005A0E7C">
              <w:t>Průběžná dlouhodobá evaluace účinků podpory OP LZZ na cílové skupiny programu identifikovala pozitivní dopady na rozvoj poskytovaných služeb, a to zejména v oblasti sociálního začleňování. Přibližně u 55 % podpořených organizaci se v důsledku realizace projektů zvýšil počet nabízených služeb. Dále kolem 75 až 80 % organizací uvádělo, že bylo v důsledku realizace projektů podpořených z OP LZZ možné podpořit více osob, a přibližně 40 % organizací se díky OP LZZ zaměřilo na novou cílovou skupinu.</w:t>
            </w:r>
          </w:p>
        </w:tc>
        <w:tc>
          <w:tcPr>
            <w:tcW w:w="249" w:type="dxa"/>
            <w:tcBorders>
              <w:top w:val="nil"/>
              <w:left w:val="nil"/>
              <w:bottom w:val="nil"/>
            </w:tcBorders>
            <w:shd w:val="clear" w:color="auto" w:fill="66CCFF"/>
          </w:tcPr>
          <w:p w14:paraId="5E99A2AB" w14:textId="77777777" w:rsidR="00DD3EFA" w:rsidRPr="005A0E7C" w:rsidRDefault="00DD3EFA" w:rsidP="00B15ECB">
            <w:pPr>
              <w:rPr>
                <w:b/>
              </w:rPr>
            </w:pPr>
          </w:p>
        </w:tc>
      </w:tr>
      <w:tr w:rsidR="00DD3EFA" w:rsidRPr="005A0E7C" w14:paraId="03963F4B" w14:textId="77777777" w:rsidTr="00B15ECB">
        <w:trPr>
          <w:trHeight w:val="1258"/>
        </w:trPr>
        <w:tc>
          <w:tcPr>
            <w:tcW w:w="249" w:type="dxa"/>
            <w:tcBorders>
              <w:top w:val="nil"/>
              <w:bottom w:val="nil"/>
              <w:right w:val="nil"/>
            </w:tcBorders>
            <w:shd w:val="clear" w:color="auto" w:fill="66CCFF"/>
          </w:tcPr>
          <w:p w14:paraId="40981ED1" w14:textId="77777777" w:rsidR="00DD3EFA" w:rsidRPr="005A0E7C" w:rsidRDefault="00DD3EFA" w:rsidP="00B15ECB">
            <w:pPr>
              <w:rPr>
                <w:b/>
              </w:rPr>
            </w:pPr>
          </w:p>
        </w:tc>
        <w:tc>
          <w:tcPr>
            <w:tcW w:w="2548" w:type="dxa"/>
            <w:shd w:val="clear" w:color="auto" w:fill="FFFFFF" w:themeFill="background1"/>
          </w:tcPr>
          <w:p w14:paraId="26E30F4B" w14:textId="77777777" w:rsidR="00DD3EFA" w:rsidRPr="005A0E7C" w:rsidRDefault="00DD3EFA" w:rsidP="00B15ECB">
            <w:pPr>
              <w:rPr>
                <w:rFonts w:eastAsiaTheme="majorEastAsia"/>
                <w:b/>
              </w:rPr>
            </w:pPr>
            <w:r w:rsidRPr="005A0E7C">
              <w:rPr>
                <w:rFonts w:eastAsiaTheme="majorEastAsia"/>
                <w:b/>
              </w:rPr>
              <w:t>Synergické a multiplikační efekty</w:t>
            </w:r>
          </w:p>
          <w:p w14:paraId="6FCE8224"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60638D5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Synergická vazba nebyla v dané oblasti identifikována.  </w:t>
            </w:r>
          </w:p>
          <w:p w14:paraId="66335DB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Pro období 2014-2020 je v rámci OPZ popsána problematika sociálních služeb jako součást komplementární vazby „Sociální začleňování a boj s chudobou“ – pro plnění této vazby byly nastaveny dostatečné koordinační mechanismy pro zajištění doplňkovosti jednotlivých operací s relevantními aktivitami v IROP a OP PPR.</w:t>
            </w:r>
          </w:p>
          <w:p w14:paraId="5B9FE88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Podrobnější informace o plnění komplementárních vazeb v OPZ jsou uvedeny v Přehledu plnění synergických a komplementárních vazeb v MS2014, který je každoročně vyplňován jednotlivými ŘO podle Metodického pokynu pro monitorování implementace ESIF v ČR v programovém období 2014-2020.</w:t>
            </w:r>
          </w:p>
        </w:tc>
        <w:tc>
          <w:tcPr>
            <w:tcW w:w="249" w:type="dxa"/>
            <w:tcBorders>
              <w:top w:val="nil"/>
              <w:left w:val="nil"/>
              <w:bottom w:val="nil"/>
            </w:tcBorders>
            <w:shd w:val="clear" w:color="auto" w:fill="66CCFF"/>
          </w:tcPr>
          <w:p w14:paraId="20A8B78C" w14:textId="77777777" w:rsidR="00DD3EFA" w:rsidRPr="005A0E7C" w:rsidRDefault="00DD3EFA" w:rsidP="00B15ECB">
            <w:pPr>
              <w:rPr>
                <w:b/>
              </w:rPr>
            </w:pPr>
          </w:p>
        </w:tc>
      </w:tr>
      <w:tr w:rsidR="00DD3EFA" w:rsidRPr="005A0E7C" w14:paraId="4139F536" w14:textId="77777777" w:rsidTr="00B15ECB">
        <w:trPr>
          <w:trHeight w:val="180"/>
        </w:trPr>
        <w:tc>
          <w:tcPr>
            <w:tcW w:w="249" w:type="dxa"/>
            <w:tcBorders>
              <w:top w:val="nil"/>
              <w:bottom w:val="nil"/>
              <w:right w:val="nil"/>
            </w:tcBorders>
            <w:shd w:val="clear" w:color="auto" w:fill="66CCFF"/>
          </w:tcPr>
          <w:p w14:paraId="3606D406"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3F00B15D"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8A105B1" w14:textId="77777777" w:rsidR="00DD3EFA" w:rsidRPr="005A0E7C" w:rsidRDefault="00DD3EFA" w:rsidP="00B15ECB">
            <w:pPr>
              <w:rPr>
                <w:b/>
              </w:rPr>
            </w:pPr>
          </w:p>
        </w:tc>
        <w:tc>
          <w:tcPr>
            <w:tcW w:w="249" w:type="dxa"/>
            <w:tcBorders>
              <w:top w:val="nil"/>
              <w:left w:val="nil"/>
              <w:bottom w:val="nil"/>
            </w:tcBorders>
            <w:shd w:val="clear" w:color="auto" w:fill="66CCFF"/>
          </w:tcPr>
          <w:p w14:paraId="74642706" w14:textId="77777777" w:rsidR="00DD3EFA" w:rsidRPr="005A0E7C" w:rsidRDefault="00DD3EFA" w:rsidP="00B15ECB">
            <w:pPr>
              <w:rPr>
                <w:b/>
              </w:rPr>
            </w:pPr>
          </w:p>
        </w:tc>
      </w:tr>
      <w:tr w:rsidR="00DD3EFA" w:rsidRPr="005A0E7C" w14:paraId="120AEB2B" w14:textId="77777777" w:rsidTr="00B15ECB">
        <w:trPr>
          <w:trHeight w:val="990"/>
        </w:trPr>
        <w:tc>
          <w:tcPr>
            <w:tcW w:w="249" w:type="dxa"/>
            <w:tcBorders>
              <w:top w:val="nil"/>
              <w:bottom w:val="nil"/>
            </w:tcBorders>
            <w:shd w:val="clear" w:color="auto" w:fill="66CCFF"/>
          </w:tcPr>
          <w:p w14:paraId="6780DEF9"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55F6E5CD" w14:textId="77777777" w:rsidR="00DD3EFA" w:rsidRPr="005A0E7C" w:rsidRDefault="00DD3EFA" w:rsidP="00B15ECB">
            <w:pPr>
              <w:spacing w:before="60" w:after="60"/>
              <w:rPr>
                <w:rFonts w:eastAsiaTheme="majorEastAsia"/>
              </w:rPr>
            </w:pPr>
            <w:r w:rsidRPr="005A0E7C">
              <w:rPr>
                <w:rFonts w:eastAsiaTheme="majorEastAsia"/>
                <w:b/>
              </w:rPr>
              <w:t>Absorpční kapacita</w:t>
            </w:r>
            <w:r w:rsidRPr="005A0E7C">
              <w:rPr>
                <w:rFonts w:eastAsiaTheme="majorEastAsia"/>
                <w:i/>
                <w:u w:val="single"/>
              </w:rPr>
              <w:t xml:space="preserve"> </w:t>
            </w:r>
          </w:p>
        </w:tc>
        <w:tc>
          <w:tcPr>
            <w:tcW w:w="249" w:type="dxa"/>
            <w:tcBorders>
              <w:top w:val="nil"/>
              <w:bottom w:val="nil"/>
            </w:tcBorders>
            <w:shd w:val="clear" w:color="auto" w:fill="66CCFF"/>
          </w:tcPr>
          <w:p w14:paraId="7BDAC029" w14:textId="77777777" w:rsidR="00DD3EFA" w:rsidRPr="005A0E7C" w:rsidRDefault="00DD3EFA" w:rsidP="00B15ECB">
            <w:pPr>
              <w:rPr>
                <w:b/>
              </w:rPr>
            </w:pPr>
          </w:p>
        </w:tc>
      </w:tr>
      <w:tr w:rsidR="00DD3EFA" w:rsidRPr="005A0E7C" w14:paraId="0E321FF3" w14:textId="77777777" w:rsidTr="00B15ECB">
        <w:trPr>
          <w:trHeight w:val="1260"/>
        </w:trPr>
        <w:tc>
          <w:tcPr>
            <w:tcW w:w="249" w:type="dxa"/>
            <w:tcBorders>
              <w:top w:val="nil"/>
              <w:bottom w:val="nil"/>
            </w:tcBorders>
            <w:shd w:val="clear" w:color="auto" w:fill="66CCFF"/>
          </w:tcPr>
          <w:p w14:paraId="47EC974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A7463A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3E1F9D8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Oblast sociálních služeb je financována především z OPZ, IP 2.1 </w:t>
            </w:r>
            <w:r w:rsidRPr="005A0E7C">
              <w:rPr>
                <w:rFonts w:ascii="Times New Roman" w:hAnsi="Times New Roman"/>
                <w:i/>
              </w:rPr>
              <w:t>Aktivní začleňování, zejména za účelem zvyšování zaměstnatelnosti</w:t>
            </w:r>
            <w:r w:rsidRPr="005A0E7C">
              <w:rPr>
                <w:rFonts w:ascii="Times New Roman" w:hAnsi="Times New Roman"/>
              </w:rPr>
              <w:t xml:space="preserve"> a IP 2.2 </w:t>
            </w:r>
            <w:r w:rsidRPr="005A0E7C">
              <w:rPr>
                <w:rFonts w:ascii="Times New Roman" w:hAnsi="Times New Roman"/>
                <w:i/>
              </w:rPr>
              <w:t>Zlepšování přístupu k dostupným, udržitelným a vysoce kvalitním službám, včetně zdravotnictví a sociálních služeb.</w:t>
            </w:r>
            <w:r w:rsidRPr="005A0E7C">
              <w:rPr>
                <w:rFonts w:ascii="Times New Roman" w:hAnsi="Times New Roman"/>
              </w:rPr>
              <w:t xml:space="preserve"> V prioritní ose 2 OPZ byly věcné i finanční milníky 2018 naplněny. Ke konci roku 2018 bylo v PO2 OPZ podpořeno celkem 31 836 osob a kapacita podpořených služeb dosáhla hodnoty 18 589 míst. </w:t>
            </w:r>
          </w:p>
          <w:p w14:paraId="5DEA8BFF"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v IP 2.1 OPZ ke konci roku 2018:</w:t>
            </w:r>
          </w:p>
          <w:p w14:paraId="0A099493"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10 mld. Kč</w:t>
            </w:r>
          </w:p>
          <w:p w14:paraId="2C958433"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8,3 mld. Kč (83%)</w:t>
            </w:r>
          </w:p>
          <w:p w14:paraId="7EFD6639"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 xml:space="preserve">Objem vyúčtovaný v ŽoP: 3,5 mld. Kč (35 %) </w:t>
            </w:r>
          </w:p>
          <w:p w14:paraId="5A47A6C5" w14:textId="77777777" w:rsidR="00DD3EFA" w:rsidRPr="005A0E7C" w:rsidRDefault="00DD3EFA" w:rsidP="00B15ECB">
            <w:pPr>
              <w:pStyle w:val="slovanodstavec"/>
              <w:tabs>
                <w:tab w:val="left" w:pos="284"/>
              </w:tabs>
              <w:suppressAutoHyphens/>
              <w:spacing w:line="240" w:lineRule="auto"/>
              <w:rPr>
                <w:rFonts w:ascii="Times New Roman" w:hAnsi="Times New Roman"/>
              </w:rPr>
            </w:pPr>
          </w:p>
          <w:p w14:paraId="09D5BC65"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Údaje o čerpání v IP 2.2 OPZ ke konci roku 2018:</w:t>
            </w:r>
          </w:p>
          <w:p w14:paraId="67A92696"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Alokace dané oblasti v OPZ: 6,57 mld. Kč</w:t>
            </w:r>
          </w:p>
          <w:p w14:paraId="5F3A35A9"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právních aktů: 5,35 mld. Kč (81%)</w:t>
            </w:r>
          </w:p>
          <w:p w14:paraId="5729872F"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rPr>
            </w:pPr>
            <w:r w:rsidRPr="005A0E7C">
              <w:rPr>
                <w:rFonts w:ascii="Times New Roman" w:eastAsiaTheme="minorHAnsi" w:hAnsi="Times New Roman"/>
              </w:rPr>
              <w:t>Objem vyúčtovaný v ŽoP: 1 mld. Kč (16 %)</w:t>
            </w:r>
          </w:p>
          <w:p w14:paraId="6F33FA6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p>
          <w:p w14:paraId="381A239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Infrastruktura sociálních služeb je podporována i z IROP z SC 2.1 a z OP PPR, kde jsou podporovány aktivity deinstitucionalizace soc. služeb, infrastruktura pro dostupnost a rozvoj soc. služeb a komunitní centra. ŘO IROP zaznamenal především enormní zájem o výzvy na rozvoj komunitních center ze strany obcí, velký zájem byl také o rozvoj sociálních služeb. Obecně velký zájem je o výzvy určené do SVL.</w:t>
            </w:r>
          </w:p>
          <w:p w14:paraId="5DD3967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Na území hl. města Prahy jsou v rámci OP PPR podporovány investice na zřizování či rozšiřování stávajících sociálních služeb pro osoby bez domova i pro osoby ohrožené bezdomovectvím s ocitající se v krizi. Na základě vyhodnocených výzev je ze strany žadatelů větší zájem o vznik a rozvoj komunitních center, naopak je evidován nižší zájem o rozšiřování kapacit sociálních služeb. </w:t>
            </w:r>
          </w:p>
          <w:p w14:paraId="193F574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Jako problematická se však nadále i v tomto programovém období jeví nízká koordinace mezi jednotlivými OP v oblasti komplementarit, a to zejména v časovém a tematickém vyhlašování jednotlivých výzev ESIF. </w:t>
            </w:r>
          </w:p>
        </w:tc>
        <w:tc>
          <w:tcPr>
            <w:tcW w:w="249" w:type="dxa"/>
            <w:tcBorders>
              <w:top w:val="nil"/>
              <w:bottom w:val="nil"/>
            </w:tcBorders>
            <w:shd w:val="clear" w:color="auto" w:fill="66CCFF"/>
          </w:tcPr>
          <w:p w14:paraId="2E04EE2E" w14:textId="77777777" w:rsidR="00DD3EFA" w:rsidRPr="005A0E7C" w:rsidRDefault="00DD3EFA" w:rsidP="00B15ECB">
            <w:pPr>
              <w:rPr>
                <w:b/>
              </w:rPr>
            </w:pPr>
          </w:p>
        </w:tc>
      </w:tr>
      <w:tr w:rsidR="00DD3EFA" w:rsidRPr="005A0E7C" w14:paraId="1F6A4845" w14:textId="77777777" w:rsidTr="00B15ECB">
        <w:trPr>
          <w:trHeight w:val="850"/>
        </w:trPr>
        <w:tc>
          <w:tcPr>
            <w:tcW w:w="249" w:type="dxa"/>
            <w:tcBorders>
              <w:top w:val="nil"/>
              <w:bottom w:val="nil"/>
            </w:tcBorders>
            <w:shd w:val="clear" w:color="auto" w:fill="66CCFF"/>
          </w:tcPr>
          <w:p w14:paraId="34005A7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C9B28A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37734298" w14:textId="77777777" w:rsidR="00DD3EFA" w:rsidRPr="005A0E7C" w:rsidRDefault="00DD3EFA" w:rsidP="00B15ECB">
            <w:pPr>
              <w:spacing w:before="60" w:after="60"/>
              <w:rPr>
                <w:rFonts w:eastAsiaTheme="majorEastAsia"/>
              </w:rPr>
            </w:pPr>
            <w:r w:rsidRPr="005A0E7C">
              <w:rPr>
                <w:rFonts w:eastAsiaTheme="majorEastAsia"/>
              </w:rPr>
              <w:t>Z výše uvedených údajů o čerpání je zřejmé, že poptávka příjemců je dostatečná a odpovídá vyčleněné alokaci pro období 2014-2020. Vzhledem k neukončenému procesu deinstitucionalizace a transformace sociálních služeb a propojení sociálních a zdravotních služeb lze předpokládat, že poptávka příjemců bude dostatečná i v období 2021-2027.</w:t>
            </w:r>
          </w:p>
        </w:tc>
        <w:tc>
          <w:tcPr>
            <w:tcW w:w="249" w:type="dxa"/>
            <w:tcBorders>
              <w:top w:val="nil"/>
              <w:bottom w:val="nil"/>
            </w:tcBorders>
            <w:shd w:val="clear" w:color="auto" w:fill="66CCFF"/>
          </w:tcPr>
          <w:p w14:paraId="5BCE9656" w14:textId="77777777" w:rsidR="00DD3EFA" w:rsidRPr="005A0E7C" w:rsidRDefault="00DD3EFA" w:rsidP="00B15ECB">
            <w:pPr>
              <w:rPr>
                <w:b/>
              </w:rPr>
            </w:pPr>
          </w:p>
        </w:tc>
      </w:tr>
      <w:tr w:rsidR="00DD3EFA" w:rsidRPr="005A0E7C" w14:paraId="39AC12FB" w14:textId="77777777" w:rsidTr="00B15ECB">
        <w:trPr>
          <w:trHeight w:val="925"/>
        </w:trPr>
        <w:tc>
          <w:tcPr>
            <w:tcW w:w="249" w:type="dxa"/>
            <w:tcBorders>
              <w:top w:val="nil"/>
              <w:bottom w:val="nil"/>
            </w:tcBorders>
            <w:shd w:val="clear" w:color="auto" w:fill="66CCFF"/>
          </w:tcPr>
          <w:p w14:paraId="4B634F8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BEF3E1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642EEEB2" w14:textId="77777777" w:rsidR="00DD3EFA" w:rsidRPr="005A0E7C" w:rsidRDefault="00DD3EFA" w:rsidP="00B15ECB">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tc>
        <w:tc>
          <w:tcPr>
            <w:tcW w:w="249" w:type="dxa"/>
            <w:tcBorders>
              <w:top w:val="nil"/>
              <w:bottom w:val="nil"/>
            </w:tcBorders>
            <w:shd w:val="clear" w:color="auto" w:fill="66CCFF"/>
          </w:tcPr>
          <w:p w14:paraId="77880EC8" w14:textId="77777777" w:rsidR="00DD3EFA" w:rsidRPr="005A0E7C" w:rsidRDefault="00DD3EFA" w:rsidP="00B15ECB">
            <w:pPr>
              <w:rPr>
                <w:b/>
              </w:rPr>
            </w:pPr>
          </w:p>
        </w:tc>
      </w:tr>
      <w:tr w:rsidR="00DD3EFA" w:rsidRPr="005A0E7C" w14:paraId="005A7584" w14:textId="77777777" w:rsidTr="00B15ECB">
        <w:trPr>
          <w:trHeight w:val="1001"/>
        </w:trPr>
        <w:tc>
          <w:tcPr>
            <w:tcW w:w="249" w:type="dxa"/>
            <w:tcBorders>
              <w:top w:val="nil"/>
              <w:bottom w:val="nil"/>
            </w:tcBorders>
            <w:shd w:val="clear" w:color="auto" w:fill="66CCFF"/>
          </w:tcPr>
          <w:p w14:paraId="1960F8A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82F2356"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036B74D6" w14:textId="77777777" w:rsidR="00DD3EFA" w:rsidRPr="005A0E7C" w:rsidRDefault="00DD3EFA" w:rsidP="00B15ECB">
            <w:pPr>
              <w:spacing w:before="60" w:after="60"/>
              <w:rPr>
                <w:rFonts w:eastAsiaTheme="majorEastAsia"/>
              </w:rPr>
            </w:pPr>
            <w:r w:rsidRPr="005A0E7C">
              <w:rPr>
                <w:rFonts w:eastAsiaTheme="majorEastAsia"/>
              </w:rPr>
              <w:t>- Administrativní překážky</w:t>
            </w:r>
          </w:p>
          <w:p w14:paraId="4C6DDA02" w14:textId="77777777" w:rsidR="00DD3EFA" w:rsidRPr="005A0E7C" w:rsidRDefault="00DD3EFA" w:rsidP="00B15ECB">
            <w:pPr>
              <w:spacing w:before="60" w:after="60"/>
              <w:rPr>
                <w:rFonts w:eastAsiaTheme="majorEastAsia"/>
              </w:rPr>
            </w:pPr>
            <w:r w:rsidRPr="005A0E7C">
              <w:rPr>
                <w:rFonts w:eastAsiaTheme="majorEastAsia"/>
              </w:rPr>
              <w:t>- Nedostatečná spolupráce na úrovni veřejné správy</w:t>
            </w:r>
          </w:p>
          <w:p w14:paraId="2D515545" w14:textId="77777777" w:rsidR="00DD3EFA" w:rsidRPr="005A0E7C" w:rsidRDefault="00DD3EFA" w:rsidP="00B15ECB">
            <w:pPr>
              <w:spacing w:before="60" w:after="60"/>
              <w:rPr>
                <w:rFonts w:eastAsiaTheme="majorEastAsia"/>
              </w:rPr>
            </w:pPr>
            <w:r w:rsidRPr="005A0E7C">
              <w:rPr>
                <w:rFonts w:eastAsiaTheme="majorEastAsia"/>
                <w:i/>
              </w:rPr>
              <w:t>- Chybějící legislativa pro nové typy sociálních služeb</w:t>
            </w:r>
          </w:p>
          <w:p w14:paraId="24410A0A"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6E2AF088" w14:textId="77777777" w:rsidR="00DD3EFA" w:rsidRPr="005A0E7C" w:rsidRDefault="00DD3EFA" w:rsidP="00B15ECB">
            <w:pPr>
              <w:rPr>
                <w:b/>
              </w:rPr>
            </w:pPr>
          </w:p>
        </w:tc>
      </w:tr>
      <w:tr w:rsidR="00DD3EFA" w:rsidRPr="005A0E7C" w14:paraId="6F2EBB84"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295AEFD8"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0AFEF5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87E8600"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48E75EDA" w14:textId="77777777" w:rsidR="00DD3EFA" w:rsidRPr="005A0E7C" w:rsidRDefault="00DD3EFA" w:rsidP="00B15ECB">
            <w:pPr>
              <w:rPr>
                <w:b/>
              </w:rPr>
            </w:pPr>
          </w:p>
        </w:tc>
      </w:tr>
      <w:tr w:rsidR="00DD3EFA" w:rsidRPr="005A0E7C" w14:paraId="4709720D" w14:textId="77777777" w:rsidTr="00B15ECB">
        <w:trPr>
          <w:trHeight w:val="1559"/>
        </w:trPr>
        <w:tc>
          <w:tcPr>
            <w:tcW w:w="249" w:type="dxa"/>
            <w:tcBorders>
              <w:top w:val="single" w:sz="4" w:space="0" w:color="auto"/>
              <w:bottom w:val="nil"/>
            </w:tcBorders>
            <w:shd w:val="clear" w:color="auto" w:fill="66CCFF"/>
          </w:tcPr>
          <w:p w14:paraId="6EDCAD7D"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22F87C0A"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31BB4734" w14:textId="77777777" w:rsidR="00DD3EFA" w:rsidRPr="005A0E7C" w:rsidRDefault="00DD3EFA" w:rsidP="00B15ECB">
            <w:pPr>
              <w:spacing w:before="60" w:after="60"/>
              <w:rPr>
                <w:rFonts w:eastAsiaTheme="majorEastAsia"/>
                <w:i/>
              </w:rPr>
            </w:pPr>
          </w:p>
        </w:tc>
        <w:tc>
          <w:tcPr>
            <w:tcW w:w="249" w:type="dxa"/>
            <w:tcBorders>
              <w:top w:val="single" w:sz="4" w:space="0" w:color="auto"/>
              <w:bottom w:val="nil"/>
            </w:tcBorders>
            <w:shd w:val="clear" w:color="auto" w:fill="66CCFF"/>
          </w:tcPr>
          <w:p w14:paraId="78A758E0" w14:textId="77777777" w:rsidR="00DD3EFA" w:rsidRPr="005A0E7C" w:rsidRDefault="00DD3EFA" w:rsidP="00B15ECB">
            <w:pPr>
              <w:rPr>
                <w:b/>
              </w:rPr>
            </w:pPr>
          </w:p>
        </w:tc>
      </w:tr>
      <w:tr w:rsidR="00DD3EFA" w:rsidRPr="005A0E7C" w14:paraId="04A6B400" w14:textId="77777777" w:rsidTr="00B15ECB">
        <w:trPr>
          <w:trHeight w:val="1261"/>
        </w:trPr>
        <w:tc>
          <w:tcPr>
            <w:tcW w:w="249" w:type="dxa"/>
            <w:tcBorders>
              <w:top w:val="nil"/>
              <w:bottom w:val="nil"/>
            </w:tcBorders>
            <w:shd w:val="clear" w:color="auto" w:fill="66CCFF"/>
          </w:tcPr>
          <w:p w14:paraId="50692D1F" w14:textId="77777777" w:rsidR="00DD3EFA" w:rsidRPr="005A0E7C" w:rsidRDefault="00DD3EFA" w:rsidP="00B15ECB">
            <w:pPr>
              <w:rPr>
                <w:b/>
              </w:rPr>
            </w:pPr>
          </w:p>
        </w:tc>
        <w:tc>
          <w:tcPr>
            <w:tcW w:w="2548" w:type="dxa"/>
            <w:tcBorders>
              <w:top w:val="nil"/>
            </w:tcBorders>
            <w:shd w:val="clear" w:color="auto" w:fill="FFFFFF" w:themeFill="background1"/>
          </w:tcPr>
          <w:p w14:paraId="6DF4D447"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648095B6" w14:textId="77777777" w:rsidR="00DD3EFA" w:rsidRPr="005A0E7C" w:rsidRDefault="00DD3EFA" w:rsidP="00B15ECB">
            <w:pPr>
              <w:spacing w:before="60" w:after="60"/>
              <w:rPr>
                <w:rFonts w:eastAsiaTheme="majorEastAsia"/>
                <w:i/>
              </w:rPr>
            </w:pPr>
            <w:r w:rsidRPr="005A0E7C">
              <w:rPr>
                <w:rFonts w:eastAsiaTheme="majorEastAsia"/>
                <w:i/>
              </w:rPr>
              <w:t xml:space="preserve">Žádné významnější prostředky v jiných unijních programech nad rámec ESF+ nejsou k dispozici. </w:t>
            </w:r>
          </w:p>
          <w:p w14:paraId="33FC52F1" w14:textId="77777777" w:rsidR="00DD3EFA" w:rsidRPr="005A0E7C" w:rsidRDefault="00DD3EFA" w:rsidP="00B15ECB">
            <w:pPr>
              <w:spacing w:before="60" w:after="60"/>
              <w:rPr>
                <w:rFonts w:eastAsiaTheme="majorEastAsia"/>
                <w:i/>
              </w:rPr>
            </w:pPr>
            <w:r w:rsidRPr="005A0E7C">
              <w:rPr>
                <w:i/>
              </w:rPr>
              <w:t>Program na podporu zaměstnanosti a sociálních inovací (EaSI) byl pro období 2021-2027 nově začleněn do ESF+.</w:t>
            </w:r>
          </w:p>
        </w:tc>
        <w:tc>
          <w:tcPr>
            <w:tcW w:w="249" w:type="dxa"/>
            <w:tcBorders>
              <w:top w:val="nil"/>
              <w:bottom w:val="nil"/>
            </w:tcBorders>
            <w:shd w:val="clear" w:color="auto" w:fill="66CCFF"/>
          </w:tcPr>
          <w:p w14:paraId="7206A9A3" w14:textId="77777777" w:rsidR="00DD3EFA" w:rsidRPr="005A0E7C" w:rsidRDefault="00DD3EFA" w:rsidP="00B15ECB">
            <w:pPr>
              <w:rPr>
                <w:b/>
              </w:rPr>
            </w:pPr>
          </w:p>
        </w:tc>
      </w:tr>
      <w:tr w:rsidR="00DD3EFA" w:rsidRPr="005A0E7C" w14:paraId="1280116C" w14:textId="77777777" w:rsidTr="00B15ECB">
        <w:trPr>
          <w:trHeight w:val="995"/>
        </w:trPr>
        <w:tc>
          <w:tcPr>
            <w:tcW w:w="249" w:type="dxa"/>
            <w:tcBorders>
              <w:top w:val="nil"/>
              <w:bottom w:val="nil"/>
            </w:tcBorders>
            <w:shd w:val="clear" w:color="auto" w:fill="66CCFF"/>
          </w:tcPr>
          <w:p w14:paraId="0A541921" w14:textId="77777777" w:rsidR="00DD3EFA" w:rsidRPr="005A0E7C" w:rsidRDefault="00DD3EFA" w:rsidP="00B15ECB">
            <w:pPr>
              <w:rPr>
                <w:b/>
              </w:rPr>
            </w:pPr>
          </w:p>
        </w:tc>
        <w:tc>
          <w:tcPr>
            <w:tcW w:w="2548" w:type="dxa"/>
            <w:tcBorders>
              <w:top w:val="nil"/>
            </w:tcBorders>
            <w:shd w:val="clear" w:color="auto" w:fill="FFFFFF" w:themeFill="background1"/>
          </w:tcPr>
          <w:p w14:paraId="5754B225"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67432741" w14:textId="77777777" w:rsidR="00DD3EFA" w:rsidRPr="005A0E7C" w:rsidRDefault="00DD3EFA" w:rsidP="00B15ECB">
            <w:pPr>
              <w:spacing w:before="60" w:after="60"/>
              <w:rPr>
                <w:rFonts w:eastAsiaTheme="majorEastAsia"/>
                <w:i/>
              </w:rPr>
            </w:pPr>
            <w:r w:rsidRPr="005A0E7C">
              <w:rPr>
                <w:rFonts w:eastAsiaTheme="majorEastAsia"/>
                <w:i/>
              </w:rPr>
              <w:t>Sociální služby jsou financovány rovněž ze státního rozpočtu a ze zdrojů obcí a krajů. Případné chybějící zdroje ESIF by bylo třeba nahradit těmito veřejnými prostředky.</w:t>
            </w:r>
          </w:p>
        </w:tc>
        <w:tc>
          <w:tcPr>
            <w:tcW w:w="249" w:type="dxa"/>
            <w:tcBorders>
              <w:top w:val="nil"/>
              <w:bottom w:val="nil"/>
            </w:tcBorders>
            <w:shd w:val="clear" w:color="auto" w:fill="66CCFF"/>
          </w:tcPr>
          <w:p w14:paraId="1645E572" w14:textId="77777777" w:rsidR="00DD3EFA" w:rsidRPr="005A0E7C" w:rsidRDefault="00DD3EFA" w:rsidP="00B15ECB">
            <w:pPr>
              <w:rPr>
                <w:b/>
              </w:rPr>
            </w:pPr>
          </w:p>
        </w:tc>
      </w:tr>
      <w:tr w:rsidR="00DD3EFA" w:rsidRPr="005A0E7C" w14:paraId="03C58D73" w14:textId="77777777" w:rsidTr="00B15ECB">
        <w:trPr>
          <w:trHeight w:val="839"/>
        </w:trPr>
        <w:tc>
          <w:tcPr>
            <w:tcW w:w="249" w:type="dxa"/>
            <w:tcBorders>
              <w:top w:val="nil"/>
              <w:bottom w:val="nil"/>
            </w:tcBorders>
            <w:shd w:val="clear" w:color="auto" w:fill="66CCFF"/>
          </w:tcPr>
          <w:p w14:paraId="562908E4" w14:textId="77777777" w:rsidR="00DD3EFA" w:rsidRPr="005A0E7C" w:rsidRDefault="00DD3EFA" w:rsidP="00B15ECB">
            <w:pPr>
              <w:rPr>
                <w:b/>
              </w:rPr>
            </w:pPr>
          </w:p>
        </w:tc>
        <w:tc>
          <w:tcPr>
            <w:tcW w:w="2548" w:type="dxa"/>
            <w:tcBorders>
              <w:top w:val="nil"/>
            </w:tcBorders>
            <w:shd w:val="clear" w:color="auto" w:fill="FFFFFF" w:themeFill="background1"/>
          </w:tcPr>
          <w:p w14:paraId="7F46F68E"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606D9CB8" w14:textId="77777777" w:rsidR="00DD3EFA" w:rsidRPr="005A0E7C" w:rsidRDefault="00DD3EFA" w:rsidP="00B15ECB">
            <w:pPr>
              <w:spacing w:before="60" w:after="60"/>
              <w:rPr>
                <w:rFonts w:eastAsiaTheme="majorEastAsia"/>
                <w:i/>
              </w:rPr>
            </w:pPr>
            <w:r w:rsidRPr="005A0E7C">
              <w:rPr>
                <w:rFonts w:eastAsiaTheme="majorEastAsia"/>
                <w:i/>
              </w:rPr>
              <w:t>Žádné významnější zdroje mimo veřejné rozpočty nejsou k dispozici.</w:t>
            </w:r>
          </w:p>
        </w:tc>
        <w:tc>
          <w:tcPr>
            <w:tcW w:w="249" w:type="dxa"/>
            <w:tcBorders>
              <w:top w:val="nil"/>
              <w:bottom w:val="nil"/>
            </w:tcBorders>
            <w:shd w:val="clear" w:color="auto" w:fill="66CCFF"/>
          </w:tcPr>
          <w:p w14:paraId="682237DA" w14:textId="77777777" w:rsidR="00DD3EFA" w:rsidRPr="005A0E7C" w:rsidRDefault="00DD3EFA" w:rsidP="00B15ECB">
            <w:pPr>
              <w:rPr>
                <w:b/>
              </w:rPr>
            </w:pPr>
          </w:p>
        </w:tc>
      </w:tr>
      <w:tr w:rsidR="00DD3EFA" w:rsidRPr="005A0E7C" w14:paraId="53D8E1BD" w14:textId="77777777" w:rsidTr="00B15ECB">
        <w:trPr>
          <w:trHeight w:val="1134"/>
        </w:trPr>
        <w:tc>
          <w:tcPr>
            <w:tcW w:w="249" w:type="dxa"/>
            <w:tcBorders>
              <w:top w:val="nil"/>
              <w:bottom w:val="nil"/>
            </w:tcBorders>
            <w:shd w:val="clear" w:color="auto" w:fill="66CCFF"/>
          </w:tcPr>
          <w:p w14:paraId="4CD033CB" w14:textId="77777777" w:rsidR="00DD3EFA" w:rsidRPr="005A0E7C" w:rsidRDefault="00DD3EFA" w:rsidP="00B15ECB">
            <w:pPr>
              <w:rPr>
                <w:b/>
              </w:rPr>
            </w:pPr>
          </w:p>
        </w:tc>
        <w:tc>
          <w:tcPr>
            <w:tcW w:w="2548" w:type="dxa"/>
            <w:tcBorders>
              <w:top w:val="nil"/>
            </w:tcBorders>
            <w:shd w:val="clear" w:color="auto" w:fill="FFFFFF" w:themeFill="background1"/>
          </w:tcPr>
          <w:p w14:paraId="6A5FC35E"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76D6D811" w14:textId="77777777" w:rsidR="00DD3EFA" w:rsidRPr="005A0E7C" w:rsidRDefault="00DD3EFA" w:rsidP="00B15ECB">
            <w:pPr>
              <w:spacing w:before="60" w:after="60"/>
              <w:rPr>
                <w:rFonts w:eastAsiaTheme="majorEastAsia"/>
                <w:i/>
              </w:rPr>
            </w:pPr>
            <w:r w:rsidRPr="005A0E7C">
              <w:rPr>
                <w:rFonts w:eastAsiaTheme="majorEastAsia"/>
                <w:i/>
              </w:rPr>
              <w:t xml:space="preserve">Využití finančních nástrojů v dané oblasti není možné, protože podpořené projekty negenerují podstatnější příjmy, které by mohly být využity ke vrácení poskytnuté podpory. </w:t>
            </w:r>
          </w:p>
        </w:tc>
        <w:tc>
          <w:tcPr>
            <w:tcW w:w="249" w:type="dxa"/>
            <w:tcBorders>
              <w:top w:val="nil"/>
              <w:bottom w:val="nil"/>
            </w:tcBorders>
            <w:shd w:val="clear" w:color="auto" w:fill="66CCFF"/>
          </w:tcPr>
          <w:p w14:paraId="2B2C0C19" w14:textId="77777777" w:rsidR="00DD3EFA" w:rsidRPr="005A0E7C" w:rsidRDefault="00DD3EFA" w:rsidP="00B15ECB">
            <w:pPr>
              <w:rPr>
                <w:b/>
              </w:rPr>
            </w:pPr>
          </w:p>
        </w:tc>
      </w:tr>
      <w:tr w:rsidR="00DD3EFA" w:rsidRPr="005A0E7C" w14:paraId="4F391B71" w14:textId="77777777" w:rsidTr="00B15ECB">
        <w:trPr>
          <w:trHeight w:val="150"/>
        </w:trPr>
        <w:tc>
          <w:tcPr>
            <w:tcW w:w="249" w:type="dxa"/>
            <w:tcBorders>
              <w:top w:val="nil"/>
              <w:right w:val="nil"/>
            </w:tcBorders>
            <w:shd w:val="clear" w:color="auto" w:fill="66CCFF"/>
          </w:tcPr>
          <w:p w14:paraId="4258F484" w14:textId="77777777" w:rsidR="00DD3EFA" w:rsidRPr="005A0E7C" w:rsidRDefault="00DD3EFA" w:rsidP="00B15ECB">
            <w:pPr>
              <w:rPr>
                <w:b/>
              </w:rPr>
            </w:pPr>
          </w:p>
        </w:tc>
        <w:tc>
          <w:tcPr>
            <w:tcW w:w="2548" w:type="dxa"/>
            <w:tcBorders>
              <w:left w:val="nil"/>
              <w:right w:val="nil"/>
            </w:tcBorders>
            <w:shd w:val="clear" w:color="auto" w:fill="66CCFF"/>
          </w:tcPr>
          <w:p w14:paraId="69A93229" w14:textId="77777777" w:rsidR="00DD3EFA" w:rsidRPr="005A0E7C" w:rsidRDefault="00DD3EFA" w:rsidP="00B15ECB">
            <w:pPr>
              <w:rPr>
                <w:b/>
              </w:rPr>
            </w:pPr>
          </w:p>
        </w:tc>
        <w:tc>
          <w:tcPr>
            <w:tcW w:w="5978" w:type="dxa"/>
            <w:tcBorders>
              <w:left w:val="nil"/>
              <w:right w:val="nil"/>
            </w:tcBorders>
            <w:shd w:val="clear" w:color="auto" w:fill="66CCFF"/>
          </w:tcPr>
          <w:p w14:paraId="1AF6304E" w14:textId="77777777" w:rsidR="00DD3EFA" w:rsidRPr="005A0E7C" w:rsidRDefault="00DD3EFA" w:rsidP="00B15ECB">
            <w:pPr>
              <w:rPr>
                <w:b/>
              </w:rPr>
            </w:pPr>
          </w:p>
        </w:tc>
        <w:tc>
          <w:tcPr>
            <w:tcW w:w="249" w:type="dxa"/>
            <w:tcBorders>
              <w:top w:val="nil"/>
              <w:left w:val="nil"/>
            </w:tcBorders>
            <w:shd w:val="clear" w:color="auto" w:fill="66CCFF"/>
          </w:tcPr>
          <w:p w14:paraId="71A7D8E7" w14:textId="77777777" w:rsidR="00DD3EFA" w:rsidRPr="005A0E7C" w:rsidRDefault="00DD3EFA" w:rsidP="00B15ECB">
            <w:pPr>
              <w:rPr>
                <w:b/>
              </w:rPr>
            </w:pPr>
          </w:p>
        </w:tc>
      </w:tr>
    </w:tbl>
    <w:p w14:paraId="5CDE8BE6" w14:textId="77777777" w:rsidR="00DD3EFA" w:rsidRPr="005A0E7C" w:rsidRDefault="00DD3EFA">
      <w:pPr>
        <w:rPr>
          <w:rFonts w:ascii="Times New Roman" w:hAnsi="Times New Roman" w:cs="Times New Roman"/>
          <w:sz w:val="20"/>
          <w:szCs w:val="20"/>
        </w:rPr>
      </w:pPr>
    </w:p>
    <w:p w14:paraId="60A9EC31"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57504CC" w14:textId="77777777" w:rsidTr="00B15ECB">
        <w:trPr>
          <w:trHeight w:val="180"/>
        </w:trPr>
        <w:tc>
          <w:tcPr>
            <w:tcW w:w="249" w:type="dxa"/>
            <w:tcBorders>
              <w:bottom w:val="nil"/>
              <w:right w:val="nil"/>
            </w:tcBorders>
            <w:shd w:val="clear" w:color="auto" w:fill="66CCFF"/>
          </w:tcPr>
          <w:p w14:paraId="71D6F461" w14:textId="77777777" w:rsidR="00DD3EFA" w:rsidRPr="005A0E7C" w:rsidRDefault="00DD3EFA" w:rsidP="00B15ECB">
            <w:pPr>
              <w:rPr>
                <w:b/>
              </w:rPr>
            </w:pPr>
          </w:p>
        </w:tc>
        <w:tc>
          <w:tcPr>
            <w:tcW w:w="2548" w:type="dxa"/>
            <w:tcBorders>
              <w:left w:val="nil"/>
              <w:right w:val="nil"/>
            </w:tcBorders>
            <w:shd w:val="clear" w:color="auto" w:fill="66CCFF"/>
          </w:tcPr>
          <w:p w14:paraId="5E6A329C" w14:textId="77777777" w:rsidR="00DD3EFA" w:rsidRPr="005A0E7C" w:rsidRDefault="00DD3EFA" w:rsidP="00B15ECB">
            <w:pPr>
              <w:rPr>
                <w:b/>
              </w:rPr>
            </w:pPr>
          </w:p>
        </w:tc>
        <w:tc>
          <w:tcPr>
            <w:tcW w:w="5978" w:type="dxa"/>
            <w:tcBorders>
              <w:left w:val="nil"/>
              <w:right w:val="nil"/>
            </w:tcBorders>
            <w:shd w:val="clear" w:color="auto" w:fill="66CCFF"/>
          </w:tcPr>
          <w:p w14:paraId="2B2470CD" w14:textId="77777777" w:rsidR="00DD3EFA" w:rsidRPr="005A0E7C" w:rsidRDefault="00DD3EFA" w:rsidP="00B15ECB">
            <w:pPr>
              <w:rPr>
                <w:b/>
              </w:rPr>
            </w:pPr>
          </w:p>
        </w:tc>
        <w:tc>
          <w:tcPr>
            <w:tcW w:w="249" w:type="dxa"/>
            <w:tcBorders>
              <w:left w:val="nil"/>
              <w:bottom w:val="nil"/>
            </w:tcBorders>
            <w:shd w:val="clear" w:color="auto" w:fill="66CCFF"/>
          </w:tcPr>
          <w:p w14:paraId="3008320E" w14:textId="77777777" w:rsidR="00DD3EFA" w:rsidRPr="005A0E7C" w:rsidRDefault="00DD3EFA" w:rsidP="00B15ECB">
            <w:pPr>
              <w:rPr>
                <w:b/>
              </w:rPr>
            </w:pPr>
          </w:p>
        </w:tc>
      </w:tr>
      <w:tr w:rsidR="00DD3EFA" w:rsidRPr="005A0E7C" w14:paraId="0CF232C8" w14:textId="77777777" w:rsidTr="00B15ECB">
        <w:trPr>
          <w:trHeight w:val="561"/>
        </w:trPr>
        <w:tc>
          <w:tcPr>
            <w:tcW w:w="249" w:type="dxa"/>
            <w:tcBorders>
              <w:top w:val="nil"/>
              <w:bottom w:val="nil"/>
            </w:tcBorders>
            <w:shd w:val="clear" w:color="auto" w:fill="66CCFF"/>
          </w:tcPr>
          <w:p w14:paraId="3545EB6A" w14:textId="77777777" w:rsidR="00DD3EFA" w:rsidRPr="005A0E7C" w:rsidRDefault="00DD3EFA" w:rsidP="00B15ECB">
            <w:pPr>
              <w:rPr>
                <w:b/>
              </w:rPr>
            </w:pPr>
          </w:p>
        </w:tc>
        <w:tc>
          <w:tcPr>
            <w:tcW w:w="2548" w:type="dxa"/>
            <w:shd w:val="clear" w:color="auto" w:fill="0070C0"/>
          </w:tcPr>
          <w:p w14:paraId="56650B29"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7D6A12EF"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5978" w:type="dxa"/>
            <w:shd w:val="clear" w:color="auto" w:fill="0070C0"/>
          </w:tcPr>
          <w:p w14:paraId="6965625E"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12"/>
            </w:r>
            <w:r w:rsidRPr="005A0E7C">
              <w:rPr>
                <w:rFonts w:eastAsiaTheme="majorEastAsia"/>
                <w:b/>
                <w:color w:val="FFFFFF" w:themeColor="background1"/>
                <w:u w:val="single"/>
              </w:rPr>
              <w:t xml:space="preserve">: </w:t>
            </w:r>
          </w:p>
          <w:p w14:paraId="2ECD9987"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Sociální bydlení</w:t>
            </w:r>
          </w:p>
        </w:tc>
        <w:tc>
          <w:tcPr>
            <w:tcW w:w="249" w:type="dxa"/>
            <w:tcBorders>
              <w:top w:val="nil"/>
              <w:bottom w:val="nil"/>
            </w:tcBorders>
            <w:shd w:val="clear" w:color="auto" w:fill="66CCFF"/>
          </w:tcPr>
          <w:p w14:paraId="20879880" w14:textId="77777777" w:rsidR="00DD3EFA" w:rsidRPr="005A0E7C" w:rsidRDefault="00DD3EFA" w:rsidP="00B15ECB">
            <w:pPr>
              <w:rPr>
                <w:b/>
              </w:rPr>
            </w:pPr>
          </w:p>
        </w:tc>
      </w:tr>
      <w:tr w:rsidR="00DD3EFA" w:rsidRPr="005A0E7C" w14:paraId="62B61B7B" w14:textId="77777777" w:rsidTr="00B15ECB">
        <w:trPr>
          <w:trHeight w:val="180"/>
        </w:trPr>
        <w:tc>
          <w:tcPr>
            <w:tcW w:w="249" w:type="dxa"/>
            <w:tcBorders>
              <w:top w:val="nil"/>
              <w:bottom w:val="nil"/>
              <w:right w:val="nil"/>
            </w:tcBorders>
            <w:shd w:val="clear" w:color="auto" w:fill="66CCFF"/>
          </w:tcPr>
          <w:p w14:paraId="4292D2AF" w14:textId="77777777" w:rsidR="00DD3EFA" w:rsidRPr="005A0E7C" w:rsidRDefault="00DD3EFA" w:rsidP="00B15ECB">
            <w:pPr>
              <w:rPr>
                <w:b/>
              </w:rPr>
            </w:pPr>
          </w:p>
        </w:tc>
        <w:tc>
          <w:tcPr>
            <w:tcW w:w="2548" w:type="dxa"/>
            <w:tcBorders>
              <w:left w:val="nil"/>
              <w:right w:val="nil"/>
            </w:tcBorders>
            <w:shd w:val="clear" w:color="auto" w:fill="66CCFF"/>
          </w:tcPr>
          <w:p w14:paraId="15A96DFA" w14:textId="77777777" w:rsidR="00DD3EFA" w:rsidRPr="005A0E7C" w:rsidRDefault="00DD3EFA" w:rsidP="00B15ECB">
            <w:pPr>
              <w:rPr>
                <w:b/>
              </w:rPr>
            </w:pPr>
          </w:p>
        </w:tc>
        <w:tc>
          <w:tcPr>
            <w:tcW w:w="5978" w:type="dxa"/>
            <w:tcBorders>
              <w:left w:val="nil"/>
              <w:right w:val="nil"/>
            </w:tcBorders>
            <w:shd w:val="clear" w:color="auto" w:fill="66CCFF"/>
          </w:tcPr>
          <w:p w14:paraId="1FECC09A" w14:textId="77777777" w:rsidR="00DD3EFA" w:rsidRPr="005A0E7C" w:rsidRDefault="00DD3EFA" w:rsidP="00B15ECB">
            <w:pPr>
              <w:rPr>
                <w:b/>
              </w:rPr>
            </w:pPr>
          </w:p>
        </w:tc>
        <w:tc>
          <w:tcPr>
            <w:tcW w:w="249" w:type="dxa"/>
            <w:tcBorders>
              <w:top w:val="nil"/>
              <w:left w:val="nil"/>
              <w:bottom w:val="nil"/>
            </w:tcBorders>
            <w:shd w:val="clear" w:color="auto" w:fill="66CCFF"/>
          </w:tcPr>
          <w:p w14:paraId="58A590F0" w14:textId="77777777" w:rsidR="00DD3EFA" w:rsidRPr="005A0E7C" w:rsidRDefault="00DD3EFA" w:rsidP="00B15ECB">
            <w:pPr>
              <w:rPr>
                <w:b/>
              </w:rPr>
            </w:pPr>
          </w:p>
        </w:tc>
      </w:tr>
      <w:tr w:rsidR="00DD3EFA" w:rsidRPr="005A0E7C" w14:paraId="406E47C5" w14:textId="77777777" w:rsidTr="00B15ECB">
        <w:trPr>
          <w:trHeight w:val="892"/>
        </w:trPr>
        <w:tc>
          <w:tcPr>
            <w:tcW w:w="249" w:type="dxa"/>
            <w:tcBorders>
              <w:top w:val="nil"/>
              <w:bottom w:val="nil"/>
            </w:tcBorders>
            <w:shd w:val="clear" w:color="auto" w:fill="66CCFF"/>
          </w:tcPr>
          <w:p w14:paraId="7F4924C8" w14:textId="77777777" w:rsidR="00DD3EFA" w:rsidRPr="005A0E7C" w:rsidRDefault="00DD3EFA" w:rsidP="00B15ECB">
            <w:pPr>
              <w:rPr>
                <w:b/>
              </w:rPr>
            </w:pPr>
          </w:p>
        </w:tc>
        <w:tc>
          <w:tcPr>
            <w:tcW w:w="2548" w:type="dxa"/>
            <w:shd w:val="clear" w:color="auto" w:fill="FFFFFF" w:themeFill="background1"/>
          </w:tcPr>
          <w:p w14:paraId="34150A76"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263F29CF" w14:textId="77777777" w:rsidR="00DD3EFA" w:rsidRPr="005A0E7C" w:rsidRDefault="00DD3EFA" w:rsidP="00B15ECB">
            <w:r w:rsidRPr="005A0E7C">
              <w:t>Jedním z klíčových aspektů sociálního vyloučení je problematika bydlení. Absence přiměřeného a stabilního bydlení jako základní životní potřeby znesnadňuje zapojení jednotlivců i rodin do ekonomické aktivity, vzdělávání nebo správy věcí veřejných, což vede k dalším negativním individuálním a společenským důsledkům. Zajištění bydlení je bráno jako první krok k úspěšné integraci.</w:t>
            </w:r>
          </w:p>
          <w:p w14:paraId="6033B4FA" w14:textId="77777777" w:rsidR="00DD3EFA" w:rsidRPr="005A0E7C" w:rsidRDefault="00DD3EFA" w:rsidP="00B15ECB">
            <w:r w:rsidRPr="005A0E7C">
              <w:t>Aktuální odhady uvádějí v České republice 70 tisíc osob v tržním selhání v oblasti bydlení (tj. bezdomovců a osob žijících v substandardním bydlení, jako jsou noclehárny, ubytovny nebo azylové domy, a dále osob, které žijí v nekvalitním či přelidněném bytě) a dalších 120 tisíc osob, které jsou ohroženy ztrátou bydlení. Nestabilní bydlení je významnou příčinou často se opakující vnitřní migrace, která situaci sociálního vyloučení dále zhoršuje.</w:t>
            </w:r>
          </w:p>
          <w:p w14:paraId="3AB2BF4D" w14:textId="77777777" w:rsidR="00DD3EFA" w:rsidRPr="005A0E7C" w:rsidRDefault="00DD3EFA" w:rsidP="00B15ECB">
            <w:r w:rsidRPr="005A0E7C">
              <w:t>Problematika sociálního bydlení je – i díky chybějící legislativě – nejasně ukotvena ve veřejné správě a jsou nedostatečně vymezeny kompetence státní správy a územní samosprávy. Kromě nedostatku kapacit sociálního bydlení odpovídající potřebám cílové skupiny je problémem také nedostatek programů, jejichž cílem by byla prevence ztráty bydlení, a nedostatek sociální práce, která by se na tento problém zaměřovala.</w:t>
            </w:r>
          </w:p>
          <w:p w14:paraId="7661B6B3" w14:textId="77777777" w:rsidR="00DD3EFA" w:rsidRPr="005A0E7C" w:rsidRDefault="00DD3EFA" w:rsidP="00B15ECB"/>
        </w:tc>
        <w:tc>
          <w:tcPr>
            <w:tcW w:w="249" w:type="dxa"/>
            <w:tcBorders>
              <w:top w:val="nil"/>
              <w:bottom w:val="nil"/>
            </w:tcBorders>
            <w:shd w:val="clear" w:color="auto" w:fill="66CCFF"/>
          </w:tcPr>
          <w:p w14:paraId="1DAAE70B" w14:textId="77777777" w:rsidR="00DD3EFA" w:rsidRPr="005A0E7C" w:rsidRDefault="00DD3EFA" w:rsidP="00B15ECB">
            <w:pPr>
              <w:rPr>
                <w:b/>
              </w:rPr>
            </w:pPr>
          </w:p>
        </w:tc>
      </w:tr>
      <w:tr w:rsidR="00DD3EFA" w:rsidRPr="005A0E7C" w14:paraId="328BB4E9" w14:textId="77777777" w:rsidTr="00B15ECB">
        <w:trPr>
          <w:trHeight w:val="46"/>
        </w:trPr>
        <w:tc>
          <w:tcPr>
            <w:tcW w:w="249" w:type="dxa"/>
            <w:tcBorders>
              <w:top w:val="nil"/>
              <w:bottom w:val="nil"/>
              <w:right w:val="nil"/>
            </w:tcBorders>
            <w:shd w:val="clear" w:color="auto" w:fill="66CCFF"/>
          </w:tcPr>
          <w:p w14:paraId="61C421F0"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3C56D811"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6AABE2E2" w14:textId="77777777" w:rsidR="00DD3EFA" w:rsidRPr="005A0E7C" w:rsidRDefault="00DD3EFA" w:rsidP="00B15ECB">
            <w:pPr>
              <w:rPr>
                <w:b/>
              </w:rPr>
            </w:pPr>
          </w:p>
        </w:tc>
        <w:tc>
          <w:tcPr>
            <w:tcW w:w="249" w:type="dxa"/>
            <w:tcBorders>
              <w:top w:val="nil"/>
              <w:left w:val="nil"/>
              <w:bottom w:val="nil"/>
            </w:tcBorders>
            <w:shd w:val="clear" w:color="auto" w:fill="66CCFF"/>
          </w:tcPr>
          <w:p w14:paraId="5F2BE8B8" w14:textId="77777777" w:rsidR="00DD3EFA" w:rsidRPr="005A0E7C" w:rsidRDefault="00DD3EFA" w:rsidP="00B15ECB">
            <w:pPr>
              <w:rPr>
                <w:b/>
              </w:rPr>
            </w:pPr>
          </w:p>
        </w:tc>
      </w:tr>
      <w:tr w:rsidR="00DD3EFA" w:rsidRPr="005A0E7C" w14:paraId="626F1DCC" w14:textId="77777777" w:rsidTr="00B15ECB">
        <w:trPr>
          <w:trHeight w:val="1274"/>
        </w:trPr>
        <w:tc>
          <w:tcPr>
            <w:tcW w:w="249" w:type="dxa"/>
            <w:tcBorders>
              <w:top w:val="nil"/>
              <w:bottom w:val="nil"/>
            </w:tcBorders>
            <w:shd w:val="clear" w:color="auto" w:fill="66CCFF"/>
          </w:tcPr>
          <w:p w14:paraId="34A80ED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E4EDAF3"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2326BA1" w14:textId="77777777" w:rsidR="00DD3EFA" w:rsidRPr="005A0E7C" w:rsidRDefault="00DD3EFA" w:rsidP="00B15ECB">
            <w:r w:rsidRPr="005A0E7C">
              <w:t>Problematika bydlení je klíčovou agendou sociálního začleňování. Dostupné a kvalitní bydlení je základním předpokladem pro integraci vyloučených osob. Bytová nouze a bezdomovectví vede k vysokým vyvolaným nákladům veřejných rozpočtů (krizové bydlení – noclehárny, azylové domy; institucionální výchova dětí z domácností v bytové nouzi; léčení zdravotních problémů vyvolaných nebo zhoršených bezdomovectvím a bytovou nouzí apod.). Sociální vyloučení vede také často k devastaci bytového fondu, kdy důsledkem nedostatečné sociální práce  s vyloučenými domácnostmi je rezignace vlastníků na vymáhání běžné údržby bytu, která je povinností nájemce a tím ke snížení  kvality vlastních nemovitostí určených k bydlení. Nedostatečná sociální práce se sociálně vyloučenými domácnostmi, nedostatečné kapacity sociálního bydlení, jeho legislativní neukotvení, nekoordinovanost veřejné správy a nedostatek kapacit zejména na místní úrovni se může ukázat jako zásadní překážka politiky sociálního začleňování. Počet osob bez domova nebo osob ohrožených ztrátou bydlení je v ČR cca 200 tis., přičemž však rostoucí náklady na bydlení mohou potenciálně situaci dále zhoršit. Na rostoucí náklady na bydlení by měly reagovat správně nastavené dávky na bydlení, protože samotné nízké příjmy by neměly být příčinou ztráty bydlení.</w:t>
            </w:r>
          </w:p>
          <w:p w14:paraId="0357C0AE" w14:textId="77777777" w:rsidR="00DD3EFA" w:rsidRPr="005A0E7C" w:rsidRDefault="00DD3EFA" w:rsidP="00B15ECB">
            <w:r w:rsidRPr="005A0E7C">
              <w:t>Problematická je také vnitřní migrace za dostupným, ale substandardním bydlením, která dále zhoršuje situaci strukturálně postižených regionů. Příčinou vnitřní migrace je závislost na sociálních dávkách, různá aplikace při poskytování dávek na bydlení na úřadech práce, absence sociální práce vedoucí k udržení bydlení a mnoho dalších důvodů (nízká vzdělanost, kvalifikace, nedostatek pracovních příležitostí, nízká finanční gramotnost a z toho plynoucí zadluženost domácností apod.). Část objektů je zazděna či opuštěna, neboť pro mnohé vlastníky je výhodnější bytový dům zakonzervovat, než ho bez podpory sociální práce pronajímat sociálně vyloučeným domácnostem.</w:t>
            </w:r>
          </w:p>
        </w:tc>
        <w:tc>
          <w:tcPr>
            <w:tcW w:w="249" w:type="dxa"/>
            <w:tcBorders>
              <w:top w:val="nil"/>
              <w:bottom w:val="nil"/>
            </w:tcBorders>
            <w:shd w:val="clear" w:color="auto" w:fill="66CCFF"/>
          </w:tcPr>
          <w:p w14:paraId="588787BC" w14:textId="77777777" w:rsidR="00DD3EFA" w:rsidRPr="005A0E7C" w:rsidRDefault="00DD3EFA" w:rsidP="00B15ECB">
            <w:pPr>
              <w:rPr>
                <w:b/>
              </w:rPr>
            </w:pPr>
          </w:p>
        </w:tc>
      </w:tr>
      <w:tr w:rsidR="00DD3EFA" w:rsidRPr="005A0E7C" w14:paraId="3C234D3B" w14:textId="77777777" w:rsidTr="00B15ECB">
        <w:trPr>
          <w:trHeight w:val="1274"/>
        </w:trPr>
        <w:tc>
          <w:tcPr>
            <w:tcW w:w="249" w:type="dxa"/>
            <w:tcBorders>
              <w:top w:val="nil"/>
              <w:bottom w:val="nil"/>
            </w:tcBorders>
            <w:shd w:val="clear" w:color="auto" w:fill="66CCFF"/>
          </w:tcPr>
          <w:p w14:paraId="5BD7078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348BFE0"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78F5DB8C" w14:textId="77777777" w:rsidR="00DD3EFA" w:rsidRPr="005A0E7C" w:rsidRDefault="00DD3EFA" w:rsidP="00B15ECB">
            <w:pPr>
              <w:spacing w:before="60" w:after="60"/>
              <w:rPr>
                <w:rFonts w:eastAsiaTheme="majorEastAsia"/>
              </w:rPr>
            </w:pPr>
            <w:r w:rsidRPr="005A0E7C">
              <w:rPr>
                <w:rFonts w:eastAsiaTheme="majorEastAsia"/>
              </w:rPr>
              <w:t>Klíčovým problémem v oblasti bydlení je absence sociální práce podporující udržení bydlení, nevhodně nastavené dávky na bydlení, nedostatek sociálních bytů (se kterým mají problém mj. obce; ty často nedisponují bytovým fondem nebo nemají vhodné pozemky pro jejich výstavbu) a neprovázané a nedůsledné využívání dalších nástrojů k řešení situace osob bez domova a osob, které jsou ohroženy ztrátou bydlení. Těch je podle odhadů v ČR cca 200 tis., přičemž však vzhledem k počtu sociálně vyloučených osob se situace může dále zhoršovat, především v některých sociodemografických skupinách obyvatel a v některých regionech (i díky vnitřní migrac, která s nestabilním bydlením souvisí a která může prohlubovat prostorovou segregaci). V důsledku demografických změn pak naroste počet domácností (stárnutí populace, jednočlenné domácnosti, migrace zejména zahraničních pracovníků atp.), čemuž neodpovídá tempo nové výstavby v tomto segmentu. Růst cen bydlení ještě zhorší finanční dostupnost bydlení v metropolitních regionech pro domácnosti v nájmu a ty, které nově vstupují na trh bydlení. Prohloubí se špatný a zhoršující se stav bydlení v některých sociálně vyloučených lokalitách v důsledku dlouhodobě zanedbávané údržby, a to jak ze strany pronajímatelů tak ze strany nájemců. Přetrvává také problém vybydlených objektů v soukromém vlastnictví s napojením na „byznys s chudobou“ (pronájem substandardního bydlení za neadekvátní částky hrazené de facto ze státní sociální podpory a z dávek hmotné nouze) , kde hlavní příčinou je nedostatečná sociální práce ze strany úřadů práce v souvislosti s přiznáním doplatku na bydlení.</w:t>
            </w:r>
          </w:p>
          <w:p w14:paraId="0AF48EA3" w14:textId="77777777" w:rsidR="00DD3EFA" w:rsidRPr="005A0E7C" w:rsidRDefault="00DD3EFA" w:rsidP="00B15ECB">
            <w:pPr>
              <w:spacing w:before="60" w:after="60"/>
              <w:rPr>
                <w:rFonts w:eastAsiaTheme="majorEastAsia"/>
              </w:rPr>
            </w:pPr>
            <w:r w:rsidRPr="005A0E7C">
              <w:rPr>
                <w:rFonts w:eastAsiaTheme="majorEastAsia"/>
              </w:rPr>
              <w:t xml:space="preserve">Problémem je nedostatečná legislativa, která by se k sociálnímu bydlení vztahovala a která by vymezila např. pojem bytové nouze, definovala cílovou skupinu sociálního bydlení, charakterizovala specifika sociálního nájmu bytu nebo vymezila kompetence státní správy a územní samosprávy. </w:t>
            </w:r>
          </w:p>
          <w:p w14:paraId="6310B198" w14:textId="77777777" w:rsidR="00DD3EFA" w:rsidRPr="005A0E7C" w:rsidRDefault="00DD3EFA" w:rsidP="00B15ECB">
            <w:pPr>
              <w:spacing w:before="60" w:after="60"/>
              <w:rPr>
                <w:rFonts w:eastAsiaTheme="majorEastAsia"/>
              </w:rPr>
            </w:pPr>
            <w:r w:rsidRPr="005A0E7C">
              <w:rPr>
                <w:rFonts w:eastAsiaTheme="majorEastAsia"/>
              </w:rPr>
              <w:t>S tím souvisí i nekoordinovanost a neefektivita jednotlivých veřejných transferů v oblasti sociálního bydlení a často nízká kapacita na úrovni obcí pro řešení této problematiky, včetně síťování všech dotčených aktérů. Problematické je také nedostatečné rozšíření programů prevence ztráty bydlení a kapacita sociální práce zaměřené na tuto oblast.</w:t>
            </w:r>
          </w:p>
          <w:p w14:paraId="1279FEC5" w14:textId="77777777" w:rsidR="00DD3EFA" w:rsidRPr="005A0E7C" w:rsidRDefault="00DD3EFA" w:rsidP="00B15ECB">
            <w:pPr>
              <w:spacing w:before="60" w:after="60"/>
              <w:rPr>
                <w:rFonts w:eastAsiaTheme="majorEastAsia"/>
              </w:rPr>
            </w:pPr>
            <w:r w:rsidRPr="005A0E7C">
              <w:rPr>
                <w:rFonts w:eastAsiaTheme="majorEastAsia"/>
              </w:rPr>
              <w:t xml:space="preserve">Investice do sociálního bydlení nedokáží nahradit absenci sociální práce nutné k udržení bydlení, takže sociálně vyloučené osoby na selhávání trhu s bydlením nemohou uspět. Sociálně vyloučené osoby nejsou schopné obstát v běžných podmínkách nájmu bytu danách občanským zákoníkem. Pronajímatelé se tudíž protenciálně problematickým nájemcům vyhýbají, což vede k diskriminaci na trhu s bydlením. </w:t>
            </w:r>
          </w:p>
          <w:p w14:paraId="6D2F8A47" w14:textId="77777777" w:rsidR="00DD3EFA" w:rsidRPr="005A0E7C" w:rsidRDefault="00DD3EFA" w:rsidP="00B15ECB">
            <w:pPr>
              <w:spacing w:before="60" w:after="60"/>
              <w:rPr>
                <w:rFonts w:eastAsiaTheme="majorEastAsia"/>
              </w:rPr>
            </w:pPr>
            <w:r w:rsidRPr="005A0E7C">
              <w:rPr>
                <w:rFonts w:eastAsiaTheme="majorEastAsia"/>
              </w:rPr>
              <w:t>Stávající nástroje sociální politiky nedokáží soukromý bytový fond pro bydlení sociálně vyloučených využít  a sociální transfery nevedou ke stabilizaci situace.</w:t>
            </w:r>
          </w:p>
          <w:p w14:paraId="53D8C745" w14:textId="77777777" w:rsidR="00DD3EFA" w:rsidRPr="005A0E7C" w:rsidRDefault="00DD3EFA" w:rsidP="00B15ECB">
            <w:pPr>
              <w:spacing w:before="60" w:after="60"/>
              <w:rPr>
                <w:i/>
              </w:rPr>
            </w:pPr>
          </w:p>
        </w:tc>
        <w:tc>
          <w:tcPr>
            <w:tcW w:w="249" w:type="dxa"/>
            <w:tcBorders>
              <w:top w:val="nil"/>
              <w:bottom w:val="nil"/>
            </w:tcBorders>
            <w:shd w:val="clear" w:color="auto" w:fill="66CCFF"/>
          </w:tcPr>
          <w:p w14:paraId="3E61771C" w14:textId="77777777" w:rsidR="00DD3EFA" w:rsidRPr="005A0E7C" w:rsidRDefault="00DD3EFA" w:rsidP="00B15ECB">
            <w:pPr>
              <w:rPr>
                <w:b/>
              </w:rPr>
            </w:pPr>
          </w:p>
        </w:tc>
      </w:tr>
      <w:tr w:rsidR="00DD3EFA" w:rsidRPr="005A0E7C" w14:paraId="69A6C14F" w14:textId="77777777" w:rsidTr="00B15ECB">
        <w:trPr>
          <w:trHeight w:val="1274"/>
        </w:trPr>
        <w:tc>
          <w:tcPr>
            <w:tcW w:w="249" w:type="dxa"/>
            <w:tcBorders>
              <w:top w:val="nil"/>
              <w:bottom w:val="nil"/>
            </w:tcBorders>
            <w:shd w:val="clear" w:color="auto" w:fill="66CCFF"/>
          </w:tcPr>
          <w:p w14:paraId="3156A50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405DA27"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4F8EF77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AB950C6" w14:textId="77777777" w:rsidR="00DD3EFA" w:rsidRPr="005A0E7C" w:rsidRDefault="00DD3EFA" w:rsidP="00B15ECB">
            <w:pPr>
              <w:spacing w:before="60" w:after="60"/>
            </w:pPr>
            <w:r w:rsidRPr="005A0E7C">
              <w:t>Koncepce sociálního bydlení 2015-2025 obsahuje následující cíle:</w:t>
            </w:r>
          </w:p>
          <w:p w14:paraId="725C9804" w14:textId="77777777" w:rsidR="00DD3EFA" w:rsidRPr="005A0E7C" w:rsidRDefault="00DD3EFA" w:rsidP="00B15ECB">
            <w:pPr>
              <w:spacing w:before="60" w:after="60"/>
            </w:pPr>
            <w:r w:rsidRPr="005A0E7C">
              <w:t>Cíl I: Legislativní příprava zajištění práva na sociální bydlení</w:t>
            </w:r>
          </w:p>
          <w:p w14:paraId="6540B45B" w14:textId="77777777" w:rsidR="00DD3EFA" w:rsidRPr="005A0E7C" w:rsidRDefault="00DD3EFA" w:rsidP="00B15ECB">
            <w:pPr>
              <w:spacing w:before="60" w:after="60"/>
            </w:pPr>
            <w:r w:rsidRPr="005A0E7C">
              <w:t>Cíl II: Podpora sociální práce na obcích související se systémem sociálního bydlení</w:t>
            </w:r>
          </w:p>
          <w:p w14:paraId="7E53FE44" w14:textId="77777777" w:rsidR="00DD3EFA" w:rsidRPr="005A0E7C" w:rsidRDefault="00DD3EFA" w:rsidP="00B15ECB">
            <w:pPr>
              <w:spacing w:before="60" w:after="60"/>
            </w:pPr>
            <w:r w:rsidRPr="005A0E7C">
              <w:t>Cíl III: Provázání sociální práce s dalšími nástroji sociální a bytové politiky, které zajistí efektivní pomoc cílové skupině sociálního bydlení</w:t>
            </w:r>
          </w:p>
          <w:p w14:paraId="774E7687" w14:textId="77777777" w:rsidR="00DD3EFA" w:rsidRPr="005A0E7C" w:rsidRDefault="00DD3EFA" w:rsidP="00B15ECB">
            <w:pPr>
              <w:spacing w:before="60" w:after="60"/>
            </w:pPr>
            <w:r w:rsidRPr="005A0E7C">
              <w:t>Cíl IV: Úprava dávkové podpory zaměřené na bydlení v souladu se zákonem o sociálním bydlení</w:t>
            </w:r>
          </w:p>
          <w:p w14:paraId="182614C1" w14:textId="77777777" w:rsidR="00DD3EFA" w:rsidRPr="005A0E7C" w:rsidRDefault="00DD3EFA" w:rsidP="00B15ECB">
            <w:pPr>
              <w:spacing w:before="60" w:after="60"/>
            </w:pPr>
            <w:r w:rsidRPr="005A0E7C">
              <w:t>Cíl V: Úprava standardů pro sociální bydlení</w:t>
            </w:r>
          </w:p>
          <w:p w14:paraId="07F6DF66" w14:textId="77777777" w:rsidR="00DD3EFA" w:rsidRPr="005A0E7C" w:rsidRDefault="00DD3EFA" w:rsidP="00B15ECB">
            <w:pPr>
              <w:spacing w:before="60" w:after="60"/>
            </w:pPr>
            <w:r w:rsidRPr="005A0E7C">
              <w:t>Cíl VI: Zvýšení a rozšíření účinnosti investiční i neinvestiční podpory sociálního bydlení</w:t>
            </w:r>
          </w:p>
          <w:p w14:paraId="24E4F0C6" w14:textId="77777777" w:rsidR="00DD3EFA" w:rsidRPr="005A0E7C" w:rsidRDefault="00DD3EFA" w:rsidP="00B15ECB">
            <w:pPr>
              <w:spacing w:before="60" w:after="60"/>
              <w:rPr>
                <w:highlight w:val="yellow"/>
              </w:rPr>
            </w:pPr>
            <w:r w:rsidRPr="005A0E7C">
              <w:t>Cíl VII: Zajištění evaluace a aktualizace koncepce sociálního bydlení</w:t>
            </w:r>
          </w:p>
          <w:p w14:paraId="7DF58F8D" w14:textId="77777777" w:rsidR="00DD3EFA" w:rsidRPr="005A0E7C" w:rsidRDefault="00DD3EFA" w:rsidP="00B15ECB">
            <w:pPr>
              <w:spacing w:before="60" w:after="60"/>
              <w:rPr>
                <w:i/>
              </w:rPr>
            </w:pPr>
            <w:r w:rsidRPr="005A0E7C">
              <w:t>Aktuálně je připravována  revize Koncepce sociálního bydlení ČR 2015 – 2025, která bude spočívat mj. v úpravě vytčených cílů. Revidovaná Koncepce bude předložena vládě ČR do 30. 4. 2019.</w:t>
            </w:r>
          </w:p>
        </w:tc>
        <w:tc>
          <w:tcPr>
            <w:tcW w:w="249" w:type="dxa"/>
            <w:tcBorders>
              <w:top w:val="nil"/>
              <w:bottom w:val="nil"/>
            </w:tcBorders>
            <w:shd w:val="clear" w:color="auto" w:fill="66CCFF"/>
          </w:tcPr>
          <w:p w14:paraId="50911A32" w14:textId="77777777" w:rsidR="00DD3EFA" w:rsidRPr="005A0E7C" w:rsidRDefault="00DD3EFA" w:rsidP="00B15ECB">
            <w:pPr>
              <w:rPr>
                <w:b/>
              </w:rPr>
            </w:pPr>
          </w:p>
        </w:tc>
      </w:tr>
      <w:tr w:rsidR="00DD3EFA" w:rsidRPr="005A0E7C" w14:paraId="7A5B806C" w14:textId="77777777" w:rsidTr="00B15ECB">
        <w:trPr>
          <w:trHeight w:val="1274"/>
        </w:trPr>
        <w:tc>
          <w:tcPr>
            <w:tcW w:w="249" w:type="dxa"/>
            <w:tcBorders>
              <w:top w:val="nil"/>
              <w:bottom w:val="nil"/>
            </w:tcBorders>
            <w:shd w:val="clear" w:color="auto" w:fill="66CCFF"/>
          </w:tcPr>
          <w:p w14:paraId="3D52E90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0C2E958"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407E9E19"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78" w:type="dxa"/>
            <w:tcBorders>
              <w:bottom w:val="single" w:sz="4" w:space="0" w:color="auto"/>
            </w:tcBorders>
            <w:shd w:val="clear" w:color="auto" w:fill="FFFFFF" w:themeFill="background1"/>
          </w:tcPr>
          <w:p w14:paraId="548409B6" w14:textId="77777777" w:rsidR="00DD3EFA" w:rsidRPr="005A0E7C" w:rsidRDefault="00DD3EFA" w:rsidP="00B15ECB">
            <w:pPr>
              <w:spacing w:before="60" w:after="60"/>
              <w:rPr>
                <w:rFonts w:eastAsiaTheme="majorEastAsia"/>
                <w:i/>
                <w:u w:val="single"/>
              </w:rPr>
            </w:pPr>
            <w:r w:rsidRPr="005A0E7C">
              <w:t>Předpokládané výstupy budou popsány v revidované Koncepci sociálního bydlení ČR 2015 – 2025 a podrobněji v navazujících akčních plánech. Revidovaná Koncepce bude předložena vládě ČR do 30. 4. 2019.</w:t>
            </w:r>
          </w:p>
        </w:tc>
        <w:tc>
          <w:tcPr>
            <w:tcW w:w="249" w:type="dxa"/>
            <w:tcBorders>
              <w:top w:val="nil"/>
              <w:bottom w:val="nil"/>
            </w:tcBorders>
            <w:shd w:val="clear" w:color="auto" w:fill="66CCFF"/>
          </w:tcPr>
          <w:p w14:paraId="687562C8" w14:textId="77777777" w:rsidR="00DD3EFA" w:rsidRPr="005A0E7C" w:rsidRDefault="00DD3EFA" w:rsidP="00B15ECB">
            <w:pPr>
              <w:rPr>
                <w:b/>
              </w:rPr>
            </w:pPr>
          </w:p>
        </w:tc>
      </w:tr>
      <w:tr w:rsidR="00DD3EFA" w:rsidRPr="005A0E7C" w14:paraId="7F402FC3" w14:textId="77777777" w:rsidTr="00B15ECB">
        <w:trPr>
          <w:trHeight w:val="1274"/>
        </w:trPr>
        <w:tc>
          <w:tcPr>
            <w:tcW w:w="249" w:type="dxa"/>
            <w:tcBorders>
              <w:top w:val="nil"/>
              <w:bottom w:val="nil"/>
            </w:tcBorders>
            <w:shd w:val="clear" w:color="auto" w:fill="66CCFF"/>
          </w:tcPr>
          <w:p w14:paraId="235AB36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9A18681"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74B1E803" w14:textId="77777777" w:rsidR="00DD3EFA" w:rsidRPr="005A0E7C" w:rsidRDefault="00DD3EFA" w:rsidP="00B15ECB">
            <w:pPr>
              <w:spacing w:before="60" w:after="60"/>
              <w:rPr>
                <w:rFonts w:eastAsiaTheme="majorEastAsia"/>
                <w:i/>
                <w:u w:val="single"/>
              </w:rPr>
            </w:pPr>
            <w:r w:rsidRPr="005A0E7C">
              <w:t>Odhadovaný podíl ESIF na plnění tohoto specifického cíle předpokládáme v rozsahu cca 60 – 100 %.</w:t>
            </w:r>
            <w:r w:rsidRPr="005A0E7C">
              <w:rPr>
                <w:rFonts w:eastAsiaTheme="majorEastAsia"/>
                <w:i/>
                <w:u w:val="single"/>
              </w:rPr>
              <w:t xml:space="preserve"> </w:t>
            </w:r>
          </w:p>
        </w:tc>
        <w:tc>
          <w:tcPr>
            <w:tcW w:w="249" w:type="dxa"/>
            <w:tcBorders>
              <w:top w:val="nil"/>
              <w:bottom w:val="nil"/>
            </w:tcBorders>
            <w:shd w:val="clear" w:color="auto" w:fill="66CCFF"/>
          </w:tcPr>
          <w:p w14:paraId="681EC388" w14:textId="77777777" w:rsidR="00DD3EFA" w:rsidRPr="005A0E7C" w:rsidRDefault="00DD3EFA" w:rsidP="00B15ECB">
            <w:pPr>
              <w:rPr>
                <w:b/>
              </w:rPr>
            </w:pPr>
          </w:p>
        </w:tc>
      </w:tr>
      <w:tr w:rsidR="00DD3EFA" w:rsidRPr="005A0E7C" w14:paraId="55DB7A7C" w14:textId="77777777" w:rsidTr="00B15ECB">
        <w:trPr>
          <w:trHeight w:val="1274"/>
        </w:trPr>
        <w:tc>
          <w:tcPr>
            <w:tcW w:w="249" w:type="dxa"/>
            <w:tcBorders>
              <w:top w:val="nil"/>
              <w:bottom w:val="nil"/>
            </w:tcBorders>
            <w:shd w:val="clear" w:color="auto" w:fill="66CCFF"/>
          </w:tcPr>
          <w:p w14:paraId="5C75599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CFB5C43"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720F3EB8" w14:textId="77777777" w:rsidR="00DD3EFA" w:rsidRPr="005A0E7C" w:rsidRDefault="00DD3EFA" w:rsidP="00B15ECB">
            <w:pPr>
              <w:spacing w:before="60" w:after="60"/>
              <w:rPr>
                <w:rFonts w:eastAsiaTheme="majorEastAsia"/>
              </w:rPr>
            </w:pPr>
            <w:r w:rsidRPr="005A0E7C">
              <w:rPr>
                <w:rFonts w:eastAsiaTheme="majorEastAsia"/>
              </w:rPr>
              <w:t>V dalším období by intervence v oblasti sociálního bydlení měly být založeny na legislativním vymezení problematiky, včetně jasného stanovení kompetencí jednotlivých úrovní veřejné správy. Kvalitní politiky bydlení by měly vznikat rovněž na místní úrovni, k čemuž bude potřeba posílit místní kapacity.</w:t>
            </w:r>
          </w:p>
          <w:p w14:paraId="4DE60484" w14:textId="77777777" w:rsidR="00DD3EFA" w:rsidRPr="005A0E7C" w:rsidRDefault="00DD3EFA" w:rsidP="00B15ECB">
            <w:pPr>
              <w:spacing w:before="60" w:after="60"/>
              <w:rPr>
                <w:rFonts w:eastAsiaTheme="majorEastAsia"/>
              </w:rPr>
            </w:pPr>
            <w:r w:rsidRPr="005A0E7C">
              <w:rPr>
                <w:rFonts w:eastAsiaTheme="majorEastAsia"/>
              </w:rPr>
              <w:t>Přínosný by byl větší důraz na integrované politiky, tj. provázání investic do sociálního bydlení se sociálními opatřeními (sociální práce, sociální služby, prevence ztráty bydlení, oddlužení, a další integrační opatření) a zároveň i opatření pro lepší koordinaci veřejné a soukromé sféry v bydlení (bytová družsta, majitelé nemovitostí, developeři a další) a k tomu posílení potřebných lidských kapacit na obcích.</w:t>
            </w:r>
          </w:p>
          <w:p w14:paraId="0C48168B" w14:textId="77777777" w:rsidR="00DD3EFA" w:rsidRPr="005A0E7C" w:rsidRDefault="00DD3EFA" w:rsidP="00B15ECB">
            <w:pPr>
              <w:spacing w:before="60" w:after="60"/>
            </w:pPr>
            <w:r w:rsidRPr="005A0E7C">
              <w:t xml:space="preserve">Podporovaným nástrojem proto budou </w:t>
            </w:r>
            <w:r w:rsidRPr="005A0E7C">
              <w:rPr>
                <w:b/>
              </w:rPr>
              <w:t xml:space="preserve">místní koncepce řešení bytové nouze, </w:t>
            </w:r>
            <w:r w:rsidRPr="005A0E7C">
              <w:t xml:space="preserve">které budou zahrnovat jak sociální bytové fondy, tak kapacity pro zajištění podpory v bydlení pomocí sociální práce/služeb, komunitní práce, dluhového poradenství, terénní psychiatrické péče,  realitní zprostředkování nebo jiné dílčí formy podpory domácností s problémy v bydlení,  apod. Kapacity podpory v bydlení budou úzce koordinovány s ohledem na potřeby domácností, kterým bude nově poskytnuto sociální bydlení nebo kterým bude poskytnuta podpora při prevenci ztráty bydlení. </w:t>
            </w:r>
          </w:p>
          <w:p w14:paraId="44959D20" w14:textId="77777777" w:rsidR="00DD3EFA" w:rsidRPr="005A0E7C" w:rsidRDefault="00DD3EFA" w:rsidP="00B15ECB">
            <w:pPr>
              <w:spacing w:before="60" w:after="60"/>
            </w:pPr>
          </w:p>
          <w:p w14:paraId="3AB9AB2B" w14:textId="77777777" w:rsidR="00DD3EFA" w:rsidRPr="005A0E7C" w:rsidRDefault="00DD3EFA" w:rsidP="00B15ECB">
            <w:pPr>
              <w:spacing w:before="60" w:after="60"/>
            </w:pPr>
            <w:r w:rsidRPr="005A0E7C">
              <w:t>S ohledem na potřebu finančně dostupného bydlení pro nízkopříjmové domácnosti v regionech s rostoucími cenami bydlení a také vzhledem k riziku rezidenční segregace v případě výstavby sociálního bydlení pro úzkou cílovou skupinu, budou vedle dotací na výstavbu sociálních bytů využívány také finanční nástroje na podporu výstavby dostupného bydlení pro širší cílovou skupinu domácností.</w:t>
            </w:r>
          </w:p>
          <w:p w14:paraId="7FE86297" w14:textId="77777777" w:rsidR="00DD3EFA" w:rsidRPr="005A0E7C" w:rsidRDefault="00DD3EFA" w:rsidP="00B15ECB">
            <w:pPr>
              <w:spacing w:before="60" w:after="60"/>
              <w:rPr>
                <w:rFonts w:eastAsiaTheme="majorEastAsia"/>
              </w:rPr>
            </w:pPr>
            <w:r w:rsidRPr="005A0E7C">
              <w:t>Kromě výstavby nových by měl být kladen důraz na vznik sociálních bytů prostřednictvím renovací stávajících objektů. Podporován by měl být i nákup objektů a bytů, které budou následně renovovány, a to jak obcemi, tak dalšími aktéry v oblasti sociálního začleňování.</w:t>
            </w:r>
          </w:p>
          <w:p w14:paraId="111B301F"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5B11D314" w14:textId="77777777" w:rsidR="00DD3EFA" w:rsidRPr="005A0E7C" w:rsidRDefault="00DD3EFA" w:rsidP="00B15ECB">
            <w:pPr>
              <w:rPr>
                <w:b/>
              </w:rPr>
            </w:pPr>
          </w:p>
        </w:tc>
      </w:tr>
      <w:tr w:rsidR="00DD3EFA" w:rsidRPr="005A0E7C" w14:paraId="4309C805" w14:textId="77777777" w:rsidTr="00B15ECB">
        <w:trPr>
          <w:trHeight w:val="272"/>
        </w:trPr>
        <w:tc>
          <w:tcPr>
            <w:tcW w:w="249" w:type="dxa"/>
            <w:tcBorders>
              <w:top w:val="nil"/>
              <w:bottom w:val="nil"/>
              <w:right w:val="nil"/>
            </w:tcBorders>
            <w:shd w:val="clear" w:color="auto" w:fill="66CCFF"/>
          </w:tcPr>
          <w:p w14:paraId="5FF6C72E"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9440B47"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27154EB"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30D3A911" w14:textId="77777777" w:rsidR="00DD3EFA" w:rsidRPr="005A0E7C" w:rsidRDefault="00DD3EFA" w:rsidP="00B15ECB">
            <w:pPr>
              <w:rPr>
                <w:b/>
              </w:rPr>
            </w:pPr>
          </w:p>
        </w:tc>
      </w:tr>
      <w:tr w:rsidR="00DD3EFA" w:rsidRPr="005A0E7C" w14:paraId="1A911576" w14:textId="77777777" w:rsidTr="00B15ECB">
        <w:trPr>
          <w:trHeight w:val="835"/>
        </w:trPr>
        <w:tc>
          <w:tcPr>
            <w:tcW w:w="249" w:type="dxa"/>
            <w:tcBorders>
              <w:top w:val="nil"/>
              <w:bottom w:val="nil"/>
            </w:tcBorders>
            <w:shd w:val="clear" w:color="auto" w:fill="66CCFF"/>
          </w:tcPr>
          <w:p w14:paraId="694B2F4C"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4625B64"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4C58CA91"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05600235" w14:textId="77777777" w:rsidR="00DD3EFA" w:rsidRPr="005A0E7C" w:rsidRDefault="00DD3EFA" w:rsidP="00B15ECB">
            <w:pPr>
              <w:spacing w:before="60" w:after="60"/>
              <w:rPr>
                <w:rFonts w:eastAsiaTheme="majorEastAsia"/>
                <w:i/>
              </w:rPr>
            </w:pPr>
            <w:r w:rsidRPr="005A0E7C">
              <w:t>Dílčí cíle podpory budou předmětem akčních plánů, které budou zpracovávány v návaznosti na schválení revidované Koncepce sociálního bydlení ČR 2015 – 2025. Revidovaná Koncepce bude předložena vládě ČR do 30. 4. 2019.</w:t>
            </w:r>
          </w:p>
        </w:tc>
        <w:tc>
          <w:tcPr>
            <w:tcW w:w="249" w:type="dxa"/>
            <w:tcBorders>
              <w:top w:val="nil"/>
              <w:bottom w:val="nil"/>
            </w:tcBorders>
            <w:shd w:val="clear" w:color="auto" w:fill="66CCFF"/>
          </w:tcPr>
          <w:p w14:paraId="4F416373" w14:textId="77777777" w:rsidR="00DD3EFA" w:rsidRPr="005A0E7C" w:rsidRDefault="00DD3EFA" w:rsidP="00B15ECB">
            <w:pPr>
              <w:rPr>
                <w:b/>
              </w:rPr>
            </w:pPr>
          </w:p>
        </w:tc>
      </w:tr>
      <w:tr w:rsidR="00DD3EFA" w:rsidRPr="005A0E7C" w14:paraId="0B6F823E" w14:textId="77777777" w:rsidTr="00B15ECB">
        <w:trPr>
          <w:trHeight w:val="377"/>
        </w:trPr>
        <w:tc>
          <w:tcPr>
            <w:tcW w:w="249" w:type="dxa"/>
            <w:tcBorders>
              <w:top w:val="nil"/>
              <w:bottom w:val="nil"/>
              <w:right w:val="nil"/>
            </w:tcBorders>
            <w:shd w:val="clear" w:color="auto" w:fill="66CCFF"/>
          </w:tcPr>
          <w:p w14:paraId="4AF10BCF"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C5EEA07"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044E29E"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6DB6733B" w14:textId="77777777" w:rsidR="00DD3EFA" w:rsidRPr="005A0E7C" w:rsidRDefault="00DD3EFA" w:rsidP="00B15ECB">
            <w:pPr>
              <w:rPr>
                <w:b/>
              </w:rPr>
            </w:pPr>
          </w:p>
        </w:tc>
      </w:tr>
      <w:tr w:rsidR="00DD3EFA" w:rsidRPr="005A0E7C" w14:paraId="6B38164A" w14:textId="77777777" w:rsidTr="00B15ECB">
        <w:trPr>
          <w:trHeight w:val="1202"/>
        </w:trPr>
        <w:tc>
          <w:tcPr>
            <w:tcW w:w="249" w:type="dxa"/>
            <w:tcBorders>
              <w:top w:val="nil"/>
              <w:bottom w:val="nil"/>
            </w:tcBorders>
            <w:shd w:val="clear" w:color="auto" w:fill="66CCFF"/>
          </w:tcPr>
          <w:p w14:paraId="4FE44449"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031C9477"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7A785AF0"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7645B4DA" w14:textId="77777777" w:rsidR="00DD3EFA" w:rsidRPr="005A0E7C" w:rsidRDefault="00DD3EFA" w:rsidP="00B15ECB">
            <w:pPr>
              <w:rPr>
                <w:b/>
              </w:rPr>
            </w:pPr>
          </w:p>
        </w:tc>
      </w:tr>
      <w:tr w:rsidR="00DD3EFA" w:rsidRPr="005A0E7C" w14:paraId="6547860D" w14:textId="77777777" w:rsidTr="00B15ECB">
        <w:trPr>
          <w:trHeight w:val="1202"/>
        </w:trPr>
        <w:tc>
          <w:tcPr>
            <w:tcW w:w="249" w:type="dxa"/>
            <w:tcBorders>
              <w:top w:val="nil"/>
              <w:bottom w:val="nil"/>
            </w:tcBorders>
            <w:shd w:val="clear" w:color="auto" w:fill="66CCFF"/>
          </w:tcPr>
          <w:p w14:paraId="61BC01E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A1DFDA"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5115550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A6B0B03"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Problematika bydlení má svá územní specifika. V silných metropolitních územích by mělo i prostřednictvím zjednodušení procesů územního a stavebního řízení dojít ke zrychlení výstavby a omezení nedostatku bydlení. Jako nové plochy pro bydlení by měla být využívána především území brownfieldů a dalších ploch s nedostatečně využitým potenciálem. </w:t>
            </w:r>
          </w:p>
          <w:p w14:paraId="37925166"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 některých krajských městech je často relativně dostatečná nabídka volných bytů, problémem je nicméně jejich kvalita a dostupnost pro všechny skupiny obyvatel (např. senioři, zdravotně postižení, samoživitelé).  </w:t>
            </w:r>
          </w:p>
          <w:p w14:paraId="034991B2"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Špatná kvalita bytového fondu je často spojena s existencí sociálně vyloučených lokalit, jichž je nejvíce ve strukturálně postižených krajích – zejména v Moravskoslezském a Ústeckém kraji. Ve strukturálně postižených regionech je zajištění sociálního bydlení úzce propojeno s potřebou komplexní revitalizace rozsáhlých sociálně vyloučených, tedy přijetí takových opatření (včetně bourání zejména výškových objektů) vedoucích k postupné rezidenční desegregaci a řízenému zániku lokalit. Rozšiřování sociálního bydlení by zároveň nemělo vést ke vzniku nových segregovaných lokalit – jeho rozvoj by měl probíhat v lokalitách s diverzifikovanou strukturou obyvatelstva a se zajištěnou dostupností služeb a občanské vybavenosti.</w:t>
            </w:r>
          </w:p>
        </w:tc>
        <w:tc>
          <w:tcPr>
            <w:tcW w:w="249" w:type="dxa"/>
            <w:tcBorders>
              <w:top w:val="nil"/>
              <w:bottom w:val="nil"/>
            </w:tcBorders>
            <w:shd w:val="clear" w:color="auto" w:fill="66CCFF"/>
          </w:tcPr>
          <w:p w14:paraId="386712C3" w14:textId="77777777" w:rsidR="00DD3EFA" w:rsidRPr="005A0E7C" w:rsidRDefault="00DD3EFA" w:rsidP="00B15ECB">
            <w:pPr>
              <w:rPr>
                <w:b/>
              </w:rPr>
            </w:pPr>
          </w:p>
        </w:tc>
      </w:tr>
      <w:tr w:rsidR="00DD3EFA" w:rsidRPr="005A0E7C" w14:paraId="5BF2ACC2" w14:textId="77777777" w:rsidTr="00B15ECB">
        <w:trPr>
          <w:trHeight w:val="1202"/>
        </w:trPr>
        <w:tc>
          <w:tcPr>
            <w:tcW w:w="249" w:type="dxa"/>
            <w:tcBorders>
              <w:top w:val="nil"/>
              <w:bottom w:val="nil"/>
            </w:tcBorders>
            <w:shd w:val="clear" w:color="auto" w:fill="66CCFF"/>
          </w:tcPr>
          <w:p w14:paraId="03EE8EF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1EE94CE"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68CF9A3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F5B57A3" w14:textId="77777777" w:rsidR="00DD3EFA" w:rsidRPr="005A0E7C" w:rsidRDefault="00DD3EFA" w:rsidP="00B15ECB">
            <w:pPr>
              <w:spacing w:before="60" w:after="60"/>
              <w:rPr>
                <w:rFonts w:eastAsiaTheme="majorEastAsia"/>
              </w:rPr>
            </w:pPr>
            <w:r w:rsidRPr="005A0E7C">
              <w:rPr>
                <w:rFonts w:eastAsiaTheme="majorEastAsia"/>
              </w:rPr>
              <w:t>- - -</w:t>
            </w:r>
          </w:p>
        </w:tc>
        <w:tc>
          <w:tcPr>
            <w:tcW w:w="249" w:type="dxa"/>
            <w:tcBorders>
              <w:top w:val="nil"/>
              <w:bottom w:val="nil"/>
            </w:tcBorders>
            <w:shd w:val="clear" w:color="auto" w:fill="66CCFF"/>
          </w:tcPr>
          <w:p w14:paraId="6E3E027F" w14:textId="77777777" w:rsidR="00DD3EFA" w:rsidRPr="005A0E7C" w:rsidRDefault="00DD3EFA" w:rsidP="00B15ECB">
            <w:pPr>
              <w:rPr>
                <w:b/>
              </w:rPr>
            </w:pPr>
          </w:p>
        </w:tc>
      </w:tr>
      <w:tr w:rsidR="00DD3EFA" w:rsidRPr="005A0E7C" w14:paraId="00AFC92B" w14:textId="77777777" w:rsidTr="00B15ECB">
        <w:trPr>
          <w:trHeight w:val="1202"/>
        </w:trPr>
        <w:tc>
          <w:tcPr>
            <w:tcW w:w="249" w:type="dxa"/>
            <w:tcBorders>
              <w:top w:val="nil"/>
              <w:bottom w:val="nil"/>
            </w:tcBorders>
            <w:shd w:val="clear" w:color="auto" w:fill="66CCFF"/>
          </w:tcPr>
          <w:p w14:paraId="07DA7A9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39E1D8A"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43E02EC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A6FFEA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eastAsiaTheme="majorEastAsia" w:hAnsi="Times New Roman"/>
              </w:rPr>
              <w:t>- - -</w:t>
            </w:r>
          </w:p>
        </w:tc>
        <w:tc>
          <w:tcPr>
            <w:tcW w:w="249" w:type="dxa"/>
            <w:tcBorders>
              <w:top w:val="nil"/>
              <w:bottom w:val="nil"/>
            </w:tcBorders>
            <w:shd w:val="clear" w:color="auto" w:fill="66CCFF"/>
          </w:tcPr>
          <w:p w14:paraId="058955DE" w14:textId="77777777" w:rsidR="00DD3EFA" w:rsidRPr="005A0E7C" w:rsidRDefault="00DD3EFA" w:rsidP="00B15ECB">
            <w:pPr>
              <w:rPr>
                <w:b/>
              </w:rPr>
            </w:pPr>
          </w:p>
        </w:tc>
      </w:tr>
      <w:tr w:rsidR="00DD3EFA" w:rsidRPr="005A0E7C" w14:paraId="54C6E834" w14:textId="77777777" w:rsidTr="00B15ECB">
        <w:trPr>
          <w:trHeight w:val="1202"/>
        </w:trPr>
        <w:tc>
          <w:tcPr>
            <w:tcW w:w="249" w:type="dxa"/>
            <w:tcBorders>
              <w:top w:val="nil"/>
              <w:bottom w:val="nil"/>
            </w:tcBorders>
            <w:shd w:val="clear" w:color="auto" w:fill="66CCFF"/>
          </w:tcPr>
          <w:p w14:paraId="72C52DD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17C8C4B"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721EC99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227EC50" w14:textId="77777777" w:rsidR="00DD3EFA" w:rsidRPr="005A0E7C" w:rsidRDefault="00DD3EFA" w:rsidP="00B15ECB">
            <w:pPr>
              <w:spacing w:before="60" w:after="60"/>
              <w:rPr>
                <w:rFonts w:eastAsiaTheme="majorEastAsia"/>
              </w:rPr>
            </w:pPr>
            <w:r w:rsidRPr="005A0E7C">
              <w:rPr>
                <w:rFonts w:eastAsiaTheme="majorEastAsia"/>
              </w:rPr>
              <w:t>Posun civilizace ke znalostní ekonomice</w:t>
            </w:r>
          </w:p>
          <w:p w14:paraId="70A17FB8" w14:textId="77777777" w:rsidR="00DD3EFA" w:rsidRPr="005A0E7C" w:rsidRDefault="00DD3EFA" w:rsidP="00B15ECB">
            <w:pPr>
              <w:spacing w:before="60" w:after="60"/>
              <w:rPr>
                <w:rFonts w:eastAsiaTheme="majorEastAsia"/>
              </w:rPr>
            </w:pPr>
            <w:r w:rsidRPr="005A0E7C">
              <w:rPr>
                <w:rFonts w:eastAsiaTheme="majorEastAsia"/>
              </w:rPr>
              <w:t>Virtualizace</w:t>
            </w:r>
          </w:p>
          <w:p w14:paraId="7EAD9AB2" w14:textId="77777777" w:rsidR="00DD3EFA" w:rsidRPr="005A0E7C" w:rsidRDefault="00DD3EFA" w:rsidP="00B15ECB">
            <w:pPr>
              <w:spacing w:before="60" w:after="60"/>
              <w:rPr>
                <w:rFonts w:eastAsiaTheme="majorEastAsia"/>
              </w:rPr>
            </w:pPr>
            <w:r w:rsidRPr="005A0E7C">
              <w:rPr>
                <w:rFonts w:eastAsiaTheme="majorEastAsia"/>
              </w:rPr>
              <w:t>Rostoucí mobilita</w:t>
            </w:r>
          </w:p>
          <w:p w14:paraId="65148B62" w14:textId="77777777" w:rsidR="00DD3EFA" w:rsidRPr="005A0E7C" w:rsidRDefault="00DD3EFA" w:rsidP="00B15ECB">
            <w:pPr>
              <w:spacing w:before="60" w:after="60"/>
              <w:rPr>
                <w:rFonts w:eastAsiaTheme="majorEastAsia"/>
              </w:rPr>
            </w:pPr>
            <w:r w:rsidRPr="005A0E7C">
              <w:rPr>
                <w:rFonts w:eastAsiaTheme="majorEastAsia"/>
              </w:rPr>
              <w:t>Změna klimatu a její dopady</w:t>
            </w:r>
          </w:p>
          <w:p w14:paraId="60341E05" w14:textId="77777777" w:rsidR="00DD3EFA" w:rsidRPr="005A0E7C" w:rsidRDefault="00DD3EFA" w:rsidP="00B15ECB">
            <w:pPr>
              <w:spacing w:before="60" w:after="60"/>
              <w:rPr>
                <w:rFonts w:eastAsiaTheme="majorEastAsia"/>
              </w:rPr>
            </w:pPr>
            <w:r w:rsidRPr="005A0E7C">
              <w:rPr>
                <w:rFonts w:eastAsiaTheme="majorEastAsia"/>
              </w:rPr>
              <w:t>Rostoucí spotřeba zdrojů a energie</w:t>
            </w:r>
          </w:p>
          <w:p w14:paraId="4A70837A" w14:textId="77777777" w:rsidR="00DD3EFA" w:rsidRPr="005A0E7C" w:rsidRDefault="00DD3EFA" w:rsidP="00B15ECB">
            <w:pPr>
              <w:spacing w:before="60" w:after="60"/>
              <w:rPr>
                <w:rFonts w:eastAsiaTheme="majorEastAsia"/>
                <w:i/>
              </w:rPr>
            </w:pPr>
            <w:r w:rsidRPr="005A0E7C">
              <w:rPr>
                <w:rFonts w:eastAsiaTheme="majorEastAsia"/>
              </w:rPr>
              <w:t>Urbanizace</w:t>
            </w:r>
          </w:p>
        </w:tc>
        <w:tc>
          <w:tcPr>
            <w:tcW w:w="249" w:type="dxa"/>
            <w:tcBorders>
              <w:top w:val="nil"/>
              <w:bottom w:val="nil"/>
            </w:tcBorders>
            <w:shd w:val="clear" w:color="auto" w:fill="66CCFF"/>
          </w:tcPr>
          <w:p w14:paraId="5970BB1B" w14:textId="77777777" w:rsidR="00DD3EFA" w:rsidRPr="005A0E7C" w:rsidRDefault="00DD3EFA" w:rsidP="00B15ECB">
            <w:pPr>
              <w:rPr>
                <w:b/>
              </w:rPr>
            </w:pPr>
          </w:p>
        </w:tc>
      </w:tr>
      <w:tr w:rsidR="00DD3EFA" w:rsidRPr="005A0E7C" w14:paraId="4A9201F2" w14:textId="77777777" w:rsidTr="00B15ECB">
        <w:trPr>
          <w:trHeight w:val="1202"/>
        </w:trPr>
        <w:tc>
          <w:tcPr>
            <w:tcW w:w="249" w:type="dxa"/>
            <w:tcBorders>
              <w:top w:val="nil"/>
              <w:bottom w:val="nil"/>
            </w:tcBorders>
            <w:shd w:val="clear" w:color="auto" w:fill="66CCFF"/>
          </w:tcPr>
          <w:p w14:paraId="6DC6F43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9406A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3DD0D7EA" w14:textId="77777777" w:rsidR="00DD3EFA" w:rsidRPr="005A0E7C" w:rsidRDefault="00DD3EFA" w:rsidP="00B15ECB">
            <w:pPr>
              <w:spacing w:before="60" w:after="60"/>
            </w:pPr>
            <w:r w:rsidRPr="005A0E7C">
              <w:t>Cíl politiky 4 Sociálnější Evropa – provádění evropského pilíře sociálních práv</w:t>
            </w:r>
          </w:p>
          <w:p w14:paraId="0FF80746" w14:textId="77777777" w:rsidR="00DD3EFA" w:rsidRPr="005A0E7C" w:rsidRDefault="00DD3EFA" w:rsidP="00B15ECB">
            <w:pPr>
              <w:spacing w:before="60" w:after="60"/>
            </w:pPr>
            <w:r w:rsidRPr="005A0E7C">
              <w:t xml:space="preserve">Specifické cíle ESF+: </w:t>
            </w:r>
          </w:p>
          <w:p w14:paraId="393BC50C" w14:textId="77777777" w:rsidR="00DD3EFA" w:rsidRPr="005A0E7C" w:rsidRDefault="00DD3EFA" w:rsidP="00B15ECB">
            <w:pPr>
              <w:spacing w:before="60" w:after="60"/>
            </w:pPr>
            <w:r w:rsidRPr="005A0E7C">
              <w:t>vii)</w:t>
            </w:r>
            <w:r w:rsidRPr="005A0E7C">
              <w:tab/>
              <w:t>posílit aktivní začleňování občanů, a podpořit tak jejich rovné příležitosti a aktivní účast a nabídnout jim lepší zaměstnatelnost;</w:t>
            </w:r>
          </w:p>
          <w:p w14:paraId="4503352D" w14:textId="77777777" w:rsidR="00DD3EFA" w:rsidRPr="005A0E7C" w:rsidRDefault="00DD3EFA" w:rsidP="00B15ECB">
            <w:pPr>
              <w:spacing w:before="60" w:after="60"/>
            </w:pPr>
            <w:r w:rsidRPr="005A0E7C">
              <w:t>ix)</w:t>
            </w:r>
            <w:r w:rsidRPr="005A0E7C">
              <w:tab/>
              <w:t>zvyšovat rovný a včasný přístup ke kvalitním, udržitelným a cenově dostupným službám; modernizovat systémy sociální ochrany včetně podpory přístupu k sociální ochraně; zlepšit dostupnost, účinnost a odolnost systémů zdravotní péče a služeb dlouhodobé zdravotní péče;</w:t>
            </w:r>
          </w:p>
          <w:p w14:paraId="271BD4B1" w14:textId="77777777" w:rsidR="00DD3EFA" w:rsidRPr="005A0E7C" w:rsidRDefault="00DD3EFA" w:rsidP="00B15ECB">
            <w:pPr>
              <w:spacing w:before="60" w:after="60"/>
            </w:pPr>
          </w:p>
          <w:p w14:paraId="71BB5FDE" w14:textId="77777777" w:rsidR="00DD3EFA" w:rsidRPr="005A0E7C" w:rsidRDefault="00DD3EFA" w:rsidP="00B15ECB">
            <w:pPr>
              <w:spacing w:before="60" w:after="60"/>
            </w:pPr>
            <w:r w:rsidRPr="005A0E7C">
              <w:t>Specifické cíle EFRR/FS:</w:t>
            </w:r>
          </w:p>
          <w:p w14:paraId="3C59B21F" w14:textId="77777777" w:rsidR="00DD3EFA" w:rsidRPr="005A0E7C" w:rsidRDefault="00DD3EFA" w:rsidP="00B15ECB">
            <w:pPr>
              <w:spacing w:before="60" w:after="60"/>
            </w:pPr>
            <w:r w:rsidRPr="005A0E7C">
              <w:t>čl. 2 odst. 1 písm. d iii)</w:t>
            </w:r>
          </w:p>
          <w:p w14:paraId="58132D72" w14:textId="77777777" w:rsidR="00DD3EFA" w:rsidRPr="005A0E7C" w:rsidRDefault="00DD3EFA" w:rsidP="00B15ECB">
            <w:pPr>
              <w:spacing w:before="60" w:after="60"/>
              <w:rPr>
                <w:i/>
              </w:rPr>
            </w:pPr>
            <w:r w:rsidRPr="005A0E7C">
              <w:t>Posílení sociálně-ekonomické integrace marginalizovaných komunit, migrantů a znevýhodněných skupin pomoci integrovaných opatření včetně bydlení a sociálních služeb</w:t>
            </w:r>
          </w:p>
        </w:tc>
        <w:tc>
          <w:tcPr>
            <w:tcW w:w="249" w:type="dxa"/>
            <w:tcBorders>
              <w:top w:val="nil"/>
              <w:bottom w:val="nil"/>
            </w:tcBorders>
            <w:shd w:val="clear" w:color="auto" w:fill="66CCFF"/>
          </w:tcPr>
          <w:p w14:paraId="72C3549D" w14:textId="77777777" w:rsidR="00DD3EFA" w:rsidRPr="005A0E7C" w:rsidRDefault="00DD3EFA" w:rsidP="00B15ECB">
            <w:pPr>
              <w:rPr>
                <w:b/>
              </w:rPr>
            </w:pPr>
          </w:p>
        </w:tc>
      </w:tr>
      <w:tr w:rsidR="00DD3EFA" w:rsidRPr="005A0E7C" w14:paraId="3C5F9773" w14:textId="77777777" w:rsidTr="00B15ECB">
        <w:trPr>
          <w:trHeight w:val="1202"/>
        </w:trPr>
        <w:tc>
          <w:tcPr>
            <w:tcW w:w="249" w:type="dxa"/>
            <w:tcBorders>
              <w:top w:val="nil"/>
              <w:bottom w:val="nil"/>
            </w:tcBorders>
            <w:shd w:val="clear" w:color="auto" w:fill="66CCFF"/>
          </w:tcPr>
          <w:p w14:paraId="5E6184F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E35FE3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5865AC8A" w14:textId="77777777" w:rsidR="00DD3EFA" w:rsidRPr="005A0E7C" w:rsidRDefault="00DD3EFA" w:rsidP="00B15ECB">
            <w:pPr>
              <w:spacing w:before="60" w:after="60"/>
              <w:rPr>
                <w:rFonts w:eastAsiaTheme="majorEastAsia"/>
              </w:rPr>
            </w:pPr>
            <w:r w:rsidRPr="005A0E7C">
              <w:rPr>
                <w:rFonts w:eastAsiaTheme="majorEastAsia"/>
              </w:rPr>
              <w:t>V SDR 2018 není žádné explicitní doporučení pro oblast sociálního bydlení.</w:t>
            </w:r>
          </w:p>
        </w:tc>
        <w:tc>
          <w:tcPr>
            <w:tcW w:w="249" w:type="dxa"/>
            <w:tcBorders>
              <w:top w:val="nil"/>
              <w:bottom w:val="nil"/>
            </w:tcBorders>
            <w:shd w:val="clear" w:color="auto" w:fill="66CCFF"/>
          </w:tcPr>
          <w:p w14:paraId="4F9904F2" w14:textId="77777777" w:rsidR="00DD3EFA" w:rsidRPr="005A0E7C" w:rsidRDefault="00DD3EFA" w:rsidP="00B15ECB">
            <w:pPr>
              <w:rPr>
                <w:b/>
              </w:rPr>
            </w:pPr>
          </w:p>
        </w:tc>
      </w:tr>
      <w:tr w:rsidR="00DD3EFA" w:rsidRPr="005A0E7C" w14:paraId="01697D93" w14:textId="77777777" w:rsidTr="00B15ECB">
        <w:trPr>
          <w:trHeight w:val="180"/>
        </w:trPr>
        <w:tc>
          <w:tcPr>
            <w:tcW w:w="249" w:type="dxa"/>
            <w:tcBorders>
              <w:top w:val="nil"/>
              <w:bottom w:val="nil"/>
              <w:right w:val="nil"/>
            </w:tcBorders>
            <w:shd w:val="clear" w:color="auto" w:fill="66CCFF"/>
          </w:tcPr>
          <w:p w14:paraId="3A41E0F5" w14:textId="77777777" w:rsidR="00DD3EFA" w:rsidRPr="005A0E7C" w:rsidRDefault="00DD3EFA" w:rsidP="00B15ECB">
            <w:pPr>
              <w:rPr>
                <w:b/>
              </w:rPr>
            </w:pPr>
          </w:p>
        </w:tc>
        <w:tc>
          <w:tcPr>
            <w:tcW w:w="2548" w:type="dxa"/>
            <w:tcBorders>
              <w:left w:val="nil"/>
              <w:right w:val="nil"/>
            </w:tcBorders>
            <w:shd w:val="clear" w:color="auto" w:fill="66CCFF"/>
          </w:tcPr>
          <w:p w14:paraId="0C5FEA1A" w14:textId="77777777" w:rsidR="00DD3EFA" w:rsidRPr="005A0E7C" w:rsidRDefault="00DD3EFA" w:rsidP="00B15ECB">
            <w:pPr>
              <w:rPr>
                <w:b/>
              </w:rPr>
            </w:pPr>
          </w:p>
        </w:tc>
        <w:tc>
          <w:tcPr>
            <w:tcW w:w="5978" w:type="dxa"/>
            <w:tcBorders>
              <w:left w:val="nil"/>
              <w:right w:val="nil"/>
            </w:tcBorders>
            <w:shd w:val="clear" w:color="auto" w:fill="66CCFF"/>
          </w:tcPr>
          <w:p w14:paraId="56A4ABC7" w14:textId="77777777" w:rsidR="00DD3EFA" w:rsidRPr="005A0E7C" w:rsidRDefault="00DD3EFA" w:rsidP="00B15ECB">
            <w:pPr>
              <w:rPr>
                <w:b/>
              </w:rPr>
            </w:pPr>
          </w:p>
        </w:tc>
        <w:tc>
          <w:tcPr>
            <w:tcW w:w="249" w:type="dxa"/>
            <w:tcBorders>
              <w:top w:val="nil"/>
              <w:left w:val="nil"/>
              <w:bottom w:val="nil"/>
            </w:tcBorders>
            <w:shd w:val="clear" w:color="auto" w:fill="66CCFF"/>
          </w:tcPr>
          <w:p w14:paraId="065EE450" w14:textId="77777777" w:rsidR="00DD3EFA" w:rsidRPr="005A0E7C" w:rsidRDefault="00DD3EFA" w:rsidP="00B15ECB">
            <w:pPr>
              <w:rPr>
                <w:b/>
              </w:rPr>
            </w:pPr>
          </w:p>
        </w:tc>
      </w:tr>
      <w:tr w:rsidR="00DD3EFA" w:rsidRPr="005A0E7C" w14:paraId="674425DB" w14:textId="77777777" w:rsidTr="00B15ECB">
        <w:trPr>
          <w:trHeight w:val="938"/>
        </w:trPr>
        <w:tc>
          <w:tcPr>
            <w:tcW w:w="249" w:type="dxa"/>
            <w:tcBorders>
              <w:top w:val="nil"/>
              <w:bottom w:val="nil"/>
            </w:tcBorders>
            <w:shd w:val="clear" w:color="auto" w:fill="66CCFF"/>
          </w:tcPr>
          <w:p w14:paraId="47031FD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DE90765"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4FCD8AE7"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1B56984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Základním strategickým dokumentem pro oblast sociálního bydlení je </w:t>
            </w:r>
            <w:r w:rsidRPr="005A0E7C">
              <w:rPr>
                <w:rFonts w:ascii="Times New Roman" w:hAnsi="Times New Roman"/>
                <w:b/>
              </w:rPr>
              <w:t>K</w:t>
            </w:r>
            <w:r w:rsidRPr="005A0E7C">
              <w:rPr>
                <w:rFonts w:ascii="Times New Roman" w:hAnsi="Times New Roman"/>
                <w:b/>
                <w:iCs/>
              </w:rPr>
              <w:t>oncepce sociálního bydlení České republiky 2015–2025</w:t>
            </w:r>
            <w:r w:rsidRPr="005A0E7C">
              <w:rPr>
                <w:rFonts w:ascii="Times New Roman" w:hAnsi="Times New Roman"/>
                <w:iCs/>
              </w:rPr>
              <w:t xml:space="preserve">, která představuje rámcový dokument vymezující směr budování systému sociálního bydlení pro osoby v bytové nouzi v České republice. Koncepce samotná se skládá z několika částí (úvod a koncepční východiska, analytická část, strategická část a příloha) a doplňuje ji hodnocení dopadů regulace (RIA). </w:t>
            </w:r>
          </w:p>
          <w:p w14:paraId="641BFBB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Blíže viz: https://www.mpsv.cz/files/clanky/27267/Koncepce_socialniho_bydleni_CR_2015-2025.pdf</w:t>
            </w:r>
          </w:p>
          <w:p w14:paraId="20953A62" w14:textId="77777777" w:rsidR="00DD3EFA" w:rsidRPr="005A0E7C" w:rsidRDefault="00DD3EFA" w:rsidP="00B15ECB">
            <w:pPr>
              <w:autoSpaceDE w:val="0"/>
              <w:autoSpaceDN w:val="0"/>
              <w:adjustRightInd w:val="0"/>
              <w:rPr>
                <w:iCs/>
              </w:rPr>
            </w:pPr>
            <w:r w:rsidRPr="005A0E7C">
              <w:rPr>
                <w:u w:val="single"/>
              </w:rPr>
              <w:t xml:space="preserve">Aktuálně je připravována rozsáhlá revize Koncepce </w:t>
            </w:r>
            <w:r w:rsidRPr="005A0E7C">
              <w:rPr>
                <w:iCs/>
              </w:rPr>
              <w:t xml:space="preserve">sociálního bydlení České republiky 2015–2025. </w:t>
            </w:r>
          </w:p>
          <w:p w14:paraId="17ED8856" w14:textId="77777777" w:rsidR="00DD3EFA" w:rsidRPr="005A0E7C" w:rsidRDefault="00DD3EFA" w:rsidP="00B15ECB">
            <w:r w:rsidRPr="005A0E7C">
              <w:t xml:space="preserve">Specifický cíl VII. II schválené Koncepce sociálního bydlení ČR 2015-2025 určoval, že v roce 2018 bude provedena aktualizace a revize Koncepce. Tato aktualizace a revize byla nezbytná především z důvodu rychlého vývoje, ke kterému v České republice během let 2014 až 2017 v oblasti sociálního bydlení docházelo. Aktualizaci vyžadovala analytická část Koncepce, od roku 2015 došlo k celé řadě strukturálních změn v oblasti bydlení, sociálního bydlení a nástrojů sociální pomoci. Revidována byla také strategická část Koncepce, připravená revize reagovala na tři zásadní nedostatky původní podoby: nezohlednění deklarované komplexnosti nástrojů Koncepce (výrazná část cílů původní verze byla vázána na přijetí zákona o sociálním bydlení), nejasná ověřitelnost plnění řady cílů a v neposlední řadě nedostatky při jejich implementaci. Významnou změnou oproti původní Koncepci je nově nastavený proces implementace cílů, který bude probíhat pomocí akčních plánů. </w:t>
            </w:r>
          </w:p>
          <w:p w14:paraId="0E9410B4" w14:textId="77777777" w:rsidR="00DD3EFA" w:rsidRPr="005A0E7C" w:rsidRDefault="00DD3EFA" w:rsidP="00B15ECB"/>
          <w:p w14:paraId="61518B7A" w14:textId="77777777" w:rsidR="00DD3EFA" w:rsidRPr="005A0E7C" w:rsidRDefault="00DD3EFA" w:rsidP="00B15ECB">
            <w:pPr>
              <w:autoSpaceDE w:val="0"/>
              <w:autoSpaceDN w:val="0"/>
              <w:adjustRightInd w:val="0"/>
              <w:rPr>
                <w:u w:val="single"/>
              </w:rPr>
            </w:pPr>
            <w:r w:rsidRPr="005A0E7C">
              <w:t>V současné době prošla nová verze Koncepce sociálního bydlení vnitřním připomínkovým řízením na MPSV, a do 30. 4. 2019 bude předložena vládě ČR.</w:t>
            </w:r>
          </w:p>
        </w:tc>
        <w:tc>
          <w:tcPr>
            <w:tcW w:w="249" w:type="dxa"/>
            <w:tcBorders>
              <w:top w:val="nil"/>
              <w:bottom w:val="nil"/>
            </w:tcBorders>
            <w:shd w:val="clear" w:color="auto" w:fill="66CCFF"/>
          </w:tcPr>
          <w:p w14:paraId="1060A91B" w14:textId="77777777" w:rsidR="00DD3EFA" w:rsidRPr="005A0E7C" w:rsidRDefault="00DD3EFA" w:rsidP="00B15ECB">
            <w:pPr>
              <w:rPr>
                <w:b/>
              </w:rPr>
            </w:pPr>
          </w:p>
        </w:tc>
      </w:tr>
      <w:tr w:rsidR="00DD3EFA" w:rsidRPr="005A0E7C" w14:paraId="3D96A69E" w14:textId="77777777" w:rsidTr="00B15ECB">
        <w:trPr>
          <w:trHeight w:val="938"/>
        </w:trPr>
        <w:tc>
          <w:tcPr>
            <w:tcW w:w="249" w:type="dxa"/>
            <w:tcBorders>
              <w:top w:val="nil"/>
              <w:bottom w:val="nil"/>
            </w:tcBorders>
            <w:shd w:val="clear" w:color="auto" w:fill="66CCFF"/>
          </w:tcPr>
          <w:p w14:paraId="3C6D337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45C9EE5"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30488D4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A60F80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Podrobná analýza problému a potřeb je obsahem již stávající Koncepce sociálního bydlení a je aktualizována v rámci revidované Koncepce.</w:t>
            </w:r>
          </w:p>
        </w:tc>
        <w:tc>
          <w:tcPr>
            <w:tcW w:w="249" w:type="dxa"/>
            <w:tcBorders>
              <w:top w:val="nil"/>
              <w:bottom w:val="nil"/>
            </w:tcBorders>
            <w:shd w:val="clear" w:color="auto" w:fill="66CCFF"/>
          </w:tcPr>
          <w:p w14:paraId="2518A5A0" w14:textId="77777777" w:rsidR="00DD3EFA" w:rsidRPr="005A0E7C" w:rsidRDefault="00DD3EFA" w:rsidP="00B15ECB">
            <w:pPr>
              <w:rPr>
                <w:b/>
              </w:rPr>
            </w:pPr>
          </w:p>
        </w:tc>
      </w:tr>
      <w:tr w:rsidR="00DD3EFA" w:rsidRPr="005A0E7C" w14:paraId="2013F5D0" w14:textId="77777777" w:rsidTr="00B15ECB">
        <w:trPr>
          <w:trHeight w:val="938"/>
        </w:trPr>
        <w:tc>
          <w:tcPr>
            <w:tcW w:w="249" w:type="dxa"/>
            <w:tcBorders>
              <w:top w:val="nil"/>
              <w:bottom w:val="nil"/>
            </w:tcBorders>
            <w:shd w:val="clear" w:color="auto" w:fill="66CCFF"/>
          </w:tcPr>
          <w:p w14:paraId="5782DDC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2830817"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07DA2A4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795C4E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Cíle a opatření jsou popsány ve stávající Koncepci sociálního bydlení, byly aktualizovány v rámci revidované Koncepce a budou dále podrobně specifikovány v akčních plánech.</w:t>
            </w:r>
          </w:p>
        </w:tc>
        <w:tc>
          <w:tcPr>
            <w:tcW w:w="249" w:type="dxa"/>
            <w:tcBorders>
              <w:top w:val="nil"/>
              <w:bottom w:val="nil"/>
            </w:tcBorders>
            <w:shd w:val="clear" w:color="auto" w:fill="66CCFF"/>
          </w:tcPr>
          <w:p w14:paraId="27AFD891" w14:textId="77777777" w:rsidR="00DD3EFA" w:rsidRPr="005A0E7C" w:rsidRDefault="00DD3EFA" w:rsidP="00B15ECB">
            <w:pPr>
              <w:rPr>
                <w:b/>
              </w:rPr>
            </w:pPr>
          </w:p>
        </w:tc>
      </w:tr>
      <w:tr w:rsidR="00DD3EFA" w:rsidRPr="005A0E7C" w14:paraId="1AF81257" w14:textId="77777777" w:rsidTr="00B15ECB">
        <w:trPr>
          <w:trHeight w:val="938"/>
        </w:trPr>
        <w:tc>
          <w:tcPr>
            <w:tcW w:w="249" w:type="dxa"/>
            <w:tcBorders>
              <w:top w:val="nil"/>
              <w:bottom w:val="nil"/>
            </w:tcBorders>
            <w:shd w:val="clear" w:color="auto" w:fill="66CCFF"/>
          </w:tcPr>
          <w:p w14:paraId="38C9FCD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7F47FA5"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39D1ACB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BDCB9A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Implementační mechanismus je popsán v rámci revidované Koncepce a bude dále specifikován v akčních plánech.</w:t>
            </w:r>
          </w:p>
        </w:tc>
        <w:tc>
          <w:tcPr>
            <w:tcW w:w="249" w:type="dxa"/>
            <w:tcBorders>
              <w:top w:val="nil"/>
              <w:bottom w:val="nil"/>
            </w:tcBorders>
            <w:shd w:val="clear" w:color="auto" w:fill="66CCFF"/>
          </w:tcPr>
          <w:p w14:paraId="1DCB4A8F" w14:textId="77777777" w:rsidR="00DD3EFA" w:rsidRPr="005A0E7C" w:rsidRDefault="00DD3EFA" w:rsidP="00B15ECB">
            <w:pPr>
              <w:rPr>
                <w:b/>
              </w:rPr>
            </w:pPr>
          </w:p>
        </w:tc>
      </w:tr>
      <w:tr w:rsidR="00DD3EFA" w:rsidRPr="005A0E7C" w14:paraId="400F2F4C" w14:textId="77777777" w:rsidTr="00B15ECB">
        <w:trPr>
          <w:trHeight w:val="938"/>
        </w:trPr>
        <w:tc>
          <w:tcPr>
            <w:tcW w:w="249" w:type="dxa"/>
            <w:tcBorders>
              <w:top w:val="nil"/>
              <w:bottom w:val="nil"/>
            </w:tcBorders>
            <w:shd w:val="clear" w:color="auto" w:fill="66CCFF"/>
          </w:tcPr>
          <w:p w14:paraId="39E4448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52606B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1EDBCD1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Plnění opatření Koncepce je každoročně monitorováno a evaluováno Zprávou o plnění Koncepce za příslušný rok, která je pro informaci předkládána vládě.</w:t>
            </w:r>
          </w:p>
        </w:tc>
        <w:tc>
          <w:tcPr>
            <w:tcW w:w="249" w:type="dxa"/>
            <w:tcBorders>
              <w:top w:val="nil"/>
              <w:bottom w:val="nil"/>
            </w:tcBorders>
            <w:shd w:val="clear" w:color="auto" w:fill="66CCFF"/>
          </w:tcPr>
          <w:p w14:paraId="7157601D" w14:textId="77777777" w:rsidR="00DD3EFA" w:rsidRPr="005A0E7C" w:rsidRDefault="00DD3EFA" w:rsidP="00B15ECB">
            <w:pPr>
              <w:rPr>
                <w:b/>
              </w:rPr>
            </w:pPr>
          </w:p>
        </w:tc>
      </w:tr>
      <w:tr w:rsidR="00DD3EFA" w:rsidRPr="005A0E7C" w14:paraId="4AE03122" w14:textId="77777777" w:rsidTr="00B15ECB">
        <w:trPr>
          <w:trHeight w:val="130"/>
        </w:trPr>
        <w:tc>
          <w:tcPr>
            <w:tcW w:w="249" w:type="dxa"/>
            <w:tcBorders>
              <w:top w:val="nil"/>
              <w:bottom w:val="nil"/>
              <w:right w:val="nil"/>
            </w:tcBorders>
            <w:shd w:val="clear" w:color="auto" w:fill="66CCFF"/>
          </w:tcPr>
          <w:p w14:paraId="21964CB4" w14:textId="77777777" w:rsidR="00DD3EFA" w:rsidRPr="005A0E7C" w:rsidRDefault="00DD3EFA" w:rsidP="00B15ECB">
            <w:pPr>
              <w:rPr>
                <w:b/>
              </w:rPr>
            </w:pPr>
          </w:p>
        </w:tc>
        <w:tc>
          <w:tcPr>
            <w:tcW w:w="2548" w:type="dxa"/>
            <w:tcBorders>
              <w:left w:val="nil"/>
              <w:right w:val="nil"/>
            </w:tcBorders>
            <w:shd w:val="clear" w:color="auto" w:fill="66CCFF"/>
          </w:tcPr>
          <w:p w14:paraId="1E0963EB" w14:textId="77777777" w:rsidR="00DD3EFA" w:rsidRPr="005A0E7C" w:rsidRDefault="00DD3EFA" w:rsidP="00B15ECB">
            <w:pPr>
              <w:rPr>
                <w:b/>
              </w:rPr>
            </w:pPr>
          </w:p>
        </w:tc>
        <w:tc>
          <w:tcPr>
            <w:tcW w:w="5978" w:type="dxa"/>
            <w:tcBorders>
              <w:left w:val="nil"/>
              <w:right w:val="nil"/>
            </w:tcBorders>
            <w:shd w:val="clear" w:color="auto" w:fill="66CCFF"/>
          </w:tcPr>
          <w:p w14:paraId="694AEFA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7AD7FBB4" w14:textId="77777777" w:rsidR="00DD3EFA" w:rsidRPr="005A0E7C" w:rsidRDefault="00DD3EFA" w:rsidP="00B15ECB">
            <w:pPr>
              <w:rPr>
                <w:b/>
              </w:rPr>
            </w:pPr>
          </w:p>
        </w:tc>
      </w:tr>
      <w:tr w:rsidR="00DD3EFA" w:rsidRPr="005A0E7C" w14:paraId="0796D323" w14:textId="77777777" w:rsidTr="00B15ECB">
        <w:trPr>
          <w:trHeight w:val="1258"/>
        </w:trPr>
        <w:tc>
          <w:tcPr>
            <w:tcW w:w="249" w:type="dxa"/>
            <w:tcBorders>
              <w:top w:val="nil"/>
              <w:bottom w:val="nil"/>
              <w:right w:val="nil"/>
            </w:tcBorders>
            <w:shd w:val="clear" w:color="auto" w:fill="66CCFF"/>
          </w:tcPr>
          <w:p w14:paraId="15C9D23A" w14:textId="77777777" w:rsidR="00DD3EFA" w:rsidRPr="005A0E7C" w:rsidRDefault="00DD3EFA" w:rsidP="00B15ECB">
            <w:pPr>
              <w:rPr>
                <w:b/>
              </w:rPr>
            </w:pPr>
          </w:p>
        </w:tc>
        <w:tc>
          <w:tcPr>
            <w:tcW w:w="8526" w:type="dxa"/>
            <w:gridSpan w:val="2"/>
            <w:shd w:val="clear" w:color="auto" w:fill="FFFFFF" w:themeFill="background1"/>
          </w:tcPr>
          <w:p w14:paraId="7A92AB9F"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67CEE793" w14:textId="77777777" w:rsidR="00DD3EFA" w:rsidRPr="005A0E7C" w:rsidRDefault="00DD3EFA" w:rsidP="00B15ECB">
            <w:pPr>
              <w:rPr>
                <w:b/>
              </w:rPr>
            </w:pPr>
          </w:p>
        </w:tc>
      </w:tr>
      <w:tr w:rsidR="00DD3EFA" w:rsidRPr="005A0E7C" w14:paraId="35261CD1" w14:textId="77777777" w:rsidTr="00B15ECB">
        <w:trPr>
          <w:trHeight w:val="1258"/>
        </w:trPr>
        <w:tc>
          <w:tcPr>
            <w:tcW w:w="249" w:type="dxa"/>
            <w:tcBorders>
              <w:top w:val="nil"/>
              <w:bottom w:val="nil"/>
              <w:right w:val="nil"/>
            </w:tcBorders>
            <w:shd w:val="clear" w:color="auto" w:fill="66CCFF"/>
          </w:tcPr>
          <w:p w14:paraId="402EAC4C" w14:textId="77777777" w:rsidR="00DD3EFA" w:rsidRPr="005A0E7C" w:rsidRDefault="00DD3EFA" w:rsidP="00B15ECB">
            <w:pPr>
              <w:rPr>
                <w:b/>
              </w:rPr>
            </w:pPr>
          </w:p>
        </w:tc>
        <w:tc>
          <w:tcPr>
            <w:tcW w:w="2548" w:type="dxa"/>
            <w:shd w:val="clear" w:color="auto" w:fill="FFFFFF" w:themeFill="background1"/>
          </w:tcPr>
          <w:p w14:paraId="5994BD7E" w14:textId="77777777" w:rsidR="00DD3EFA" w:rsidRPr="005A0E7C" w:rsidRDefault="00DD3EFA" w:rsidP="00B15ECB">
            <w:pPr>
              <w:rPr>
                <w:rFonts w:eastAsiaTheme="majorEastAsia"/>
                <w:b/>
              </w:rPr>
            </w:pPr>
            <w:r w:rsidRPr="005A0E7C">
              <w:rPr>
                <w:rFonts w:eastAsiaTheme="majorEastAsia"/>
                <w:b/>
              </w:rPr>
              <w:t>Věcný posun oblasti</w:t>
            </w:r>
          </w:p>
          <w:p w14:paraId="3A367B77"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572B6543" w14:textId="77777777" w:rsidR="00DD3EFA" w:rsidRPr="005A0E7C" w:rsidRDefault="00DD3EFA" w:rsidP="00B15ECB">
            <w:pPr>
              <w:spacing w:before="60" w:after="60"/>
            </w:pPr>
            <w:r w:rsidRPr="005A0E7C">
              <w:rPr>
                <w:rFonts w:eastAsiaTheme="majorEastAsia"/>
              </w:rPr>
              <w:t xml:space="preserve">Oblast sociálního začleňování je podporována z fondů EU již od období 2004-2006. Intervence jsou průběžně upravovány dle potřeb a početnosti cílové skupiny a při zohlednění výstupů z evaluací. Oblast sociálního bydlení nebyla v předchozích obdobích v samostatné podobě z fondů EU podporována. </w:t>
            </w:r>
            <w:r w:rsidRPr="005A0E7C">
              <w:t>Průběžná dlouhodobá evaluace účinků podpory OP LZZ na cílové skupiny programu identifikovala, že účinnost podpory pro některé cílové skupiny je kromě psychologické podpory podmíněna poskytnutím např. pomoci s bydlením nebo intervencí v rámci terénní sociální práce. Opakovaně tak byly řešeny problémy spojené s chudobou, resp. s finančními problémy vedoucími k propadu do dluhů, exekucí, návazných problémů s bydlením, problémů rodinných a psychických. S ohledem na tuto skutečnost a za účelem zvýšení účinnosti intervencí v oblasti začleňování byla proto oblast podpory bydlení zařazena pro období 2014-2020 do OPZ. Těžištěm podpory je sociální práce, příkladem kvalitativního posunu je nejdříve pilotní odzkoušení a posléze širší podpora konceptu „Housing first“.</w:t>
            </w:r>
          </w:p>
          <w:p w14:paraId="36D89DC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Výstupy z evaluací intervencí podporovaných v operačních programech v gesci MPSV v obdobích 2014-2020, 2007-2013 a 2004-2006 jsou k dispozici na odkaze: </w:t>
            </w:r>
            <w:hyperlink r:id="rId22" w:history="1">
              <w:r w:rsidRPr="005A0E7C">
                <w:rPr>
                  <w:rStyle w:val="Hypertextovodkaz"/>
                  <w:rFonts w:ascii="Times New Roman" w:hAnsi="Times New Roman"/>
                </w:rPr>
                <w:t>https://www.esfcr.cz/evaluace</w:t>
              </w:r>
            </w:hyperlink>
            <w:r w:rsidRPr="005A0E7C">
              <w:rPr>
                <w:rFonts w:ascii="Times New Roman" w:hAnsi="Times New Roman"/>
              </w:rPr>
              <w:t>. Zmínit lze například Průběžnou dlouhodobou evaluaci účinků podpory OP LZZ na cílové skupiny programu nebo</w:t>
            </w:r>
            <w:r w:rsidRPr="005A0E7C">
              <w:rPr>
                <w:rFonts w:ascii="Times New Roman" w:hAnsi="Times New Roman"/>
                <w:b/>
              </w:rPr>
              <w:t xml:space="preserve"> </w:t>
            </w:r>
            <w:r w:rsidRPr="005A0E7C">
              <w:rPr>
                <w:rFonts w:ascii="Times New Roman" w:hAnsi="Times New Roman"/>
              </w:rPr>
              <w:t>Evaluaci dopadů a dobré praxe OP LZZ na základě případových studií a jejich meta-analýzy.</w:t>
            </w:r>
          </w:p>
          <w:p w14:paraId="2F2A688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eastAsiaTheme="majorEastAsia" w:hAnsi="Times New Roman"/>
              </w:rPr>
              <w:t>Strategická evaluace OPZ I – relevance z 30. března 2017 konstatovala, že nastavená intervenční logika investičních priorit OPZ zaměřených na sociální začleňování a boj s chudobou je stále aktuální a intervence v oblasti sociálního bydlení jsou relevantní a potřebné.</w:t>
            </w:r>
          </w:p>
        </w:tc>
        <w:tc>
          <w:tcPr>
            <w:tcW w:w="249" w:type="dxa"/>
            <w:tcBorders>
              <w:top w:val="nil"/>
              <w:left w:val="nil"/>
              <w:bottom w:val="nil"/>
            </w:tcBorders>
            <w:shd w:val="clear" w:color="auto" w:fill="66CCFF"/>
          </w:tcPr>
          <w:p w14:paraId="08F8356C" w14:textId="77777777" w:rsidR="00DD3EFA" w:rsidRPr="005A0E7C" w:rsidRDefault="00DD3EFA" w:rsidP="00B15ECB">
            <w:pPr>
              <w:rPr>
                <w:b/>
              </w:rPr>
            </w:pPr>
          </w:p>
        </w:tc>
      </w:tr>
      <w:tr w:rsidR="00DD3EFA" w:rsidRPr="005A0E7C" w14:paraId="3F5884B0" w14:textId="77777777" w:rsidTr="00B15ECB">
        <w:trPr>
          <w:trHeight w:val="1258"/>
        </w:trPr>
        <w:tc>
          <w:tcPr>
            <w:tcW w:w="249" w:type="dxa"/>
            <w:tcBorders>
              <w:top w:val="nil"/>
              <w:bottom w:val="nil"/>
              <w:right w:val="nil"/>
            </w:tcBorders>
            <w:shd w:val="clear" w:color="auto" w:fill="66CCFF"/>
          </w:tcPr>
          <w:p w14:paraId="122C5AB1" w14:textId="77777777" w:rsidR="00DD3EFA" w:rsidRPr="005A0E7C" w:rsidRDefault="00DD3EFA" w:rsidP="00B15ECB">
            <w:pPr>
              <w:rPr>
                <w:b/>
              </w:rPr>
            </w:pPr>
          </w:p>
        </w:tc>
        <w:tc>
          <w:tcPr>
            <w:tcW w:w="2548" w:type="dxa"/>
            <w:shd w:val="clear" w:color="auto" w:fill="FFFFFF" w:themeFill="background1"/>
          </w:tcPr>
          <w:p w14:paraId="4A9FE6D5" w14:textId="77777777" w:rsidR="00DD3EFA" w:rsidRPr="005A0E7C" w:rsidRDefault="00DD3EFA" w:rsidP="00B15ECB">
            <w:pPr>
              <w:rPr>
                <w:rFonts w:eastAsiaTheme="majorEastAsia"/>
                <w:b/>
              </w:rPr>
            </w:pPr>
            <w:r w:rsidRPr="005A0E7C">
              <w:rPr>
                <w:rFonts w:eastAsiaTheme="majorEastAsia"/>
                <w:b/>
              </w:rPr>
              <w:t>Synergické a multiplikační efekty</w:t>
            </w:r>
          </w:p>
          <w:p w14:paraId="73674B7F"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5CC84A5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Synergická vazba nebyla v dané oblasti identifikována.  </w:t>
            </w:r>
          </w:p>
          <w:p w14:paraId="0AD8A12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Pro období 2014-2020 je v rámci OPZ popsána problematika sociálního bydlení jako součást komplementární vazby „Sociální začleňování a boj s chudobou“ – pro plnění této vazby byly nastaveny dostatečné koordinační mechanismy pro zajištění doplňkovosti s relevantními aktivitami v rámci výzev IROP a OP PPR.</w:t>
            </w:r>
          </w:p>
          <w:p w14:paraId="33AC36A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Podrobnější informace o plnění komplementárních vazeb v OPZ jsou uvedeny v Přehledu plnění synergických a komplementárních vazeb v MS2014, který je každoročně vyplňován jednotlivými ŘO podle Metodického pokynu pro monitorování implementace ESIF v ČR v programovém období 2014-2020.</w:t>
            </w:r>
          </w:p>
        </w:tc>
        <w:tc>
          <w:tcPr>
            <w:tcW w:w="249" w:type="dxa"/>
            <w:tcBorders>
              <w:top w:val="nil"/>
              <w:left w:val="nil"/>
              <w:bottom w:val="nil"/>
            </w:tcBorders>
            <w:shd w:val="clear" w:color="auto" w:fill="66CCFF"/>
          </w:tcPr>
          <w:p w14:paraId="70BA8A4C" w14:textId="77777777" w:rsidR="00DD3EFA" w:rsidRPr="005A0E7C" w:rsidRDefault="00DD3EFA" w:rsidP="00B15ECB">
            <w:pPr>
              <w:rPr>
                <w:b/>
              </w:rPr>
            </w:pPr>
          </w:p>
        </w:tc>
      </w:tr>
      <w:tr w:rsidR="00DD3EFA" w:rsidRPr="005A0E7C" w14:paraId="09F6AAF9" w14:textId="77777777" w:rsidTr="00B15ECB">
        <w:trPr>
          <w:trHeight w:val="180"/>
        </w:trPr>
        <w:tc>
          <w:tcPr>
            <w:tcW w:w="249" w:type="dxa"/>
            <w:tcBorders>
              <w:top w:val="nil"/>
              <w:bottom w:val="nil"/>
              <w:right w:val="nil"/>
            </w:tcBorders>
            <w:shd w:val="clear" w:color="auto" w:fill="66CCFF"/>
          </w:tcPr>
          <w:p w14:paraId="41E7302D"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5D2FF8D3"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469A5A0" w14:textId="77777777" w:rsidR="00DD3EFA" w:rsidRPr="005A0E7C" w:rsidRDefault="00DD3EFA" w:rsidP="00B15ECB">
            <w:pPr>
              <w:rPr>
                <w:b/>
              </w:rPr>
            </w:pPr>
          </w:p>
        </w:tc>
        <w:tc>
          <w:tcPr>
            <w:tcW w:w="249" w:type="dxa"/>
            <w:tcBorders>
              <w:top w:val="nil"/>
              <w:left w:val="nil"/>
              <w:bottom w:val="nil"/>
            </w:tcBorders>
            <w:shd w:val="clear" w:color="auto" w:fill="66CCFF"/>
          </w:tcPr>
          <w:p w14:paraId="34039EFA" w14:textId="77777777" w:rsidR="00DD3EFA" w:rsidRPr="005A0E7C" w:rsidRDefault="00DD3EFA" w:rsidP="00B15ECB">
            <w:pPr>
              <w:rPr>
                <w:b/>
              </w:rPr>
            </w:pPr>
          </w:p>
        </w:tc>
      </w:tr>
      <w:tr w:rsidR="00DD3EFA" w:rsidRPr="005A0E7C" w14:paraId="3674660F" w14:textId="77777777" w:rsidTr="00B15ECB">
        <w:trPr>
          <w:trHeight w:val="990"/>
        </w:trPr>
        <w:tc>
          <w:tcPr>
            <w:tcW w:w="249" w:type="dxa"/>
            <w:tcBorders>
              <w:top w:val="nil"/>
              <w:bottom w:val="nil"/>
            </w:tcBorders>
            <w:shd w:val="clear" w:color="auto" w:fill="66CCFF"/>
          </w:tcPr>
          <w:p w14:paraId="5709D73D"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2F9335A0"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3D7CF545"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7DDA301B" w14:textId="77777777" w:rsidR="00DD3EFA" w:rsidRPr="005A0E7C" w:rsidRDefault="00DD3EFA" w:rsidP="00B15ECB">
            <w:pPr>
              <w:rPr>
                <w:b/>
              </w:rPr>
            </w:pPr>
          </w:p>
        </w:tc>
      </w:tr>
      <w:tr w:rsidR="00DD3EFA" w:rsidRPr="005A0E7C" w14:paraId="77B9D5C2" w14:textId="77777777" w:rsidTr="00B15ECB">
        <w:trPr>
          <w:trHeight w:val="1260"/>
        </w:trPr>
        <w:tc>
          <w:tcPr>
            <w:tcW w:w="249" w:type="dxa"/>
            <w:tcBorders>
              <w:top w:val="nil"/>
              <w:bottom w:val="nil"/>
            </w:tcBorders>
            <w:shd w:val="clear" w:color="auto" w:fill="66CCFF"/>
          </w:tcPr>
          <w:p w14:paraId="2A7C16C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583B00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5804080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Problematika sociálního bydlení je ve stávajícím období finančně podporována z IROP, OP PPR a z OP Z. </w:t>
            </w:r>
          </w:p>
          <w:p w14:paraId="2DB4E383" w14:textId="77777777" w:rsidR="00DD3EFA" w:rsidRPr="005A0E7C" w:rsidRDefault="00DD3EFA" w:rsidP="00B15ECB">
            <w:pPr>
              <w:spacing w:before="60" w:after="60"/>
              <w:rPr>
                <w:rFonts w:eastAsiaTheme="majorEastAsia"/>
              </w:rPr>
            </w:pPr>
            <w:r w:rsidRPr="005A0E7C">
              <w:rPr>
                <w:rFonts w:eastAsiaTheme="majorEastAsia"/>
              </w:rPr>
              <w:t>Dlouhodobým problémem je nedostatek  dostupných bytů pro příjmově  slabé a sociálně vyloučené osoby, nedostatek</w:t>
            </w:r>
            <w:r w:rsidRPr="005A0E7C">
              <w:t xml:space="preserve"> </w:t>
            </w:r>
            <w:r w:rsidRPr="005A0E7C">
              <w:rPr>
                <w:rFonts w:eastAsiaTheme="majorEastAsia"/>
              </w:rPr>
              <w:t xml:space="preserve">sociální práce zaměřené na udržení bydlení a  neprovázanost dalších nástorjů sociální politiky zaměřených na sociální inkluzi. Nedostatek potenciálních žadatelů, vedl ŘO IROP k tomu, že úpravou Programového dokumentu ponížil hodnoty milníku. Tento nepříznivý stav byl umocněn omezujícími a složitými pravidly veřejné podpory. Ke zlepšení nepříznivého vývoje využil ŘO IROP do dalších výzev druhou variantu výpočtu veřejné podpory. Na základě požadavku EK je v nových výzvách IROP (individuálních i integrovaných) stanovena udržitelnost projektu na sociální bydlení na 20 let. Toto bude eliminovat žadatele, kteří po uplynutí lhůty udržitelnosti transformují sociální byty na komerční nájemní bydlení. ŘO IROP vyhlásil v PO 2, </w:t>
            </w:r>
            <w:r w:rsidRPr="005A0E7C">
              <w:rPr>
                <w:rFonts w:eastAsiaTheme="majorEastAsia"/>
                <w:i/>
              </w:rPr>
              <w:t>(SC 2.1 „Zvýšení kvality a dostupnosti služeb vedoucí k sociální inkluzi“)</w:t>
            </w:r>
            <w:r w:rsidRPr="005A0E7C">
              <w:rPr>
                <w:color w:val="1C222F"/>
              </w:rPr>
              <w:t> </w:t>
            </w:r>
            <w:r w:rsidRPr="005A0E7C">
              <w:rPr>
                <w:rFonts w:eastAsiaTheme="majorEastAsia"/>
              </w:rPr>
              <w:t xml:space="preserve">výzvy na soc. bydlení, které nebyly zcela naplněny. V březnu 2018 byly vyhlášeny navazující výzvy souhrnně s alokací 2 mld. Kč. Předpokládá se, že do konce programového období bude v rámci IROP podpořeno celkem 5000 sociálních bytů. </w:t>
            </w:r>
          </w:p>
          <w:p w14:paraId="0F88F2C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rámci OP Z jsou podporovány především sociální služby související s bydlením a aktivity, které se týkají řešení problematiky bydlení prostřednictvím podpory sociální práce s klienty - preventivní, následné a doprovodné služby pro osoby ohrožené ztrátou bydlení.</w:t>
            </w:r>
          </w:p>
          <w:p w14:paraId="13D796F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OPZ PO 2 </w:t>
            </w:r>
            <w:r w:rsidRPr="005A0E7C">
              <w:rPr>
                <w:rFonts w:ascii="Times New Roman" w:eastAsiaTheme="majorEastAsia" w:hAnsi="Times New Roman"/>
                <w:i/>
                <w:noProof/>
              </w:rPr>
              <w:t>(SC 2.2.1 „Zvýšit kvalitu a udržitelnost systému sociálních služeb, služeb pro rodiny a děti a dalších navazujících služeb podporujících sociální začleňování”)</w:t>
            </w:r>
            <w:r w:rsidRPr="005A0E7C">
              <w:rPr>
                <w:rFonts w:ascii="Times New Roman" w:hAnsi="Times New Roman"/>
              </w:rPr>
              <w:t xml:space="preserve"> jsou také podporovány projekty obcí zaměřené na pilotní ověření systému, na tvorbu nebo aktualizaci lokální koncepce sociálního bydlení na území obce, včetně způsobu financování nebo na tvorbu metodik sociální práce v oblasti bydlení. Tyto koncepce a metodiky určené přímo pro obce se zaobírají například řešením problematiky segregace v obci, jsou konzultovány a spoluvytvářeny s  ASZ (ÚV ČR).</w:t>
            </w:r>
          </w:p>
          <w:p w14:paraId="50C82CB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color w:val="2E74B5" w:themeColor="accent1" w:themeShade="BF"/>
              </w:rPr>
            </w:pPr>
            <w:r w:rsidRPr="005A0E7C">
              <w:rPr>
                <w:rFonts w:ascii="Times New Roman" w:hAnsi="Times New Roman"/>
              </w:rPr>
              <w:t xml:space="preserve">V rámci OPZ (IP 2.3 </w:t>
            </w:r>
            <w:r w:rsidRPr="005A0E7C">
              <w:rPr>
                <w:rFonts w:ascii="Times New Roman" w:hAnsi="Times New Roman"/>
                <w:i/>
              </w:rPr>
              <w:t>Strategie komunitně vedeného místního rozvoje</w:t>
            </w:r>
            <w:r w:rsidRPr="005A0E7C">
              <w:rPr>
                <w:rFonts w:ascii="Times New Roman" w:hAnsi="Times New Roman"/>
              </w:rPr>
              <w:t>) lze rovněž podpořit rozvoj sociálního bydlení jako prevence prostorového vyloučení, vzniku sociálně vyloučených lokalit a bezdomovectví. Podporované aktivity se týkají lokálních řešení problematiky bydlení prostřednictvím podpory sociální práce s klienty - preventivní, následné a doprovodné služby pro osoby ohrožené ztrátou bydlení, a to na základě místní znalosti, komplexního přístupu a síťování</w:t>
            </w:r>
            <w:r w:rsidRPr="005A0E7C">
              <w:rPr>
                <w:rFonts w:ascii="Times New Roman" w:hAnsi="Times New Roman"/>
                <w:color w:val="2E74B5" w:themeColor="accent1" w:themeShade="BF"/>
              </w:rPr>
              <w:t>.</w:t>
            </w:r>
          </w:p>
          <w:p w14:paraId="2A6778C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OPZ PO 3 byl podpořen projekt Rapid Re-housing v Brně, který se zaměřuje na pečlivé ověření a demonstraci, zda je program Housing First vhodný pro řešení bezdomovectví rodin v České republice. Přístup Housing First předpokládá, že stabilní a finančně dostupné bydlení společně s podporou v počátcích bydlení přinese změny v oblastech ekonomické stability, školní úspěšnosti dětí, zdraví, kvality života a další. Město Brno poskytlo 50 bytů, do kterých bylo náhodně vybráno 50 rodin v bytové nouzi. Po 6 měsících od zabydlení se bydlení podařilo udržet 48 rodinám, došlo ke snížení míry psychosociálního stresu pečujících osob, snížilo se využívání pohotovostních služeb a hospitalizací, zvýšila se kvalita bydlení a sociální integrace rodičů. </w:t>
            </w:r>
          </w:p>
          <w:p w14:paraId="5E90B15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Na území hl. m. Prahy je problematika sociálního bydlení podporována z OP PPR. V rámci OP PPR PO 3 </w:t>
            </w:r>
            <w:r w:rsidRPr="005A0E7C">
              <w:rPr>
                <w:rFonts w:ascii="Times New Roman" w:hAnsi="Times New Roman"/>
                <w:i/>
              </w:rPr>
              <w:t>(SC 3.1 Posílená sociální infrastruktura pro integraci, komunitní služby a prevenci)</w:t>
            </w:r>
            <w:r w:rsidRPr="005A0E7C">
              <w:rPr>
                <w:rFonts w:ascii="Times New Roman" w:hAnsi="Times New Roman"/>
                <w:color w:val="000000"/>
              </w:rPr>
              <w:t xml:space="preserve"> </w:t>
            </w:r>
            <w:r w:rsidRPr="005A0E7C">
              <w:rPr>
                <w:rFonts w:ascii="Times New Roman" w:hAnsi="Times New Roman"/>
              </w:rPr>
              <w:t>jsou podporovány především investice do posílené infrastruktury pro integraci, komunitní služby a prevenci (sociální bydlení, zřizování prostor pro sociální služby, a další).  ŘO OP PPR již vyhlásil několik výzev, týkající se sociálního bydlení. Jako cílová hodnota v roce 2023 má být podpořeno celkem 137 bytů pro sociální bydlení, aktuálně je v závazku žadatelů celkem 16 bytů.</w:t>
            </w:r>
          </w:p>
        </w:tc>
        <w:tc>
          <w:tcPr>
            <w:tcW w:w="249" w:type="dxa"/>
            <w:tcBorders>
              <w:top w:val="nil"/>
              <w:bottom w:val="nil"/>
            </w:tcBorders>
            <w:shd w:val="clear" w:color="auto" w:fill="66CCFF"/>
          </w:tcPr>
          <w:p w14:paraId="6FF07B5F" w14:textId="77777777" w:rsidR="00DD3EFA" w:rsidRPr="005A0E7C" w:rsidRDefault="00DD3EFA" w:rsidP="00B15ECB">
            <w:pPr>
              <w:rPr>
                <w:b/>
              </w:rPr>
            </w:pPr>
          </w:p>
        </w:tc>
      </w:tr>
      <w:tr w:rsidR="00DD3EFA" w:rsidRPr="005A0E7C" w14:paraId="1E7AFCC7" w14:textId="77777777" w:rsidTr="00B15ECB">
        <w:trPr>
          <w:trHeight w:val="850"/>
        </w:trPr>
        <w:tc>
          <w:tcPr>
            <w:tcW w:w="249" w:type="dxa"/>
            <w:tcBorders>
              <w:top w:val="nil"/>
              <w:bottom w:val="nil"/>
            </w:tcBorders>
            <w:shd w:val="clear" w:color="auto" w:fill="66CCFF"/>
          </w:tcPr>
          <w:p w14:paraId="2F4A633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3CC486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5F02B66A" w14:textId="77777777" w:rsidR="00DD3EFA" w:rsidRPr="005A0E7C" w:rsidRDefault="00DD3EFA" w:rsidP="00B15ECB">
            <w:pPr>
              <w:spacing w:before="60" w:after="60"/>
              <w:rPr>
                <w:rFonts w:eastAsiaTheme="majorEastAsia"/>
              </w:rPr>
            </w:pPr>
            <w:r w:rsidRPr="005A0E7C">
              <w:rPr>
                <w:rFonts w:eastAsiaTheme="majorEastAsia"/>
              </w:rPr>
              <w:t xml:space="preserve">Jak je uvedeno výše, poptávka příjemců po intervencích v oblasti sociálního bydlení je limitována právní nejistotou plynoucí z neexistence zákona o sociálním bydlení. Rovněž jsou z ESF podporovány především sociální služby související s bydlením a aktivity, které se týkají řešení problematiky bydlení prostřednictvím podpory sociální práce s klienty. Samotné pořizování sociálních bytů však musí být hrazeno z investičních programů. Bude-li dodržen plán IROP podpořit do konce současného programového období 5000 sociálních bytů, lze předpokládat navýšení zájmu o neinvestiční projekty na podporu sociálního bydlení z ESF+. </w:t>
            </w:r>
          </w:p>
        </w:tc>
        <w:tc>
          <w:tcPr>
            <w:tcW w:w="249" w:type="dxa"/>
            <w:tcBorders>
              <w:top w:val="nil"/>
              <w:bottom w:val="nil"/>
            </w:tcBorders>
            <w:shd w:val="clear" w:color="auto" w:fill="66CCFF"/>
          </w:tcPr>
          <w:p w14:paraId="061CEB49" w14:textId="77777777" w:rsidR="00DD3EFA" w:rsidRPr="005A0E7C" w:rsidRDefault="00DD3EFA" w:rsidP="00B15ECB">
            <w:pPr>
              <w:rPr>
                <w:b/>
              </w:rPr>
            </w:pPr>
          </w:p>
        </w:tc>
      </w:tr>
      <w:tr w:rsidR="00DD3EFA" w:rsidRPr="005A0E7C" w14:paraId="172821A1" w14:textId="77777777" w:rsidTr="00B15ECB">
        <w:trPr>
          <w:trHeight w:val="925"/>
        </w:trPr>
        <w:tc>
          <w:tcPr>
            <w:tcW w:w="249" w:type="dxa"/>
            <w:tcBorders>
              <w:top w:val="nil"/>
              <w:bottom w:val="nil"/>
            </w:tcBorders>
            <w:shd w:val="clear" w:color="auto" w:fill="66CCFF"/>
          </w:tcPr>
          <w:p w14:paraId="6F402D0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C0CD52B"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635A81E6" w14:textId="77777777" w:rsidR="00DD3EFA" w:rsidRPr="005A0E7C" w:rsidRDefault="00DD3EFA" w:rsidP="00B15ECB">
            <w:pPr>
              <w:spacing w:before="60" w:after="60"/>
              <w:rPr>
                <w:rFonts w:eastAsiaTheme="majorEastAsia"/>
              </w:rPr>
            </w:pPr>
            <w:r w:rsidRPr="005A0E7C">
              <w:rPr>
                <w:rFonts w:eastAsiaTheme="majorEastAsia"/>
              </w:rPr>
              <w:t>Projekty jsou připravovány průběžně dle potřeby, pro ESF projekty není relevantní dlouhodobá a náročná projektová příprava jako např. pro infrastrukturní projekty.</w:t>
            </w:r>
          </w:p>
        </w:tc>
        <w:tc>
          <w:tcPr>
            <w:tcW w:w="249" w:type="dxa"/>
            <w:tcBorders>
              <w:top w:val="nil"/>
              <w:bottom w:val="nil"/>
            </w:tcBorders>
            <w:shd w:val="clear" w:color="auto" w:fill="66CCFF"/>
          </w:tcPr>
          <w:p w14:paraId="22364600" w14:textId="77777777" w:rsidR="00DD3EFA" w:rsidRPr="005A0E7C" w:rsidRDefault="00DD3EFA" w:rsidP="00B15ECB">
            <w:pPr>
              <w:rPr>
                <w:b/>
              </w:rPr>
            </w:pPr>
          </w:p>
        </w:tc>
      </w:tr>
      <w:tr w:rsidR="00DD3EFA" w:rsidRPr="005A0E7C" w14:paraId="62DC9769" w14:textId="77777777" w:rsidTr="00B15ECB">
        <w:trPr>
          <w:trHeight w:val="1001"/>
        </w:trPr>
        <w:tc>
          <w:tcPr>
            <w:tcW w:w="249" w:type="dxa"/>
            <w:tcBorders>
              <w:top w:val="nil"/>
              <w:bottom w:val="nil"/>
            </w:tcBorders>
            <w:shd w:val="clear" w:color="auto" w:fill="66CCFF"/>
          </w:tcPr>
          <w:p w14:paraId="799ED6B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DA0BB7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7A43D376" w14:textId="77777777" w:rsidR="00DD3EFA" w:rsidRPr="005A0E7C" w:rsidRDefault="00DD3EFA" w:rsidP="00B15ECB">
            <w:pPr>
              <w:spacing w:before="60" w:after="60"/>
              <w:rPr>
                <w:rFonts w:eastAsiaTheme="majorEastAsia"/>
              </w:rPr>
            </w:pPr>
            <w:r w:rsidRPr="005A0E7C">
              <w:rPr>
                <w:rFonts w:eastAsiaTheme="majorEastAsia"/>
              </w:rPr>
              <w:t>Neexistence zákona o sociálním bydlení</w:t>
            </w:r>
          </w:p>
          <w:p w14:paraId="171447E9" w14:textId="77777777" w:rsidR="00DD3EFA" w:rsidRPr="005A0E7C" w:rsidRDefault="00DD3EFA" w:rsidP="00B15ECB">
            <w:pPr>
              <w:spacing w:before="60" w:after="60"/>
              <w:rPr>
                <w:rFonts w:eastAsiaTheme="majorEastAsia"/>
              </w:rPr>
            </w:pPr>
            <w:r w:rsidRPr="005A0E7C">
              <w:rPr>
                <w:rFonts w:eastAsiaTheme="majorEastAsia"/>
              </w:rPr>
              <w:t>Bariéry v dosahování cílů budou zevrubně popsány v rámci akčních plánů k revidované Koncepci sociálního bydlení 2015 – 2025.</w:t>
            </w:r>
          </w:p>
          <w:p w14:paraId="00177ACF"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1FCEFD6A" w14:textId="77777777" w:rsidR="00DD3EFA" w:rsidRPr="005A0E7C" w:rsidRDefault="00DD3EFA" w:rsidP="00B15ECB">
            <w:pPr>
              <w:rPr>
                <w:b/>
              </w:rPr>
            </w:pPr>
          </w:p>
        </w:tc>
      </w:tr>
      <w:tr w:rsidR="00DD3EFA" w:rsidRPr="005A0E7C" w14:paraId="0498E4F6"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43A97EB2"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86E4D8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AA200BA"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5402A5A1" w14:textId="77777777" w:rsidR="00DD3EFA" w:rsidRPr="005A0E7C" w:rsidRDefault="00DD3EFA" w:rsidP="00B15ECB">
            <w:pPr>
              <w:rPr>
                <w:b/>
              </w:rPr>
            </w:pPr>
          </w:p>
        </w:tc>
      </w:tr>
      <w:tr w:rsidR="00DD3EFA" w:rsidRPr="005A0E7C" w14:paraId="28E62A98" w14:textId="77777777" w:rsidTr="00B15ECB">
        <w:trPr>
          <w:trHeight w:val="694"/>
        </w:trPr>
        <w:tc>
          <w:tcPr>
            <w:tcW w:w="249" w:type="dxa"/>
            <w:tcBorders>
              <w:top w:val="single" w:sz="4" w:space="0" w:color="auto"/>
              <w:bottom w:val="nil"/>
            </w:tcBorders>
            <w:shd w:val="clear" w:color="auto" w:fill="66CCFF"/>
          </w:tcPr>
          <w:p w14:paraId="7894722D"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71ED2D1E"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32E8D302" w14:textId="77777777" w:rsidR="00DD3EFA" w:rsidRPr="005A0E7C" w:rsidRDefault="00DD3EFA" w:rsidP="00B15ECB">
            <w:pPr>
              <w:spacing w:before="60" w:after="60"/>
              <w:rPr>
                <w:rFonts w:eastAsiaTheme="majorEastAsia"/>
                <w:i/>
              </w:rPr>
            </w:pPr>
          </w:p>
        </w:tc>
        <w:tc>
          <w:tcPr>
            <w:tcW w:w="249" w:type="dxa"/>
            <w:tcBorders>
              <w:top w:val="single" w:sz="4" w:space="0" w:color="auto"/>
              <w:bottom w:val="nil"/>
            </w:tcBorders>
            <w:shd w:val="clear" w:color="auto" w:fill="66CCFF"/>
          </w:tcPr>
          <w:p w14:paraId="28F3B7FD" w14:textId="77777777" w:rsidR="00DD3EFA" w:rsidRPr="005A0E7C" w:rsidRDefault="00DD3EFA" w:rsidP="00B15ECB">
            <w:pPr>
              <w:rPr>
                <w:b/>
              </w:rPr>
            </w:pPr>
          </w:p>
        </w:tc>
      </w:tr>
      <w:tr w:rsidR="00DD3EFA" w:rsidRPr="005A0E7C" w14:paraId="023D3F73" w14:textId="77777777" w:rsidTr="00B15ECB">
        <w:trPr>
          <w:trHeight w:val="1403"/>
        </w:trPr>
        <w:tc>
          <w:tcPr>
            <w:tcW w:w="249" w:type="dxa"/>
            <w:tcBorders>
              <w:top w:val="nil"/>
              <w:bottom w:val="nil"/>
            </w:tcBorders>
            <w:shd w:val="clear" w:color="auto" w:fill="66CCFF"/>
          </w:tcPr>
          <w:p w14:paraId="20FCE036" w14:textId="77777777" w:rsidR="00DD3EFA" w:rsidRPr="005A0E7C" w:rsidRDefault="00DD3EFA" w:rsidP="00B15ECB">
            <w:pPr>
              <w:rPr>
                <w:b/>
              </w:rPr>
            </w:pPr>
          </w:p>
        </w:tc>
        <w:tc>
          <w:tcPr>
            <w:tcW w:w="2548" w:type="dxa"/>
            <w:tcBorders>
              <w:top w:val="nil"/>
            </w:tcBorders>
            <w:shd w:val="clear" w:color="auto" w:fill="FFFFFF" w:themeFill="background1"/>
          </w:tcPr>
          <w:p w14:paraId="20324D0A"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44C22ECE" w14:textId="77777777" w:rsidR="00DD3EFA" w:rsidRPr="005A0E7C" w:rsidRDefault="00DD3EFA" w:rsidP="00B15ECB">
            <w:pPr>
              <w:spacing w:before="60" w:after="60"/>
              <w:rPr>
                <w:rFonts w:eastAsiaTheme="majorEastAsia"/>
              </w:rPr>
            </w:pPr>
            <w:r w:rsidRPr="005A0E7C">
              <w:rPr>
                <w:rFonts w:eastAsiaTheme="majorEastAsia"/>
              </w:rPr>
              <w:t xml:space="preserve">Žádné významnější prostředky v jiných unijních programech nad rámec ESF+ nejsou k dispozici. </w:t>
            </w:r>
          </w:p>
          <w:p w14:paraId="688A7B30" w14:textId="77777777" w:rsidR="00DD3EFA" w:rsidRPr="005A0E7C" w:rsidRDefault="00DD3EFA" w:rsidP="00B15ECB">
            <w:pPr>
              <w:spacing w:before="60" w:after="60"/>
              <w:rPr>
                <w:rFonts w:eastAsiaTheme="majorEastAsia"/>
              </w:rPr>
            </w:pPr>
            <w:r w:rsidRPr="005A0E7C">
              <w:t>Program na podporu zaměstnanosti a sociálních inovací (EaSI) byl pro období 2021-2027 nově začleněn do ESF+.</w:t>
            </w:r>
          </w:p>
        </w:tc>
        <w:tc>
          <w:tcPr>
            <w:tcW w:w="249" w:type="dxa"/>
            <w:tcBorders>
              <w:top w:val="nil"/>
              <w:bottom w:val="nil"/>
            </w:tcBorders>
            <w:shd w:val="clear" w:color="auto" w:fill="66CCFF"/>
          </w:tcPr>
          <w:p w14:paraId="23A4BEED" w14:textId="77777777" w:rsidR="00DD3EFA" w:rsidRPr="005A0E7C" w:rsidRDefault="00DD3EFA" w:rsidP="00B15ECB">
            <w:pPr>
              <w:rPr>
                <w:b/>
              </w:rPr>
            </w:pPr>
          </w:p>
        </w:tc>
      </w:tr>
      <w:tr w:rsidR="00DD3EFA" w:rsidRPr="005A0E7C" w14:paraId="5FB87E98" w14:textId="77777777" w:rsidTr="00B15ECB">
        <w:trPr>
          <w:trHeight w:val="990"/>
        </w:trPr>
        <w:tc>
          <w:tcPr>
            <w:tcW w:w="249" w:type="dxa"/>
            <w:tcBorders>
              <w:top w:val="nil"/>
              <w:bottom w:val="nil"/>
            </w:tcBorders>
            <w:shd w:val="clear" w:color="auto" w:fill="66CCFF"/>
          </w:tcPr>
          <w:p w14:paraId="02B7DED8" w14:textId="77777777" w:rsidR="00DD3EFA" w:rsidRPr="005A0E7C" w:rsidRDefault="00DD3EFA" w:rsidP="00B15ECB">
            <w:pPr>
              <w:rPr>
                <w:b/>
              </w:rPr>
            </w:pPr>
          </w:p>
        </w:tc>
        <w:tc>
          <w:tcPr>
            <w:tcW w:w="2548" w:type="dxa"/>
            <w:tcBorders>
              <w:top w:val="nil"/>
            </w:tcBorders>
            <w:shd w:val="clear" w:color="auto" w:fill="FFFFFF" w:themeFill="background1"/>
          </w:tcPr>
          <w:p w14:paraId="62ECC38F"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3017338A" w14:textId="77777777" w:rsidR="00DD3EFA" w:rsidRPr="005A0E7C" w:rsidRDefault="00DD3EFA" w:rsidP="00B15ECB">
            <w:pPr>
              <w:spacing w:before="60" w:after="60"/>
              <w:rPr>
                <w:rFonts w:eastAsiaTheme="majorEastAsia"/>
              </w:rPr>
            </w:pPr>
            <w:r w:rsidRPr="005A0E7C">
              <w:rPr>
                <w:rFonts w:eastAsiaTheme="majorEastAsia"/>
              </w:rPr>
              <w:t>Sociální bydlení je financováno rovněž ze státního rozpočtu a ze zdrojů obcí a krajů. Případné chybějící zdroje ESIF by bylo třeba nahradit těmito veřejnými prostředky.</w:t>
            </w:r>
          </w:p>
        </w:tc>
        <w:tc>
          <w:tcPr>
            <w:tcW w:w="249" w:type="dxa"/>
            <w:tcBorders>
              <w:top w:val="nil"/>
              <w:bottom w:val="nil"/>
            </w:tcBorders>
            <w:shd w:val="clear" w:color="auto" w:fill="66CCFF"/>
          </w:tcPr>
          <w:p w14:paraId="05210B3B" w14:textId="77777777" w:rsidR="00DD3EFA" w:rsidRPr="005A0E7C" w:rsidRDefault="00DD3EFA" w:rsidP="00B15ECB">
            <w:pPr>
              <w:rPr>
                <w:b/>
              </w:rPr>
            </w:pPr>
          </w:p>
        </w:tc>
      </w:tr>
      <w:tr w:rsidR="00DD3EFA" w:rsidRPr="005A0E7C" w14:paraId="318746D7" w14:textId="77777777" w:rsidTr="00B15ECB">
        <w:trPr>
          <w:trHeight w:val="841"/>
        </w:trPr>
        <w:tc>
          <w:tcPr>
            <w:tcW w:w="249" w:type="dxa"/>
            <w:tcBorders>
              <w:top w:val="nil"/>
              <w:bottom w:val="nil"/>
            </w:tcBorders>
            <w:shd w:val="clear" w:color="auto" w:fill="66CCFF"/>
          </w:tcPr>
          <w:p w14:paraId="43DD74D8" w14:textId="77777777" w:rsidR="00DD3EFA" w:rsidRPr="005A0E7C" w:rsidRDefault="00DD3EFA" w:rsidP="00B15ECB">
            <w:pPr>
              <w:rPr>
                <w:b/>
              </w:rPr>
            </w:pPr>
          </w:p>
        </w:tc>
        <w:tc>
          <w:tcPr>
            <w:tcW w:w="2548" w:type="dxa"/>
            <w:tcBorders>
              <w:top w:val="nil"/>
            </w:tcBorders>
            <w:shd w:val="clear" w:color="auto" w:fill="FFFFFF" w:themeFill="background1"/>
          </w:tcPr>
          <w:p w14:paraId="21D86454"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058DA689" w14:textId="77777777" w:rsidR="00DD3EFA" w:rsidRPr="005A0E7C" w:rsidRDefault="00DD3EFA" w:rsidP="00B15ECB">
            <w:pPr>
              <w:spacing w:before="60" w:after="60"/>
              <w:rPr>
                <w:rFonts w:eastAsiaTheme="majorEastAsia"/>
              </w:rPr>
            </w:pPr>
            <w:r w:rsidRPr="005A0E7C">
              <w:rPr>
                <w:rFonts w:eastAsiaTheme="majorEastAsia"/>
              </w:rPr>
              <w:t>Žádné významnější zdroje mimo veřejné rozpočty nejsou k dispozici.</w:t>
            </w:r>
          </w:p>
        </w:tc>
        <w:tc>
          <w:tcPr>
            <w:tcW w:w="249" w:type="dxa"/>
            <w:tcBorders>
              <w:top w:val="nil"/>
              <w:bottom w:val="nil"/>
            </w:tcBorders>
            <w:shd w:val="clear" w:color="auto" w:fill="66CCFF"/>
          </w:tcPr>
          <w:p w14:paraId="263A9C34" w14:textId="77777777" w:rsidR="00DD3EFA" w:rsidRPr="005A0E7C" w:rsidRDefault="00DD3EFA" w:rsidP="00B15ECB">
            <w:pPr>
              <w:rPr>
                <w:b/>
              </w:rPr>
            </w:pPr>
          </w:p>
        </w:tc>
      </w:tr>
      <w:tr w:rsidR="00DD3EFA" w:rsidRPr="005A0E7C" w14:paraId="1C4A867A" w14:textId="77777777" w:rsidTr="00B15ECB">
        <w:trPr>
          <w:trHeight w:val="1968"/>
        </w:trPr>
        <w:tc>
          <w:tcPr>
            <w:tcW w:w="249" w:type="dxa"/>
            <w:tcBorders>
              <w:top w:val="nil"/>
              <w:bottom w:val="nil"/>
            </w:tcBorders>
            <w:shd w:val="clear" w:color="auto" w:fill="66CCFF"/>
          </w:tcPr>
          <w:p w14:paraId="2DB578AE" w14:textId="77777777" w:rsidR="00DD3EFA" w:rsidRPr="005A0E7C" w:rsidRDefault="00DD3EFA" w:rsidP="00B15ECB">
            <w:pPr>
              <w:rPr>
                <w:b/>
              </w:rPr>
            </w:pPr>
          </w:p>
        </w:tc>
        <w:tc>
          <w:tcPr>
            <w:tcW w:w="2548" w:type="dxa"/>
            <w:tcBorders>
              <w:top w:val="nil"/>
            </w:tcBorders>
            <w:shd w:val="clear" w:color="auto" w:fill="FFFFFF" w:themeFill="background1"/>
          </w:tcPr>
          <w:p w14:paraId="25E36522"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1FAB8C7D" w14:textId="77777777" w:rsidR="00DD3EFA" w:rsidRPr="005A0E7C" w:rsidRDefault="00DD3EFA" w:rsidP="00B15ECB">
            <w:pPr>
              <w:spacing w:before="60" w:after="60"/>
              <w:rPr>
                <w:rFonts w:eastAsiaTheme="majorEastAsia"/>
              </w:rPr>
            </w:pPr>
            <w:r w:rsidRPr="005A0E7C">
              <w:rPr>
                <w:rFonts w:eastAsiaTheme="majorEastAsia"/>
              </w:rPr>
              <w:t>Využití finančních nástrojů v dané oblasti není možné, protože podpořené projekty negenerují podstatnější příjmy, které by mohly být využity ke vrácení poskytnuté podpory. Jedinou výjimku představuje oblast sociálního podnikání, v rámci které je podpora formou finančního nástroje testována v období 2014-2020 v OPZ.</w:t>
            </w:r>
          </w:p>
        </w:tc>
        <w:tc>
          <w:tcPr>
            <w:tcW w:w="249" w:type="dxa"/>
            <w:tcBorders>
              <w:top w:val="nil"/>
              <w:bottom w:val="nil"/>
            </w:tcBorders>
            <w:shd w:val="clear" w:color="auto" w:fill="66CCFF"/>
          </w:tcPr>
          <w:p w14:paraId="133967A9" w14:textId="77777777" w:rsidR="00DD3EFA" w:rsidRPr="005A0E7C" w:rsidRDefault="00DD3EFA" w:rsidP="00B15ECB">
            <w:pPr>
              <w:rPr>
                <w:b/>
              </w:rPr>
            </w:pPr>
          </w:p>
        </w:tc>
      </w:tr>
      <w:tr w:rsidR="00DD3EFA" w:rsidRPr="005A0E7C" w14:paraId="045303BB" w14:textId="77777777" w:rsidTr="00B15ECB">
        <w:trPr>
          <w:trHeight w:val="150"/>
        </w:trPr>
        <w:tc>
          <w:tcPr>
            <w:tcW w:w="249" w:type="dxa"/>
            <w:tcBorders>
              <w:top w:val="nil"/>
              <w:right w:val="nil"/>
            </w:tcBorders>
            <w:shd w:val="clear" w:color="auto" w:fill="66CCFF"/>
          </w:tcPr>
          <w:p w14:paraId="7215C61E" w14:textId="77777777" w:rsidR="00DD3EFA" w:rsidRPr="005A0E7C" w:rsidRDefault="00DD3EFA" w:rsidP="00B15ECB">
            <w:pPr>
              <w:rPr>
                <w:b/>
              </w:rPr>
            </w:pPr>
          </w:p>
        </w:tc>
        <w:tc>
          <w:tcPr>
            <w:tcW w:w="2548" w:type="dxa"/>
            <w:tcBorders>
              <w:left w:val="nil"/>
              <w:right w:val="nil"/>
            </w:tcBorders>
            <w:shd w:val="clear" w:color="auto" w:fill="66CCFF"/>
          </w:tcPr>
          <w:p w14:paraId="485E57E5" w14:textId="77777777" w:rsidR="00DD3EFA" w:rsidRPr="005A0E7C" w:rsidRDefault="00DD3EFA" w:rsidP="00B15ECB">
            <w:pPr>
              <w:rPr>
                <w:b/>
              </w:rPr>
            </w:pPr>
          </w:p>
        </w:tc>
        <w:tc>
          <w:tcPr>
            <w:tcW w:w="5978" w:type="dxa"/>
            <w:tcBorders>
              <w:left w:val="nil"/>
              <w:right w:val="nil"/>
            </w:tcBorders>
            <w:shd w:val="clear" w:color="auto" w:fill="66CCFF"/>
          </w:tcPr>
          <w:p w14:paraId="665ED4B7" w14:textId="77777777" w:rsidR="00DD3EFA" w:rsidRPr="005A0E7C" w:rsidRDefault="00DD3EFA" w:rsidP="00B15ECB">
            <w:pPr>
              <w:rPr>
                <w:b/>
              </w:rPr>
            </w:pPr>
          </w:p>
        </w:tc>
        <w:tc>
          <w:tcPr>
            <w:tcW w:w="249" w:type="dxa"/>
            <w:tcBorders>
              <w:top w:val="nil"/>
              <w:left w:val="nil"/>
            </w:tcBorders>
            <w:shd w:val="clear" w:color="auto" w:fill="66CCFF"/>
          </w:tcPr>
          <w:p w14:paraId="5F13593B" w14:textId="77777777" w:rsidR="00DD3EFA" w:rsidRPr="005A0E7C" w:rsidRDefault="00DD3EFA" w:rsidP="00B15ECB">
            <w:pPr>
              <w:rPr>
                <w:b/>
              </w:rPr>
            </w:pPr>
          </w:p>
        </w:tc>
      </w:tr>
    </w:tbl>
    <w:p w14:paraId="7FC2C17F" w14:textId="77777777" w:rsidR="00DD3EFA" w:rsidRPr="005A0E7C" w:rsidRDefault="00DD3EFA" w:rsidP="00B15ECB">
      <w:pPr>
        <w:rPr>
          <w:rFonts w:ascii="Times New Roman" w:hAnsi="Times New Roman" w:cs="Times New Roman"/>
          <w:sz w:val="20"/>
          <w:szCs w:val="20"/>
        </w:rPr>
      </w:pPr>
    </w:p>
    <w:p w14:paraId="6D86178D" w14:textId="77777777" w:rsidR="00DD3EFA" w:rsidRPr="005A0E7C" w:rsidRDefault="00DD3EFA" w:rsidP="00B15ECB">
      <w:pPr>
        <w:rPr>
          <w:rFonts w:ascii="Times New Roman" w:hAnsi="Times New Roman" w:cs="Times New Roman"/>
          <w:sz w:val="20"/>
          <w:szCs w:val="20"/>
        </w:rPr>
      </w:pPr>
    </w:p>
    <w:p w14:paraId="4C426426" w14:textId="77777777" w:rsidR="00DD3EFA" w:rsidRPr="005A0E7C" w:rsidRDefault="00DD3EFA" w:rsidP="00B15ECB">
      <w:pPr>
        <w:rPr>
          <w:rFonts w:ascii="Times New Roman" w:hAnsi="Times New Roman" w:cs="Times New Roman"/>
          <w:sz w:val="20"/>
          <w:szCs w:val="20"/>
        </w:rPr>
      </w:pPr>
    </w:p>
    <w:p w14:paraId="2A08DD3F"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5000" w:type="pct"/>
        <w:tblInd w:w="113" w:type="dxa"/>
        <w:shd w:val="clear" w:color="auto" w:fill="C7ECF1"/>
        <w:tblLayout w:type="fixed"/>
        <w:tblLook w:val="04A0" w:firstRow="1" w:lastRow="0" w:firstColumn="1" w:lastColumn="0" w:noHBand="0" w:noVBand="1"/>
      </w:tblPr>
      <w:tblGrid>
        <w:gridCol w:w="257"/>
        <w:gridCol w:w="2623"/>
        <w:gridCol w:w="6152"/>
        <w:gridCol w:w="256"/>
      </w:tblGrid>
      <w:tr w:rsidR="00DD3EFA" w:rsidRPr="005A0E7C" w14:paraId="262DCFC1" w14:textId="77777777" w:rsidTr="00B15ECB">
        <w:trPr>
          <w:trHeight w:val="180"/>
        </w:trPr>
        <w:tc>
          <w:tcPr>
            <w:tcW w:w="138" w:type="pct"/>
            <w:tcBorders>
              <w:bottom w:val="nil"/>
              <w:right w:val="nil"/>
            </w:tcBorders>
            <w:shd w:val="clear" w:color="auto" w:fill="66CCFF"/>
          </w:tcPr>
          <w:p w14:paraId="311C92C1" w14:textId="77777777" w:rsidR="00DD3EFA" w:rsidRPr="005A0E7C" w:rsidRDefault="00DD3EFA" w:rsidP="00B15ECB">
            <w:pPr>
              <w:rPr>
                <w:b/>
              </w:rPr>
            </w:pPr>
          </w:p>
        </w:tc>
        <w:tc>
          <w:tcPr>
            <w:tcW w:w="1412" w:type="pct"/>
            <w:tcBorders>
              <w:left w:val="nil"/>
              <w:right w:val="nil"/>
            </w:tcBorders>
            <w:shd w:val="clear" w:color="auto" w:fill="66CCFF"/>
          </w:tcPr>
          <w:p w14:paraId="3036B9ED" w14:textId="77777777" w:rsidR="00DD3EFA" w:rsidRPr="005A0E7C" w:rsidRDefault="00DD3EFA" w:rsidP="00B15ECB">
            <w:pPr>
              <w:rPr>
                <w:b/>
              </w:rPr>
            </w:pPr>
          </w:p>
        </w:tc>
        <w:tc>
          <w:tcPr>
            <w:tcW w:w="3312" w:type="pct"/>
            <w:tcBorders>
              <w:left w:val="nil"/>
              <w:right w:val="nil"/>
            </w:tcBorders>
            <w:shd w:val="clear" w:color="auto" w:fill="66CCFF"/>
          </w:tcPr>
          <w:p w14:paraId="3E877B56" w14:textId="77777777" w:rsidR="00DD3EFA" w:rsidRPr="005A0E7C" w:rsidRDefault="00DD3EFA" w:rsidP="00B15ECB">
            <w:pPr>
              <w:rPr>
                <w:b/>
              </w:rPr>
            </w:pPr>
          </w:p>
        </w:tc>
        <w:tc>
          <w:tcPr>
            <w:tcW w:w="138" w:type="pct"/>
            <w:tcBorders>
              <w:left w:val="nil"/>
              <w:bottom w:val="nil"/>
            </w:tcBorders>
            <w:shd w:val="clear" w:color="auto" w:fill="66CCFF"/>
          </w:tcPr>
          <w:p w14:paraId="6E935B98" w14:textId="77777777" w:rsidR="00DD3EFA" w:rsidRPr="005A0E7C" w:rsidRDefault="00DD3EFA" w:rsidP="00B15ECB">
            <w:pPr>
              <w:rPr>
                <w:b/>
              </w:rPr>
            </w:pPr>
          </w:p>
        </w:tc>
      </w:tr>
      <w:tr w:rsidR="00DD3EFA" w:rsidRPr="005A0E7C" w14:paraId="5B29342F" w14:textId="77777777" w:rsidTr="00B15ECB">
        <w:trPr>
          <w:trHeight w:val="561"/>
        </w:trPr>
        <w:tc>
          <w:tcPr>
            <w:tcW w:w="138" w:type="pct"/>
            <w:tcBorders>
              <w:top w:val="nil"/>
              <w:bottom w:val="nil"/>
            </w:tcBorders>
            <w:shd w:val="clear" w:color="auto" w:fill="66CCFF"/>
          </w:tcPr>
          <w:p w14:paraId="4687EA91" w14:textId="77777777" w:rsidR="00DD3EFA" w:rsidRPr="005A0E7C" w:rsidRDefault="00DD3EFA" w:rsidP="00B15ECB">
            <w:pPr>
              <w:rPr>
                <w:b/>
              </w:rPr>
            </w:pPr>
          </w:p>
        </w:tc>
        <w:tc>
          <w:tcPr>
            <w:tcW w:w="1412" w:type="pct"/>
            <w:shd w:val="clear" w:color="auto" w:fill="0070C0"/>
          </w:tcPr>
          <w:p w14:paraId="673E9324"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669FBD71"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3312" w:type="pct"/>
            <w:shd w:val="clear" w:color="auto" w:fill="0070C0"/>
          </w:tcPr>
          <w:p w14:paraId="19339170"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13"/>
            </w:r>
            <w:r w:rsidRPr="005A0E7C">
              <w:rPr>
                <w:rFonts w:eastAsiaTheme="majorEastAsia"/>
                <w:b/>
                <w:color w:val="FFFFFF" w:themeColor="background1"/>
                <w:u w:val="single"/>
              </w:rPr>
              <w:t xml:space="preserve">: </w:t>
            </w:r>
          </w:p>
          <w:p w14:paraId="613670DB"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Kvalitní a dostupná zdravotní péče</w:t>
            </w:r>
          </w:p>
        </w:tc>
        <w:tc>
          <w:tcPr>
            <w:tcW w:w="138" w:type="pct"/>
            <w:tcBorders>
              <w:top w:val="nil"/>
              <w:bottom w:val="nil"/>
            </w:tcBorders>
            <w:shd w:val="clear" w:color="auto" w:fill="66CCFF"/>
          </w:tcPr>
          <w:p w14:paraId="00947A6C" w14:textId="77777777" w:rsidR="00DD3EFA" w:rsidRPr="005A0E7C" w:rsidRDefault="00DD3EFA" w:rsidP="00B15ECB">
            <w:pPr>
              <w:rPr>
                <w:b/>
              </w:rPr>
            </w:pPr>
          </w:p>
        </w:tc>
      </w:tr>
      <w:tr w:rsidR="00DD3EFA" w:rsidRPr="005A0E7C" w14:paraId="0CBB842E" w14:textId="77777777" w:rsidTr="00B15ECB">
        <w:trPr>
          <w:trHeight w:val="180"/>
        </w:trPr>
        <w:tc>
          <w:tcPr>
            <w:tcW w:w="138" w:type="pct"/>
            <w:tcBorders>
              <w:top w:val="nil"/>
              <w:bottom w:val="nil"/>
              <w:right w:val="nil"/>
            </w:tcBorders>
            <w:shd w:val="clear" w:color="auto" w:fill="66CCFF"/>
          </w:tcPr>
          <w:p w14:paraId="56C3DCB2" w14:textId="77777777" w:rsidR="00DD3EFA" w:rsidRPr="005A0E7C" w:rsidRDefault="00DD3EFA" w:rsidP="00B15ECB">
            <w:pPr>
              <w:rPr>
                <w:b/>
              </w:rPr>
            </w:pPr>
          </w:p>
        </w:tc>
        <w:tc>
          <w:tcPr>
            <w:tcW w:w="1412" w:type="pct"/>
            <w:tcBorders>
              <w:left w:val="nil"/>
              <w:right w:val="nil"/>
            </w:tcBorders>
            <w:shd w:val="clear" w:color="auto" w:fill="66CCFF"/>
          </w:tcPr>
          <w:p w14:paraId="32F67401" w14:textId="77777777" w:rsidR="00DD3EFA" w:rsidRPr="005A0E7C" w:rsidRDefault="00DD3EFA" w:rsidP="00B15ECB">
            <w:pPr>
              <w:rPr>
                <w:b/>
              </w:rPr>
            </w:pPr>
          </w:p>
        </w:tc>
        <w:tc>
          <w:tcPr>
            <w:tcW w:w="3312" w:type="pct"/>
            <w:tcBorders>
              <w:left w:val="nil"/>
              <w:right w:val="nil"/>
            </w:tcBorders>
            <w:shd w:val="clear" w:color="auto" w:fill="66CCFF"/>
          </w:tcPr>
          <w:p w14:paraId="33CD0DF3" w14:textId="77777777" w:rsidR="00DD3EFA" w:rsidRPr="005A0E7C" w:rsidRDefault="00DD3EFA" w:rsidP="00B15ECB">
            <w:pPr>
              <w:rPr>
                <w:b/>
              </w:rPr>
            </w:pPr>
          </w:p>
        </w:tc>
        <w:tc>
          <w:tcPr>
            <w:tcW w:w="138" w:type="pct"/>
            <w:tcBorders>
              <w:top w:val="nil"/>
              <w:left w:val="nil"/>
              <w:bottom w:val="nil"/>
            </w:tcBorders>
            <w:shd w:val="clear" w:color="auto" w:fill="66CCFF"/>
          </w:tcPr>
          <w:p w14:paraId="5C9CF6F9" w14:textId="77777777" w:rsidR="00DD3EFA" w:rsidRPr="005A0E7C" w:rsidRDefault="00DD3EFA" w:rsidP="00B15ECB">
            <w:pPr>
              <w:rPr>
                <w:b/>
              </w:rPr>
            </w:pPr>
          </w:p>
        </w:tc>
      </w:tr>
      <w:tr w:rsidR="00DD3EFA" w:rsidRPr="005A0E7C" w14:paraId="00A439F5" w14:textId="77777777" w:rsidTr="00B15ECB">
        <w:trPr>
          <w:trHeight w:val="892"/>
        </w:trPr>
        <w:tc>
          <w:tcPr>
            <w:tcW w:w="138" w:type="pct"/>
            <w:tcBorders>
              <w:top w:val="nil"/>
              <w:bottom w:val="nil"/>
            </w:tcBorders>
            <w:shd w:val="clear" w:color="auto" w:fill="66CCFF"/>
          </w:tcPr>
          <w:p w14:paraId="10CA8466" w14:textId="77777777" w:rsidR="00DD3EFA" w:rsidRPr="005A0E7C" w:rsidRDefault="00DD3EFA" w:rsidP="00B15ECB">
            <w:pPr>
              <w:rPr>
                <w:b/>
              </w:rPr>
            </w:pPr>
          </w:p>
        </w:tc>
        <w:tc>
          <w:tcPr>
            <w:tcW w:w="1412" w:type="pct"/>
            <w:shd w:val="clear" w:color="auto" w:fill="FFFFFF" w:themeFill="background1"/>
          </w:tcPr>
          <w:p w14:paraId="4445EC8F"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3312" w:type="pct"/>
            <w:shd w:val="clear" w:color="auto" w:fill="FFFFFF" w:themeFill="background1"/>
          </w:tcPr>
          <w:p w14:paraId="499109EF" w14:textId="77777777" w:rsidR="00DD3EFA" w:rsidRPr="005A0E7C" w:rsidRDefault="00DD3EFA" w:rsidP="00B15ECB">
            <w:r w:rsidRPr="005A0E7C">
              <w:t>V České republice roste střední délka života rychleji než délka života ve zdraví, čili průměrně se prodlužuje život v nemoci nebo se zdravotním omezením. Tento vývoj, významně ovlivněný environmentálními a sociálními determinantami, ve světle očekávaných změn ve společnosti souvisejících s demografickým stárnutím populace, představuje do budoucna nejenom hrozbu snižování kvality života obyvatel ČR, ale současně značnou zátěž pro zdravotní a sociální systém ČR i pro ekonomiku společnosti.</w:t>
            </w:r>
          </w:p>
          <w:p w14:paraId="5C36E373" w14:textId="77777777" w:rsidR="00DD3EFA" w:rsidRPr="005A0E7C" w:rsidRDefault="00DD3EFA" w:rsidP="00B15ECB">
            <w:r w:rsidRPr="005A0E7C">
              <w:t>Uvedené schéma ukazuje, nakolik je systém zdravotnictví určujícím faktorem let prožitých ve zdraví:</w:t>
            </w:r>
          </w:p>
          <w:p w14:paraId="40C09383" w14:textId="77777777" w:rsidR="00DD3EFA" w:rsidRPr="005A0E7C" w:rsidRDefault="00DD3EFA" w:rsidP="00B15ECB">
            <w:pPr>
              <w:jc w:val="center"/>
            </w:pPr>
            <w:r w:rsidRPr="005A0E7C">
              <w:rPr>
                <w:noProof/>
                <w:lang w:eastAsia="cs-CZ"/>
              </w:rPr>
              <w:drawing>
                <wp:inline distT="0" distB="0" distL="0" distR="0" wp14:anchorId="44E83F74" wp14:editId="1CD71A7D">
                  <wp:extent cx="2665730" cy="1929712"/>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028" t="19335" r="12765" b="11533"/>
                          <a:stretch/>
                        </pic:blipFill>
                        <pic:spPr bwMode="auto">
                          <a:xfrm>
                            <a:off x="0" y="0"/>
                            <a:ext cx="2669931" cy="1932753"/>
                          </a:xfrm>
                          <a:prstGeom prst="rect">
                            <a:avLst/>
                          </a:prstGeom>
                          <a:ln>
                            <a:noFill/>
                          </a:ln>
                          <a:extLst>
                            <a:ext uri="{53640926-AAD7-44D8-BBD7-CCE9431645EC}">
                              <a14:shadowObscured xmlns:a14="http://schemas.microsoft.com/office/drawing/2010/main"/>
                            </a:ext>
                          </a:extLst>
                        </pic:spPr>
                      </pic:pic>
                    </a:graphicData>
                  </a:graphic>
                </wp:inline>
              </w:drawing>
            </w:r>
          </w:p>
          <w:p w14:paraId="36E7CF2C" w14:textId="77777777" w:rsidR="00DD3EFA" w:rsidRPr="005A0E7C" w:rsidRDefault="00DD3EFA" w:rsidP="00B15ECB">
            <w:pPr>
              <w:pStyle w:val="Bntext"/>
              <w:ind w:firstLine="0"/>
              <w:jc w:val="center"/>
              <w:rPr>
                <w:rFonts w:ascii="Times New Roman" w:hAnsi="Times New Roman"/>
                <w:i/>
                <w:noProof w:val="0"/>
                <w:szCs w:val="20"/>
                <w:lang w:val="cs-CZ"/>
              </w:rPr>
            </w:pPr>
            <w:r w:rsidRPr="005A0E7C">
              <w:rPr>
                <w:rFonts w:ascii="Times New Roman" w:hAnsi="Times New Roman"/>
                <w:i/>
                <w:noProof w:val="0"/>
                <w:szCs w:val="20"/>
                <w:lang w:val="cs-CZ"/>
              </w:rPr>
              <w:t>Zdroj: MZd, Strategický rámec Rozvoj péče o zdraví v České republice do roku 2030</w:t>
            </w:r>
          </w:p>
          <w:p w14:paraId="7603A8DE" w14:textId="77777777" w:rsidR="00DD3EFA" w:rsidRPr="005A0E7C" w:rsidRDefault="00DD3EFA" w:rsidP="00B15ECB">
            <w:r w:rsidRPr="005A0E7C">
              <w:t>Prioritní cíle v oblasti zdravotní politiky jsou proto zaměřeny na zlepšování kvality péče, posílení koordinace sociálních a zdravotních služeb, důraz na primární péči a prevenci, posílení role uživatelů péče a transparentnosti financování, řízení systému založeném na validních datech s respektováním nákladové efektivity služeb. Klíčová je rovněž stabilizace zdravotnického personálu, který aktuálně trpí regionálními (lokálními) nedostatky a současně nedostatky potřebných kapacit v určitých lékařských oborech. Do budoucna lze očekávat, zvlášť u lékařů, akutní demografické ohrožení v souvislosti s jejich stářím (průměrný věk v některých oborech nad 57 let). Dle dat Ústavu zdravotnických informací a statistiky ČR se dá predikovat, že očekávané počty absolventů lékařských fakult pokryjí úbytky lékařů z důvodů odchodu do důchodu pouze do roku 2019.</w:t>
            </w:r>
          </w:p>
          <w:p w14:paraId="05723D58" w14:textId="77777777" w:rsidR="00DD3EFA" w:rsidRPr="005A0E7C" w:rsidRDefault="00DD3EFA" w:rsidP="00B15ECB">
            <w:pPr>
              <w:pStyle w:val="Bntext"/>
              <w:ind w:firstLine="0"/>
              <w:rPr>
                <w:rFonts w:ascii="Times New Roman" w:hAnsi="Times New Roman"/>
                <w:noProof w:val="0"/>
                <w:szCs w:val="20"/>
                <w:lang w:val="cs-CZ"/>
              </w:rPr>
            </w:pPr>
            <w:r w:rsidRPr="005A0E7C">
              <w:rPr>
                <w:rFonts w:ascii="Times New Roman" w:hAnsi="Times New Roman"/>
                <w:noProof w:val="0"/>
                <w:szCs w:val="20"/>
                <w:lang w:val="cs-CZ"/>
              </w:rPr>
              <w:t xml:space="preserve">Zdraví je esenciální pro prosperitu osob i celé společnosti ze všech úhlů pohledu. Oblast systému zdravotní péče je důležitá s ohledem na fakt, že ve zdravotním stavu obyvatel se ve vysoké míře odrážejí determinanty dané jinými oblastmi – průmyslem, zemědělstvím, dopravou, životním prostředím apod. Zdravotnictví tedy nezřídka řeší následky činnosti jiných oblastí. Zdravotní stav populace má značný dopad na zaměstnanost, zdravotnický a sociální systém státu a na ekonomiku země všeobecně. </w:t>
            </w:r>
          </w:p>
          <w:p w14:paraId="0AA813A4" w14:textId="77777777" w:rsidR="00DD3EFA" w:rsidRPr="005A0E7C" w:rsidRDefault="00DD3EFA" w:rsidP="00B15ECB">
            <w:pPr>
              <w:pStyle w:val="Bntext"/>
              <w:ind w:firstLine="0"/>
              <w:rPr>
                <w:rFonts w:ascii="Times New Roman" w:hAnsi="Times New Roman"/>
                <w:noProof w:val="0"/>
                <w:szCs w:val="20"/>
                <w:lang w:val="cs-CZ"/>
              </w:rPr>
            </w:pPr>
            <w:r w:rsidRPr="005A0E7C">
              <w:rPr>
                <w:rFonts w:ascii="Times New Roman" w:hAnsi="Times New Roman"/>
                <w:b/>
                <w:noProof w:val="0"/>
                <w:szCs w:val="20"/>
                <w:lang w:val="cs-CZ"/>
              </w:rPr>
              <w:t>V rámci specifického cíle Kvalitní a dostupná kvalitní péče byly jako prioritní oblasti z hlediska budoucí možné podpory z ESIF vybrány oblasti, které mají v současném období nejvyšší potenciál pro zlepšení zdraví obyvatel České republiky a zároveň jsou klíčové pro vyrovnání se s aktuálními trendy socioekonomického rozvoje – tj. demografickými změnami a rychlým technickým a technologickým pokrokem.</w:t>
            </w:r>
            <w:r w:rsidRPr="005A0E7C">
              <w:rPr>
                <w:rFonts w:ascii="Times New Roman" w:hAnsi="Times New Roman"/>
                <w:noProof w:val="0"/>
                <w:szCs w:val="20"/>
                <w:lang w:val="cs-CZ"/>
              </w:rPr>
              <w:t xml:space="preserve"> Jako možné oblasti podpory se na základě výstupů z problémové analýzy (viz kolonka </w:t>
            </w:r>
            <w:r w:rsidRPr="005A0E7C">
              <w:rPr>
                <w:rFonts w:ascii="Times New Roman" w:hAnsi="Times New Roman"/>
                <w:i/>
                <w:noProof w:val="0"/>
                <w:szCs w:val="20"/>
                <w:lang w:val="cs-CZ"/>
              </w:rPr>
              <w:t>Problémy, které specifický cíl řeší</w:t>
            </w:r>
            <w:r w:rsidRPr="005A0E7C">
              <w:rPr>
                <w:rFonts w:ascii="Times New Roman" w:hAnsi="Times New Roman"/>
                <w:noProof w:val="0"/>
                <w:szCs w:val="20"/>
                <w:lang w:val="cs-CZ"/>
              </w:rPr>
              <w:t xml:space="preserve">) jeví: </w:t>
            </w:r>
          </w:p>
          <w:p w14:paraId="6D0636AB" w14:textId="77777777" w:rsidR="00DD3EFA" w:rsidRPr="005A0E7C" w:rsidRDefault="00DD3EFA" w:rsidP="00391907">
            <w:pPr>
              <w:pStyle w:val="Odstavecseseznamem"/>
              <w:numPr>
                <w:ilvl w:val="0"/>
                <w:numId w:val="29"/>
              </w:numPr>
              <w:spacing w:before="60" w:after="60"/>
              <w:jc w:val="both"/>
            </w:pPr>
            <w:r w:rsidRPr="005A0E7C">
              <w:t>Prevence a zvyšování zdravotní gramotnosti, zvyšování motivace občanů k vlastnímu zdraví</w:t>
            </w:r>
          </w:p>
          <w:p w14:paraId="226C31E3" w14:textId="77777777" w:rsidR="00DD3EFA" w:rsidRPr="005A0E7C" w:rsidRDefault="00DD3EFA" w:rsidP="00391907">
            <w:pPr>
              <w:pStyle w:val="Odstavecseseznamem"/>
              <w:numPr>
                <w:ilvl w:val="0"/>
                <w:numId w:val="29"/>
              </w:numPr>
              <w:spacing w:before="60" w:after="60"/>
              <w:jc w:val="both"/>
            </w:pPr>
            <w:r w:rsidRPr="005A0E7C">
              <w:t>Reforma primární péče</w:t>
            </w:r>
          </w:p>
          <w:p w14:paraId="2BC29D5E" w14:textId="77777777" w:rsidR="00DD3EFA" w:rsidRPr="005A0E7C" w:rsidRDefault="00DD3EFA" w:rsidP="00391907">
            <w:pPr>
              <w:pStyle w:val="Odstavecseseznamem"/>
              <w:numPr>
                <w:ilvl w:val="0"/>
                <w:numId w:val="29"/>
              </w:numPr>
              <w:spacing w:before="60" w:after="60"/>
              <w:jc w:val="both"/>
            </w:pPr>
            <w:r w:rsidRPr="005A0E7C">
              <w:t xml:space="preserve">Personální stabilizace resortu zdravotnictví včetně přizpůsobení vzdělávání aktuálním potřebám </w:t>
            </w:r>
          </w:p>
          <w:p w14:paraId="641BF90F" w14:textId="77777777" w:rsidR="00DD3EFA" w:rsidRPr="005A0E7C" w:rsidRDefault="00DD3EFA" w:rsidP="00391907">
            <w:pPr>
              <w:pStyle w:val="Odstavecseseznamem"/>
              <w:numPr>
                <w:ilvl w:val="0"/>
                <w:numId w:val="29"/>
              </w:numPr>
              <w:spacing w:before="60" w:after="60"/>
              <w:jc w:val="both"/>
            </w:pPr>
            <w:r w:rsidRPr="005A0E7C">
              <w:t>Integrace zdravotní a sociální péče</w:t>
            </w:r>
          </w:p>
          <w:p w14:paraId="202EB374" w14:textId="77777777" w:rsidR="00DD3EFA" w:rsidRPr="005A0E7C" w:rsidRDefault="00DD3EFA" w:rsidP="00391907">
            <w:pPr>
              <w:pStyle w:val="Odstavecseseznamem"/>
              <w:numPr>
                <w:ilvl w:val="0"/>
                <w:numId w:val="29"/>
              </w:numPr>
              <w:spacing w:before="60" w:after="60"/>
              <w:jc w:val="both"/>
            </w:pPr>
            <w:r w:rsidRPr="005A0E7C">
              <w:t xml:space="preserve">Věda a výzkum v oblasti zdravotnictví </w:t>
            </w:r>
          </w:p>
          <w:p w14:paraId="3AA73E69" w14:textId="77777777" w:rsidR="00DD3EFA" w:rsidRPr="005A0E7C" w:rsidRDefault="00DD3EFA" w:rsidP="00391907">
            <w:pPr>
              <w:pStyle w:val="Odstavecseseznamem"/>
              <w:numPr>
                <w:ilvl w:val="0"/>
                <w:numId w:val="29"/>
              </w:numPr>
              <w:spacing w:before="60" w:after="60"/>
              <w:jc w:val="both"/>
            </w:pPr>
            <w:r w:rsidRPr="005A0E7C">
              <w:t xml:space="preserve">Digitalizace zdravotnictví </w:t>
            </w:r>
          </w:p>
          <w:p w14:paraId="3D1210BF" w14:textId="77777777" w:rsidR="00DD3EFA" w:rsidRPr="005A0E7C" w:rsidRDefault="00DD3EFA" w:rsidP="00B15ECB">
            <w:pPr>
              <w:spacing w:before="60" w:after="60"/>
            </w:pPr>
            <w:r w:rsidRPr="005A0E7C">
              <w:t xml:space="preserve">Vzhledem k cíli kohezní politiky EU, tj. snižování rozdílů mezi regiony, je samozřejmě vždy zásadní územní aspekt – tj. zlepšení dostupnosti jednotlivých typů péče případně zohlednění regionálních rozdílů v zaměření podpory. </w:t>
            </w:r>
          </w:p>
          <w:p w14:paraId="7919379D" w14:textId="77777777" w:rsidR="00DD3EFA" w:rsidRPr="005A0E7C" w:rsidRDefault="00DD3EFA" w:rsidP="00B15ECB">
            <w:r w:rsidRPr="005A0E7C">
              <w:t xml:space="preserve">Nezbytné je upozornit i na to, že klíčové pro zdraví obyvatel České republiky je rovněž mezioborové uchopení problematiky relevantními resorty, neboť zdraví nevzniká v nemocnicích, ale všude tam, kde lidé žijí a pracují. V souladu s výše uvedeným schématem se jako rozhodující jeví zlepšení kvality životního prostředí a rovněž oblast vzdělávání ke zdraví. Propojení zdravotní a sociální péče v kontextu rostoucích potřeb péče dlouhodobé je pak přímo jednou z navrhovaných priorit. </w:t>
            </w:r>
          </w:p>
          <w:p w14:paraId="57778622" w14:textId="77777777" w:rsidR="00DD3EFA" w:rsidRPr="005A0E7C" w:rsidRDefault="00DD3EFA" w:rsidP="00B15ECB">
            <w:r w:rsidRPr="005A0E7C">
              <w:t xml:space="preserve">Abnormální kamionová tranzitní přeprava zboží, zvyšování letecké dopravy, nefunkčnost ukládání a vymáhání sankcí v nedodržování ochrany životního prostředí, zejména nadnárodních korporací, neúměrná individuální a nákladní automobilová doprava (zatížení imisemi), nedostatečná kvalita řady potravin, přetrvávající špatné návyky v oblasti životního stylu, to vše jsou další vlivy ovlivňující negativně zdraví obyvatel. V budoucím vývoji je nutné stále více počítat s riziky vzešlými z jednotvárné výrobní činnosti v montážním procesu, v kancelářské práci, z psychicky náročných a stresogenními faktory zatížených činností, ale také enormním růstem elektromagnetického záření, míry hluku a světelného smogu. Proto musí (nejen) legislativa cíleně směřovat k podpoře zdravého životního stylu a působit dlouhodobě na veřejnost s akcentací nutnosti přijetí osobní odpovědnosti v ochraně zdraví a prevenci vzniku nemocí. </w:t>
            </w:r>
          </w:p>
        </w:tc>
        <w:tc>
          <w:tcPr>
            <w:tcW w:w="138" w:type="pct"/>
            <w:tcBorders>
              <w:top w:val="nil"/>
              <w:bottom w:val="nil"/>
            </w:tcBorders>
            <w:shd w:val="clear" w:color="auto" w:fill="66CCFF"/>
          </w:tcPr>
          <w:p w14:paraId="1F61A92F" w14:textId="77777777" w:rsidR="00DD3EFA" w:rsidRPr="005A0E7C" w:rsidRDefault="00DD3EFA" w:rsidP="00B15ECB">
            <w:pPr>
              <w:rPr>
                <w:b/>
              </w:rPr>
            </w:pPr>
          </w:p>
        </w:tc>
      </w:tr>
      <w:tr w:rsidR="00DD3EFA" w:rsidRPr="005A0E7C" w14:paraId="6DC7D8D6" w14:textId="77777777" w:rsidTr="00B15ECB">
        <w:trPr>
          <w:trHeight w:val="46"/>
        </w:trPr>
        <w:tc>
          <w:tcPr>
            <w:tcW w:w="138" w:type="pct"/>
            <w:tcBorders>
              <w:top w:val="nil"/>
              <w:bottom w:val="nil"/>
              <w:right w:val="nil"/>
            </w:tcBorders>
            <w:shd w:val="clear" w:color="auto" w:fill="66CCFF"/>
          </w:tcPr>
          <w:p w14:paraId="3750233A" w14:textId="77777777" w:rsidR="00DD3EFA" w:rsidRPr="005A0E7C" w:rsidRDefault="00DD3EFA" w:rsidP="00B15ECB">
            <w:pPr>
              <w:rPr>
                <w:b/>
              </w:rPr>
            </w:pPr>
          </w:p>
        </w:tc>
        <w:tc>
          <w:tcPr>
            <w:tcW w:w="1412" w:type="pct"/>
            <w:tcBorders>
              <w:left w:val="nil"/>
              <w:bottom w:val="single" w:sz="4" w:space="0" w:color="auto"/>
              <w:right w:val="nil"/>
            </w:tcBorders>
            <w:shd w:val="clear" w:color="auto" w:fill="66CCFF"/>
          </w:tcPr>
          <w:p w14:paraId="18643CE5" w14:textId="77777777" w:rsidR="00DD3EFA" w:rsidRPr="005A0E7C" w:rsidRDefault="00DD3EFA" w:rsidP="00B15ECB">
            <w:pPr>
              <w:rPr>
                <w:b/>
              </w:rPr>
            </w:pPr>
          </w:p>
        </w:tc>
        <w:tc>
          <w:tcPr>
            <w:tcW w:w="3312" w:type="pct"/>
            <w:tcBorders>
              <w:left w:val="nil"/>
              <w:bottom w:val="single" w:sz="4" w:space="0" w:color="auto"/>
              <w:right w:val="nil"/>
            </w:tcBorders>
            <w:shd w:val="clear" w:color="auto" w:fill="66CCFF"/>
          </w:tcPr>
          <w:p w14:paraId="5880CD72" w14:textId="77777777" w:rsidR="00DD3EFA" w:rsidRPr="005A0E7C" w:rsidRDefault="00DD3EFA" w:rsidP="00B15ECB">
            <w:pPr>
              <w:rPr>
                <w:b/>
              </w:rPr>
            </w:pPr>
          </w:p>
        </w:tc>
        <w:tc>
          <w:tcPr>
            <w:tcW w:w="138" w:type="pct"/>
            <w:tcBorders>
              <w:top w:val="nil"/>
              <w:left w:val="nil"/>
              <w:bottom w:val="nil"/>
            </w:tcBorders>
            <w:shd w:val="clear" w:color="auto" w:fill="66CCFF"/>
          </w:tcPr>
          <w:p w14:paraId="6056675A" w14:textId="77777777" w:rsidR="00DD3EFA" w:rsidRPr="005A0E7C" w:rsidRDefault="00DD3EFA" w:rsidP="00B15ECB">
            <w:pPr>
              <w:rPr>
                <w:b/>
              </w:rPr>
            </w:pPr>
          </w:p>
        </w:tc>
      </w:tr>
      <w:tr w:rsidR="00DD3EFA" w:rsidRPr="005A0E7C" w14:paraId="15CAE861" w14:textId="77777777" w:rsidTr="00B15ECB">
        <w:trPr>
          <w:trHeight w:val="1274"/>
        </w:trPr>
        <w:tc>
          <w:tcPr>
            <w:tcW w:w="138" w:type="pct"/>
            <w:tcBorders>
              <w:top w:val="nil"/>
              <w:bottom w:val="nil"/>
            </w:tcBorders>
            <w:shd w:val="clear" w:color="auto" w:fill="66CCFF"/>
          </w:tcPr>
          <w:p w14:paraId="26D66E39"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0B4F4A84"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3312" w:type="pct"/>
            <w:tcBorders>
              <w:bottom w:val="single" w:sz="4" w:space="0" w:color="auto"/>
            </w:tcBorders>
            <w:shd w:val="clear" w:color="auto" w:fill="FFFFFF" w:themeFill="background1"/>
          </w:tcPr>
          <w:p w14:paraId="7BEA5A34" w14:textId="77777777" w:rsidR="00DD3EFA" w:rsidRPr="005A0E7C" w:rsidRDefault="00DD3EFA" w:rsidP="00B15ECB">
            <w:r w:rsidRPr="005A0E7C">
              <w:t xml:space="preserve">Zdravotnictví (případně obecně péče o zdraví) je často chápáno pouze jako „konzument“ prostředků v rámci národního hospodářství, ve skutečnosti díky své roli zajišťuje jeden ze zásadních předpokladů regionálního rozvoje, a to práceschopnou pracovní sílu. Špatný zdravotní stav obyvatel vede nejen k výdajům ve zdravotnictví, ale znamená i ztrátu z důvodu omezené zaměstnanosti a snížené produktivity práce. Následující graf ukazuje závislost míry zaměstnanosti osob ve věku 50 – 59 let na tom, zda trpí či netrpí chronickou chorobou.  </w:t>
            </w:r>
          </w:p>
          <w:p w14:paraId="68937C31" w14:textId="77777777" w:rsidR="00DD3EFA" w:rsidRPr="005A0E7C" w:rsidRDefault="00DD3EFA" w:rsidP="00B15ECB"/>
          <w:p w14:paraId="7D10550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noProof/>
                <w:lang w:eastAsia="cs-CZ"/>
              </w:rPr>
              <w:drawing>
                <wp:inline distT="0" distB="0" distL="0" distR="0" wp14:anchorId="031FDC9E" wp14:editId="785F5D81">
                  <wp:extent cx="3933022" cy="2068092"/>
                  <wp:effectExtent l="0" t="0" r="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2608" cy="2067874"/>
                          </a:xfrm>
                          <a:prstGeom prst="rect">
                            <a:avLst/>
                          </a:prstGeom>
                          <a:noFill/>
                          <a:ln>
                            <a:noFill/>
                          </a:ln>
                        </pic:spPr>
                      </pic:pic>
                    </a:graphicData>
                  </a:graphic>
                </wp:inline>
              </w:drawing>
            </w:r>
          </w:p>
          <w:p w14:paraId="769A65E6"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2016</w:t>
            </w:r>
          </w:p>
          <w:p w14:paraId="1C4414AE" w14:textId="77777777" w:rsidR="00DD3EFA" w:rsidRPr="005A0E7C" w:rsidRDefault="00DD3EFA" w:rsidP="00B15ECB">
            <w:r w:rsidRPr="005A0E7C">
              <w:t>Zdravotnictví je zároveň důležitým zaměstnavatelem v rámci národního hospodářství a jeho podíl na zaměstnanosti bude růst z důvodů rostoucích potřeb v důsledku demografického stárnutí – můžeme mluvit obecně o tzv. stříbrné ekonomice (tj. ekonomických příležitostech spojených s rostoucími výdaji daných stárnutím populace a zvláštními potřebami lidí ve věku nad 50 let). Podíl na zaměstnanosti se bude zvyšovat i z důvodu, že pracovní místa v oblasti péče o nemocné, jsou méně ohrožena současnými trendy v oblasti trhu práce tj. digitalizací a robotizací průmyslu a služeb. Potenciál zaměstnanosti vynikne na následujícím grafu zachycujícím podíl zdravotních a sociálních služeb na zaměstnanosti v zemích OECD.</w:t>
            </w:r>
          </w:p>
          <w:p w14:paraId="7ADA0EE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p>
          <w:p w14:paraId="1A79CC5F" w14:textId="77777777" w:rsidR="00DD3EFA" w:rsidRPr="005A0E7C" w:rsidRDefault="00DD3EFA" w:rsidP="00B15ECB">
            <w:pPr>
              <w:pStyle w:val="Bntext"/>
              <w:ind w:left="-186" w:firstLine="0"/>
              <w:rPr>
                <w:rFonts w:ascii="Times New Roman" w:hAnsi="Times New Roman"/>
                <w:i/>
                <w:noProof w:val="0"/>
                <w:szCs w:val="20"/>
                <w:lang w:val="cs-CZ"/>
              </w:rPr>
            </w:pPr>
            <w:r w:rsidRPr="005A0E7C">
              <w:rPr>
                <w:rFonts w:ascii="Times New Roman" w:hAnsi="Times New Roman"/>
                <w:szCs w:val="20"/>
                <w:lang w:val="cs-CZ"/>
              </w:rPr>
              <w:drawing>
                <wp:inline distT="0" distB="0" distL="0" distR="0" wp14:anchorId="7D932256" wp14:editId="1099338F">
                  <wp:extent cx="3901902" cy="2189039"/>
                  <wp:effectExtent l="0" t="0" r="3810" b="190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3925" cy="2190174"/>
                          </a:xfrm>
                          <a:prstGeom prst="rect">
                            <a:avLst/>
                          </a:prstGeom>
                          <a:noFill/>
                          <a:ln>
                            <a:noFill/>
                          </a:ln>
                        </pic:spPr>
                      </pic:pic>
                    </a:graphicData>
                  </a:graphic>
                </wp:inline>
              </w:drawing>
            </w:r>
            <w:r w:rsidRPr="005A0E7C">
              <w:rPr>
                <w:rFonts w:ascii="Times New Roman" w:hAnsi="Times New Roman"/>
                <w:i/>
                <w:noProof w:val="0"/>
                <w:szCs w:val="20"/>
                <w:lang w:val="cs-CZ"/>
              </w:rPr>
              <w:t>Zdroj: OECD: Health at a Glance 2017</w:t>
            </w:r>
          </w:p>
          <w:p w14:paraId="4DA20B16" w14:textId="77777777" w:rsidR="00DD3EFA" w:rsidRPr="005A0E7C" w:rsidRDefault="00DD3EFA" w:rsidP="00B15ECB">
            <w:r w:rsidRPr="005A0E7C">
              <w:t>Zdravotní služba je základní veřejnou službou, která musí být zajištěna pro obyvatelstvo všech regionů a je předpokladem pro jejich rozvoj. Zejména v periferních územích musí být zachovány jako součást opatření bránících odchodu obyvatel z území. V programovém období 2007 – 2013 a v současném programovém období se podpora zaměřuje na rozvoj specializované péče, která je koncentrována do metropolitních území a aglomerací (případně v menší míře do regionálních center)</w:t>
            </w:r>
            <w:r w:rsidRPr="005A0E7C">
              <w:rPr>
                <w:rStyle w:val="Znakapoznpodarou"/>
              </w:rPr>
              <w:footnoteReference w:id="14"/>
            </w:r>
            <w:r w:rsidRPr="005A0E7C">
              <w:t xml:space="preserve"> , kde je poskytována péče pacientům s nejtěžšími chorobami a úrazy. Pro příští programové období by se měla podpora orientovat na dostupnost a modernizaci primární péči (tj. praktické lékaře, dětské lékaře, gynekology a stomatology), je tedy akcentován důraz na zdravotnictví jako základní veřejnou službu. </w:t>
            </w:r>
          </w:p>
          <w:p w14:paraId="245FC8D5" w14:textId="77777777" w:rsidR="00DD3EFA" w:rsidRPr="005A0E7C" w:rsidRDefault="00DD3EFA" w:rsidP="00B15ECB">
            <w:r w:rsidRPr="005A0E7C">
              <w:t xml:space="preserve">Špatný zdravotní stav obyvatel má nepříznivé dopady na trh práce v podobě nižší zaměstnanosti, předčasných odchodů do důchodu a nižších příjmů těchto osob. Někdy může vést ve svém důsledku až k vyloučení ze společnosti. Naopak nízký socioekonomický status obyvatel může být překážkou pro přístup ke kvalitní zdravotní péči. Přes univerzální přístup ke zdravotní péči, který je garantován v rámci České republiky, lidé z nejvíce znevýhodněných sociálních skupin mohou mít horší přístup ke zdravotním službám. Někteří nevědí nebo nechtějí využít celého spektra dostupných služeb a navíc např. v sociálně vyloučených lokalitách může být kvalita péče v některých ohledech nižší. Lidé s nižším socioekonomickým statusem žijí kratší dobu, viz ukazatel naděje dožití ve věku 30 let mezi muži s nejnižším a nejvyšším stupněm vzdělání. </w:t>
            </w:r>
          </w:p>
          <w:p w14:paraId="09A85D1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noProof/>
                <w:lang w:eastAsia="cs-CZ"/>
              </w:rPr>
              <w:drawing>
                <wp:inline distT="0" distB="0" distL="0" distR="0" wp14:anchorId="605BA13B" wp14:editId="36453BB0">
                  <wp:extent cx="4130344" cy="3393195"/>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0535" cy="3393352"/>
                          </a:xfrm>
                          <a:prstGeom prst="rect">
                            <a:avLst/>
                          </a:prstGeom>
                          <a:noFill/>
                          <a:ln>
                            <a:noFill/>
                          </a:ln>
                        </pic:spPr>
                      </pic:pic>
                    </a:graphicData>
                  </a:graphic>
                </wp:inline>
              </w:drawing>
            </w:r>
          </w:p>
          <w:p w14:paraId="1B08CAD3"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2018</w:t>
            </w:r>
          </w:p>
          <w:p w14:paraId="3B59B75A" w14:textId="77777777" w:rsidR="00DD3EFA" w:rsidRPr="005A0E7C" w:rsidRDefault="00DD3EFA" w:rsidP="00B15ECB">
            <w:r w:rsidRPr="005A0E7C">
              <w:t xml:space="preserve">Jeden z nejvyšších rozdílů v EU nemůže být vysvětlen z hlediska dostupnosti péče, jak dokládá ukazatel neuspokojené potřeby péče z důvodů finančních, geografických nebo z důvodu čekací doby, kde naopak Česká republika dosahuje ve srovnání s EU nejlepších výsledků. Důvodem jsou zřejmě výrazné rozdíly v životním stylu různých sociálních skupin obyvatel. </w:t>
            </w:r>
          </w:p>
          <w:p w14:paraId="7BDBC21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noProof/>
                <w:lang w:eastAsia="cs-CZ"/>
              </w:rPr>
              <w:drawing>
                <wp:inline distT="0" distB="0" distL="0" distR="0" wp14:anchorId="190F8DF4" wp14:editId="04C59A44">
                  <wp:extent cx="3283026" cy="543159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345" cy="5451978"/>
                          </a:xfrm>
                          <a:prstGeom prst="rect">
                            <a:avLst/>
                          </a:prstGeom>
                          <a:noFill/>
                          <a:ln>
                            <a:noFill/>
                          </a:ln>
                        </pic:spPr>
                      </pic:pic>
                    </a:graphicData>
                  </a:graphic>
                </wp:inline>
              </w:drawing>
            </w:r>
          </w:p>
          <w:p w14:paraId="38B22115"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2018</w:t>
            </w:r>
          </w:p>
          <w:p w14:paraId="24AC00F7" w14:textId="77777777" w:rsidR="00DD3EFA" w:rsidRPr="005A0E7C" w:rsidRDefault="00DD3EFA" w:rsidP="00B15ECB">
            <w:r w:rsidRPr="005A0E7C">
              <w:t xml:space="preserve">Na závěr této kapitoly lze konstatovat, že důležitost zdravotních služeb i prevence reflektuje i vize Strategického rámce Česká republika 2030: </w:t>
            </w:r>
          </w:p>
          <w:p w14:paraId="75ADD181" w14:textId="77777777" w:rsidR="00DD3EFA" w:rsidRPr="005A0E7C" w:rsidRDefault="00DD3EFA" w:rsidP="00B15ECB">
            <w:pPr>
              <w:rPr>
                <w:i/>
              </w:rPr>
            </w:pPr>
            <w:r w:rsidRPr="005A0E7C">
              <w:rPr>
                <w:i/>
              </w:rPr>
              <w:t xml:space="preserve">„Česká republika je soudržnou společností vzdělaných, odpovědných a aktivních obyvatel. Společnost je soudržná díky funkčním rodinám a participujícím komunitám, důstojné práci, </w:t>
            </w:r>
            <w:r w:rsidRPr="005A0E7C">
              <w:rPr>
                <w:b/>
                <w:i/>
              </w:rPr>
              <w:t>dostupné kvalitní zdravotní a sociální péči</w:t>
            </w:r>
            <w:r w:rsidRPr="005A0E7C">
              <w:rPr>
                <w:i/>
              </w:rPr>
              <w:t xml:space="preserve">, rovnému přístupu ke kultuře a efektivnímu vzdělávacímu systému, který umožňuje každému dosáhnout individuálního maxima vzdělání a podporuje rozvoj přenositelných kompetencí. </w:t>
            </w:r>
            <w:r w:rsidRPr="005A0E7C">
              <w:rPr>
                <w:b/>
                <w:i/>
              </w:rPr>
              <w:t>Lidé žijící v této společnosti dávají přednost zdravému životnímu stylu, žijí ve zdravém prostředí</w:t>
            </w:r>
            <w:r w:rsidRPr="005A0E7C">
              <w:rPr>
                <w:i/>
              </w:rPr>
              <w:t xml:space="preserve"> a upřednostňují uvědomělou spotřebu. Materiální i nemateriální potřeby jednotlivce jsou naplňovány za předpokladu minimalizace environmentálních dopadů a sociálního vyloučení.“</w:t>
            </w:r>
          </w:p>
          <w:p w14:paraId="284B3089" w14:textId="77777777" w:rsidR="00DD3EFA" w:rsidRPr="005A0E7C" w:rsidRDefault="00DD3EFA" w:rsidP="00B15ECB">
            <w:pPr>
              <w:spacing w:before="60" w:after="60"/>
              <w:rPr>
                <w:rFonts w:eastAsiaTheme="majorEastAsia"/>
                <w:i/>
              </w:rPr>
            </w:pPr>
            <w:r w:rsidRPr="005A0E7C">
              <w:t xml:space="preserve">Konkrétní hlavní relevantní specifické cíle dané Implementačním plánem Strategického rámce Česká republika 2030 jsou uvedeny v kolonce </w:t>
            </w:r>
            <w:r w:rsidRPr="005A0E7C">
              <w:rPr>
                <w:rFonts w:eastAsiaTheme="majorEastAsia"/>
                <w:i/>
              </w:rPr>
              <w:t xml:space="preserve">Definice cíle – změny, které chceme dosáhnout. </w:t>
            </w:r>
          </w:p>
          <w:p w14:paraId="6791B62F" w14:textId="77777777" w:rsidR="00DD3EFA" w:rsidRPr="005A0E7C" w:rsidRDefault="00DD3EFA" w:rsidP="00B15ECB">
            <w:r w:rsidRPr="005A0E7C">
              <w:rPr>
                <w:rFonts w:eastAsiaTheme="majorEastAsia"/>
              </w:rPr>
              <w:t xml:space="preserve">Z hlediska cílů udržitelného rozvoje definovaných Agendou 2030 je oblast zdravotnictví a obecně zdraví řešena v rámci </w:t>
            </w:r>
            <w:r w:rsidRPr="005A0E7C">
              <w:rPr>
                <w:rFonts w:eastAsiaTheme="majorEastAsia"/>
                <w:b/>
              </w:rPr>
              <w:t xml:space="preserve">SDG 3 Zajistit zdravý život a zvyšovat jeho kvalitu pro všechny v jakémkoli věku. </w:t>
            </w:r>
            <w:r w:rsidRPr="005A0E7C">
              <w:rPr>
                <w:rFonts w:eastAsiaTheme="majorEastAsia"/>
              </w:rPr>
              <w:t>Vzhledem k tomu, že Agenda 2030 je v rámci České republiky řešena v rámci Strategického rámce Česká republika 2030 (viz výše a další kolonky) má být cíl implementován pomocí realizace opatření v rámci jednotlivých relevantních specifických cílů. Implementace Agendy 2030 pro udržitelný rozvoj (Cílů udržitelného rozvoje) v České republice</w:t>
            </w:r>
            <w:r w:rsidRPr="005A0E7C">
              <w:rPr>
                <w:rFonts w:eastAsiaTheme="majorEastAsia"/>
                <w:i/>
              </w:rPr>
              <w:t xml:space="preserve"> </w:t>
            </w:r>
            <w:r w:rsidRPr="005A0E7C">
              <w:rPr>
                <w:rFonts w:eastAsiaTheme="majorEastAsia"/>
              </w:rPr>
              <w:t xml:space="preserve">přesně uvádí jako opatření: </w:t>
            </w:r>
            <w:r w:rsidRPr="005A0E7C">
              <w:rPr>
                <w:rFonts w:eastAsiaTheme="majorEastAsia"/>
                <w:i/>
              </w:rPr>
              <w:t xml:space="preserve">„Podporovat začlenění osob s fyzickým či psychickým onemocněním do běžného života, včetně podpory zaměstnanosti, destigmatizace a deinstitucionalizace, zajištění komplexnosti péče, integrace zdravotního a sociálního přístupu a prevence.“, </w:t>
            </w:r>
            <w:r w:rsidRPr="005A0E7C">
              <w:rPr>
                <w:rFonts w:eastAsiaTheme="majorEastAsia"/>
              </w:rPr>
              <w:t xml:space="preserve">což je zcela v souladu se zaměřením navrhované podpory v rámci programového období 2021 – 2027. </w:t>
            </w:r>
          </w:p>
        </w:tc>
        <w:tc>
          <w:tcPr>
            <w:tcW w:w="138" w:type="pct"/>
            <w:tcBorders>
              <w:top w:val="nil"/>
              <w:bottom w:val="nil"/>
            </w:tcBorders>
            <w:shd w:val="clear" w:color="auto" w:fill="66CCFF"/>
          </w:tcPr>
          <w:p w14:paraId="5C070EAD" w14:textId="77777777" w:rsidR="00DD3EFA" w:rsidRPr="005A0E7C" w:rsidRDefault="00DD3EFA" w:rsidP="00B15ECB">
            <w:pPr>
              <w:rPr>
                <w:b/>
              </w:rPr>
            </w:pPr>
          </w:p>
        </w:tc>
      </w:tr>
      <w:tr w:rsidR="00DD3EFA" w:rsidRPr="005A0E7C" w14:paraId="17F6B2AD" w14:textId="77777777" w:rsidTr="00B15ECB">
        <w:trPr>
          <w:trHeight w:val="1274"/>
        </w:trPr>
        <w:tc>
          <w:tcPr>
            <w:tcW w:w="138" w:type="pct"/>
            <w:tcBorders>
              <w:top w:val="nil"/>
              <w:bottom w:val="nil"/>
            </w:tcBorders>
            <w:shd w:val="clear" w:color="auto" w:fill="66CCFF"/>
          </w:tcPr>
          <w:p w14:paraId="24418970"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01424A02"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3312" w:type="pct"/>
            <w:tcBorders>
              <w:bottom w:val="single" w:sz="4" w:space="0" w:color="auto"/>
            </w:tcBorders>
            <w:shd w:val="clear" w:color="auto" w:fill="FFFFFF" w:themeFill="background1"/>
          </w:tcPr>
          <w:p w14:paraId="671DEAAB" w14:textId="77777777" w:rsidR="00DD3EFA" w:rsidRPr="005A0E7C" w:rsidRDefault="00DD3EFA" w:rsidP="00B15ECB">
            <w:pPr>
              <w:spacing w:before="60" w:after="60"/>
            </w:pPr>
            <w:r w:rsidRPr="005A0E7C">
              <w:t>Z hlediska mezinárodního srovnání kvality zdravotnictví lze konstatovat</w:t>
            </w:r>
            <w:r w:rsidRPr="005A0E7C">
              <w:rPr>
                <w:rFonts w:eastAsiaTheme="majorEastAsia"/>
              </w:rPr>
              <w:t xml:space="preserve"> přetrvávající </w:t>
            </w:r>
            <w:r w:rsidRPr="005A0E7C">
              <w:t xml:space="preserve">zaostávání České republiky </w:t>
            </w:r>
            <w:r w:rsidRPr="005A0E7C">
              <w:rPr>
                <w:rFonts w:eastAsiaTheme="majorEastAsia"/>
              </w:rPr>
              <w:t>ve většině oblastí</w:t>
            </w:r>
            <w:r w:rsidRPr="005A0E7C">
              <w:t xml:space="preserve"> za státy západní a severní Evropy. Naproti tomu v porovnání se zeměmi střední a východní Evropy Česká republika dosahuje při hodnocení zdravotnictví dobrých výsledků. Obdobné výsledky z mezinárodních srovnání platí rovněž i u většiny charakteristik zdravotního stavu populace.</w:t>
            </w:r>
            <w:r w:rsidRPr="005A0E7C" w:rsidDel="00AF0A18">
              <w:t xml:space="preserve"> </w:t>
            </w:r>
          </w:p>
          <w:p w14:paraId="01C087F4" w14:textId="77777777" w:rsidR="00DD3EFA" w:rsidRPr="005A0E7C" w:rsidRDefault="00DD3EFA" w:rsidP="00B15ECB">
            <w:pPr>
              <w:spacing w:before="60" w:after="60"/>
              <w:rPr>
                <w:rFonts w:eastAsiaTheme="majorEastAsia"/>
              </w:rPr>
            </w:pPr>
            <w:r w:rsidRPr="005A0E7C">
              <w:rPr>
                <w:rFonts w:eastAsiaTheme="majorEastAsia"/>
              </w:rPr>
              <w:t xml:space="preserve">Stejně jako v ostatních zemích systém zdravotní péče musí reagovat především na pokračující </w:t>
            </w:r>
            <w:r w:rsidRPr="005A0E7C">
              <w:rPr>
                <w:rFonts w:eastAsiaTheme="majorEastAsia"/>
                <w:b/>
              </w:rPr>
              <w:t>stárnutí populace</w:t>
            </w:r>
            <w:r w:rsidRPr="005A0E7C">
              <w:rPr>
                <w:rFonts w:eastAsiaTheme="majorEastAsia"/>
              </w:rPr>
              <w:t xml:space="preserve"> a rostoucí délku života, přičemž délka života ve zdraví roste v ČR pomalejším tempem oproti průměrné délce života. Tím podstatně narůstají i nároky na zdravotní péči.</w:t>
            </w:r>
          </w:p>
          <w:p w14:paraId="522C54CF" w14:textId="77777777" w:rsidR="00DD3EFA" w:rsidRPr="005A0E7C" w:rsidRDefault="00DD3EFA" w:rsidP="00B15ECB">
            <w:pPr>
              <w:spacing w:before="60" w:after="60"/>
              <w:rPr>
                <w:rFonts w:eastAsiaTheme="majorEastAsia"/>
              </w:rPr>
            </w:pPr>
            <w:r w:rsidRPr="005A0E7C">
              <w:rPr>
                <w:rFonts w:eastAsiaTheme="majorEastAsia"/>
              </w:rPr>
              <w:t xml:space="preserve">V ČR je přitom populace stále poměrně vysokým podílem ovlivňována negativní zátěží zdravotně rizikových látek. </w:t>
            </w:r>
            <w:r w:rsidRPr="005A0E7C">
              <w:rPr>
                <w:rFonts w:eastAsiaTheme="majorEastAsia"/>
                <w:b/>
              </w:rPr>
              <w:t>Primární prevence nemocí a podpora zdravého životního stylu, které mají na zdravotní stav populace největší vliv, jsou přitom spíše podceňovanou komponentou zdravotní politiky.</w:t>
            </w:r>
          </w:p>
          <w:p w14:paraId="09BE79BF" w14:textId="77777777" w:rsidR="00DD3EFA" w:rsidRPr="005A0E7C" w:rsidRDefault="00DD3EFA" w:rsidP="00B15ECB">
            <w:pPr>
              <w:spacing w:before="60" w:after="60"/>
              <w:rPr>
                <w:rFonts w:eastAsiaTheme="majorEastAsia"/>
              </w:rPr>
            </w:pPr>
            <w:r w:rsidRPr="005A0E7C">
              <w:rPr>
                <w:rFonts w:eastAsiaTheme="majorEastAsia"/>
              </w:rPr>
              <w:t>Odhady naznačují, že omezení rizikového chování (konzumace tabáku a alkoholu, strava a obezita) na zdravou úroveň by v České republice mohlo vést k prodloužení střední délky života o téměř 3,5 roku</w:t>
            </w:r>
            <w:r w:rsidRPr="005A0E7C">
              <w:rPr>
                <w:rStyle w:val="Znakapoznpodarou"/>
                <w:rFonts w:eastAsiaTheme="majorEastAsia"/>
              </w:rPr>
              <w:footnoteReference w:id="15"/>
            </w:r>
            <w:r w:rsidRPr="005A0E7C">
              <w:rPr>
                <w:rFonts w:eastAsiaTheme="majorEastAsia"/>
              </w:rPr>
              <w:t xml:space="preserve">. Dopad na střední délku života prožitého ve zdraví by mohl být ještě vyšší, a prostřednictvím zvýšení zaměstnanosti a produktivity práce má tedy prevence významný potenciál i z hlediska ekonomických přínosů. </w:t>
            </w:r>
          </w:p>
          <w:p w14:paraId="2AAE7EE5" w14:textId="77777777" w:rsidR="00DD3EFA" w:rsidRPr="005A0E7C" w:rsidRDefault="00DD3EFA" w:rsidP="00B15ECB">
            <w:pPr>
              <w:spacing w:before="60" w:after="60"/>
            </w:pPr>
            <w:r w:rsidRPr="005A0E7C">
              <w:rPr>
                <w:rFonts w:eastAsiaTheme="majorEastAsia"/>
              </w:rPr>
              <w:t xml:space="preserve">Podpora zdravějšího životního stylu by nejen zlepšila zdravotní výsledky, ale také snížila nerovnosti v oblasti zdraví, neboť rizikové faktory chování korelují se sociálně-ekonomickými charakteristikami. Preventivní programy podporované v rámci projektů ESIF se zaměřují spíše na časné rozpoznání onemocnění (screeningové programy) než na samotnou prevenci týkající se rizikového životního stylu. Zlepšení zdravotní gramotnosti (ať už v rámci školních programů zdravotního vzdělávání – přesah do oblasti vzdělávání nebo zajištění lepšího přístupu veřejnosti k informacím o zdraví) můžeme vnímat jako prostředek k vytvoření rovnějších zdravotních výsledků. </w:t>
            </w:r>
            <w:r w:rsidRPr="005A0E7C">
              <w:rPr>
                <w:rFonts w:eastAsiaTheme="majorEastAsia"/>
                <w:b/>
              </w:rPr>
              <w:t xml:space="preserve">Dle šetření zdravotní gramotnosti ve vybraných 8 členských státech EU (AT, BG, DE, EL, ES, IE, NL, PL) provedeném v roce 2015 zdravotní gramotnost obyvatel ČR zaostává za průměrem sledovaných zemí EU i za většinou zemí s výjimkou Bulharska. </w:t>
            </w:r>
            <w:r w:rsidRPr="005A0E7C">
              <w:t xml:space="preserve">Obyvatelé České republiky vykazují nižší úroveň zdravotní gramotnosti celkové, ale i jednotlivých jejích složek viz následující graf: </w:t>
            </w:r>
          </w:p>
          <w:p w14:paraId="0346E4BF" w14:textId="77777777" w:rsidR="00DD3EFA" w:rsidRPr="005A0E7C" w:rsidRDefault="00DD3EFA" w:rsidP="00B15ECB">
            <w:pPr>
              <w:spacing w:before="60" w:after="60"/>
              <w:jc w:val="center"/>
            </w:pPr>
            <w:r w:rsidRPr="005A0E7C">
              <w:rPr>
                <w:noProof/>
                <w:lang w:eastAsia="cs-CZ"/>
              </w:rPr>
              <w:drawing>
                <wp:inline distT="0" distB="0" distL="0" distR="0" wp14:anchorId="2BBBE744" wp14:editId="62A3D6E5">
                  <wp:extent cx="2958572" cy="2477622"/>
                  <wp:effectExtent l="0" t="0" r="0" b="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9573" cy="2478460"/>
                          </a:xfrm>
                          <a:prstGeom prst="rect">
                            <a:avLst/>
                          </a:prstGeom>
                        </pic:spPr>
                      </pic:pic>
                    </a:graphicData>
                  </a:graphic>
                </wp:inline>
              </w:drawing>
            </w:r>
          </w:p>
          <w:p w14:paraId="51C226C9" w14:textId="77777777" w:rsidR="00DD3EFA" w:rsidRPr="005A0E7C" w:rsidRDefault="00DD3EFA" w:rsidP="00B15ECB">
            <w:pPr>
              <w:pStyle w:val="Bntext"/>
              <w:ind w:firstLine="0"/>
              <w:jc w:val="center"/>
              <w:rPr>
                <w:rFonts w:ascii="Times New Roman" w:hAnsi="Times New Roman"/>
                <w:i/>
                <w:noProof w:val="0"/>
                <w:szCs w:val="20"/>
                <w:lang w:val="cs-CZ"/>
              </w:rPr>
            </w:pPr>
            <w:r w:rsidRPr="005A0E7C">
              <w:rPr>
                <w:rFonts w:ascii="Times New Roman" w:hAnsi="Times New Roman"/>
                <w:i/>
                <w:noProof w:val="0"/>
                <w:szCs w:val="20"/>
                <w:lang w:val="cs-CZ"/>
              </w:rPr>
              <w:t>Zdroj: Strategický rámec Rozvoj péče o zdraví v České republice do roku 2030</w:t>
            </w:r>
          </w:p>
          <w:p w14:paraId="2056DE17" w14:textId="77777777" w:rsidR="00DD3EFA" w:rsidRPr="005A0E7C" w:rsidRDefault="00DD3EFA" w:rsidP="00B15ECB">
            <w:pPr>
              <w:spacing w:before="60" w:after="60"/>
            </w:pPr>
            <w:r w:rsidRPr="005A0E7C">
              <w:t xml:space="preserve">Klíčovou úlohu ve zprostředkování prevence, zdravotní gramotnosti a posilování odpovědnosti k vlastnímu zdraví by měli sehrávat poskytovatelé primární péče (tj. praktičtí lékaři pro dospělé, praktičtí lékaři pro děti a dorost, zubní lékaři a gynekologové). </w:t>
            </w:r>
          </w:p>
          <w:p w14:paraId="3F92E682" w14:textId="77777777" w:rsidR="00DD3EFA" w:rsidRPr="005A0E7C" w:rsidRDefault="00DD3EFA" w:rsidP="00B15ECB">
            <w:pPr>
              <w:spacing w:before="60" w:after="60"/>
            </w:pPr>
            <w:r w:rsidRPr="005A0E7C">
              <w:t xml:space="preserve">Proto je také téma prevence a zvyšování zdravotní gramotnosti součástí připravované </w:t>
            </w:r>
            <w:r w:rsidRPr="005A0E7C">
              <w:rPr>
                <w:b/>
              </w:rPr>
              <w:t xml:space="preserve">reformy primární péče. </w:t>
            </w:r>
            <w:r w:rsidRPr="005A0E7C">
              <w:t xml:space="preserve">Postavení praktických lékařů ve zdravotnickém systému je klíčové, neboť by kromě zajištění akutní péče a spolupráce se specialisty a lůžkovými zařízeními, měli být právě tím, kdo přispívá ke zvyšování zdravotní gramotnosti obyvatel, ale i tím, kdo koordinuje potřebnou zdravotně-sociální péči, zejména jde-li o péči následnou a dlouhodobou. </w:t>
            </w:r>
            <w:r w:rsidRPr="005A0E7C">
              <w:rPr>
                <w:b/>
              </w:rPr>
              <w:t>Podle OECD mají lékaři primární péče největší potenciál ke zlepšení a udržení zdraví populace, zvyšují její zdravotní gramotnost, garantují péči o vulnerabilní skupiny občanů, zajišťují rovnost přístupu k péči a svým působením činí zdravotní systém udržitelnějším a efektivnějším.</w:t>
            </w:r>
          </w:p>
          <w:p w14:paraId="01A1CE04" w14:textId="77777777" w:rsidR="00DD3EFA" w:rsidRPr="005A0E7C" w:rsidRDefault="00DD3EFA" w:rsidP="00B15ECB">
            <w:pPr>
              <w:spacing w:before="60" w:after="60"/>
            </w:pPr>
            <w:r w:rsidRPr="005A0E7C">
              <w:t xml:space="preserve">Kvůli nízkým kompetencím lékařů primární péče, ale i nedostatečnému spektru poskytovaných služeb daných nedostatečným rozvojem oboru a kvůli nedostatečnému využívání jejich organizační role pro přístup k nákladným specializovaným službám, není potenciál primární péče v ČR, ve srovnání s vyspělými zeměmi EU, dobře využit. Za hlavní problémy lze považovat omezení kompetencí, výkonů a preskripce lékařů primární péče, neexistence jasných pravidel, která by vymezovala vztahy s ambulantními specialisty a lůžkovými zařízeními, a systém paušálních úhrad u ambulantních specialistů, který zvyšuje uměle četnost kontaktů pacienta se zdravotním systémem. To znamená zbytečné náklady v řádu desítek miliard korun ročně a diskomfort pro pacienta. </w:t>
            </w:r>
          </w:p>
          <w:p w14:paraId="37691930" w14:textId="77777777" w:rsidR="00DD3EFA" w:rsidRPr="005A0E7C" w:rsidRDefault="00DD3EFA" w:rsidP="00B15ECB">
            <w:pPr>
              <w:spacing w:before="60" w:after="60"/>
              <w:rPr>
                <w:b/>
              </w:rPr>
            </w:pPr>
            <w:r w:rsidRPr="005A0E7C">
              <w:rPr>
                <w:b/>
              </w:rPr>
              <w:t>Z pohledu sociální a územní soudržnosti regionů je problémem úbytek praktických lékařů v neatraktivních oblastech (případně naopak v atraktivních metropolitních územích) ohrožujících dostupnost lékařské péče, kdy primární zdravotní péče představuje základní veřejnou službu v území. Problematická dostupnost se často týká i lékáren.</w:t>
            </w:r>
          </w:p>
          <w:p w14:paraId="55F826F2" w14:textId="77777777" w:rsidR="00DD3EFA" w:rsidRPr="005A0E7C" w:rsidRDefault="00DD3EFA" w:rsidP="00B15ECB">
            <w:pPr>
              <w:spacing w:before="60" w:after="60"/>
            </w:pPr>
            <w:r w:rsidRPr="005A0E7C">
              <w:rPr>
                <w:b/>
              </w:rPr>
              <w:t xml:space="preserve">Dostupnost péče, zejména ve venkovských oblastech, může být v budoucnu ohrožena rovněž nepříznivou věkovou strukturou lékařů, kdy je zejména u praktických lékařů jejich průměrný věk alarmující. </w:t>
            </w:r>
            <w:r w:rsidRPr="005A0E7C">
              <w:t>V roce 2017 byl přibližně každý třetí praktický lékař starší 60 let</w:t>
            </w:r>
            <w:r w:rsidRPr="005A0E7C">
              <w:rPr>
                <w:rStyle w:val="Znakapoznpodarou"/>
              </w:rPr>
              <w:footnoteReference w:id="16"/>
            </w:r>
            <w:r w:rsidRPr="005A0E7C">
              <w:t xml:space="preserve">. Pokud jde o další lékaře, je počet lékařů v současné době ve srovnání se státy EU a OECD poměrně vysoký, ale i zde vysoký průměrný věk lékařů může brzy vést k omezení nabídky, které ovlivní pokrytí a kvalitu péče. Mezi lety 2000 a 2015 se podíl lékařů starších 55 let zvýšil z 20 % na 37 % a patří k nejvyšším v OECD. Dle dat ÚZIS od roku 2019 nebude počet absolventů českých lékařských fakult pokrývat počet lékařů odcházejících do důchodu. Tento negativní trend se nedaří vyrovnávat ani každoročně rostoucími počty lékařů ze zahraničí. Od roku 2007, kdy jich bylo v České republice 1 813, stoupl počet zahraničních lékařů na 3 061 v roce 2017. Příchody lékařů z jiných zemí však s sebou často přinášejí i negativní jevy, jako je špatná znalost jazyka a někdy i nedostatečné odborné vědomosti. Úspěšnost zdravotnických pracovníků u aprobačních zkoušek, jejichž složení je podmínkou výkonu zdravotnického povolání, neustále klesá. </w:t>
            </w:r>
            <w:r w:rsidRPr="005A0E7C">
              <w:rPr>
                <w:color w:val="373737"/>
              </w:rPr>
              <w:t xml:space="preserve">V roce 2017 byla úspěšnost u písemné části zkoušky 62 %, u ústní zkoušky dokonce pouze 37 %. </w:t>
            </w:r>
            <w:r w:rsidRPr="005A0E7C">
              <w:t>Pro zachování dostupnosti péče v některých okrajových regionech České republiky jsou však tito lékaři naprosto klíčoví, neboť bez nich by poskytovatelé zdravotních služeb nemohli fungovat.</w:t>
            </w:r>
          </w:p>
          <w:p w14:paraId="55A5EC1A" w14:textId="77777777" w:rsidR="00DD3EFA" w:rsidRPr="005A0E7C" w:rsidRDefault="00DD3EFA" w:rsidP="00B15ECB">
            <w:pPr>
              <w:spacing w:before="60" w:after="60"/>
            </w:pPr>
          </w:p>
          <w:p w14:paraId="595F804E" w14:textId="77777777" w:rsidR="00DD3EFA" w:rsidRPr="005A0E7C" w:rsidRDefault="00DD3EFA" w:rsidP="00B15ECB">
            <w:pPr>
              <w:spacing w:before="60" w:after="60"/>
            </w:pPr>
            <w:r w:rsidRPr="005A0E7C">
              <w:rPr>
                <w:noProof/>
                <w:lang w:eastAsia="cs-CZ"/>
              </w:rPr>
              <w:drawing>
                <wp:inline distT="0" distB="0" distL="0" distR="0" wp14:anchorId="4277FC10" wp14:editId="100DC8BC">
                  <wp:extent cx="3811836" cy="914400"/>
                  <wp:effectExtent l="0" t="0" r="0" b="0"/>
                  <wp:docPr id="3" name="Obrázek 3"/>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7520" cy="913365"/>
                          </a:xfrm>
                          <a:prstGeom prst="rect">
                            <a:avLst/>
                          </a:prstGeom>
                          <a:noFill/>
                          <a:ln>
                            <a:noFill/>
                          </a:ln>
                        </pic:spPr>
                      </pic:pic>
                    </a:graphicData>
                  </a:graphic>
                </wp:inline>
              </w:drawing>
            </w:r>
          </w:p>
          <w:p w14:paraId="3FCA0887"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2018</w:t>
            </w:r>
          </w:p>
          <w:p w14:paraId="44B5F4DD" w14:textId="77777777" w:rsidR="00DD3EFA" w:rsidRPr="005A0E7C" w:rsidRDefault="00DD3EFA" w:rsidP="00B15ECB">
            <w:pPr>
              <w:spacing w:before="60" w:after="60"/>
            </w:pPr>
            <w:r w:rsidRPr="005A0E7C">
              <w:t xml:space="preserve">Ještě větší problém pak představuje nedostatek sester, který je vyjádřitelný i statisticky, kdy na rozdíl od lékařů je počet všeobecných sester (8 na 1 000 obyvatel) mírně pod průměrem OECD (9 na 1 000 obyvatel). Poměr všeobecných sester k lékařům je rovněž nižší než průměr OECD. Česká republika má v rámci OECD jeden z nejnižších počtů absolventů ošetřovatelství – 16 na 100 000 obyvatel – a v posledních letech vykazuje klesající trend. Toto musí být chápáno jako ohrožení dostupnosti péče zejména s ohledem na trend nárůstu požadavků na dlouhodobou péči v souvislosti s demografickým stárnutím. </w:t>
            </w:r>
          </w:p>
          <w:p w14:paraId="137FA99D" w14:textId="77777777" w:rsidR="00DD3EFA" w:rsidRPr="005A0E7C" w:rsidRDefault="00DD3EFA" w:rsidP="00B15ECB">
            <w:pPr>
              <w:spacing w:before="60" w:after="60"/>
              <w:rPr>
                <w:rFonts w:eastAsiaTheme="majorEastAsia"/>
              </w:rPr>
            </w:pPr>
            <w:r w:rsidRPr="005A0E7C">
              <w:rPr>
                <w:rFonts w:eastAsiaTheme="majorEastAsia"/>
              </w:rPr>
              <w:t>V souvislosti s personální situací ve zdravotnictví je také nutno zmínit systém postgraduálního vzdělávání lékařů, který je často předmětem kritiky lékařů absolventů a někdy bývá označován i jako příčina jejich odchodu do zahraničí. Novelou zákona č. 95/2004 Sb., o podmínkách získávání a uznávání odborné způsobilosti a specializované způsobilosti k výkonu zdravotnického povolání lékaře, zubního lékaře a farmaceuta, ve znění pozdějších předpisů,  sice byly některé nedostatky odstraněny, přesto je nutné celý systém modernizovat a přizpůsobit aktuálním požadavkům a trendům. Jedním z největších nedostatků je nemožnost centrálně sledovat a vyhodnocovat kvalitu vzdělání v jednotlivých zařízeních, která k tomu byla akreditována. Velmi obtížné je posuzovat i samotné plnění základních požadavků, které jsou na tato zařízení kladeny. Lékaři, kteří do specializačního vzdělávání vstupují, prakticky nemají k dispozici žádné objektivní informace, na základě kterých by se mohli rozhodovat při volbě vzdělávacího zařízení, příslušné orgány nemohou adekvátně reagovat na případné problémy a systém postgraduálního vzdělávání tak nelze dále rozvíjet.</w:t>
            </w:r>
          </w:p>
          <w:p w14:paraId="239AB205" w14:textId="77777777" w:rsidR="00DD3EFA" w:rsidRPr="005A0E7C" w:rsidRDefault="00DD3EFA" w:rsidP="00B15ECB">
            <w:pPr>
              <w:spacing w:before="60" w:after="60"/>
              <w:rPr>
                <w:rFonts w:eastAsiaTheme="majorEastAsia"/>
              </w:rPr>
            </w:pPr>
            <w:r w:rsidRPr="005A0E7C">
              <w:rPr>
                <w:rFonts w:eastAsiaTheme="majorEastAsia"/>
              </w:rPr>
              <w:t xml:space="preserve">Česká republika zdědila z komunistické éry systém zdravotních služeb zaměřený na nemocniční péči, což stále přispívá k neefektivitě. Přestože počet nemocničních lůžek od roku 2000 poklesl (6,2 lůžka na 1 000 obyvatel), stále zůstává nad průměrem OECD (4,7 lůžka na 1 000 obyvatel). Při hodnocení dat však musí být vzato v úvahu, že řada nemocničních lůžek je využívána pro dlouhodobou péči. Dle zprávy OECD vysoký počet lůžek také koreluje s celkovým počtem nemocnic, které nejsou vždy dobře geograficky rozmístěny. Lepší koordinace v rámci regionu sloučením či přeskupením některých služeb může dále zvýšit efektivitu nemocničního sektoru a zlepšit celkovou kvalitu péče. </w:t>
            </w:r>
          </w:p>
          <w:p w14:paraId="00AC3653" w14:textId="77777777" w:rsidR="00DD3EFA" w:rsidRPr="005A0E7C" w:rsidRDefault="00DD3EFA" w:rsidP="00B15ECB">
            <w:pPr>
              <w:spacing w:before="60" w:after="60"/>
              <w:rPr>
                <w:rFonts w:eastAsiaTheme="majorEastAsia"/>
                <w:b/>
              </w:rPr>
            </w:pPr>
            <w:r w:rsidRPr="005A0E7C">
              <w:rPr>
                <w:rFonts w:eastAsiaTheme="majorEastAsia"/>
              </w:rPr>
              <w:t>Nicméně jak příklady z vyspělých členských států EU dokazují, stárnutí populace a s tím spojené nároky vyžadují transformaci zdravotnictví: těžiště už by nemělo směřovat na akutní péči v nemocnicích, ale spíš na integrovanou a na lidi orientovanou péči v komunitě.</w:t>
            </w:r>
            <w:r w:rsidRPr="005A0E7C">
              <w:rPr>
                <w:rFonts w:eastAsiaTheme="majorEastAsia"/>
                <w:b/>
              </w:rPr>
              <w:t xml:space="preserve"> V podmínkách České republiky je však řada oborů, u nichž má velký potenciál právě komunitní péče, je silně institucionalizovaná a nepropojená na další veřejné služby, zejména sociální. Integrace zdravotních a sociálních služeb je zapotřebí zejména v kontextu demografických změn. </w:t>
            </w:r>
          </w:p>
          <w:p w14:paraId="69ACACB9" w14:textId="77777777" w:rsidR="00DD3EFA" w:rsidRPr="005A0E7C" w:rsidRDefault="00DD3EFA" w:rsidP="00B15ECB">
            <w:pPr>
              <w:spacing w:before="60" w:after="60"/>
              <w:rPr>
                <w:rFonts w:eastAsiaTheme="majorEastAsia"/>
              </w:rPr>
            </w:pPr>
            <w:r w:rsidRPr="005A0E7C">
              <w:rPr>
                <w:rFonts w:eastAsiaTheme="majorEastAsia"/>
              </w:rPr>
              <w:t xml:space="preserve">V současném programovém období započala, v rámci projektů podporovaných z ESIF, reforma psychiatrické péče, jejíž přínosy je nutno vnímat nejenom v oblasti péče o duševně nemocné, kdy systémovou změnou dojde ke zvýšení kvality života těchto osob a zabránění jejich sociálnímu vylučování, současně se však jedná o významný a konkrétní krok při sbližování oblastí, jež spolu souvisí - zdravotní péče a sociální péče. Ty jsou nyní legislativními úpravami a zdroji financování v praxi rozděleny. Dopady rozdělení těchto systémů však lze nalézt dokonce i v rozdílných přístupech a myšlení pracovníků v sociálních a zdravotních službách. </w:t>
            </w:r>
          </w:p>
          <w:p w14:paraId="206B133F" w14:textId="77777777" w:rsidR="00DD3EFA" w:rsidRPr="005A0E7C" w:rsidRDefault="00DD3EFA" w:rsidP="00B15ECB">
            <w:pPr>
              <w:spacing w:before="60" w:after="60"/>
              <w:rPr>
                <w:rFonts w:eastAsiaTheme="majorEastAsia"/>
              </w:rPr>
            </w:pPr>
            <w:r w:rsidRPr="005A0E7C">
              <w:rPr>
                <w:rFonts w:eastAsiaTheme="majorEastAsia"/>
                <w:b/>
              </w:rPr>
              <w:t xml:space="preserve">Další důležitou oblastí je elektronizace zdravotnictví, která zasahuje do prakticky veškerého dění ve zdravotnickém systému; informační a komunikační technologie běžně využívají občané i zdravotníci ve svém pracovním i soukromém životě. </w:t>
            </w:r>
            <w:r w:rsidRPr="005A0E7C">
              <w:rPr>
                <w:rFonts w:eastAsiaTheme="majorEastAsia"/>
              </w:rPr>
              <w:t xml:space="preserve">Digitalizace ve zdravotnictví bude více sloužit k podpoře reformy zdravotních služeb a přístupu k nim, digitální technologie posílí možnosti jednotlivců pečovat o vlastní zdraví a zároveň podpoří celkovou efektivnost zdravotního systému. Účelná digitalizace napomůže přechodu na integrované, na jednotlivce zaměřené modely péče a usnadní přesun od léčby k prevenci - inovativní digitální řešení napomáhají podpoře zdraví a kvality života občanů a umožní účinnější způsoby organizace a poskytování zdravotních a sociálních služeb. Digitální technologie a inovace usnadní dosažení strategických záměrů v oblasti veřejného zdraví. </w:t>
            </w:r>
          </w:p>
          <w:p w14:paraId="46CE1541" w14:textId="77777777" w:rsidR="00DD3EFA" w:rsidRPr="005A0E7C" w:rsidRDefault="00DD3EFA" w:rsidP="00B15ECB">
            <w:pPr>
              <w:spacing w:before="60" w:after="60"/>
              <w:rPr>
                <w:rFonts w:eastAsiaTheme="majorEastAsia"/>
                <w:b/>
              </w:rPr>
            </w:pPr>
            <w:r w:rsidRPr="005A0E7C">
              <w:rPr>
                <w:rFonts w:eastAsiaTheme="majorEastAsia"/>
              </w:rPr>
              <w:t>Jako jeden z hlavních problémů je v současnosti vnímána nekoordinovanost aktivit státu, samosprávy, komerčního sektoru, zdravotních pojišťoven a poskytovatelů zdravotních služeb, jejichž postupné sladění povedek naplnění vize Národní strategie elektronického zdravotnictví a k vytvoření interoperabilního důvěryhodného prostředí pro všechny realizátory služeb elektronického zdravotnictví.</w:t>
            </w:r>
          </w:p>
          <w:p w14:paraId="6B122F62" w14:textId="77777777" w:rsidR="00DD3EFA" w:rsidRPr="005A0E7C" w:rsidRDefault="00DD3EFA" w:rsidP="00B15ECB">
            <w:pPr>
              <w:spacing w:before="60" w:after="60"/>
              <w:rPr>
                <w:rFonts w:eastAsiaTheme="majorEastAsia"/>
                <w:i/>
              </w:rPr>
            </w:pPr>
            <w:r w:rsidRPr="005A0E7C">
              <w:rPr>
                <w:rFonts w:eastAsiaTheme="majorEastAsia"/>
                <w:i/>
              </w:rPr>
              <w:t>Věda a výzkum v oblasti zdravotnictví</w:t>
            </w:r>
          </w:p>
          <w:p w14:paraId="33B0BB76" w14:textId="77777777" w:rsidR="00DD3EFA" w:rsidRPr="005A0E7C" w:rsidRDefault="00DD3EFA" w:rsidP="00B15ECB">
            <w:pPr>
              <w:spacing w:before="60" w:after="60"/>
              <w:rPr>
                <w:rFonts w:eastAsiaTheme="majorEastAsia"/>
                <w:i/>
              </w:rPr>
            </w:pPr>
            <w:r w:rsidRPr="005A0E7C">
              <w:rPr>
                <w:rFonts w:eastAsiaTheme="majorEastAsia"/>
                <w:i/>
              </w:rPr>
              <w:t>Oblast bude řešena v individuální kartě</w:t>
            </w:r>
            <w:r w:rsidRPr="005A0E7C">
              <w:rPr>
                <w:i/>
              </w:rPr>
              <w:t xml:space="preserve"> </w:t>
            </w:r>
            <w:r w:rsidRPr="005A0E7C">
              <w:rPr>
                <w:rFonts w:eastAsiaTheme="majorEastAsia"/>
                <w:i/>
              </w:rPr>
              <w:t>zaměřené na vědu a výzkum.</w:t>
            </w:r>
          </w:p>
          <w:p w14:paraId="1E147742" w14:textId="77777777" w:rsidR="00DD3EFA" w:rsidRPr="005A0E7C" w:rsidRDefault="00DD3EFA" w:rsidP="00B15ECB">
            <w:pPr>
              <w:spacing w:before="60" w:after="60"/>
              <w:rPr>
                <w:rFonts w:eastAsiaTheme="majorEastAsia"/>
              </w:rPr>
            </w:pPr>
            <w:r w:rsidRPr="005A0E7C">
              <w:rPr>
                <w:rFonts w:eastAsiaTheme="majorEastAsia"/>
                <w:b/>
              </w:rPr>
              <w:t xml:space="preserve">Na závěr je tedy možné definovat základní problémy českého zdravotnictví, které mohou být řešeny i za využití podpory ESIF v rámci programového období 2021 – 2027. </w:t>
            </w:r>
            <w:r w:rsidRPr="005A0E7C">
              <w:rPr>
                <w:rFonts w:eastAsiaTheme="majorEastAsia"/>
              </w:rPr>
              <w:t xml:space="preserve">Tyto problémy jsou silně reflektovány i v rámci zprávy OECD: Zlepšení systému zdravotní péče v České republice, Hospodářské přehledy OECD Česká republika, 2018: </w:t>
            </w:r>
          </w:p>
          <w:p w14:paraId="122FED34" w14:textId="77777777" w:rsidR="00DD3EFA" w:rsidRPr="005A0E7C" w:rsidRDefault="00DD3EFA" w:rsidP="00391907">
            <w:pPr>
              <w:pStyle w:val="Odstavecseseznamem"/>
              <w:numPr>
                <w:ilvl w:val="0"/>
                <w:numId w:val="30"/>
              </w:numPr>
              <w:spacing w:before="60" w:after="60"/>
              <w:jc w:val="both"/>
              <w:rPr>
                <w:rFonts w:eastAsiaTheme="majorEastAsia"/>
                <w:b/>
              </w:rPr>
            </w:pPr>
            <w:r w:rsidRPr="005A0E7C">
              <w:rPr>
                <w:rFonts w:eastAsiaTheme="majorEastAsia"/>
                <w:b/>
              </w:rPr>
              <w:t xml:space="preserve">Nevyužití potenciálu zdravotní gramotnosti a primární prevence z hlediska vlivu na zdravotní stav populace a výdajovou efektivitu zdravotnictví </w:t>
            </w:r>
          </w:p>
          <w:p w14:paraId="53ABAFA4" w14:textId="77777777" w:rsidR="00DD3EFA" w:rsidRPr="005A0E7C" w:rsidRDefault="00DD3EFA" w:rsidP="00391907">
            <w:pPr>
              <w:pStyle w:val="Odstavecseseznamem"/>
              <w:numPr>
                <w:ilvl w:val="0"/>
                <w:numId w:val="30"/>
              </w:numPr>
              <w:spacing w:before="60" w:after="60"/>
              <w:jc w:val="both"/>
              <w:rPr>
                <w:rFonts w:eastAsiaTheme="majorEastAsia"/>
                <w:b/>
              </w:rPr>
            </w:pPr>
            <w:r w:rsidRPr="005A0E7C">
              <w:rPr>
                <w:rFonts w:eastAsiaTheme="majorEastAsia"/>
                <w:b/>
              </w:rPr>
              <w:t xml:space="preserve">Nevyužití potenciálu primární péče z hlediska udržitelnosti a efektivnosti zdravotního systému a nízká úroveň koordinace péče o chronicky nemocné  </w:t>
            </w:r>
          </w:p>
          <w:p w14:paraId="7C7E18EA" w14:textId="77777777" w:rsidR="00DD3EFA" w:rsidRPr="005A0E7C" w:rsidRDefault="00DD3EFA" w:rsidP="00391907">
            <w:pPr>
              <w:pStyle w:val="Odstavecseseznamem"/>
              <w:numPr>
                <w:ilvl w:val="0"/>
                <w:numId w:val="30"/>
              </w:numPr>
              <w:spacing w:before="60" w:after="60"/>
              <w:jc w:val="both"/>
              <w:rPr>
                <w:rFonts w:eastAsiaTheme="majorEastAsia"/>
                <w:b/>
              </w:rPr>
            </w:pPr>
            <w:r w:rsidRPr="005A0E7C">
              <w:rPr>
                <w:rFonts w:eastAsiaTheme="majorEastAsia"/>
                <w:b/>
              </w:rPr>
              <w:t xml:space="preserve">Nevhodná demografická struktura lékařů a nedostatek sester ohrožující dostupnost a kvalitu péče </w:t>
            </w:r>
          </w:p>
          <w:p w14:paraId="0C8ED042" w14:textId="77777777" w:rsidR="00DD3EFA" w:rsidRPr="005A0E7C" w:rsidRDefault="00DD3EFA" w:rsidP="00391907">
            <w:pPr>
              <w:pStyle w:val="Odstavecseseznamem"/>
              <w:numPr>
                <w:ilvl w:val="0"/>
                <w:numId w:val="30"/>
              </w:numPr>
              <w:spacing w:before="60" w:after="60"/>
              <w:jc w:val="both"/>
              <w:rPr>
                <w:rFonts w:eastAsiaTheme="majorEastAsia"/>
                <w:b/>
              </w:rPr>
            </w:pPr>
            <w:r w:rsidRPr="005A0E7C">
              <w:rPr>
                <w:rFonts w:eastAsiaTheme="majorEastAsia"/>
                <w:b/>
              </w:rPr>
              <w:t xml:space="preserve">Nepropojenost zdravotní a sociální péče s ohledem na nutnost přenést těžiště těchto veřejných služeb do péče komunitní </w:t>
            </w:r>
          </w:p>
          <w:p w14:paraId="5DD82235" w14:textId="77777777" w:rsidR="00DD3EFA" w:rsidRPr="005A0E7C" w:rsidRDefault="00DD3EFA" w:rsidP="00391907">
            <w:pPr>
              <w:pStyle w:val="Odstavecseseznamem"/>
              <w:numPr>
                <w:ilvl w:val="0"/>
                <w:numId w:val="30"/>
              </w:numPr>
              <w:spacing w:before="60" w:after="60"/>
              <w:jc w:val="both"/>
              <w:rPr>
                <w:i/>
              </w:rPr>
            </w:pPr>
            <w:r w:rsidRPr="005A0E7C">
              <w:rPr>
                <w:rFonts w:eastAsiaTheme="majorEastAsia"/>
                <w:b/>
              </w:rPr>
              <w:t xml:space="preserve">Nevyužití potenciálu elektronického zdravotnictví </w:t>
            </w:r>
          </w:p>
          <w:p w14:paraId="47A527DD" w14:textId="77777777" w:rsidR="00DD3EFA" w:rsidRPr="005A0E7C" w:rsidRDefault="00DD3EFA" w:rsidP="00391907">
            <w:pPr>
              <w:pStyle w:val="Odstavecseseznamem"/>
              <w:numPr>
                <w:ilvl w:val="0"/>
                <w:numId w:val="30"/>
              </w:numPr>
              <w:spacing w:before="60" w:after="60"/>
              <w:jc w:val="both"/>
              <w:rPr>
                <w:i/>
              </w:rPr>
            </w:pPr>
            <w:r w:rsidRPr="005A0E7C">
              <w:rPr>
                <w:rFonts w:eastAsiaTheme="majorEastAsia"/>
                <w:b/>
              </w:rPr>
              <w:t>Nevyužití potenciálu měření kvality péče a obecně nízká orientace zdravotního systému na potřeby pacientů</w:t>
            </w:r>
          </w:p>
        </w:tc>
        <w:tc>
          <w:tcPr>
            <w:tcW w:w="138" w:type="pct"/>
            <w:tcBorders>
              <w:top w:val="nil"/>
              <w:bottom w:val="nil"/>
            </w:tcBorders>
            <w:shd w:val="clear" w:color="auto" w:fill="66CCFF"/>
          </w:tcPr>
          <w:p w14:paraId="25F7369C" w14:textId="77777777" w:rsidR="00DD3EFA" w:rsidRPr="005A0E7C" w:rsidRDefault="00DD3EFA" w:rsidP="00B15ECB">
            <w:pPr>
              <w:rPr>
                <w:b/>
              </w:rPr>
            </w:pPr>
          </w:p>
        </w:tc>
      </w:tr>
      <w:tr w:rsidR="00DD3EFA" w:rsidRPr="005A0E7C" w14:paraId="69622C46" w14:textId="77777777" w:rsidTr="00B15ECB">
        <w:trPr>
          <w:trHeight w:val="1274"/>
        </w:trPr>
        <w:tc>
          <w:tcPr>
            <w:tcW w:w="138" w:type="pct"/>
            <w:tcBorders>
              <w:top w:val="nil"/>
              <w:bottom w:val="nil"/>
            </w:tcBorders>
            <w:shd w:val="clear" w:color="auto" w:fill="66CCFF"/>
          </w:tcPr>
          <w:p w14:paraId="6E314C92"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74535FF1"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3D9497C3" w14:textId="77777777" w:rsidR="00DD3EFA" w:rsidRPr="005A0E7C" w:rsidRDefault="00DD3EFA" w:rsidP="00B15ECB">
            <w:pPr>
              <w:spacing w:before="60" w:after="60"/>
              <w:rPr>
                <w:rFonts w:eastAsiaTheme="majorEastAsia"/>
                <w:b/>
              </w:rPr>
            </w:pPr>
          </w:p>
        </w:tc>
        <w:tc>
          <w:tcPr>
            <w:tcW w:w="3312" w:type="pct"/>
            <w:tcBorders>
              <w:bottom w:val="single" w:sz="4" w:space="0" w:color="auto"/>
            </w:tcBorders>
            <w:shd w:val="clear" w:color="auto" w:fill="FFFFFF" w:themeFill="background1"/>
          </w:tcPr>
          <w:p w14:paraId="088EED62" w14:textId="77777777" w:rsidR="00DD3EFA" w:rsidRPr="005A0E7C" w:rsidRDefault="00DD3EFA" w:rsidP="00B15ECB">
            <w:pPr>
              <w:spacing w:before="60" w:after="60"/>
            </w:pPr>
            <w:r w:rsidRPr="005A0E7C">
              <w:t xml:space="preserve">Na základě analýzy hlavních problémů českého zdravotnictví, které by mohly být zásadním způsobem ovlivněny podporou z ESIF, dále s ohledem na aktuální trendy v pojetí zdravotní péče a v souladu s vládními úkoly byly identifikovány následující priority, které by měly být řešeny v rámci politiky hospodářské, sociální a územní soudržnosti EU: </w:t>
            </w:r>
          </w:p>
          <w:p w14:paraId="6E357E66" w14:textId="77777777" w:rsidR="00DD3EFA" w:rsidRPr="005A0E7C" w:rsidRDefault="00DD3EFA" w:rsidP="00391907">
            <w:pPr>
              <w:pStyle w:val="Odstavecseseznamem"/>
              <w:numPr>
                <w:ilvl w:val="0"/>
                <w:numId w:val="31"/>
              </w:numPr>
              <w:spacing w:before="60" w:after="60"/>
              <w:jc w:val="both"/>
            </w:pPr>
            <w:r w:rsidRPr="005A0E7C">
              <w:t>Prevence a zvyšování zdravotní gramotnosti, zvyšování motivace občanů k vlastnímu zdraví</w:t>
            </w:r>
          </w:p>
          <w:p w14:paraId="153EF8EE" w14:textId="77777777" w:rsidR="00DD3EFA" w:rsidRPr="005A0E7C" w:rsidRDefault="00DD3EFA" w:rsidP="00391907">
            <w:pPr>
              <w:pStyle w:val="Odstavecseseznamem"/>
              <w:numPr>
                <w:ilvl w:val="0"/>
                <w:numId w:val="31"/>
              </w:numPr>
              <w:spacing w:before="60" w:after="60"/>
              <w:jc w:val="both"/>
            </w:pPr>
            <w:r w:rsidRPr="005A0E7C">
              <w:t>Reforma primární péče</w:t>
            </w:r>
          </w:p>
          <w:p w14:paraId="2BE08F44" w14:textId="77777777" w:rsidR="00DD3EFA" w:rsidRPr="005A0E7C" w:rsidRDefault="00DD3EFA" w:rsidP="00391907">
            <w:pPr>
              <w:pStyle w:val="Odstavecseseznamem"/>
              <w:numPr>
                <w:ilvl w:val="0"/>
                <w:numId w:val="31"/>
              </w:numPr>
              <w:spacing w:before="60" w:after="60"/>
              <w:jc w:val="both"/>
            </w:pPr>
            <w:r w:rsidRPr="005A0E7C">
              <w:t xml:space="preserve">Personální stabilizace resortu zdravotnictví včetně přizpůsobení vzdělávání aktuálním potřebám </w:t>
            </w:r>
          </w:p>
          <w:p w14:paraId="60E4DE25" w14:textId="77777777" w:rsidR="00DD3EFA" w:rsidRPr="005A0E7C" w:rsidRDefault="00DD3EFA" w:rsidP="00391907">
            <w:pPr>
              <w:pStyle w:val="Odstavecseseznamem"/>
              <w:numPr>
                <w:ilvl w:val="0"/>
                <w:numId w:val="31"/>
              </w:numPr>
              <w:spacing w:before="60" w:after="60"/>
              <w:jc w:val="both"/>
            </w:pPr>
            <w:r w:rsidRPr="005A0E7C">
              <w:t>Integrace zdravotní a sociální péče</w:t>
            </w:r>
          </w:p>
          <w:p w14:paraId="472B255B" w14:textId="77777777" w:rsidR="00DD3EFA" w:rsidRPr="005A0E7C" w:rsidRDefault="00DD3EFA" w:rsidP="00391907">
            <w:pPr>
              <w:pStyle w:val="Odstavecseseznamem"/>
              <w:numPr>
                <w:ilvl w:val="0"/>
                <w:numId w:val="31"/>
              </w:numPr>
              <w:spacing w:before="60" w:after="60"/>
              <w:jc w:val="both"/>
              <w:rPr>
                <w:i/>
              </w:rPr>
            </w:pPr>
            <w:r w:rsidRPr="005A0E7C">
              <w:rPr>
                <w:i/>
              </w:rPr>
              <w:t>Věda a výzkum v oblasti zdravotnictví (oblast bude řešena v kartě zaměřené na vědu a výzkum)</w:t>
            </w:r>
          </w:p>
          <w:p w14:paraId="5D44EDD2" w14:textId="77777777" w:rsidR="00DD3EFA" w:rsidRPr="005A0E7C" w:rsidRDefault="00DD3EFA" w:rsidP="00391907">
            <w:pPr>
              <w:pStyle w:val="Odstavecseseznamem"/>
              <w:numPr>
                <w:ilvl w:val="0"/>
                <w:numId w:val="31"/>
              </w:numPr>
              <w:spacing w:before="60" w:after="60"/>
              <w:jc w:val="both"/>
            </w:pPr>
            <w:r w:rsidRPr="005A0E7C">
              <w:t xml:space="preserve">Digitalizace zdravotnictví </w:t>
            </w:r>
          </w:p>
          <w:p w14:paraId="3864825B" w14:textId="77777777" w:rsidR="00DD3EFA" w:rsidRPr="005A0E7C" w:rsidRDefault="00DD3EFA" w:rsidP="00B15ECB">
            <w:pPr>
              <w:spacing w:before="60" w:after="60"/>
              <w:rPr>
                <w:b/>
              </w:rPr>
            </w:pPr>
            <w:r w:rsidRPr="005A0E7C">
              <w:rPr>
                <w:b/>
              </w:rPr>
              <w:t>Díky intervencím v těchto oblastech by mělo dojít k přesunu těžiště péče o zdraví z institucionálního prostředí nemocnic směrem ke komunitní péči a prevenci. Toto zajistí i zvýšení efektivnosti českého zdravotnictví s ohledem na předpokládaný růst potřeb vzhledem k demografickému stárnutí populace.</w:t>
            </w:r>
          </w:p>
          <w:p w14:paraId="02E9BA93" w14:textId="77777777" w:rsidR="00DD3EFA" w:rsidRPr="005A0E7C" w:rsidRDefault="00DD3EFA" w:rsidP="00B15ECB">
            <w:pPr>
              <w:spacing w:before="60" w:after="60"/>
              <w:rPr>
                <w:b/>
              </w:rPr>
            </w:pPr>
          </w:p>
          <w:p w14:paraId="5BA740E3" w14:textId="77777777" w:rsidR="00DD3EFA" w:rsidRPr="005A0E7C" w:rsidRDefault="00DD3EFA" w:rsidP="00B15ECB">
            <w:pPr>
              <w:spacing w:before="60" w:after="60"/>
            </w:pPr>
            <w:r w:rsidRPr="005A0E7C">
              <w:t xml:space="preserve">Konkrétně mohou být v jednotlivých prioritních oblastech stanoveny následující indikativní cíle: </w:t>
            </w:r>
          </w:p>
          <w:p w14:paraId="3A713A1B" w14:textId="77777777" w:rsidR="00DD3EFA" w:rsidRPr="005A0E7C" w:rsidRDefault="00DD3EFA" w:rsidP="00B15ECB">
            <w:pPr>
              <w:spacing w:before="60" w:after="60"/>
              <w:rPr>
                <w:b/>
              </w:rPr>
            </w:pPr>
            <w:r w:rsidRPr="005A0E7C">
              <w:rPr>
                <w:b/>
              </w:rPr>
              <w:t xml:space="preserve">Ad 1. Zlepšit životní styl obyvatel České republiky obecně a zlepšit životní styl vybraných sociálních skupin (např. lidí s nejnižším vzděláním apod.)  </w:t>
            </w:r>
          </w:p>
          <w:p w14:paraId="24CEEF08" w14:textId="77777777" w:rsidR="00DD3EFA" w:rsidRPr="005A0E7C" w:rsidRDefault="00DD3EFA" w:rsidP="00B15ECB">
            <w:pPr>
              <w:spacing w:before="60" w:after="60"/>
              <w:rPr>
                <w:b/>
              </w:rPr>
            </w:pPr>
            <w:r w:rsidRPr="005A0E7C">
              <w:rPr>
                <w:b/>
              </w:rPr>
              <w:t xml:space="preserve">Ad 2. Reformou primární péče přispět ke zlepšení zdravotního stavu obyvatel České republiky a ke zvýšení efektivnosti českého zdravotnictví. </w:t>
            </w:r>
          </w:p>
          <w:p w14:paraId="31B4DBDA" w14:textId="77777777" w:rsidR="00DD3EFA" w:rsidRPr="005A0E7C" w:rsidRDefault="00DD3EFA" w:rsidP="00B15ECB">
            <w:pPr>
              <w:spacing w:before="60" w:after="60"/>
              <w:rPr>
                <w:b/>
              </w:rPr>
            </w:pPr>
            <w:r w:rsidRPr="005A0E7C">
              <w:rPr>
                <w:b/>
              </w:rPr>
              <w:t xml:space="preserve">Ad 3. Personálně stabilizovat české zdravotnictví s ohledem na reálné potřeby jednotlivých typů péče a přizpůsobit systém vzdělání lékařských a nelékařských pracovníků a jeho řízení aktuálním trendům. </w:t>
            </w:r>
          </w:p>
          <w:p w14:paraId="0262FACA" w14:textId="77777777" w:rsidR="00DD3EFA" w:rsidRPr="005A0E7C" w:rsidRDefault="00DD3EFA" w:rsidP="00B15ECB">
            <w:pPr>
              <w:spacing w:before="60" w:after="60"/>
              <w:rPr>
                <w:b/>
                <w:highlight w:val="red"/>
              </w:rPr>
            </w:pPr>
            <w:r w:rsidRPr="005A0E7C">
              <w:rPr>
                <w:b/>
              </w:rPr>
              <w:t>Ad 4. Zvýšit dostupnost integrovaných zdravotně-sociálních služeb.</w:t>
            </w:r>
          </w:p>
          <w:p w14:paraId="2A3BBA87" w14:textId="77777777" w:rsidR="00DD3EFA" w:rsidRPr="005A0E7C" w:rsidRDefault="00DD3EFA" w:rsidP="00B15ECB">
            <w:pPr>
              <w:spacing w:before="60" w:after="60"/>
              <w:rPr>
                <w:b/>
                <w:i/>
              </w:rPr>
            </w:pPr>
            <w:r w:rsidRPr="005A0E7C">
              <w:rPr>
                <w:b/>
                <w:i/>
              </w:rPr>
              <w:t>Ad 5. Oblast bude řešena v individuální kartě zaměřené na vědu a výzkum.</w:t>
            </w:r>
          </w:p>
          <w:p w14:paraId="506F87CA" w14:textId="77777777" w:rsidR="00DD3EFA" w:rsidRPr="005A0E7C" w:rsidRDefault="00DD3EFA" w:rsidP="00B15ECB">
            <w:pPr>
              <w:spacing w:before="60" w:after="60"/>
              <w:rPr>
                <w:b/>
              </w:rPr>
            </w:pPr>
            <w:r w:rsidRPr="005A0E7C">
              <w:rPr>
                <w:b/>
              </w:rPr>
              <w:t xml:space="preserve">Ad 6. Podpořit reformu zdravotních služeb a přístup k nim, rozvoj zdravotní gramotnosti občanů a vytvoření digitálních nástrojů pro standardizaci prostředí prostřednictvím elektronického zdravotnictví. </w:t>
            </w:r>
          </w:p>
          <w:p w14:paraId="61B92A72" w14:textId="77777777" w:rsidR="00DD3EFA" w:rsidRPr="005A0E7C" w:rsidRDefault="00DD3EFA" w:rsidP="00B15ECB">
            <w:pPr>
              <w:spacing w:before="60" w:after="60"/>
              <w:rPr>
                <w:b/>
              </w:rPr>
            </w:pPr>
            <w:r w:rsidRPr="005A0E7C">
              <w:rPr>
                <w:b/>
              </w:rPr>
              <w:t xml:space="preserve"> </w:t>
            </w:r>
          </w:p>
          <w:p w14:paraId="179E3DFE" w14:textId="77777777" w:rsidR="00DD3EFA" w:rsidRPr="005A0E7C" w:rsidRDefault="00DD3EFA" w:rsidP="00B15ECB">
            <w:pPr>
              <w:spacing w:before="60" w:after="60"/>
            </w:pPr>
            <w:r w:rsidRPr="005A0E7C">
              <w:t xml:space="preserve">Uvedené cíle jsou v souladu s cíli Implementačního plánu Strategického rámce Česká republika v rámci cíle 5. </w:t>
            </w:r>
            <w:r w:rsidRPr="005A0E7C">
              <w:rPr>
                <w:b/>
              </w:rPr>
              <w:t xml:space="preserve">Zdraví všech skupin obyvatel se zlepšuje. </w:t>
            </w:r>
            <w:r w:rsidRPr="005A0E7C">
              <w:t>V rámci tohoto strategického cíle jsou</w:t>
            </w:r>
            <w:r w:rsidRPr="005A0E7C">
              <w:rPr>
                <w:b/>
              </w:rPr>
              <w:t xml:space="preserve"> </w:t>
            </w:r>
            <w:r w:rsidRPr="005A0E7C">
              <w:t xml:space="preserve">stanoveny následující dílčí cíle:  </w:t>
            </w:r>
          </w:p>
          <w:p w14:paraId="2CBD064D" w14:textId="77777777" w:rsidR="00DD3EFA" w:rsidRPr="005A0E7C" w:rsidRDefault="00DD3EFA" w:rsidP="00B15ECB">
            <w:pPr>
              <w:spacing w:before="60" w:after="60"/>
              <w:rPr>
                <w:i/>
              </w:rPr>
            </w:pPr>
            <w:r w:rsidRPr="005A0E7C">
              <w:rPr>
                <w:i/>
              </w:rPr>
              <w:t>5.1 Zvyšuje se délka života ve zdraví u všech skupin obyvatel České republiky.</w:t>
            </w:r>
          </w:p>
          <w:p w14:paraId="6AA78752" w14:textId="77777777" w:rsidR="00DD3EFA" w:rsidRPr="005A0E7C" w:rsidRDefault="00DD3EFA" w:rsidP="00B15ECB">
            <w:pPr>
              <w:spacing w:before="60" w:after="60"/>
              <w:rPr>
                <w:i/>
              </w:rPr>
            </w:pPr>
            <w:r w:rsidRPr="005A0E7C">
              <w:rPr>
                <w:i/>
              </w:rPr>
              <w:t>5.2 Snižují se vlivy způsobující nerovnosti v oblasti zdraví.</w:t>
            </w:r>
          </w:p>
          <w:p w14:paraId="37FF3C57" w14:textId="77777777" w:rsidR="00DD3EFA" w:rsidRPr="005A0E7C" w:rsidRDefault="00DD3EFA" w:rsidP="00B15ECB">
            <w:pPr>
              <w:spacing w:before="60" w:after="60"/>
              <w:rPr>
                <w:i/>
              </w:rPr>
            </w:pPr>
            <w:r w:rsidRPr="005A0E7C">
              <w:rPr>
                <w:i/>
              </w:rPr>
              <w:t>5.3 Systém veřejného zdravotnictví je stabilní, všeobecně dostupný co do kvality i kapacity a současně se rozvíjí odpovídající profesní struktura. Věkový průměr lékařského i nelékařského personálu se snižuje a zlepšuje se ohodnocení všech pracovníků ve zdravotnictví.</w:t>
            </w:r>
          </w:p>
          <w:p w14:paraId="55BAB07E" w14:textId="77777777" w:rsidR="00DD3EFA" w:rsidRPr="005A0E7C" w:rsidRDefault="00DD3EFA" w:rsidP="00B15ECB">
            <w:pPr>
              <w:spacing w:before="60" w:after="60"/>
              <w:rPr>
                <w:i/>
              </w:rPr>
            </w:pPr>
            <w:r w:rsidRPr="005A0E7C">
              <w:rPr>
                <w:i/>
              </w:rPr>
              <w:t>5.4 Zdravý životní styl je podporován prostřednictvím vyšších veřejných výdajů s důrazem na primární prevenci nemocí a podporu zdraví v průběhu celého života.</w:t>
            </w:r>
          </w:p>
          <w:p w14:paraId="7611B846" w14:textId="77777777" w:rsidR="00DD3EFA" w:rsidRPr="005A0E7C" w:rsidRDefault="00DD3EFA" w:rsidP="00B15ECB">
            <w:pPr>
              <w:spacing w:before="60" w:after="60"/>
            </w:pPr>
            <w:r w:rsidRPr="005A0E7C">
              <w:rPr>
                <w:i/>
              </w:rPr>
              <w:t>5.5 Snižuje se konzumace návykových látek i zátěž obyvatel zdravotně rizikovými látkami a hlukem prostřednictvím lepší kvality životního prostředí. Příslušné limity škodlivých látek a hluku nejsou překračovány</w:t>
            </w:r>
            <w:r w:rsidRPr="005A0E7C">
              <w:t>.</w:t>
            </w:r>
          </w:p>
          <w:p w14:paraId="20D741DA" w14:textId="77777777" w:rsidR="00DD3EFA" w:rsidRPr="005A0E7C" w:rsidRDefault="00DD3EFA" w:rsidP="00B15ECB">
            <w:pPr>
              <w:spacing w:before="60" w:after="60"/>
              <w:rPr>
                <w:rFonts w:eastAsiaTheme="majorEastAsia"/>
                <w:b/>
              </w:rPr>
            </w:pPr>
            <w:r w:rsidRPr="005A0E7C">
              <w:rPr>
                <w:rFonts w:eastAsiaTheme="majorEastAsia"/>
              </w:rPr>
              <w:t xml:space="preserve">Další relevantní specifický cíl je pak stanoven v rámci strategického cíle 11 </w:t>
            </w:r>
            <w:r w:rsidRPr="005A0E7C">
              <w:rPr>
                <w:rFonts w:eastAsiaTheme="majorEastAsia"/>
                <w:b/>
              </w:rPr>
              <w:t xml:space="preserve">Fiskální systém jako předpoklad úspěšného hospodářství je stabilní: </w:t>
            </w:r>
          </w:p>
          <w:p w14:paraId="7D061BBD" w14:textId="77777777" w:rsidR="00DD3EFA" w:rsidRPr="005A0E7C" w:rsidRDefault="00DD3EFA" w:rsidP="00B15ECB">
            <w:pPr>
              <w:spacing w:before="60" w:after="60"/>
              <w:rPr>
                <w:rFonts w:eastAsiaTheme="majorEastAsia"/>
                <w:i/>
                <w:u w:val="single"/>
              </w:rPr>
            </w:pPr>
            <w:r w:rsidRPr="005A0E7C">
              <w:rPr>
                <w:rFonts w:eastAsiaTheme="majorEastAsia"/>
                <w:i/>
              </w:rPr>
              <w:t>11.2 Zvyšuje se efektivita vynakládání veřejných prostředků ve vybraných veřejných politikách (zdravotnictví, vzdělávání, vědě a výzkumu a dalších).</w:t>
            </w:r>
            <w:r w:rsidRPr="005A0E7C">
              <w:rPr>
                <w:rFonts w:eastAsiaTheme="majorEastAsia"/>
                <w:i/>
                <w:u w:val="single"/>
              </w:rPr>
              <w:t xml:space="preserve"> </w:t>
            </w:r>
          </w:p>
        </w:tc>
        <w:tc>
          <w:tcPr>
            <w:tcW w:w="138" w:type="pct"/>
            <w:tcBorders>
              <w:top w:val="nil"/>
              <w:bottom w:val="nil"/>
            </w:tcBorders>
            <w:shd w:val="clear" w:color="auto" w:fill="66CCFF"/>
          </w:tcPr>
          <w:p w14:paraId="6E630FCD" w14:textId="77777777" w:rsidR="00DD3EFA" w:rsidRPr="005A0E7C" w:rsidRDefault="00DD3EFA" w:rsidP="00B15ECB">
            <w:pPr>
              <w:rPr>
                <w:b/>
              </w:rPr>
            </w:pPr>
          </w:p>
        </w:tc>
      </w:tr>
      <w:tr w:rsidR="00DD3EFA" w:rsidRPr="005A0E7C" w14:paraId="5E6B610C" w14:textId="77777777" w:rsidTr="00B15ECB">
        <w:trPr>
          <w:trHeight w:val="1274"/>
        </w:trPr>
        <w:tc>
          <w:tcPr>
            <w:tcW w:w="138" w:type="pct"/>
            <w:tcBorders>
              <w:top w:val="nil"/>
              <w:bottom w:val="nil"/>
            </w:tcBorders>
            <w:shd w:val="clear" w:color="auto" w:fill="66CCFF"/>
          </w:tcPr>
          <w:p w14:paraId="76495C8F"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7770BFB3"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3B7729A4"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3312" w:type="pct"/>
            <w:tcBorders>
              <w:bottom w:val="single" w:sz="4" w:space="0" w:color="auto"/>
            </w:tcBorders>
            <w:shd w:val="clear" w:color="auto" w:fill="FFFFFF" w:themeFill="background1"/>
          </w:tcPr>
          <w:p w14:paraId="65855CE8" w14:textId="77777777" w:rsidR="00DD3EFA" w:rsidRPr="005A0E7C" w:rsidRDefault="00DD3EFA" w:rsidP="00B15ECB">
            <w:pPr>
              <w:spacing w:before="60" w:after="60"/>
            </w:pPr>
            <w:r w:rsidRPr="005A0E7C">
              <w:t>Obecně budou dopady měřeny pomocí vládou ČR schválených indikátorů Strategického rámce ČR 2030 (Příloha č. 1 Indikátory ke specifickým cílům strategického rámce Česká republika 2030, strategický cíl č. 5 – Zdraví všech skupin obyvatel se zlepšuje):</w:t>
            </w:r>
          </w:p>
          <w:p w14:paraId="484A1270" w14:textId="77777777" w:rsidR="00DD3EFA" w:rsidRPr="005A0E7C" w:rsidRDefault="00DD3EFA" w:rsidP="00B15ECB">
            <w:pPr>
              <w:spacing w:before="60" w:after="60"/>
              <w:rPr>
                <w:i/>
              </w:rPr>
            </w:pPr>
            <w:r w:rsidRPr="005A0E7C">
              <w:rPr>
                <w:i/>
              </w:rPr>
              <w:t>5.1.1 Naděje dožití – střední délka života při narození a ve věku 65 let</w:t>
            </w:r>
          </w:p>
          <w:p w14:paraId="5CB22A94" w14:textId="77777777" w:rsidR="00DD3EFA" w:rsidRPr="005A0E7C" w:rsidRDefault="00DD3EFA" w:rsidP="00B15ECB">
            <w:pPr>
              <w:spacing w:before="60" w:after="60"/>
              <w:rPr>
                <w:i/>
              </w:rPr>
            </w:pPr>
            <w:r w:rsidRPr="005A0E7C">
              <w:rPr>
                <w:i/>
              </w:rPr>
              <w:t>5.1.2 Délka života ve zdraví (Healthy life years) při narození a ve věku 65 let</w:t>
            </w:r>
          </w:p>
          <w:p w14:paraId="3A184C14" w14:textId="77777777" w:rsidR="00DD3EFA" w:rsidRPr="005A0E7C" w:rsidRDefault="00DD3EFA" w:rsidP="00B15ECB">
            <w:pPr>
              <w:spacing w:before="60" w:after="60"/>
              <w:rPr>
                <w:i/>
              </w:rPr>
            </w:pPr>
            <w:r w:rsidRPr="005A0E7C">
              <w:rPr>
                <w:i/>
              </w:rPr>
              <w:t>5.2.1 Dlouhodobé omezení aktivit</w:t>
            </w:r>
          </w:p>
          <w:p w14:paraId="512B6CB6" w14:textId="77777777" w:rsidR="00DD3EFA" w:rsidRPr="005A0E7C" w:rsidRDefault="00DD3EFA" w:rsidP="00B15ECB">
            <w:pPr>
              <w:spacing w:before="60" w:after="60"/>
              <w:rPr>
                <w:i/>
              </w:rPr>
            </w:pPr>
            <w:r w:rsidRPr="005A0E7C">
              <w:rPr>
                <w:i/>
              </w:rPr>
              <w:t>5.3.1 Věková struktura lékařských a nelékařských pracovníků ve zdravotnictví dle jednotlivých specializací</w:t>
            </w:r>
          </w:p>
          <w:p w14:paraId="09F66CF8" w14:textId="77777777" w:rsidR="00DD3EFA" w:rsidRPr="005A0E7C" w:rsidRDefault="00DD3EFA" w:rsidP="00B15ECB">
            <w:pPr>
              <w:spacing w:before="60" w:after="60"/>
              <w:rPr>
                <w:i/>
              </w:rPr>
            </w:pPr>
            <w:r w:rsidRPr="005A0E7C">
              <w:rPr>
                <w:i/>
              </w:rPr>
              <w:t>5.3.2 Průměrný a mediánový plat/mzda lékařských a nelékařských pracovníků ve zdravotnictví</w:t>
            </w:r>
          </w:p>
          <w:p w14:paraId="4DBF1A51" w14:textId="77777777" w:rsidR="00DD3EFA" w:rsidRPr="005A0E7C" w:rsidRDefault="00DD3EFA" w:rsidP="00B15ECB">
            <w:pPr>
              <w:spacing w:before="60" w:after="60"/>
              <w:rPr>
                <w:i/>
              </w:rPr>
            </w:pPr>
            <w:r w:rsidRPr="005A0E7C">
              <w:rPr>
                <w:i/>
              </w:rPr>
              <w:t>5.3.3 Počet lékařů a nelékařů na 1.000 obyvatel</w:t>
            </w:r>
          </w:p>
          <w:p w14:paraId="3761866B" w14:textId="77777777" w:rsidR="00DD3EFA" w:rsidRPr="005A0E7C" w:rsidRDefault="00DD3EFA" w:rsidP="00B15ECB">
            <w:pPr>
              <w:spacing w:before="60" w:after="60"/>
              <w:rPr>
                <w:i/>
              </w:rPr>
            </w:pPr>
            <w:r w:rsidRPr="005A0E7C">
              <w:rPr>
                <w:i/>
              </w:rPr>
              <w:t>5.3.4 Neuspokojená potřeba lékařské péče v posledních 12 měsících podle důvodu</w:t>
            </w:r>
          </w:p>
          <w:p w14:paraId="336E8D6A" w14:textId="77777777" w:rsidR="00DD3EFA" w:rsidRPr="005A0E7C" w:rsidRDefault="00DD3EFA" w:rsidP="00B15ECB">
            <w:pPr>
              <w:spacing w:before="60" w:after="60"/>
              <w:rPr>
                <w:i/>
              </w:rPr>
            </w:pPr>
            <w:r w:rsidRPr="005A0E7C">
              <w:rPr>
                <w:i/>
              </w:rPr>
              <w:t>5.3.5 Přežití pacientů s nádorovým onemocněním</w:t>
            </w:r>
          </w:p>
          <w:p w14:paraId="3333ED7B" w14:textId="77777777" w:rsidR="00DD3EFA" w:rsidRPr="005A0E7C" w:rsidRDefault="00DD3EFA" w:rsidP="00B15ECB">
            <w:pPr>
              <w:spacing w:before="60" w:after="60"/>
              <w:rPr>
                <w:i/>
              </w:rPr>
            </w:pPr>
            <w:r w:rsidRPr="005A0E7C">
              <w:rPr>
                <w:i/>
              </w:rPr>
              <w:t>5.4.1 Veřejné výdaje na prevenci nemocí (primární i sekundární) a podporu zdraví v absolutním vyjádření a jako podíl na veřejných výdajích na zdravotnictví celkem</w:t>
            </w:r>
          </w:p>
          <w:p w14:paraId="6A2A5695" w14:textId="77777777" w:rsidR="00DD3EFA" w:rsidRPr="005A0E7C" w:rsidRDefault="00DD3EFA" w:rsidP="00B15ECB">
            <w:pPr>
              <w:spacing w:before="60" w:after="60"/>
              <w:rPr>
                <w:i/>
              </w:rPr>
            </w:pPr>
            <w:r w:rsidRPr="005A0E7C">
              <w:rPr>
                <w:i/>
              </w:rPr>
              <w:t>5.5.1 Podíl osob s rizikovou konzumací alkoholu</w:t>
            </w:r>
          </w:p>
          <w:p w14:paraId="7548763B" w14:textId="77777777" w:rsidR="00DD3EFA" w:rsidRPr="005A0E7C" w:rsidRDefault="00DD3EFA" w:rsidP="00B15ECB">
            <w:pPr>
              <w:spacing w:before="60" w:after="60"/>
              <w:rPr>
                <w:i/>
              </w:rPr>
            </w:pPr>
            <w:r w:rsidRPr="005A0E7C">
              <w:rPr>
                <w:i/>
              </w:rPr>
              <w:t>5.5.2 Podíl denních kuřáků</w:t>
            </w:r>
          </w:p>
          <w:p w14:paraId="77ECA90B" w14:textId="77777777" w:rsidR="00DD3EFA" w:rsidRPr="005A0E7C" w:rsidRDefault="00DD3EFA" w:rsidP="00B15ECB">
            <w:pPr>
              <w:spacing w:before="60" w:after="60"/>
            </w:pPr>
          </w:p>
          <w:p w14:paraId="4D1E15B0" w14:textId="77777777" w:rsidR="00DD3EFA" w:rsidRPr="005A0E7C" w:rsidRDefault="00DD3EFA" w:rsidP="00B15ECB">
            <w:pPr>
              <w:spacing w:before="60" w:after="60"/>
            </w:pPr>
            <w:r w:rsidRPr="005A0E7C">
              <w:t xml:space="preserve">Většina těchto ukazatelů se rovněž objevuje v sadě Indikátorů kvality života v ČR pro oblast zdraví. </w:t>
            </w:r>
          </w:p>
          <w:p w14:paraId="1632E32C" w14:textId="77777777" w:rsidR="00DD3EFA" w:rsidRPr="005A0E7C" w:rsidRDefault="00DD3EFA" w:rsidP="00B15ECB">
            <w:pPr>
              <w:spacing w:before="60" w:after="60"/>
            </w:pPr>
          </w:p>
          <w:p w14:paraId="3941C77B" w14:textId="77777777" w:rsidR="00DD3EFA" w:rsidRPr="005A0E7C" w:rsidRDefault="00DD3EFA" w:rsidP="00B15ECB">
            <w:pPr>
              <w:spacing w:before="60" w:after="60"/>
            </w:pPr>
            <w:r w:rsidRPr="005A0E7C">
              <w:t xml:space="preserve">Z makroekonomického pohledu povedou intervence ve zvolených oblastech k dosažení jednoho ze základních předpokladů rozvoje – tj. zajištění zdravé pracovní síly. Zároveň z pohledu sociálních aspektů povedou intervence ke snižování sociálních rozdílů a k větší soudržnosti společnosti. Z pohledu územní soudržnosti pak představují zdravotní služby jednu ze základních veřejných služeb v území, která je nutnou podmínkou regionální rozvoje a to zejména v periferních územích. </w:t>
            </w:r>
          </w:p>
          <w:p w14:paraId="2B8E91E0" w14:textId="77777777" w:rsidR="00DD3EFA" w:rsidRPr="005A0E7C" w:rsidRDefault="00DD3EFA" w:rsidP="00B15ECB">
            <w:pPr>
              <w:spacing w:before="60" w:after="60"/>
            </w:pPr>
            <w:r w:rsidRPr="005A0E7C">
              <w:rPr>
                <w:shd w:val="clear" w:color="auto" w:fill="FFFFFF" w:themeFill="background1"/>
              </w:rPr>
              <w:t>Z pohledu dopadů v rámci dané oblasti je nutné rozlišit dva základní</w:t>
            </w:r>
            <w:r w:rsidRPr="005A0E7C">
              <w:t xml:space="preserve"> dopady:</w:t>
            </w:r>
          </w:p>
          <w:p w14:paraId="177F1033" w14:textId="77777777" w:rsidR="00DD3EFA" w:rsidRPr="005A0E7C" w:rsidRDefault="00DD3EFA" w:rsidP="00391907">
            <w:pPr>
              <w:pStyle w:val="Odstavecseseznamem"/>
              <w:numPr>
                <w:ilvl w:val="0"/>
                <w:numId w:val="32"/>
              </w:numPr>
              <w:spacing w:before="60" w:after="60"/>
              <w:jc w:val="both"/>
            </w:pPr>
            <w:r w:rsidRPr="005A0E7C">
              <w:t xml:space="preserve">Zlepšení zdravotního stavu obyvatel. Jako základní ukazatel lze využít střední délku života při narození či délku života prožitou ve zdraví, případně podíl let prožitých ve zdraví na očekávané délce života (viz výše uvedené indikátory). Srovnání se státy EU představuje následující graf. Kromě objektivních výsledků tj. dopadů na úmrtnost obyvatel, je možné rovněž využít ukazatel Subjektivní zdravotní stav obyvatel. </w:t>
            </w:r>
          </w:p>
          <w:p w14:paraId="009D357F"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szCs w:val="20"/>
                <w:lang w:val="cs-CZ"/>
              </w:rPr>
              <w:drawing>
                <wp:inline distT="0" distB="0" distL="0" distR="0" wp14:anchorId="7BDA7C61" wp14:editId="07E29C43">
                  <wp:extent cx="3817328" cy="2489812"/>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7375" cy="2489843"/>
                          </a:xfrm>
                          <a:prstGeom prst="rect">
                            <a:avLst/>
                          </a:prstGeom>
                          <a:noFill/>
                          <a:ln>
                            <a:noFill/>
                          </a:ln>
                        </pic:spPr>
                      </pic:pic>
                    </a:graphicData>
                  </a:graphic>
                </wp:inline>
              </w:drawing>
            </w:r>
            <w:r w:rsidRPr="005A0E7C">
              <w:rPr>
                <w:rFonts w:ascii="Times New Roman" w:hAnsi="Times New Roman"/>
                <w:i/>
                <w:noProof w:val="0"/>
                <w:szCs w:val="20"/>
                <w:lang w:val="cs-CZ"/>
              </w:rPr>
              <w:t>Zdroj: OECD: Health at a Glance 2018</w:t>
            </w:r>
          </w:p>
          <w:p w14:paraId="2A19E8C2" w14:textId="77777777" w:rsidR="00DD3EFA" w:rsidRPr="005A0E7C" w:rsidRDefault="00DD3EFA" w:rsidP="00391907">
            <w:pPr>
              <w:pStyle w:val="Odstavecseseznamem"/>
              <w:numPr>
                <w:ilvl w:val="0"/>
                <w:numId w:val="32"/>
              </w:numPr>
              <w:spacing w:before="60" w:after="60"/>
              <w:jc w:val="both"/>
            </w:pPr>
            <w:r w:rsidRPr="005A0E7C">
              <w:t>Zvýšení efektivity českého zdravotnictví. OECD ve svém dokumentu „Health at a Glance 2018“ uvádí míru odvratitelné úmrtnosti jako základní ukazatel pro posouzení účinnosti zdravotnictví a systému zdravotní péče při snižování předčasné úmrtnosti způsobené nemocemi nebo zraněními.</w:t>
            </w:r>
          </w:p>
          <w:p w14:paraId="3F0326FB" w14:textId="77777777" w:rsidR="00DD3EFA" w:rsidRPr="005A0E7C" w:rsidRDefault="00DD3EFA" w:rsidP="00B15ECB">
            <w:pPr>
              <w:spacing w:before="60" w:after="60"/>
            </w:pPr>
            <w:r w:rsidRPr="005A0E7C">
              <w:rPr>
                <w:noProof/>
                <w:lang w:eastAsia="cs-CZ"/>
              </w:rPr>
              <w:drawing>
                <wp:inline distT="0" distB="0" distL="0" distR="0" wp14:anchorId="1B91761B" wp14:editId="366CB364">
                  <wp:extent cx="3764280" cy="244602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4280" cy="2446020"/>
                          </a:xfrm>
                          <a:prstGeom prst="rect">
                            <a:avLst/>
                          </a:prstGeom>
                          <a:noFill/>
                          <a:ln>
                            <a:noFill/>
                          </a:ln>
                        </pic:spPr>
                      </pic:pic>
                    </a:graphicData>
                  </a:graphic>
                </wp:inline>
              </w:drawing>
            </w:r>
          </w:p>
          <w:p w14:paraId="76FB3B9E"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2018</w:t>
            </w:r>
          </w:p>
          <w:p w14:paraId="1F2B090C" w14:textId="77777777" w:rsidR="00DD3EFA" w:rsidRPr="005A0E7C" w:rsidRDefault="00DD3EFA" w:rsidP="00B15ECB">
            <w:pPr>
              <w:spacing w:before="60" w:after="60"/>
            </w:pPr>
            <w:r w:rsidRPr="005A0E7C">
              <w:t xml:space="preserve">Na úrovni očekávaných výsledků můžeme rozlišovat dle jednotlivých priorit: </w:t>
            </w:r>
          </w:p>
          <w:p w14:paraId="5106D385" w14:textId="77777777" w:rsidR="00DD3EFA" w:rsidRPr="005A0E7C" w:rsidRDefault="00DD3EFA" w:rsidP="00B15ECB">
            <w:pPr>
              <w:spacing w:before="60" w:after="60"/>
              <w:ind w:firstLine="708"/>
            </w:pPr>
          </w:p>
          <w:p w14:paraId="0DED7E12" w14:textId="77777777" w:rsidR="00DD3EFA" w:rsidRPr="005A0E7C" w:rsidRDefault="00DD3EFA" w:rsidP="00391907">
            <w:pPr>
              <w:pStyle w:val="Odstavecseseznamem"/>
              <w:numPr>
                <w:ilvl w:val="0"/>
                <w:numId w:val="33"/>
              </w:numPr>
              <w:spacing w:before="60" w:after="60"/>
              <w:jc w:val="both"/>
            </w:pPr>
            <w:r w:rsidRPr="005A0E7C">
              <w:t>Prevence a zvyšování zdravotní gramotnosti, zvyšování motivace občanů k vlastnímu zdraví</w:t>
            </w:r>
          </w:p>
          <w:p w14:paraId="6B0A2977" w14:textId="77777777" w:rsidR="00DD3EFA" w:rsidRPr="005A0E7C" w:rsidRDefault="00DD3EFA" w:rsidP="00391907">
            <w:pPr>
              <w:pStyle w:val="Odstavecseseznamem"/>
              <w:numPr>
                <w:ilvl w:val="0"/>
                <w:numId w:val="34"/>
              </w:numPr>
              <w:spacing w:before="60" w:after="60"/>
              <w:jc w:val="both"/>
            </w:pPr>
            <w:r w:rsidRPr="005A0E7C">
              <w:t xml:space="preserve">Zvýšení podílu obyvatel využívajících pravidelné preventivní prohlídky </w:t>
            </w:r>
          </w:p>
          <w:p w14:paraId="7FE5AB85" w14:textId="77777777" w:rsidR="00DD3EFA" w:rsidRPr="005A0E7C" w:rsidRDefault="00DD3EFA" w:rsidP="00391907">
            <w:pPr>
              <w:pStyle w:val="Odstavecseseznamem"/>
              <w:numPr>
                <w:ilvl w:val="0"/>
                <w:numId w:val="34"/>
              </w:numPr>
              <w:spacing w:before="60" w:after="60"/>
              <w:jc w:val="both"/>
            </w:pPr>
            <w:r w:rsidRPr="005A0E7C">
              <w:t xml:space="preserve">Zvýšení podílu obyvatel zapojených do jednotlivých screeningů </w:t>
            </w:r>
          </w:p>
          <w:p w14:paraId="28F1FFBC" w14:textId="77777777" w:rsidR="00DD3EFA" w:rsidRPr="005A0E7C" w:rsidRDefault="00DD3EFA" w:rsidP="00391907">
            <w:pPr>
              <w:pStyle w:val="Odstavecseseznamem"/>
              <w:numPr>
                <w:ilvl w:val="0"/>
                <w:numId w:val="34"/>
              </w:numPr>
              <w:spacing w:before="60" w:after="60"/>
              <w:jc w:val="both"/>
            </w:pPr>
            <w:r w:rsidRPr="005A0E7C">
              <w:t xml:space="preserve">Snížení </w:t>
            </w:r>
            <w:r w:rsidRPr="005A0E7C">
              <w:rPr>
                <w:rFonts w:eastAsiaTheme="majorEastAsia"/>
              </w:rPr>
              <w:t xml:space="preserve">rizikových faktorů chování – snížení obezity, snížení podílu kuřáků a zejména snížení spotřeby alkoholu (srovnání se státy EU viz následující graf) </w:t>
            </w:r>
          </w:p>
          <w:p w14:paraId="66EC90DB" w14:textId="77777777" w:rsidR="00DD3EFA" w:rsidRPr="005A0E7C" w:rsidRDefault="00DD3EFA" w:rsidP="00B15ECB">
            <w:pPr>
              <w:pStyle w:val="Odstavecseseznamem"/>
              <w:spacing w:before="60" w:after="60"/>
              <w:rPr>
                <w:rFonts w:eastAsiaTheme="majorEastAsia"/>
              </w:rPr>
            </w:pPr>
          </w:p>
          <w:p w14:paraId="1C7E1F4A" w14:textId="77777777" w:rsidR="00DD3EFA" w:rsidRPr="005A0E7C" w:rsidRDefault="00DD3EFA" w:rsidP="00B15ECB">
            <w:pPr>
              <w:pStyle w:val="Odstavecseseznamem"/>
              <w:spacing w:before="60" w:after="60"/>
              <w:ind w:left="-45"/>
            </w:pPr>
            <w:r w:rsidRPr="005A0E7C">
              <w:rPr>
                <w:noProof/>
                <w:lang w:eastAsia="cs-CZ"/>
              </w:rPr>
              <w:drawing>
                <wp:inline distT="0" distB="0" distL="0" distR="0" wp14:anchorId="032AC50B" wp14:editId="1AD5F5F0">
                  <wp:extent cx="3844886" cy="2008888"/>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9889" cy="2016727"/>
                          </a:xfrm>
                          <a:prstGeom prst="rect">
                            <a:avLst/>
                          </a:prstGeom>
                          <a:noFill/>
                          <a:ln>
                            <a:noFill/>
                          </a:ln>
                        </pic:spPr>
                      </pic:pic>
                    </a:graphicData>
                  </a:graphic>
                </wp:inline>
              </w:drawing>
            </w:r>
          </w:p>
          <w:p w14:paraId="2D832BC8"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2018</w:t>
            </w:r>
          </w:p>
          <w:p w14:paraId="1C335F97" w14:textId="77777777" w:rsidR="00DD3EFA" w:rsidRPr="005A0E7C" w:rsidRDefault="00DD3EFA" w:rsidP="00B15ECB">
            <w:pPr>
              <w:spacing w:before="60" w:after="60"/>
            </w:pPr>
          </w:p>
          <w:p w14:paraId="79E6E5B7" w14:textId="77777777" w:rsidR="00DD3EFA" w:rsidRPr="005A0E7C" w:rsidRDefault="00DD3EFA" w:rsidP="00391907">
            <w:pPr>
              <w:pStyle w:val="Odstavecseseznamem"/>
              <w:numPr>
                <w:ilvl w:val="0"/>
                <w:numId w:val="33"/>
              </w:numPr>
              <w:spacing w:before="60" w:after="60"/>
              <w:jc w:val="both"/>
            </w:pPr>
            <w:r w:rsidRPr="005A0E7C">
              <w:t>Reforma primární péče</w:t>
            </w:r>
          </w:p>
          <w:p w14:paraId="2A0790B9" w14:textId="77777777" w:rsidR="00DD3EFA" w:rsidRPr="005A0E7C" w:rsidRDefault="00DD3EFA" w:rsidP="00391907">
            <w:pPr>
              <w:pStyle w:val="Odstavecseseznamem"/>
              <w:numPr>
                <w:ilvl w:val="0"/>
                <w:numId w:val="34"/>
              </w:numPr>
              <w:spacing w:before="60" w:after="60"/>
              <w:jc w:val="both"/>
            </w:pPr>
            <w:r w:rsidRPr="005A0E7C">
              <w:t xml:space="preserve">Zvýšení podílu obyvatel využívajících pravidelné preventivní prohlídky </w:t>
            </w:r>
          </w:p>
          <w:p w14:paraId="7F47CAC4" w14:textId="77777777" w:rsidR="00DD3EFA" w:rsidRPr="005A0E7C" w:rsidRDefault="00DD3EFA" w:rsidP="00391907">
            <w:pPr>
              <w:pStyle w:val="Odstavecseseznamem"/>
              <w:numPr>
                <w:ilvl w:val="0"/>
                <w:numId w:val="34"/>
              </w:numPr>
              <w:spacing w:before="60" w:after="60"/>
              <w:jc w:val="both"/>
            </w:pPr>
            <w:r w:rsidRPr="005A0E7C">
              <w:t xml:space="preserve">Snížení počtu návštěv u lékaře (consultations) – srovnání se státy EU viz následující graf </w:t>
            </w:r>
          </w:p>
          <w:p w14:paraId="003ABEF0" w14:textId="77777777" w:rsidR="00DD3EFA" w:rsidRPr="005A0E7C" w:rsidRDefault="00DD3EFA" w:rsidP="00391907">
            <w:pPr>
              <w:pStyle w:val="Odstavecseseznamem"/>
              <w:numPr>
                <w:ilvl w:val="0"/>
                <w:numId w:val="34"/>
              </w:numPr>
              <w:spacing w:before="60" w:after="60"/>
              <w:jc w:val="both"/>
            </w:pPr>
            <w:r w:rsidRPr="005A0E7C">
              <w:t xml:space="preserve">Zvýšení dostupnosti primární péče – sdružené praxe </w:t>
            </w:r>
          </w:p>
          <w:p w14:paraId="68BBA8DE" w14:textId="77777777" w:rsidR="00DD3EFA" w:rsidRPr="005A0E7C" w:rsidRDefault="00DD3EFA" w:rsidP="00391907">
            <w:pPr>
              <w:pStyle w:val="Odstavecseseznamem"/>
              <w:numPr>
                <w:ilvl w:val="0"/>
                <w:numId w:val="34"/>
              </w:numPr>
              <w:spacing w:before="60" w:after="60"/>
              <w:jc w:val="both"/>
            </w:pPr>
            <w:r w:rsidRPr="005A0E7C">
              <w:t xml:space="preserve">Vybudování rovnoměrné sítě urgentních příjmů a pohotovostní služby (cca 1 pro každý okres), </w:t>
            </w:r>
          </w:p>
          <w:p w14:paraId="024A48E3" w14:textId="77777777" w:rsidR="00DD3EFA" w:rsidRPr="005A0E7C" w:rsidRDefault="00DD3EFA" w:rsidP="00391907">
            <w:pPr>
              <w:pStyle w:val="Odstavecseseznamem"/>
              <w:numPr>
                <w:ilvl w:val="0"/>
                <w:numId w:val="34"/>
              </w:numPr>
              <w:spacing w:before="60" w:after="60"/>
              <w:jc w:val="both"/>
            </w:pPr>
            <w:r w:rsidRPr="005A0E7C">
              <w:t>Zajištění návaznosti lékařské pohotovostní služby na urgentní příjmy, u vybraných poskytovatelů nízkoprahové urgentní příjmy</w:t>
            </w:r>
          </w:p>
          <w:p w14:paraId="76DACE1B" w14:textId="77777777" w:rsidR="00DD3EFA" w:rsidRPr="005A0E7C" w:rsidRDefault="00DD3EFA" w:rsidP="00391907">
            <w:pPr>
              <w:pStyle w:val="Odstavecseseznamem"/>
              <w:numPr>
                <w:ilvl w:val="0"/>
                <w:numId w:val="34"/>
              </w:numPr>
              <w:spacing w:before="60" w:after="60"/>
              <w:jc w:val="both"/>
            </w:pPr>
            <w:r w:rsidRPr="005A0E7C">
              <w:t>Zvýšení počtu ordinací praktických lékařů na venkově a v odlehlých oblastech</w:t>
            </w:r>
          </w:p>
          <w:p w14:paraId="4321D101" w14:textId="77777777" w:rsidR="00DD3EFA" w:rsidRPr="005A0E7C" w:rsidRDefault="00DD3EFA" w:rsidP="00391907">
            <w:pPr>
              <w:pStyle w:val="Odstavecseseznamem"/>
              <w:numPr>
                <w:ilvl w:val="0"/>
                <w:numId w:val="34"/>
              </w:numPr>
              <w:spacing w:before="60" w:after="60"/>
              <w:jc w:val="both"/>
            </w:pPr>
            <w:r w:rsidRPr="005A0E7C">
              <w:t>Zlepšení koordinace činnosti primární péče a služeb ambulantních specialistů</w:t>
            </w:r>
          </w:p>
          <w:p w14:paraId="035BF333" w14:textId="77777777" w:rsidR="00DD3EFA" w:rsidRPr="005A0E7C" w:rsidRDefault="00DD3EFA" w:rsidP="00B15ECB">
            <w:pPr>
              <w:pStyle w:val="Odstavecseseznamem"/>
              <w:spacing w:before="60" w:after="60"/>
            </w:pPr>
          </w:p>
          <w:p w14:paraId="798DAB37" w14:textId="77777777" w:rsidR="00DD3EFA" w:rsidRPr="005A0E7C" w:rsidRDefault="00DD3EFA" w:rsidP="00B15ECB">
            <w:pPr>
              <w:pStyle w:val="Odstavecseseznamem"/>
              <w:spacing w:before="60" w:after="60"/>
              <w:ind w:left="-45"/>
            </w:pPr>
            <w:r w:rsidRPr="005A0E7C">
              <w:rPr>
                <w:noProof/>
                <w:lang w:eastAsia="cs-CZ"/>
              </w:rPr>
              <w:drawing>
                <wp:inline distT="0" distB="0" distL="0" distR="0" wp14:anchorId="1D48C1D9" wp14:editId="0B415B28">
                  <wp:extent cx="4010140" cy="1574514"/>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8612" cy="1573914"/>
                          </a:xfrm>
                          <a:prstGeom prst="rect">
                            <a:avLst/>
                          </a:prstGeom>
                          <a:noFill/>
                          <a:ln>
                            <a:noFill/>
                          </a:ln>
                        </pic:spPr>
                      </pic:pic>
                    </a:graphicData>
                  </a:graphic>
                </wp:inline>
              </w:drawing>
            </w:r>
          </w:p>
          <w:p w14:paraId="4AEE45F4"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2018</w:t>
            </w:r>
          </w:p>
          <w:p w14:paraId="31FE8DEA" w14:textId="77777777" w:rsidR="00DD3EFA" w:rsidRPr="005A0E7C" w:rsidRDefault="00DD3EFA" w:rsidP="00B15ECB">
            <w:pPr>
              <w:spacing w:before="60" w:after="60"/>
            </w:pPr>
          </w:p>
          <w:p w14:paraId="0D970F8B" w14:textId="77777777" w:rsidR="00DD3EFA" w:rsidRPr="005A0E7C" w:rsidRDefault="00DD3EFA" w:rsidP="00391907">
            <w:pPr>
              <w:pStyle w:val="Odstavecseseznamem"/>
              <w:numPr>
                <w:ilvl w:val="0"/>
                <w:numId w:val="33"/>
              </w:numPr>
              <w:spacing w:before="60" w:after="60"/>
              <w:jc w:val="both"/>
            </w:pPr>
            <w:r w:rsidRPr="005A0E7C">
              <w:t xml:space="preserve">Personální stabilizace resortu zdravotnictví včetně přizpůsobení vzdělávání aktuálním potřebám </w:t>
            </w:r>
          </w:p>
          <w:p w14:paraId="773C108C" w14:textId="77777777" w:rsidR="00DD3EFA" w:rsidRPr="005A0E7C" w:rsidRDefault="00DD3EFA" w:rsidP="00B15ECB">
            <w:pPr>
              <w:pStyle w:val="Odstavecseseznamem"/>
              <w:spacing w:before="60" w:after="60"/>
              <w:ind w:left="970"/>
            </w:pPr>
          </w:p>
          <w:p w14:paraId="5653CEE2" w14:textId="77777777" w:rsidR="00DD3EFA" w:rsidRPr="005A0E7C" w:rsidRDefault="00DD3EFA" w:rsidP="00391907">
            <w:pPr>
              <w:pStyle w:val="Odstavecseseznamem"/>
              <w:numPr>
                <w:ilvl w:val="0"/>
                <w:numId w:val="34"/>
              </w:numPr>
              <w:spacing w:before="60" w:after="60"/>
              <w:jc w:val="both"/>
            </w:pPr>
            <w:r w:rsidRPr="005A0E7C">
              <w:t>Zlepšení průchodnosti postgraduálního vzdělávání zdravotnických pracovníků</w:t>
            </w:r>
          </w:p>
          <w:p w14:paraId="68349009" w14:textId="77777777" w:rsidR="00DD3EFA" w:rsidRPr="005A0E7C" w:rsidRDefault="00DD3EFA" w:rsidP="00391907">
            <w:pPr>
              <w:pStyle w:val="Odstavecseseznamem"/>
              <w:numPr>
                <w:ilvl w:val="0"/>
                <w:numId w:val="34"/>
              </w:numPr>
              <w:spacing w:before="60" w:after="60"/>
              <w:jc w:val="both"/>
            </w:pPr>
            <w:r w:rsidRPr="005A0E7C">
              <w:t xml:space="preserve">Snížení průměrného věku lékařů ve vybraných oborech </w:t>
            </w:r>
          </w:p>
          <w:p w14:paraId="4386A49A" w14:textId="77777777" w:rsidR="00DD3EFA" w:rsidRPr="005A0E7C" w:rsidRDefault="00DD3EFA" w:rsidP="00391907">
            <w:pPr>
              <w:pStyle w:val="Odstavecseseznamem"/>
              <w:numPr>
                <w:ilvl w:val="0"/>
                <w:numId w:val="34"/>
              </w:numPr>
              <w:spacing w:before="60" w:after="60"/>
              <w:jc w:val="both"/>
            </w:pPr>
            <w:r w:rsidRPr="005A0E7C">
              <w:t xml:space="preserve">Zvýšení podílu doporučených klinických postupů, kompetencí a vzdělávacích plánů přizpůsobených aktuálním podmínkám a rozvoji oboru </w:t>
            </w:r>
          </w:p>
          <w:p w14:paraId="1F65810A" w14:textId="77777777" w:rsidR="00DD3EFA" w:rsidRPr="005A0E7C" w:rsidRDefault="00DD3EFA" w:rsidP="00391907">
            <w:pPr>
              <w:pStyle w:val="Odstavecseseznamem"/>
              <w:numPr>
                <w:ilvl w:val="0"/>
                <w:numId w:val="34"/>
              </w:numPr>
              <w:spacing w:before="60" w:after="60"/>
              <w:jc w:val="both"/>
            </w:pPr>
            <w:r w:rsidRPr="005A0E7C">
              <w:t xml:space="preserve">Zvýšení počtu zdravotních sester v systému a zvýšení zájmu o povolání </w:t>
            </w:r>
          </w:p>
          <w:p w14:paraId="14140EFD" w14:textId="77777777" w:rsidR="00DD3EFA" w:rsidRPr="005A0E7C" w:rsidRDefault="00DD3EFA" w:rsidP="00B15ECB">
            <w:pPr>
              <w:spacing w:before="60" w:after="60"/>
            </w:pPr>
          </w:p>
          <w:p w14:paraId="608FB5C8" w14:textId="77777777" w:rsidR="00DD3EFA" w:rsidRPr="005A0E7C" w:rsidRDefault="00DD3EFA" w:rsidP="00391907">
            <w:pPr>
              <w:pStyle w:val="Odstavecseseznamem"/>
              <w:numPr>
                <w:ilvl w:val="0"/>
                <w:numId w:val="33"/>
              </w:numPr>
              <w:spacing w:before="60" w:after="60"/>
              <w:jc w:val="both"/>
            </w:pPr>
            <w:r w:rsidRPr="005A0E7C">
              <w:t>Integrace zdravotní a sociální péče</w:t>
            </w:r>
          </w:p>
          <w:p w14:paraId="043DAA81" w14:textId="77777777" w:rsidR="00DD3EFA" w:rsidRPr="005A0E7C" w:rsidRDefault="00DD3EFA" w:rsidP="00391907">
            <w:pPr>
              <w:pStyle w:val="Odstavecseseznamem"/>
              <w:numPr>
                <w:ilvl w:val="0"/>
                <w:numId w:val="35"/>
              </w:numPr>
              <w:spacing w:before="60" w:after="60"/>
              <w:jc w:val="both"/>
            </w:pPr>
            <w:r w:rsidRPr="005A0E7C">
              <w:t xml:space="preserve">Zvýšení dostupnosti integrovaných zdravotních a zdravotně-sociálních služeb </w:t>
            </w:r>
          </w:p>
          <w:p w14:paraId="4CC2B91B" w14:textId="77777777" w:rsidR="00DD3EFA" w:rsidRPr="005A0E7C" w:rsidRDefault="00DD3EFA" w:rsidP="00391907">
            <w:pPr>
              <w:pStyle w:val="Odstavecseseznamem"/>
              <w:numPr>
                <w:ilvl w:val="0"/>
                <w:numId w:val="35"/>
              </w:numPr>
              <w:spacing w:before="60" w:after="60"/>
              <w:jc w:val="both"/>
            </w:pPr>
            <w:r w:rsidRPr="005A0E7C">
              <w:t>Snížení počtu lůžek dlouhodobé péče o chronicky nemocné v sociálních a zdravotnických institucích (LDN, DOZP, Psychiatrické nemocnice atd.)</w:t>
            </w:r>
          </w:p>
          <w:p w14:paraId="65441B05" w14:textId="77777777" w:rsidR="00DD3EFA" w:rsidRPr="005A0E7C" w:rsidRDefault="00DD3EFA" w:rsidP="00391907">
            <w:pPr>
              <w:pStyle w:val="Odstavecseseznamem"/>
              <w:numPr>
                <w:ilvl w:val="0"/>
                <w:numId w:val="35"/>
              </w:numPr>
              <w:spacing w:before="60" w:after="60"/>
              <w:jc w:val="both"/>
            </w:pPr>
            <w:r w:rsidRPr="005A0E7C">
              <w:t>Zkrácení hospitalizací lidí s chronickými nemocemi ve zdravotnických zařízeních</w:t>
            </w:r>
          </w:p>
          <w:p w14:paraId="00CD8356" w14:textId="77777777" w:rsidR="00DD3EFA" w:rsidRPr="005A0E7C" w:rsidRDefault="00DD3EFA" w:rsidP="00391907">
            <w:pPr>
              <w:pStyle w:val="Odstavecseseznamem"/>
              <w:numPr>
                <w:ilvl w:val="0"/>
                <w:numId w:val="35"/>
              </w:numPr>
              <w:spacing w:before="60" w:after="60"/>
              <w:jc w:val="both"/>
            </w:pPr>
            <w:r w:rsidRPr="005A0E7C">
              <w:t>Zvýšení kvality života lidí s chronickými nemocemi</w:t>
            </w:r>
          </w:p>
          <w:p w14:paraId="673418A9" w14:textId="77777777" w:rsidR="00DD3EFA" w:rsidRPr="005A0E7C" w:rsidRDefault="00DD3EFA" w:rsidP="00391907">
            <w:pPr>
              <w:pStyle w:val="Odstavecseseznamem"/>
              <w:numPr>
                <w:ilvl w:val="0"/>
                <w:numId w:val="35"/>
              </w:numPr>
              <w:spacing w:before="60" w:after="60"/>
              <w:jc w:val="both"/>
            </w:pPr>
            <w:r w:rsidRPr="005A0E7C">
              <w:t>Vytvoření konsensuální strategie rozvoje zdravotně-sociální péče</w:t>
            </w:r>
          </w:p>
          <w:p w14:paraId="54A301DB" w14:textId="77777777" w:rsidR="00DD3EFA" w:rsidRPr="005A0E7C" w:rsidRDefault="00DD3EFA" w:rsidP="00391907">
            <w:pPr>
              <w:pStyle w:val="Odstavecseseznamem"/>
              <w:numPr>
                <w:ilvl w:val="0"/>
                <w:numId w:val="35"/>
              </w:numPr>
              <w:spacing w:before="60" w:after="60"/>
              <w:jc w:val="both"/>
            </w:pPr>
            <w:r w:rsidRPr="005A0E7C">
              <w:t>Vytvoření metodických materiálů pro fungování zdravotně-sociálních služeb</w:t>
            </w:r>
          </w:p>
          <w:p w14:paraId="0C8B1A89" w14:textId="77777777" w:rsidR="00DD3EFA" w:rsidRPr="005A0E7C" w:rsidRDefault="00DD3EFA" w:rsidP="00391907">
            <w:pPr>
              <w:pStyle w:val="Odstavecseseznamem"/>
              <w:numPr>
                <w:ilvl w:val="0"/>
                <w:numId w:val="35"/>
              </w:numPr>
              <w:spacing w:before="60" w:after="60"/>
              <w:jc w:val="both"/>
            </w:pPr>
            <w:r w:rsidRPr="005A0E7C">
              <w:t xml:space="preserve">Zvýšení počtu návštěv v domácím prostředí </w:t>
            </w:r>
          </w:p>
          <w:p w14:paraId="4F85A36E" w14:textId="77777777" w:rsidR="00DD3EFA" w:rsidRPr="005A0E7C" w:rsidRDefault="00DD3EFA" w:rsidP="00B15ECB">
            <w:pPr>
              <w:pStyle w:val="Odstavecseseznamem"/>
              <w:spacing w:before="60" w:after="60"/>
              <w:rPr>
                <w:i/>
                <w:highlight w:val="yellow"/>
              </w:rPr>
            </w:pPr>
          </w:p>
          <w:p w14:paraId="54DB8C80" w14:textId="77777777" w:rsidR="00DD3EFA" w:rsidRPr="005A0E7C" w:rsidRDefault="00DD3EFA" w:rsidP="00391907">
            <w:pPr>
              <w:pStyle w:val="Odstavecseseznamem"/>
              <w:numPr>
                <w:ilvl w:val="0"/>
                <w:numId w:val="33"/>
              </w:numPr>
              <w:spacing w:before="60" w:after="60"/>
              <w:jc w:val="both"/>
              <w:rPr>
                <w:i/>
              </w:rPr>
            </w:pPr>
            <w:r w:rsidRPr="005A0E7C">
              <w:rPr>
                <w:i/>
              </w:rPr>
              <w:t>Věda a výzkum v oblasti zdravotnictví</w:t>
            </w:r>
          </w:p>
          <w:p w14:paraId="05A9E6AA" w14:textId="77777777" w:rsidR="00DD3EFA" w:rsidRPr="005A0E7C" w:rsidRDefault="00DD3EFA" w:rsidP="00B15ECB">
            <w:pPr>
              <w:spacing w:before="60" w:after="60"/>
              <w:rPr>
                <w:rFonts w:eastAsiaTheme="majorEastAsia"/>
                <w:i/>
              </w:rPr>
            </w:pPr>
            <w:r w:rsidRPr="005A0E7C">
              <w:rPr>
                <w:rFonts w:eastAsiaTheme="majorEastAsia"/>
                <w:i/>
              </w:rPr>
              <w:t>Oblast bude řešena v individuální kartě</w:t>
            </w:r>
            <w:r w:rsidRPr="005A0E7C">
              <w:rPr>
                <w:i/>
              </w:rPr>
              <w:t xml:space="preserve"> </w:t>
            </w:r>
            <w:r w:rsidRPr="005A0E7C">
              <w:rPr>
                <w:rFonts w:eastAsiaTheme="majorEastAsia"/>
                <w:i/>
              </w:rPr>
              <w:t>zaměřené na vědu a výzkum.</w:t>
            </w:r>
          </w:p>
          <w:p w14:paraId="6202CB44" w14:textId="77777777" w:rsidR="00DD3EFA" w:rsidRPr="005A0E7C" w:rsidRDefault="00DD3EFA" w:rsidP="00B15ECB">
            <w:pPr>
              <w:pStyle w:val="Odstavecseseznamem"/>
              <w:spacing w:before="60" w:after="60"/>
            </w:pPr>
          </w:p>
          <w:p w14:paraId="203CE2CC" w14:textId="77777777" w:rsidR="00DD3EFA" w:rsidRPr="005A0E7C" w:rsidRDefault="00DD3EFA" w:rsidP="00391907">
            <w:pPr>
              <w:pStyle w:val="Odstavecseseznamem"/>
              <w:numPr>
                <w:ilvl w:val="0"/>
                <w:numId w:val="33"/>
              </w:numPr>
              <w:spacing w:before="60" w:after="60"/>
              <w:jc w:val="both"/>
            </w:pPr>
            <w:r w:rsidRPr="005A0E7C">
              <w:t xml:space="preserve">Digitalizace zdravotnictví </w:t>
            </w:r>
          </w:p>
          <w:p w14:paraId="5AD55F95" w14:textId="77777777" w:rsidR="00DD3EFA" w:rsidRPr="005A0E7C" w:rsidRDefault="00DD3EFA" w:rsidP="00391907">
            <w:pPr>
              <w:pStyle w:val="Odstavecseseznamem"/>
              <w:numPr>
                <w:ilvl w:val="0"/>
                <w:numId w:val="36"/>
              </w:numPr>
              <w:spacing w:before="60" w:after="60"/>
              <w:jc w:val="both"/>
            </w:pPr>
            <w:r w:rsidRPr="005A0E7C">
              <w:rPr>
                <w:rFonts w:eastAsiaTheme="majorEastAsia"/>
              </w:rPr>
              <w:t>Využití nových digitálních technologií a postupů v oblasti personalizované medicíny</w:t>
            </w:r>
          </w:p>
          <w:p w14:paraId="46C0CF2A" w14:textId="77777777" w:rsidR="00DD3EFA" w:rsidRPr="005A0E7C" w:rsidRDefault="00DD3EFA" w:rsidP="00391907">
            <w:pPr>
              <w:pStyle w:val="Odstavecseseznamem"/>
              <w:numPr>
                <w:ilvl w:val="0"/>
                <w:numId w:val="36"/>
              </w:numPr>
              <w:spacing w:before="60" w:after="60"/>
              <w:jc w:val="both"/>
            </w:pPr>
            <w:r w:rsidRPr="005A0E7C">
              <w:rPr>
                <w:rFonts w:eastAsiaTheme="majorEastAsia"/>
              </w:rPr>
              <w:t>Využití umělé inteligence ve zdravotnictví</w:t>
            </w:r>
          </w:p>
          <w:p w14:paraId="6DD857A5" w14:textId="77777777" w:rsidR="00DD3EFA" w:rsidRPr="005A0E7C" w:rsidRDefault="00DD3EFA" w:rsidP="00391907">
            <w:pPr>
              <w:pStyle w:val="Odstavecseseznamem"/>
              <w:numPr>
                <w:ilvl w:val="0"/>
                <w:numId w:val="36"/>
              </w:numPr>
              <w:spacing w:before="60" w:after="60"/>
              <w:jc w:val="both"/>
            </w:pPr>
            <w:r w:rsidRPr="005A0E7C">
              <w:rPr>
                <w:rFonts w:eastAsiaTheme="majorEastAsia"/>
              </w:rPr>
              <w:t>Praktické aplikace modelů bezpečného sdílení zdravotních záznamů včetně uplatnění technologie Blockchain, využití konceptů z oblasti Big Data</w:t>
            </w:r>
          </w:p>
          <w:p w14:paraId="1FA74988" w14:textId="77777777" w:rsidR="00DD3EFA" w:rsidRPr="005A0E7C" w:rsidRDefault="00DD3EFA" w:rsidP="00391907">
            <w:pPr>
              <w:pStyle w:val="Normlnweb"/>
              <w:numPr>
                <w:ilvl w:val="0"/>
                <w:numId w:val="39"/>
              </w:numPr>
              <w:ind w:left="664" w:hanging="283"/>
              <w:jc w:val="both"/>
              <w:rPr>
                <w:rFonts w:eastAsiaTheme="majorEastAsia"/>
                <w:noProof/>
                <w:sz w:val="20"/>
                <w:szCs w:val="20"/>
                <w:lang w:eastAsia="en-US"/>
              </w:rPr>
            </w:pPr>
            <w:r w:rsidRPr="005A0E7C">
              <w:rPr>
                <w:rFonts w:eastAsiaTheme="majorEastAsia"/>
                <w:sz w:val="20"/>
                <w:szCs w:val="20"/>
              </w:rPr>
              <w:t xml:space="preserve">Širší zapojení technologie mobilního zdravotnictví (mHealth) a telemedicíny </w:t>
            </w:r>
            <w:r w:rsidRPr="005A0E7C">
              <w:rPr>
                <w:rFonts w:eastAsiaTheme="majorEastAsia"/>
                <w:noProof/>
                <w:sz w:val="20"/>
                <w:szCs w:val="20"/>
                <w:lang w:eastAsia="en-US"/>
              </w:rPr>
              <w:t xml:space="preserve"> </w:t>
            </w:r>
          </w:p>
          <w:p w14:paraId="6FBCB228" w14:textId="77777777" w:rsidR="00DD3EFA" w:rsidRPr="005A0E7C" w:rsidRDefault="00DD3EFA" w:rsidP="00391907">
            <w:pPr>
              <w:pStyle w:val="Normlnweb"/>
              <w:numPr>
                <w:ilvl w:val="0"/>
                <w:numId w:val="39"/>
              </w:numPr>
              <w:ind w:left="664" w:hanging="283"/>
              <w:jc w:val="both"/>
              <w:rPr>
                <w:rFonts w:eastAsiaTheme="majorEastAsia"/>
                <w:noProof/>
                <w:sz w:val="20"/>
                <w:szCs w:val="20"/>
                <w:lang w:eastAsia="en-US"/>
              </w:rPr>
            </w:pPr>
            <w:r w:rsidRPr="005A0E7C">
              <w:rPr>
                <w:rFonts w:eastAsiaTheme="majorEastAsia"/>
                <w:noProof/>
                <w:sz w:val="20"/>
                <w:szCs w:val="20"/>
                <w:lang w:eastAsia="en-US"/>
              </w:rPr>
              <w:t>Širší využívání nástrojů elektronického zdravotnictví (eHealth) včetně jeho institucionalizace</w:t>
            </w:r>
          </w:p>
          <w:p w14:paraId="350B9ADF" w14:textId="77777777" w:rsidR="00DD3EFA" w:rsidRPr="005A0E7C" w:rsidRDefault="00DD3EFA" w:rsidP="00391907">
            <w:pPr>
              <w:pStyle w:val="Normlnweb"/>
              <w:numPr>
                <w:ilvl w:val="0"/>
                <w:numId w:val="39"/>
              </w:numPr>
              <w:ind w:left="664" w:hanging="283"/>
              <w:jc w:val="both"/>
              <w:rPr>
                <w:rFonts w:eastAsiaTheme="majorEastAsia"/>
                <w:noProof/>
                <w:sz w:val="20"/>
                <w:szCs w:val="20"/>
                <w:lang w:eastAsia="en-US"/>
              </w:rPr>
            </w:pPr>
            <w:r w:rsidRPr="005A0E7C">
              <w:rPr>
                <w:rFonts w:eastAsiaTheme="majorEastAsia"/>
                <w:noProof/>
                <w:sz w:val="20"/>
                <w:szCs w:val="20"/>
                <w:lang w:eastAsia="en-US"/>
              </w:rPr>
              <w:t xml:space="preserve">Rozvoj vědeckovýzkumné a inovační základny pro digitalizaci zdravotnictví, rozvoj znalostní základny digitálního zdravotnictví </w:t>
            </w:r>
          </w:p>
          <w:p w14:paraId="19413E0C" w14:textId="77777777" w:rsidR="00DD3EFA" w:rsidRPr="005A0E7C" w:rsidRDefault="00DD3EFA" w:rsidP="00391907">
            <w:pPr>
              <w:pStyle w:val="Normlnweb"/>
              <w:numPr>
                <w:ilvl w:val="0"/>
                <w:numId w:val="39"/>
              </w:numPr>
              <w:ind w:left="664" w:hanging="283"/>
              <w:jc w:val="both"/>
              <w:rPr>
                <w:rFonts w:eastAsiaTheme="majorEastAsia"/>
                <w:noProof/>
                <w:sz w:val="20"/>
                <w:szCs w:val="20"/>
                <w:lang w:eastAsia="en-US"/>
              </w:rPr>
            </w:pPr>
            <w:r w:rsidRPr="005A0E7C">
              <w:rPr>
                <w:rFonts w:eastAsiaTheme="majorEastAsia"/>
                <w:noProof/>
                <w:sz w:val="20"/>
                <w:szCs w:val="20"/>
                <w:lang w:eastAsia="en-US"/>
              </w:rPr>
              <w:t xml:space="preserve">Rozvoj platforem pro komunikaci a koordinaci veřejné správy, průmyslu a akademické sféry pro účely rozvoje digitálních služeb ve zdravotnictví a v péči o zdraví </w:t>
            </w:r>
          </w:p>
          <w:p w14:paraId="76F60E73" w14:textId="77777777" w:rsidR="00DD3EFA" w:rsidRPr="005A0E7C" w:rsidRDefault="00DD3EFA" w:rsidP="00391907">
            <w:pPr>
              <w:pStyle w:val="Normlnweb"/>
              <w:numPr>
                <w:ilvl w:val="0"/>
                <w:numId w:val="39"/>
              </w:numPr>
              <w:ind w:left="664" w:hanging="283"/>
              <w:jc w:val="both"/>
              <w:rPr>
                <w:rFonts w:eastAsiaTheme="majorEastAsia"/>
                <w:noProof/>
                <w:sz w:val="20"/>
                <w:szCs w:val="20"/>
                <w:lang w:eastAsia="en-US"/>
              </w:rPr>
            </w:pPr>
            <w:r w:rsidRPr="005A0E7C">
              <w:rPr>
                <w:rFonts w:eastAsiaTheme="majorEastAsia"/>
                <w:noProof/>
                <w:sz w:val="20"/>
                <w:szCs w:val="20"/>
                <w:lang w:eastAsia="en-US"/>
              </w:rPr>
              <w:t xml:space="preserve">Program rozvoje obecné i specifické digitální gramotnosti pracovníků ve zdravotnictví </w:t>
            </w:r>
          </w:p>
          <w:p w14:paraId="5895458A" w14:textId="77777777" w:rsidR="00DD3EFA" w:rsidRPr="005A0E7C" w:rsidRDefault="00DD3EFA" w:rsidP="00391907">
            <w:pPr>
              <w:pStyle w:val="Normlnweb"/>
              <w:numPr>
                <w:ilvl w:val="0"/>
                <w:numId w:val="39"/>
              </w:numPr>
              <w:ind w:left="664" w:hanging="283"/>
              <w:jc w:val="both"/>
              <w:rPr>
                <w:rFonts w:eastAsiaTheme="majorEastAsia"/>
                <w:noProof/>
                <w:sz w:val="20"/>
                <w:szCs w:val="20"/>
                <w:lang w:eastAsia="en-US"/>
              </w:rPr>
            </w:pPr>
            <w:r w:rsidRPr="005A0E7C">
              <w:rPr>
                <w:rFonts w:eastAsiaTheme="majorEastAsia"/>
                <w:noProof/>
                <w:sz w:val="20"/>
                <w:szCs w:val="20"/>
                <w:lang w:eastAsia="en-US"/>
              </w:rPr>
              <w:t>Program budování důvěry ve služby digitálního zdravotnictví mezi občany i zdravotníky</w:t>
            </w:r>
          </w:p>
          <w:p w14:paraId="7199B165" w14:textId="77777777" w:rsidR="00DD3EFA" w:rsidRPr="005A0E7C" w:rsidRDefault="00DD3EFA" w:rsidP="00B15ECB">
            <w:pPr>
              <w:spacing w:before="60" w:after="60"/>
            </w:pPr>
            <w:r w:rsidRPr="005A0E7C">
              <w:t xml:space="preserve">Na úrovni výstupů lze použít např. následující indikátory: </w:t>
            </w:r>
          </w:p>
          <w:p w14:paraId="30376FF8" w14:textId="77777777" w:rsidR="00DD3EFA" w:rsidRPr="005A0E7C" w:rsidRDefault="00DD3EFA" w:rsidP="00B15ECB">
            <w:pPr>
              <w:spacing w:before="60" w:after="60"/>
            </w:pPr>
          </w:p>
          <w:p w14:paraId="59CF55BC" w14:textId="77777777" w:rsidR="00DD3EFA" w:rsidRPr="005A0E7C" w:rsidRDefault="00DD3EFA" w:rsidP="00391907">
            <w:pPr>
              <w:pStyle w:val="Odstavecseseznamem"/>
              <w:numPr>
                <w:ilvl w:val="0"/>
                <w:numId w:val="37"/>
              </w:numPr>
              <w:spacing w:before="60" w:after="60"/>
              <w:jc w:val="both"/>
            </w:pPr>
            <w:r w:rsidRPr="005A0E7C">
              <w:t>Prevence a zvyšování zdravotní gramotnosti, zvyšování motivace občanů k vlastnímu zdraví</w:t>
            </w:r>
          </w:p>
          <w:p w14:paraId="0218E292" w14:textId="77777777" w:rsidR="00DD3EFA" w:rsidRPr="005A0E7C" w:rsidRDefault="00DD3EFA" w:rsidP="00391907">
            <w:pPr>
              <w:pStyle w:val="Odstavecseseznamem"/>
              <w:numPr>
                <w:ilvl w:val="0"/>
                <w:numId w:val="34"/>
              </w:numPr>
              <w:spacing w:before="60" w:after="60"/>
              <w:jc w:val="both"/>
            </w:pPr>
            <w:r w:rsidRPr="005A0E7C">
              <w:t xml:space="preserve">Počet vytvořených preventivních programů </w:t>
            </w:r>
          </w:p>
          <w:p w14:paraId="0FB8A347" w14:textId="77777777" w:rsidR="00DD3EFA" w:rsidRPr="005A0E7C" w:rsidRDefault="00DD3EFA" w:rsidP="00391907">
            <w:pPr>
              <w:pStyle w:val="Odstavecseseznamem"/>
              <w:numPr>
                <w:ilvl w:val="0"/>
                <w:numId w:val="34"/>
              </w:numPr>
              <w:spacing w:before="60" w:after="60"/>
              <w:jc w:val="both"/>
            </w:pPr>
            <w:r w:rsidRPr="005A0E7C">
              <w:t xml:space="preserve">Počet vytvořených center zdraví (potenciálně možnost navázání na sdružené praxe) </w:t>
            </w:r>
          </w:p>
          <w:p w14:paraId="395CA307" w14:textId="77777777" w:rsidR="00DD3EFA" w:rsidRPr="005A0E7C" w:rsidRDefault="00DD3EFA" w:rsidP="00391907">
            <w:pPr>
              <w:pStyle w:val="Odstavecseseznamem"/>
              <w:numPr>
                <w:ilvl w:val="0"/>
                <w:numId w:val="34"/>
              </w:numPr>
              <w:spacing w:before="60" w:after="60"/>
              <w:jc w:val="both"/>
            </w:pPr>
            <w:r w:rsidRPr="005A0E7C">
              <w:t xml:space="preserve">Zvýšení počtu nemocnic certifikovaných dle § 105 odst. 1 zákona č. 372/2011 Sb., o zdravotních službách a podmínkách jejich poskytování </w:t>
            </w:r>
          </w:p>
          <w:p w14:paraId="31E711EB" w14:textId="77777777" w:rsidR="00DD3EFA" w:rsidRPr="005A0E7C" w:rsidRDefault="00DD3EFA" w:rsidP="00391907">
            <w:pPr>
              <w:pStyle w:val="Odstavecseseznamem"/>
              <w:numPr>
                <w:ilvl w:val="0"/>
                <w:numId w:val="34"/>
              </w:numPr>
              <w:spacing w:before="60" w:after="60"/>
              <w:jc w:val="both"/>
            </w:pPr>
            <w:r w:rsidRPr="005A0E7C">
              <w:t xml:space="preserve">Zvýšení počtu nemocnic v Národní síti Nemocnice a zdravotnická zařízení podporující zdraví – počet nemocnic zapojených do programu HPH </w:t>
            </w:r>
          </w:p>
          <w:p w14:paraId="08A73E10" w14:textId="77777777" w:rsidR="00DD3EFA" w:rsidRPr="005A0E7C" w:rsidRDefault="00DD3EFA" w:rsidP="00391907">
            <w:pPr>
              <w:pStyle w:val="Odstavecseseznamem"/>
              <w:numPr>
                <w:ilvl w:val="0"/>
                <w:numId w:val="34"/>
              </w:numPr>
              <w:spacing w:before="60" w:after="60"/>
              <w:jc w:val="both"/>
            </w:pPr>
            <w:r w:rsidRPr="005A0E7C">
              <w:t xml:space="preserve">Zvýšení počtu nemocnic v Národní síti nemocnice bez tabáku – počet nemocnic zapojených do programu  </w:t>
            </w:r>
          </w:p>
          <w:p w14:paraId="1304AF8D" w14:textId="77777777" w:rsidR="00DD3EFA" w:rsidRPr="005A0E7C" w:rsidRDefault="00DD3EFA" w:rsidP="00391907">
            <w:pPr>
              <w:pStyle w:val="Odstavecseseznamem"/>
              <w:numPr>
                <w:ilvl w:val="0"/>
                <w:numId w:val="34"/>
              </w:numPr>
              <w:spacing w:before="60" w:after="60"/>
              <w:jc w:val="both"/>
            </w:pPr>
            <w:r w:rsidRPr="005A0E7C">
              <w:t xml:space="preserve">Zavedení dobrovolnických programů do zdravotnických zařízení – počet nemocnic se zavedeným dobrovolnickým programem  </w:t>
            </w:r>
          </w:p>
          <w:p w14:paraId="35CF6F7E" w14:textId="77777777" w:rsidR="00DD3EFA" w:rsidRPr="005A0E7C" w:rsidRDefault="00DD3EFA" w:rsidP="00B15ECB">
            <w:pPr>
              <w:pStyle w:val="Odstavecseseznamem"/>
              <w:spacing w:before="60" w:after="60"/>
            </w:pPr>
          </w:p>
          <w:p w14:paraId="71F5023F" w14:textId="77777777" w:rsidR="00DD3EFA" w:rsidRPr="005A0E7C" w:rsidRDefault="00DD3EFA" w:rsidP="00391907">
            <w:pPr>
              <w:pStyle w:val="Odstavecseseznamem"/>
              <w:numPr>
                <w:ilvl w:val="0"/>
                <w:numId w:val="37"/>
              </w:numPr>
              <w:spacing w:before="60" w:after="60"/>
              <w:jc w:val="both"/>
            </w:pPr>
            <w:r w:rsidRPr="005A0E7C">
              <w:t>Reforma primární péče</w:t>
            </w:r>
          </w:p>
          <w:p w14:paraId="5F64240B" w14:textId="77777777" w:rsidR="00DD3EFA" w:rsidRPr="005A0E7C" w:rsidRDefault="00DD3EFA" w:rsidP="00391907">
            <w:pPr>
              <w:pStyle w:val="Odstavecseseznamem"/>
              <w:numPr>
                <w:ilvl w:val="0"/>
                <w:numId w:val="34"/>
              </w:numPr>
              <w:spacing w:before="60" w:after="60"/>
              <w:jc w:val="both"/>
            </w:pPr>
            <w:r w:rsidRPr="005A0E7C">
              <w:t xml:space="preserve">Počet podpořených sdružených praxí </w:t>
            </w:r>
          </w:p>
          <w:p w14:paraId="1FC7AF43" w14:textId="77777777" w:rsidR="00DD3EFA" w:rsidRPr="005A0E7C" w:rsidRDefault="00DD3EFA" w:rsidP="00391907">
            <w:pPr>
              <w:pStyle w:val="Odstavecseseznamem"/>
              <w:numPr>
                <w:ilvl w:val="0"/>
                <w:numId w:val="34"/>
              </w:numPr>
              <w:spacing w:before="60" w:after="60"/>
              <w:jc w:val="both"/>
            </w:pPr>
            <w:r w:rsidRPr="005A0E7C">
              <w:t>Počet modernizovaných urgentních příjmů</w:t>
            </w:r>
          </w:p>
          <w:p w14:paraId="4A9B5B15" w14:textId="77777777" w:rsidR="00DD3EFA" w:rsidRPr="005A0E7C" w:rsidRDefault="00DD3EFA" w:rsidP="00391907">
            <w:pPr>
              <w:pStyle w:val="Odstavecseseznamem"/>
              <w:numPr>
                <w:ilvl w:val="0"/>
                <w:numId w:val="34"/>
              </w:numPr>
              <w:spacing w:before="60" w:after="60"/>
              <w:jc w:val="both"/>
            </w:pPr>
            <w:r w:rsidRPr="005A0E7C">
              <w:t>Počet ordinací splňujících navržený standard vybavení</w:t>
            </w:r>
          </w:p>
          <w:p w14:paraId="450201E1" w14:textId="77777777" w:rsidR="00DD3EFA" w:rsidRPr="005A0E7C" w:rsidRDefault="00DD3EFA" w:rsidP="00391907">
            <w:pPr>
              <w:pStyle w:val="Odstavecseseznamem"/>
              <w:numPr>
                <w:ilvl w:val="0"/>
                <w:numId w:val="34"/>
              </w:numPr>
              <w:spacing w:before="60" w:after="60"/>
              <w:jc w:val="both"/>
            </w:pPr>
            <w:r w:rsidRPr="005A0E7C">
              <w:t xml:space="preserve">Počet pracovišť lékařské pohotovostní služby    </w:t>
            </w:r>
          </w:p>
          <w:p w14:paraId="790EF8FD" w14:textId="77777777" w:rsidR="00DD3EFA" w:rsidRPr="005A0E7C" w:rsidRDefault="00DD3EFA" w:rsidP="00B15ECB">
            <w:pPr>
              <w:pStyle w:val="Odstavecseseznamem"/>
              <w:spacing w:before="60" w:after="60"/>
              <w:ind w:left="970"/>
            </w:pPr>
          </w:p>
          <w:p w14:paraId="4E730376" w14:textId="77777777" w:rsidR="00DD3EFA" w:rsidRPr="005A0E7C" w:rsidRDefault="00DD3EFA" w:rsidP="00391907">
            <w:pPr>
              <w:pStyle w:val="Odstavecseseznamem"/>
              <w:numPr>
                <w:ilvl w:val="0"/>
                <w:numId w:val="37"/>
              </w:numPr>
              <w:spacing w:before="60" w:after="60"/>
              <w:jc w:val="both"/>
            </w:pPr>
            <w:r w:rsidRPr="005A0E7C">
              <w:t xml:space="preserve">Personální stabilizace resortu zdravotnictví včetně přizpůsobení vzdělávání aktuálním potřebám </w:t>
            </w:r>
          </w:p>
          <w:p w14:paraId="2D58A1F5" w14:textId="77777777" w:rsidR="00DD3EFA" w:rsidRPr="005A0E7C" w:rsidRDefault="00DD3EFA" w:rsidP="00391907">
            <w:pPr>
              <w:pStyle w:val="Odstavecseseznamem"/>
              <w:numPr>
                <w:ilvl w:val="0"/>
                <w:numId w:val="34"/>
              </w:numPr>
              <w:spacing w:before="60" w:after="60"/>
              <w:jc w:val="both"/>
            </w:pPr>
            <w:r w:rsidRPr="005A0E7C">
              <w:t>Počet vytvořených systémů řízení postgraduálního vzdělávání zdravotnických pracovníků propojujícího informace o zdravotnických pracovnících zařazených do vzdělávání, požadavky vzdělávacích programů, požadavky na akreditovaná zařízení a jejich hodnocení</w:t>
            </w:r>
          </w:p>
          <w:p w14:paraId="3C49F08C" w14:textId="77777777" w:rsidR="00DD3EFA" w:rsidRPr="005A0E7C" w:rsidRDefault="00DD3EFA" w:rsidP="00391907">
            <w:pPr>
              <w:pStyle w:val="Odstavecseseznamem"/>
              <w:numPr>
                <w:ilvl w:val="0"/>
                <w:numId w:val="34"/>
              </w:numPr>
              <w:spacing w:before="60" w:after="60"/>
              <w:jc w:val="both"/>
            </w:pPr>
            <w:r w:rsidRPr="005A0E7C">
              <w:t>Počet vytvořených vzdělávacích programů postgraduálního vzdělávání</w:t>
            </w:r>
          </w:p>
          <w:p w14:paraId="7B9DFBB4" w14:textId="77777777" w:rsidR="00DD3EFA" w:rsidRPr="005A0E7C" w:rsidRDefault="00DD3EFA" w:rsidP="00391907">
            <w:pPr>
              <w:pStyle w:val="Odstavecseseznamem"/>
              <w:numPr>
                <w:ilvl w:val="0"/>
                <w:numId w:val="34"/>
              </w:numPr>
              <w:spacing w:before="60" w:after="60"/>
              <w:jc w:val="both"/>
            </w:pPr>
            <w:r w:rsidRPr="005A0E7C">
              <w:t xml:space="preserve">Počet podpořených osob – počet absolventů aprobační zkoušky - občanů třetích zemí, kteří absolvovali přípravné vzdělávání </w:t>
            </w:r>
          </w:p>
          <w:p w14:paraId="76CE2837" w14:textId="77777777" w:rsidR="00DD3EFA" w:rsidRPr="005A0E7C" w:rsidRDefault="00DD3EFA" w:rsidP="00391907">
            <w:pPr>
              <w:pStyle w:val="Odstavecseseznamem"/>
              <w:numPr>
                <w:ilvl w:val="0"/>
                <w:numId w:val="34"/>
              </w:numPr>
              <w:spacing w:before="60" w:after="60"/>
              <w:jc w:val="both"/>
            </w:pPr>
            <w:r w:rsidRPr="005A0E7C">
              <w:t xml:space="preserve">Počet podpořených osob – počet absolventů postgraduálního vzdělávání </w:t>
            </w:r>
          </w:p>
          <w:p w14:paraId="5DE9C1B0" w14:textId="77777777" w:rsidR="00DD3EFA" w:rsidRPr="005A0E7C" w:rsidRDefault="00DD3EFA" w:rsidP="00391907">
            <w:pPr>
              <w:pStyle w:val="Odstavecseseznamem"/>
              <w:numPr>
                <w:ilvl w:val="0"/>
                <w:numId w:val="34"/>
              </w:numPr>
              <w:spacing w:before="60" w:after="60"/>
              <w:jc w:val="both"/>
            </w:pPr>
            <w:r w:rsidRPr="005A0E7C">
              <w:t xml:space="preserve">Počet doporučených klinických postupů, kompetencí a vzdělávacích plánů přizpůsobených aktuálním podmínkám a rozvoji oboru </w:t>
            </w:r>
          </w:p>
          <w:p w14:paraId="6BB85294" w14:textId="77777777" w:rsidR="00DD3EFA" w:rsidRPr="005A0E7C" w:rsidRDefault="00DD3EFA" w:rsidP="00B15ECB">
            <w:pPr>
              <w:spacing w:before="60" w:after="60"/>
            </w:pPr>
          </w:p>
          <w:p w14:paraId="1944E936" w14:textId="77777777" w:rsidR="00DD3EFA" w:rsidRPr="005A0E7C" w:rsidRDefault="00DD3EFA" w:rsidP="00391907">
            <w:pPr>
              <w:pStyle w:val="Odstavecseseznamem"/>
              <w:numPr>
                <w:ilvl w:val="0"/>
                <w:numId w:val="37"/>
              </w:numPr>
              <w:spacing w:before="60" w:after="60"/>
              <w:jc w:val="both"/>
            </w:pPr>
            <w:r w:rsidRPr="005A0E7C">
              <w:t>Integrace zdravotní a sociální péče</w:t>
            </w:r>
          </w:p>
          <w:p w14:paraId="03B37066" w14:textId="77777777" w:rsidR="00DD3EFA" w:rsidRPr="005A0E7C" w:rsidRDefault="00DD3EFA" w:rsidP="00391907">
            <w:pPr>
              <w:pStyle w:val="Odstavecseseznamem"/>
              <w:numPr>
                <w:ilvl w:val="0"/>
                <w:numId w:val="35"/>
              </w:numPr>
              <w:spacing w:before="60" w:after="60"/>
              <w:jc w:val="both"/>
            </w:pPr>
            <w:r w:rsidRPr="005A0E7C">
              <w:t xml:space="preserve">Počet podpořených integrovaných zdravotních a zdravotně-sociálních služeb </w:t>
            </w:r>
          </w:p>
          <w:p w14:paraId="15EB99E0" w14:textId="77777777" w:rsidR="00DD3EFA" w:rsidRPr="005A0E7C" w:rsidRDefault="00DD3EFA" w:rsidP="00391907">
            <w:pPr>
              <w:pStyle w:val="Odstavecseseznamem"/>
              <w:numPr>
                <w:ilvl w:val="0"/>
                <w:numId w:val="35"/>
              </w:numPr>
              <w:spacing w:before="60" w:after="60"/>
              <w:jc w:val="both"/>
            </w:pPr>
            <w:r w:rsidRPr="005A0E7C">
              <w:t xml:space="preserve">Kapacita podpořených integrovaných zdravotních a zdravotně-sociálních služeb </w:t>
            </w:r>
          </w:p>
          <w:p w14:paraId="0A7AEF49" w14:textId="77777777" w:rsidR="00DD3EFA" w:rsidRPr="005A0E7C" w:rsidRDefault="00DD3EFA" w:rsidP="00B15ECB">
            <w:pPr>
              <w:pStyle w:val="Odstavecseseznamem"/>
              <w:spacing w:before="60" w:after="60"/>
            </w:pPr>
          </w:p>
          <w:p w14:paraId="293A6CE2" w14:textId="77777777" w:rsidR="00DD3EFA" w:rsidRPr="005A0E7C" w:rsidRDefault="00DD3EFA" w:rsidP="00391907">
            <w:pPr>
              <w:pStyle w:val="Odstavecseseznamem"/>
              <w:numPr>
                <w:ilvl w:val="0"/>
                <w:numId w:val="37"/>
              </w:numPr>
              <w:spacing w:before="60" w:after="60"/>
              <w:jc w:val="both"/>
              <w:rPr>
                <w:i/>
              </w:rPr>
            </w:pPr>
            <w:r w:rsidRPr="005A0E7C">
              <w:rPr>
                <w:i/>
              </w:rPr>
              <w:t xml:space="preserve">Věda a výzkum v oblasti zdravotnictví </w:t>
            </w:r>
          </w:p>
          <w:p w14:paraId="416FD7C5" w14:textId="77777777" w:rsidR="00DD3EFA" w:rsidRPr="005A0E7C" w:rsidRDefault="00DD3EFA" w:rsidP="00B15ECB">
            <w:pPr>
              <w:spacing w:before="60" w:after="60"/>
              <w:rPr>
                <w:i/>
              </w:rPr>
            </w:pPr>
            <w:r w:rsidRPr="005A0E7C">
              <w:rPr>
                <w:rFonts w:eastAsiaTheme="majorEastAsia"/>
                <w:i/>
              </w:rPr>
              <w:t>Oblast bude řešena v individuální kartě</w:t>
            </w:r>
            <w:r w:rsidRPr="005A0E7C">
              <w:rPr>
                <w:i/>
              </w:rPr>
              <w:t xml:space="preserve"> </w:t>
            </w:r>
            <w:r w:rsidRPr="005A0E7C">
              <w:rPr>
                <w:rFonts w:eastAsiaTheme="majorEastAsia"/>
                <w:i/>
              </w:rPr>
              <w:t>zaměřené na vědu a výzkum.</w:t>
            </w:r>
          </w:p>
          <w:p w14:paraId="7AB566D9" w14:textId="77777777" w:rsidR="00DD3EFA" w:rsidRPr="005A0E7C" w:rsidRDefault="00DD3EFA" w:rsidP="00391907">
            <w:pPr>
              <w:pStyle w:val="Odstavecseseznamem"/>
              <w:numPr>
                <w:ilvl w:val="0"/>
                <w:numId w:val="37"/>
              </w:numPr>
              <w:spacing w:before="60" w:after="60"/>
              <w:jc w:val="both"/>
            </w:pPr>
            <w:r w:rsidRPr="005A0E7C">
              <w:t xml:space="preserve">Digitalizace zdravotnictví </w:t>
            </w:r>
          </w:p>
          <w:p w14:paraId="1C377B36" w14:textId="77777777" w:rsidR="00DD3EFA" w:rsidRPr="005A0E7C" w:rsidRDefault="00DD3EFA" w:rsidP="00391907">
            <w:pPr>
              <w:pStyle w:val="Odstavecseseznamem"/>
              <w:numPr>
                <w:ilvl w:val="0"/>
                <w:numId w:val="36"/>
              </w:numPr>
              <w:spacing w:before="60" w:after="60"/>
              <w:jc w:val="both"/>
            </w:pPr>
            <w:r w:rsidRPr="005A0E7C">
              <w:t>Zavedení sdíleného zdravotního záznamu, opírajícího se o koncept souhrnu o pacientovi</w:t>
            </w:r>
          </w:p>
          <w:p w14:paraId="177E7B25" w14:textId="77777777" w:rsidR="00DD3EFA" w:rsidRPr="005A0E7C" w:rsidRDefault="00DD3EFA" w:rsidP="00391907">
            <w:pPr>
              <w:pStyle w:val="Odstavecseseznamem"/>
              <w:numPr>
                <w:ilvl w:val="0"/>
                <w:numId w:val="36"/>
              </w:numPr>
              <w:spacing w:before="60" w:after="60"/>
              <w:jc w:val="both"/>
            </w:pPr>
            <w:r w:rsidRPr="005A0E7C">
              <w:t>Národní zdravotnický informační portál s pokročilými funkcemi resortního portálu</w:t>
            </w:r>
          </w:p>
          <w:p w14:paraId="6A46FA94" w14:textId="77777777" w:rsidR="00DD3EFA" w:rsidRPr="005A0E7C" w:rsidRDefault="00DD3EFA" w:rsidP="00391907">
            <w:pPr>
              <w:pStyle w:val="Odstavecseseznamem"/>
              <w:numPr>
                <w:ilvl w:val="0"/>
                <w:numId w:val="36"/>
              </w:numPr>
              <w:spacing w:before="60" w:after="60"/>
              <w:jc w:val="both"/>
            </w:pPr>
            <w:r w:rsidRPr="005A0E7C">
              <w:t xml:space="preserve">Vytvoření integrovaného datové rozhraní resortu </w:t>
            </w:r>
          </w:p>
          <w:p w14:paraId="4007EC30" w14:textId="77777777" w:rsidR="00DD3EFA" w:rsidRPr="005A0E7C" w:rsidRDefault="00DD3EFA" w:rsidP="00391907">
            <w:pPr>
              <w:pStyle w:val="Odstavecseseznamem"/>
              <w:numPr>
                <w:ilvl w:val="0"/>
                <w:numId w:val="36"/>
              </w:numPr>
              <w:spacing w:before="60" w:after="60"/>
              <w:jc w:val="both"/>
            </w:pPr>
            <w:r w:rsidRPr="005A0E7C">
              <w:t>NZIS – modernizovaný systém s novými funkcemi</w:t>
            </w:r>
          </w:p>
          <w:p w14:paraId="0AFCC0E9" w14:textId="77777777" w:rsidR="00DD3EFA" w:rsidRPr="005A0E7C" w:rsidRDefault="00DD3EFA" w:rsidP="00391907">
            <w:pPr>
              <w:pStyle w:val="Odstavecseseznamem"/>
              <w:numPr>
                <w:ilvl w:val="0"/>
                <w:numId w:val="36"/>
              </w:numPr>
              <w:spacing w:before="60" w:after="60"/>
              <w:jc w:val="both"/>
            </w:pPr>
            <w:r w:rsidRPr="005A0E7C">
              <w:t xml:space="preserve">Vytvoření elektronická preskripce s pokročilými funkcemi </w:t>
            </w:r>
          </w:p>
          <w:p w14:paraId="1D816B76" w14:textId="77777777" w:rsidR="00DD3EFA" w:rsidRPr="005A0E7C" w:rsidRDefault="00DD3EFA" w:rsidP="00391907">
            <w:pPr>
              <w:pStyle w:val="Odstavecseseznamem"/>
              <w:numPr>
                <w:ilvl w:val="0"/>
                <w:numId w:val="36"/>
              </w:numPr>
              <w:spacing w:before="60" w:after="60"/>
              <w:jc w:val="both"/>
            </w:pPr>
            <w:r w:rsidRPr="005A0E7C">
              <w:t xml:space="preserve">Telemedicína a technologie mobilního zdravotnictví </w:t>
            </w:r>
          </w:p>
          <w:p w14:paraId="090445EB" w14:textId="77777777" w:rsidR="00DD3EFA" w:rsidRPr="005A0E7C" w:rsidRDefault="00DD3EFA" w:rsidP="00391907">
            <w:pPr>
              <w:pStyle w:val="Odstavecseseznamem"/>
              <w:numPr>
                <w:ilvl w:val="0"/>
                <w:numId w:val="36"/>
              </w:numPr>
              <w:spacing w:before="60" w:after="60"/>
              <w:jc w:val="both"/>
            </w:pPr>
            <w:r w:rsidRPr="005A0E7C">
              <w:t xml:space="preserve">Digitální služby ve zdravotnictví </w:t>
            </w:r>
          </w:p>
          <w:p w14:paraId="03FAF6C1" w14:textId="77777777" w:rsidR="00DD3EFA" w:rsidRPr="005A0E7C" w:rsidRDefault="00DD3EFA" w:rsidP="00391907">
            <w:pPr>
              <w:pStyle w:val="Odstavecseseznamem"/>
              <w:numPr>
                <w:ilvl w:val="0"/>
                <w:numId w:val="36"/>
              </w:numPr>
              <w:spacing w:before="60" w:after="60"/>
              <w:jc w:val="both"/>
            </w:pPr>
            <w:r w:rsidRPr="005A0E7C">
              <w:t>Počet vytvořených platforem pro komunikaci a koordinaci veřejné správy, průmyslu a akademické sféry pro účely rozvoje digitálních služeb ve zdravotnictví a v péči o zdraví</w:t>
            </w:r>
          </w:p>
          <w:p w14:paraId="4DD90E4C" w14:textId="77777777" w:rsidR="00DD3EFA" w:rsidRPr="005A0E7C" w:rsidRDefault="00DD3EFA" w:rsidP="00391907">
            <w:pPr>
              <w:pStyle w:val="Odstavecseseznamem"/>
              <w:numPr>
                <w:ilvl w:val="0"/>
                <w:numId w:val="36"/>
              </w:numPr>
              <w:spacing w:before="60" w:after="60"/>
              <w:jc w:val="both"/>
              <w:rPr>
                <w:rFonts w:eastAsiaTheme="majorEastAsia"/>
                <w:i/>
                <w:u w:val="single"/>
              </w:rPr>
            </w:pPr>
            <w:r w:rsidRPr="005A0E7C">
              <w:t>Počet vytvořených programů - Program rozvoje obecné i specifické digitální gramotnosti pracovníků ve zdravotnictví, Program budování důvěry ve služby digitálního zdravotnictví mezi občany i zdravotníky, Program rozvoje specifické vědeckovýzkumné základny, ap.</w:t>
            </w:r>
          </w:p>
        </w:tc>
        <w:tc>
          <w:tcPr>
            <w:tcW w:w="138" w:type="pct"/>
            <w:tcBorders>
              <w:top w:val="nil"/>
              <w:bottom w:val="nil"/>
            </w:tcBorders>
            <w:shd w:val="clear" w:color="auto" w:fill="66CCFF"/>
          </w:tcPr>
          <w:p w14:paraId="1B065EB1" w14:textId="77777777" w:rsidR="00DD3EFA" w:rsidRPr="005A0E7C" w:rsidRDefault="00DD3EFA" w:rsidP="00B15ECB">
            <w:pPr>
              <w:rPr>
                <w:b/>
              </w:rPr>
            </w:pPr>
            <w:r w:rsidRPr="005A0E7C">
              <w:rPr>
                <w:b/>
              </w:rPr>
              <w:t>č</w:t>
            </w:r>
          </w:p>
        </w:tc>
      </w:tr>
      <w:tr w:rsidR="00DD3EFA" w:rsidRPr="005A0E7C" w14:paraId="102635A6" w14:textId="77777777" w:rsidTr="00B15ECB">
        <w:trPr>
          <w:trHeight w:val="1274"/>
        </w:trPr>
        <w:tc>
          <w:tcPr>
            <w:tcW w:w="138" w:type="pct"/>
            <w:tcBorders>
              <w:top w:val="nil"/>
              <w:bottom w:val="nil"/>
            </w:tcBorders>
            <w:shd w:val="clear" w:color="auto" w:fill="66CCFF"/>
          </w:tcPr>
          <w:p w14:paraId="587704C4"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68FEB342"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3312" w:type="pct"/>
            <w:tcBorders>
              <w:bottom w:val="single" w:sz="4" w:space="0" w:color="auto"/>
            </w:tcBorders>
            <w:shd w:val="clear" w:color="auto" w:fill="FFFFFF" w:themeFill="background1"/>
          </w:tcPr>
          <w:p w14:paraId="0E2FE5F0" w14:textId="77777777" w:rsidR="00DD3EFA" w:rsidRPr="005A0E7C" w:rsidRDefault="00DD3EFA" w:rsidP="00B15ECB">
            <w:pPr>
              <w:spacing w:before="60" w:after="60"/>
              <w:rPr>
                <w:rFonts w:eastAsiaTheme="majorEastAsia"/>
              </w:rPr>
            </w:pPr>
            <w:r w:rsidRPr="005A0E7C">
              <w:rPr>
                <w:rFonts w:eastAsiaTheme="majorEastAsia"/>
              </w:rPr>
              <w:t xml:space="preserve">Příspěvek ESIF na plnění cíle se bude lišit podle jednotlivých priorit, lze odhadnout, že se bude pohybovat přibližně v řádu 60 – 70 %. </w:t>
            </w:r>
          </w:p>
        </w:tc>
        <w:tc>
          <w:tcPr>
            <w:tcW w:w="138" w:type="pct"/>
            <w:tcBorders>
              <w:top w:val="nil"/>
              <w:bottom w:val="nil"/>
            </w:tcBorders>
            <w:shd w:val="clear" w:color="auto" w:fill="66CCFF"/>
          </w:tcPr>
          <w:p w14:paraId="5E94DE6F" w14:textId="77777777" w:rsidR="00DD3EFA" w:rsidRPr="005A0E7C" w:rsidRDefault="00DD3EFA" w:rsidP="00B15ECB">
            <w:pPr>
              <w:rPr>
                <w:b/>
              </w:rPr>
            </w:pPr>
          </w:p>
        </w:tc>
      </w:tr>
      <w:tr w:rsidR="00DD3EFA" w:rsidRPr="005A0E7C" w14:paraId="746287C6" w14:textId="77777777" w:rsidTr="00B15ECB">
        <w:trPr>
          <w:trHeight w:val="1274"/>
        </w:trPr>
        <w:tc>
          <w:tcPr>
            <w:tcW w:w="138" w:type="pct"/>
            <w:tcBorders>
              <w:top w:val="nil"/>
              <w:bottom w:val="nil"/>
            </w:tcBorders>
            <w:shd w:val="clear" w:color="auto" w:fill="66CCFF"/>
          </w:tcPr>
          <w:p w14:paraId="24E4D54F"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79D7ED6B"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3312" w:type="pct"/>
            <w:tcBorders>
              <w:bottom w:val="single" w:sz="4" w:space="0" w:color="auto"/>
            </w:tcBorders>
            <w:shd w:val="clear" w:color="auto" w:fill="FFFFFF" w:themeFill="background1"/>
          </w:tcPr>
          <w:p w14:paraId="6BBC2B2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 xml:space="preserve">Podpora zdravotní péče v předchozích programových obdobích byla v souladu s tehdy převládající filozofií zaměřena na modernizaci ústavních zdravotnických zařízení – tj. nemocnic, a jejich přiblížení standardu EU s cílem dosáhnout péče srovnatelné s vyspělými členskými státy EU. Její motivací bylo přispět k rozvoji těch oblastí péče, ve kterých Česká republika nejvíce zaostávala (nejhorší hodnoty ukazatelů kvality a úspěšnosti péče o zdraví obyvatel) ve srovnání s členskými státy EU. V období 2007 – 2013 byla zaměřena zejména na modernizaci pracovišť specializované péče zahrnutých do národních sítí. Konkrétně se jednalo o podporu komplexních onkologických center, traumacenter a specializovaných pracovišť neurochirurgické a kardiochirurgické péče. V současném programovém období jsou dále podporovány zbývající sítě specializovaných pracovišť – tj. onkogynekologická a perinatologická centra. Zároveň už je ale vidět přesun podpory od superspecializované péče k péči „nižšího“ řádu, kdy se současná opatření zaměřují na centra tzv. návazné péče - tj. péče, která bezprostředně předchází péči specializované nebo na ni navazuje, když už není specializovaná péče vyžadována. Jistě i díky této podpoře se v posledních cca 10 letech podařilo zlepšit celou řadu zdravotních ukazatelů – viz kolonka </w:t>
            </w:r>
            <w:r w:rsidRPr="005A0E7C">
              <w:rPr>
                <w:rFonts w:ascii="Times New Roman" w:hAnsi="Times New Roman"/>
                <w:i/>
              </w:rPr>
              <w:t>Zhodnocení dosavadního využití podpory tematické oblasti z ESIF (tj. v období 2014 – 2020, příp. 2007 – 2013).</w:t>
            </w:r>
          </w:p>
          <w:p w14:paraId="2CCFD4E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b/>
              </w:rPr>
              <w:t>V rámci nyní navrhované podpory je vidět zejména posun k péči zaměřené na pacienta (patient centred care) a blíže do komunity, kdy se do popředí dostává reforma primární péče</w:t>
            </w:r>
            <w:r w:rsidRPr="005A0E7C">
              <w:rPr>
                <w:rFonts w:ascii="Times New Roman" w:hAnsi="Times New Roman"/>
              </w:rPr>
              <w:t xml:space="preserve"> a to především v podobě podpory tzv. sdružených praxí (určité analogie slovenských „center integrovanej zdravotnej starostlivosti“ podporované v rámci slovenského Integrovaného regionálního operačního programu v současném programovém období), a modernizace urgentních příjmů jakožto „rozhraní“ mezi péčí primární a nemocniční. </w:t>
            </w:r>
          </w:p>
          <w:p w14:paraId="3C2861A3"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hAnsi="Times New Roman"/>
              </w:rPr>
              <w:t xml:space="preserve">S trendem přesunu těžiště péče do komunity souvisí i nutná integrace zdravotní a sociální péče. V současném programovém období bylo hlavní prioritou v oblasti zdravotnictví nastartování reformy psychiatrické péče v podobě, jak přímo podpory inovovaných služeb, tak i projektů vedoucích k destigmatizaci duševně nemocných. </w:t>
            </w:r>
            <w:r w:rsidRPr="005A0E7C">
              <w:rPr>
                <w:rFonts w:ascii="Times New Roman" w:hAnsi="Times New Roman"/>
                <w:b/>
              </w:rPr>
              <w:t xml:space="preserve">V příštím programovém období by mělo dojít k aplikaci multidisciplinárních přístupů, </w:t>
            </w:r>
            <w:r w:rsidRPr="005A0E7C">
              <w:rPr>
                <w:rFonts w:ascii="Times New Roman" w:eastAsiaTheme="majorEastAsia" w:hAnsi="Times New Roman"/>
                <w:b/>
              </w:rPr>
              <w:t xml:space="preserve">deinstitucionalizaci a přesunutí těžiště služeb do komunity i pro další diagnostické oblasti, tedy pro dlouhodobě nemocné, pro gerontologické pacienty a pacienty s demencí, pro paliativní pacienty (již v současném programovém období řešeny projekty na podporu pilotní nemocniční paliativní péče a domácí specializované paliativní péče), pro adiktologické pacienty apod., tedy pro všechny, kteří potřebují souhru zdravotních a sociálních komponent. </w:t>
            </w:r>
            <w:r w:rsidRPr="005A0E7C">
              <w:rPr>
                <w:rFonts w:ascii="Times New Roman" w:eastAsiaTheme="majorEastAsia" w:hAnsi="Times New Roman"/>
              </w:rPr>
              <w:t xml:space="preserve">Nicméně bude nutné pokračovat i v reformě psychiatrické péče, která se nyní zaměřila na změnu péče především u nejtěžších psychiatrických diagnóz. Bude tedy nutné měnit péči i u diagnóz lehčích, zavést efektivní multidisciplinární přístup zahrnující zdravotní, sociální a vzdělávací systém u dětí ohrožených či trpících duševním onemocněním, a také se zaměřit na podporu duševního zdraví běžné populace, což je v souladu i s trendem v oblasti prevence viz dále. Ostatně i zpráva OECD Health at a Glance 2018 uvádí, že celkové výdaje v důsledku problémů v oblasti duševního zdraví (tj. náklady na zdravotní a sociální služby, ztráty v důsledku nižší zaměstnanosti a produktivity) jsou odhadovány v rámci zemí EU na 4 % HDP. Podpora duševního zdraví a zlepšení přístupu k léčbě by tedy měla být prioritou. </w:t>
            </w:r>
          </w:p>
          <w:p w14:paraId="7436866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Ani v předchozích obdobích se intervence ve zdravotnictví nezaměřovaly pouze na investice do infrastruktury nemocniční péče, už od programového období 2007 – 2013 byly podporovány rovněž projekty prevence – jednalo se však o prevenci sekundární – tj. vedoucí k časnému záchytu již existující nemoci. Jistě i projekty zaměřené na podporu screeningů včetně prvního adresného zvaní přispěly k zlepšení ukazatelů v této oblasti – viz kolonka </w:t>
            </w:r>
            <w:r w:rsidRPr="005A0E7C">
              <w:rPr>
                <w:rFonts w:ascii="Times New Roman" w:hAnsi="Times New Roman"/>
                <w:i/>
              </w:rPr>
              <w:t xml:space="preserve">Zhodnocení dosavadního využití podpory tematické oblasti z ESIF (tj. v období 2014 – 2020, příp. 2007 – 2013), </w:t>
            </w:r>
            <w:r w:rsidRPr="005A0E7C">
              <w:rPr>
                <w:rFonts w:ascii="Times New Roman" w:hAnsi="Times New Roman"/>
                <w:b/>
              </w:rPr>
              <w:t xml:space="preserve">nicméně nyní by se měla pozornost zaměřit na prevenci primární tj. na odvrácení či oddálení choroby. </w:t>
            </w:r>
            <w:r w:rsidRPr="005A0E7C">
              <w:rPr>
                <w:rFonts w:ascii="Times New Roman" w:hAnsi="Times New Roman"/>
              </w:rPr>
              <w:t xml:space="preserve">Ze zahraničních zkušeností plyne, že investice do primární prevence, pokud preventivní program prokazatelně sníží výskyt nemoci, mají vysokou efektivitu a není neobvyklé, že poměr přínosů a nákladů (benefit cost ratio) je 10 : 1 i víc. Tj. jedna investovaná koruna přinese zisk 10 Kč i víc. Předmětem podpory by měly být jednak jednotlivé preventivní programy a dále vznik tzv. center zdraví, které by u obyvatel přispívaly ke zvýšení odpovědnosti za vlastí zdraví a mohly by být navázány např. na sdružené praxe (viz reforma primární péče). </w:t>
            </w:r>
          </w:p>
          <w:p w14:paraId="6ACDFAB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Pokud jde o oblast investic do lidských zdrojů a vzdělávání v resortu zdravotnictví, této oblasti se ve větší míře věnuje až programové období 2014 – 2020 (nicméně rozsáhlé projekty na vzdělávání lékařských a nelékařských pracovníků byly realizovány již v OP Lidské zdroje a zaměstnanost v programovém období 2007 – 2013). V tomto programovém období se podpora OP Zaměstnanost zaměřuje na </w:t>
            </w:r>
            <w:r w:rsidRPr="005A0E7C">
              <w:rPr>
                <w:rFonts w:ascii="Times New Roman" w:hAnsi="Times New Roman"/>
                <w:i/>
              </w:rPr>
              <w:t>podporu specializačního postgraduálního vzdělávání zdravotnických pracovníků v oborech vyznačujících se regionálními rozdíly v dostupnosti, v oborech, kde nepříznivý věkový průměr způsobuje nedostupnost péče, a oborech s nedostatečným pokrytím péče.</w:t>
            </w:r>
            <w:r w:rsidRPr="005A0E7C">
              <w:rPr>
                <w:rFonts w:ascii="Times New Roman" w:hAnsi="Times New Roman"/>
              </w:rPr>
              <w:t xml:space="preserve"> Stávající systém specializační vzdělávání bývá lékaři vnímán jako příliš komplikovaný a nepřehledný a může tak vytvářet určitou bariéru pro vstup do systému a pro výkon lékařské praxe. Délka vzdělávání v některých oborech, především v těch nástavbových, potom velkou část lékařů od další specializace odrazuje. Z tohoto důvodu byla podpora ESIF směřována v období 2014 – 2020 právě do specializačního vzdělávání. Kromě samotných vzdělávacích akcí potom byla podpořena i příprava vybraných vzdělávacích programů. Úzké zaměření na jednu specifickou část vzdělávání zdravotnických pracovníků se však v průběhu programového období ukázalo jako velmi omezující, neboť nebylo možné cílit na aktuálně vzniklé problémy v systému poskytování zdravotních služeb, ani nemohla být pokryta vysoká poptávka po vzdělávání mimo definované specializační programy.</w:t>
            </w:r>
          </w:p>
          <w:p w14:paraId="7B19648C" w14:textId="77777777" w:rsidR="00DD3EFA" w:rsidRPr="005A0E7C" w:rsidRDefault="00DD3EFA" w:rsidP="00B15ECB">
            <w:pPr>
              <w:pStyle w:val="Textkomente"/>
              <w:rPr>
                <w:lang w:eastAsia="cs-CZ"/>
              </w:rPr>
            </w:pPr>
            <w:r w:rsidRPr="005A0E7C">
              <w:rPr>
                <w:b/>
              </w:rPr>
              <w:t xml:space="preserve">V budoucím programovém období by se podpora neměla omezit jen na specializační vzdělávání, ale i obecně na přizpůsobování aktuálním potřebám nejen v jednotlivých oborech, ale v celém systému, a to jak formou vzdělávání osob z třetích zemí (mimo EU), kteří se připravují na složení tzv. aprobační zkoušky, která opravňuje vykonávat zdravotnické povolání lékaře, zubního lékaře nebo farmaceuta v České republice, tak formou přizpůsobování důležitých doporučených postupů, kompetencí a vzdělávacích plánů aktuálním podmínkám a rozvoji oboru. Obecně bude cílem zlepšení celého systému řízení vzdělávání v resortu zdravotnictví. </w:t>
            </w:r>
            <w:r w:rsidRPr="005A0E7C">
              <w:t xml:space="preserve">Možnou dílčí oblastí podpory je např. podpora vzdělávání </w:t>
            </w:r>
            <w:r w:rsidRPr="005A0E7C">
              <w:rPr>
                <w:lang w:eastAsia="cs-CZ"/>
              </w:rPr>
              <w:t xml:space="preserve">a kompetencí sester především v jejich samostatných rolích při poskytování zdravotních služeb. </w:t>
            </w:r>
            <w:r w:rsidRPr="005A0E7C">
              <w:t xml:space="preserve">Zvýšení kompetencí a odpovědnosti  sester by mělo zvýšit prestiž a zájem o tuto práci.  Možnou aktivitou jsou </w:t>
            </w:r>
            <w:r w:rsidRPr="005A0E7C">
              <w:rPr>
                <w:lang w:eastAsia="cs-CZ"/>
              </w:rPr>
              <w:t xml:space="preserve"> i vzdělávací programy zaměřené na prevenci negativních dopadů psychické a fyzické zátěže daného povolání. </w:t>
            </w:r>
          </w:p>
          <w:p w14:paraId="1833561C" w14:textId="77777777" w:rsidR="00DD3EFA" w:rsidRPr="005A0E7C" w:rsidRDefault="00DD3EFA" w:rsidP="00B15ECB">
            <w:pPr>
              <w:rPr>
                <w:b/>
                <w:lang w:eastAsia="cs-CZ"/>
              </w:rPr>
            </w:pPr>
            <w:r w:rsidRPr="005A0E7C">
              <w:rPr>
                <w:lang w:eastAsia="cs-CZ"/>
              </w:rPr>
              <w:t xml:space="preserve">Pro období po roce 2020 bude také charakteristický nástup nových digitálních technologií a postupů v oblasti personalizované medicíny, klinických aplikacích umělé inteligence, praktické aplikace modelů sdílených zdravotních záznamů, včetně uplatnění technologie Blockchain, využití konceptů z oblasti Big Data. Rostoucí měrou se do péče o zdraví zapojí technologie mobilního zdravotnictví (mHealth) a telemedicína. Klíčový význam ponese digitalizace při rozvoji zdravotní gramotnosti obyvatelstva. Zvláštní úsilí bude nutné směřovat do rozvoje obecné i specifické digitální gramotnosti pracovníků ve zdravotnictví a budování důvěry ve služby digitálního zdravotnictví mezi občany i zdravotníky. </w:t>
            </w:r>
            <w:r w:rsidRPr="005A0E7C">
              <w:rPr>
                <w:b/>
                <w:lang w:eastAsia="cs-CZ"/>
              </w:rPr>
              <w:t>Po roce 2020 bude digitalizace ve zdravotnictví:</w:t>
            </w:r>
          </w:p>
          <w:p w14:paraId="047B1E68" w14:textId="77777777" w:rsidR="00DD3EFA" w:rsidRPr="005A0E7C" w:rsidRDefault="00DD3EFA" w:rsidP="00391907">
            <w:pPr>
              <w:pStyle w:val="Odstavecseseznamem"/>
              <w:numPr>
                <w:ilvl w:val="0"/>
                <w:numId w:val="41"/>
              </w:numPr>
              <w:spacing w:after="160" w:line="259" w:lineRule="auto"/>
              <w:jc w:val="both"/>
              <w:rPr>
                <w:b/>
                <w:lang w:eastAsia="cs-CZ"/>
              </w:rPr>
            </w:pPr>
            <w:r w:rsidRPr="005A0E7C">
              <w:rPr>
                <w:b/>
                <w:lang w:eastAsia="cs-CZ"/>
              </w:rPr>
              <w:t xml:space="preserve">více sloužit k podpoře reformy zdravotních služeb a přístupu k nim, </w:t>
            </w:r>
          </w:p>
          <w:p w14:paraId="024A3209" w14:textId="77777777" w:rsidR="00DD3EFA" w:rsidRPr="005A0E7C" w:rsidRDefault="00DD3EFA" w:rsidP="00391907">
            <w:pPr>
              <w:pStyle w:val="Odstavecseseznamem"/>
              <w:numPr>
                <w:ilvl w:val="0"/>
                <w:numId w:val="41"/>
              </w:numPr>
              <w:spacing w:after="160" w:line="259" w:lineRule="auto"/>
              <w:jc w:val="both"/>
              <w:rPr>
                <w:b/>
                <w:lang w:eastAsia="cs-CZ"/>
              </w:rPr>
            </w:pPr>
            <w:r w:rsidRPr="005A0E7C">
              <w:rPr>
                <w:b/>
                <w:lang w:eastAsia="cs-CZ"/>
              </w:rPr>
              <w:t>posílí možnosti jednotlivců pečovat o vlastní zdraví,</w:t>
            </w:r>
          </w:p>
          <w:p w14:paraId="736E23DC" w14:textId="77777777" w:rsidR="00DD3EFA" w:rsidRPr="005A0E7C" w:rsidRDefault="00DD3EFA" w:rsidP="00391907">
            <w:pPr>
              <w:pStyle w:val="Odstavecseseznamem"/>
              <w:numPr>
                <w:ilvl w:val="0"/>
                <w:numId w:val="41"/>
              </w:numPr>
              <w:spacing w:after="160" w:line="259" w:lineRule="auto"/>
              <w:jc w:val="both"/>
              <w:rPr>
                <w:b/>
                <w:lang w:eastAsia="cs-CZ"/>
              </w:rPr>
            </w:pPr>
            <w:r w:rsidRPr="005A0E7C">
              <w:rPr>
                <w:b/>
                <w:lang w:eastAsia="cs-CZ"/>
              </w:rPr>
              <w:t xml:space="preserve">podpoří celkovou efektivnost zdravotního systému, </w:t>
            </w:r>
          </w:p>
          <w:p w14:paraId="6362AFA6" w14:textId="77777777" w:rsidR="00DD3EFA" w:rsidRPr="005A0E7C" w:rsidRDefault="00DD3EFA" w:rsidP="00391907">
            <w:pPr>
              <w:pStyle w:val="Odstavecseseznamem"/>
              <w:numPr>
                <w:ilvl w:val="0"/>
                <w:numId w:val="41"/>
              </w:numPr>
              <w:spacing w:after="160" w:line="259" w:lineRule="auto"/>
              <w:jc w:val="both"/>
              <w:rPr>
                <w:b/>
                <w:lang w:eastAsia="cs-CZ"/>
              </w:rPr>
            </w:pPr>
            <w:r w:rsidRPr="005A0E7C">
              <w:rPr>
                <w:b/>
                <w:lang w:eastAsia="cs-CZ"/>
              </w:rPr>
              <w:t>účelná digitalizace napomůže přechodu na integrované, na jednotlivce zaměřené modely péče a usnadní přesun od léčby k prevenci,</w:t>
            </w:r>
          </w:p>
          <w:p w14:paraId="5BF96678" w14:textId="77777777" w:rsidR="00DD3EFA" w:rsidRPr="005A0E7C" w:rsidRDefault="00DD3EFA" w:rsidP="00391907">
            <w:pPr>
              <w:pStyle w:val="Odstavecseseznamem"/>
              <w:numPr>
                <w:ilvl w:val="0"/>
                <w:numId w:val="41"/>
              </w:numPr>
              <w:spacing w:after="160" w:line="259" w:lineRule="auto"/>
              <w:jc w:val="both"/>
              <w:rPr>
                <w:b/>
                <w:lang w:eastAsia="cs-CZ"/>
              </w:rPr>
            </w:pPr>
            <w:r w:rsidRPr="005A0E7C">
              <w:rPr>
                <w:b/>
                <w:lang w:eastAsia="cs-CZ"/>
              </w:rPr>
              <w:t>digitální technologie a inovace usnadní dosažení strategických záměrů v oblasti veřejného zdraví.</w:t>
            </w:r>
          </w:p>
          <w:p w14:paraId="09DCEA68"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hAnsi="Times New Roman"/>
              </w:rPr>
              <w:t>Proces digitalizace zdravotnictví bude mít oporu v zákoně o elektronizaci zdravotnictví, bezpečném sdílení dat mezi poskytovateli zdravotních služeb a o Národním zdravotnickém informačním systému (zákon o elektronizaci zdravotnictví). Klíčové projekty a legislativní práce směřují k řešení elektronické identity zdravotníků a pacientů, profesním průkazům, resortním autoritativním a referenčním registrům, integrovanému datovému rozhraní resortu, národnímu zdravotnickému informačnímu portálu, elektronizaci zdravotnické dokumentace.</w:t>
            </w:r>
          </w:p>
          <w:p w14:paraId="7B193EF7"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eastAsiaTheme="majorEastAsia" w:hAnsi="Times New Roman"/>
              </w:rPr>
              <w:t xml:space="preserve">Oproti minulému a probíhajícímu programovému období lze spatřit i velký posun směrem k provázanosti navržených intervencí – kdy hlavním cílem je přesun těžiště péče blíže občanům a do komunity a zároveň zvýšení důrazu na prevenci. </w:t>
            </w:r>
          </w:p>
        </w:tc>
        <w:tc>
          <w:tcPr>
            <w:tcW w:w="138" w:type="pct"/>
            <w:tcBorders>
              <w:top w:val="nil"/>
              <w:bottom w:val="nil"/>
            </w:tcBorders>
            <w:shd w:val="clear" w:color="auto" w:fill="66CCFF"/>
          </w:tcPr>
          <w:p w14:paraId="129189DC" w14:textId="77777777" w:rsidR="00DD3EFA" w:rsidRPr="005A0E7C" w:rsidRDefault="00DD3EFA" w:rsidP="00B15ECB">
            <w:pPr>
              <w:rPr>
                <w:b/>
              </w:rPr>
            </w:pPr>
          </w:p>
        </w:tc>
      </w:tr>
      <w:tr w:rsidR="00DD3EFA" w:rsidRPr="005A0E7C" w14:paraId="79098EF1" w14:textId="77777777" w:rsidTr="00B15ECB">
        <w:trPr>
          <w:trHeight w:val="272"/>
        </w:trPr>
        <w:tc>
          <w:tcPr>
            <w:tcW w:w="138" w:type="pct"/>
            <w:tcBorders>
              <w:top w:val="nil"/>
              <w:bottom w:val="nil"/>
              <w:right w:val="nil"/>
            </w:tcBorders>
            <w:shd w:val="clear" w:color="auto" w:fill="66CCFF"/>
          </w:tcPr>
          <w:p w14:paraId="02FFA262" w14:textId="77777777" w:rsidR="00DD3EFA" w:rsidRPr="005A0E7C" w:rsidRDefault="00DD3EFA" w:rsidP="00B15ECB">
            <w:pPr>
              <w:rPr>
                <w:b/>
              </w:rPr>
            </w:pPr>
          </w:p>
        </w:tc>
        <w:tc>
          <w:tcPr>
            <w:tcW w:w="1412" w:type="pct"/>
            <w:tcBorders>
              <w:top w:val="single" w:sz="4" w:space="0" w:color="auto"/>
              <w:left w:val="nil"/>
              <w:bottom w:val="single" w:sz="4" w:space="0" w:color="auto"/>
              <w:right w:val="nil"/>
            </w:tcBorders>
            <w:shd w:val="clear" w:color="auto" w:fill="66CCFF"/>
          </w:tcPr>
          <w:p w14:paraId="24052900" w14:textId="77777777" w:rsidR="00DD3EFA" w:rsidRPr="005A0E7C" w:rsidRDefault="00DD3EFA" w:rsidP="00B15ECB">
            <w:pPr>
              <w:spacing w:before="60" w:after="60"/>
              <w:rPr>
                <w:rFonts w:eastAsiaTheme="majorEastAsia"/>
                <w:b/>
              </w:rPr>
            </w:pPr>
          </w:p>
        </w:tc>
        <w:tc>
          <w:tcPr>
            <w:tcW w:w="3312" w:type="pct"/>
            <w:tcBorders>
              <w:top w:val="single" w:sz="4" w:space="0" w:color="auto"/>
              <w:left w:val="nil"/>
              <w:bottom w:val="single" w:sz="4" w:space="0" w:color="auto"/>
              <w:right w:val="nil"/>
            </w:tcBorders>
            <w:shd w:val="clear" w:color="auto" w:fill="66CCFF"/>
          </w:tcPr>
          <w:p w14:paraId="75029C99" w14:textId="77777777" w:rsidR="00DD3EFA" w:rsidRPr="005A0E7C" w:rsidRDefault="00DD3EFA" w:rsidP="00B15ECB">
            <w:pPr>
              <w:spacing w:before="60" w:after="60"/>
              <w:rPr>
                <w:rFonts w:eastAsiaTheme="majorEastAsia"/>
                <w:i/>
                <w:u w:val="single"/>
              </w:rPr>
            </w:pPr>
          </w:p>
        </w:tc>
        <w:tc>
          <w:tcPr>
            <w:tcW w:w="138" w:type="pct"/>
            <w:tcBorders>
              <w:top w:val="nil"/>
              <w:left w:val="nil"/>
              <w:bottom w:val="nil"/>
            </w:tcBorders>
            <w:shd w:val="clear" w:color="auto" w:fill="66CCFF"/>
          </w:tcPr>
          <w:p w14:paraId="003E81E3" w14:textId="77777777" w:rsidR="00DD3EFA" w:rsidRPr="005A0E7C" w:rsidRDefault="00DD3EFA" w:rsidP="00B15ECB">
            <w:pPr>
              <w:rPr>
                <w:b/>
              </w:rPr>
            </w:pPr>
          </w:p>
        </w:tc>
      </w:tr>
      <w:tr w:rsidR="00DD3EFA" w:rsidRPr="005A0E7C" w14:paraId="6D410450" w14:textId="77777777" w:rsidTr="00B15ECB">
        <w:trPr>
          <w:trHeight w:val="835"/>
        </w:trPr>
        <w:tc>
          <w:tcPr>
            <w:tcW w:w="138" w:type="pct"/>
            <w:tcBorders>
              <w:top w:val="nil"/>
              <w:bottom w:val="nil"/>
            </w:tcBorders>
            <w:shd w:val="clear" w:color="auto" w:fill="66CCFF"/>
          </w:tcPr>
          <w:p w14:paraId="7EBDBD91" w14:textId="77777777" w:rsidR="00DD3EFA" w:rsidRPr="005A0E7C" w:rsidRDefault="00DD3EFA" w:rsidP="00B15ECB">
            <w:pPr>
              <w:rPr>
                <w:b/>
              </w:rPr>
            </w:pPr>
          </w:p>
        </w:tc>
        <w:tc>
          <w:tcPr>
            <w:tcW w:w="1412" w:type="pct"/>
            <w:tcBorders>
              <w:top w:val="single" w:sz="4" w:space="0" w:color="auto"/>
              <w:bottom w:val="single" w:sz="4" w:space="0" w:color="auto"/>
            </w:tcBorders>
            <w:shd w:val="clear" w:color="auto" w:fill="auto"/>
          </w:tcPr>
          <w:p w14:paraId="501E623B"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38AB4355" w14:textId="77777777" w:rsidR="00DD3EFA" w:rsidRPr="005A0E7C" w:rsidRDefault="00DD3EFA" w:rsidP="00B15ECB">
            <w:pPr>
              <w:spacing w:before="60" w:after="60"/>
              <w:rPr>
                <w:rFonts w:eastAsiaTheme="majorEastAsia"/>
                <w:b/>
              </w:rPr>
            </w:pPr>
          </w:p>
        </w:tc>
        <w:tc>
          <w:tcPr>
            <w:tcW w:w="3312" w:type="pct"/>
            <w:tcBorders>
              <w:top w:val="single" w:sz="4" w:space="0" w:color="auto"/>
              <w:bottom w:val="single" w:sz="4" w:space="0" w:color="auto"/>
            </w:tcBorders>
            <w:shd w:val="clear" w:color="auto" w:fill="auto"/>
          </w:tcPr>
          <w:p w14:paraId="1D42DBD0" w14:textId="77777777" w:rsidR="00DD3EFA" w:rsidRPr="005A0E7C" w:rsidRDefault="00DD3EFA" w:rsidP="00B15ECB">
            <w:pPr>
              <w:spacing w:before="60" w:after="60"/>
              <w:rPr>
                <w:rFonts w:eastAsiaTheme="majorEastAsia"/>
              </w:rPr>
            </w:pPr>
            <w:r w:rsidRPr="005A0E7C">
              <w:rPr>
                <w:rFonts w:eastAsiaTheme="majorEastAsia"/>
              </w:rPr>
              <w:t xml:space="preserve">V oblasti zdravotnictví dosud není vytvořen a schválen ucelený strategický dokument pokrývající období 2021 – 2027 – viz kolonka </w:t>
            </w:r>
            <w:r w:rsidRPr="005A0E7C">
              <w:rPr>
                <w:rFonts w:eastAsiaTheme="majorEastAsia"/>
                <w:i/>
              </w:rPr>
              <w:t xml:space="preserve">Strategický dokument pro daný cíl pro období 2020+. </w:t>
            </w:r>
            <w:r w:rsidRPr="005A0E7C">
              <w:rPr>
                <w:rFonts w:eastAsiaTheme="majorEastAsia"/>
              </w:rPr>
              <w:t xml:space="preserve">Navržené indikativní dílčí cíle podpory byly tedy vytvořeny v souladu s aktuálními trendy, programovým prohlášením vlády a rovněž Strategickým rámcem Česká republika 2030. </w:t>
            </w:r>
          </w:p>
          <w:p w14:paraId="28F77C6D" w14:textId="77777777" w:rsidR="00DD3EFA" w:rsidRPr="005A0E7C" w:rsidRDefault="00DD3EFA" w:rsidP="00B15ECB">
            <w:pPr>
              <w:spacing w:before="60" w:after="60"/>
              <w:rPr>
                <w:rFonts w:eastAsiaTheme="majorEastAsia"/>
              </w:rPr>
            </w:pPr>
            <w:r w:rsidRPr="005A0E7C">
              <w:rPr>
                <w:rFonts w:eastAsiaTheme="majorEastAsia"/>
              </w:rPr>
              <w:t xml:space="preserve">V jednotlivých prioritních oblastech se jedná o dílčí cíle podpory a jednotlivé aktivity: </w:t>
            </w:r>
          </w:p>
          <w:p w14:paraId="396D2E7A" w14:textId="77777777" w:rsidR="00DD3EFA" w:rsidRPr="005A0E7C" w:rsidRDefault="00DD3EFA" w:rsidP="00391907">
            <w:pPr>
              <w:pStyle w:val="Odstavecseseznamem"/>
              <w:numPr>
                <w:ilvl w:val="0"/>
                <w:numId w:val="42"/>
              </w:numPr>
              <w:spacing w:before="60" w:after="60"/>
              <w:jc w:val="both"/>
            </w:pPr>
            <w:r w:rsidRPr="005A0E7C">
              <w:t>Prevence a zvyšování zdravotní gramotnosti, zvyšování motivace občanů k vlastnímu zdraví</w:t>
            </w:r>
          </w:p>
          <w:p w14:paraId="2C9CBFBC" w14:textId="77777777" w:rsidR="00DD3EFA" w:rsidRPr="005A0E7C" w:rsidRDefault="00DD3EFA" w:rsidP="00391907">
            <w:pPr>
              <w:pStyle w:val="Odstavecseseznamem"/>
              <w:numPr>
                <w:ilvl w:val="0"/>
                <w:numId w:val="34"/>
              </w:numPr>
              <w:spacing w:before="60" w:after="60"/>
              <w:jc w:val="both"/>
            </w:pPr>
            <w:r w:rsidRPr="005A0E7C">
              <w:t>Preventivní programy – obecné pro celou Českou republiku – podpora zdravého životního stylu</w:t>
            </w:r>
          </w:p>
          <w:p w14:paraId="147458BB" w14:textId="77777777" w:rsidR="00DD3EFA" w:rsidRPr="005A0E7C" w:rsidRDefault="00DD3EFA" w:rsidP="00391907">
            <w:pPr>
              <w:pStyle w:val="Odstavecseseznamem"/>
              <w:numPr>
                <w:ilvl w:val="0"/>
                <w:numId w:val="34"/>
              </w:numPr>
              <w:spacing w:before="60" w:after="60"/>
              <w:jc w:val="both"/>
            </w:pPr>
            <w:r w:rsidRPr="005A0E7C">
              <w:t>Preventivní programy – zaměřené na určité sociální skupiny obyvatel</w:t>
            </w:r>
          </w:p>
          <w:p w14:paraId="4E7CB1B5" w14:textId="77777777" w:rsidR="00DD3EFA" w:rsidRPr="005A0E7C" w:rsidRDefault="00DD3EFA" w:rsidP="00391907">
            <w:pPr>
              <w:pStyle w:val="Odstavecseseznamem"/>
              <w:numPr>
                <w:ilvl w:val="0"/>
                <w:numId w:val="34"/>
              </w:numPr>
              <w:spacing w:before="60" w:after="60"/>
              <w:jc w:val="both"/>
            </w:pPr>
            <w:r w:rsidRPr="005A0E7C">
              <w:t>Preventivní programy – zaměřené na určitá území se specifickými problémy (strukturálně postižené regiony, sociálně vyloučené lokality)</w:t>
            </w:r>
          </w:p>
          <w:p w14:paraId="20BA5A4D" w14:textId="77777777" w:rsidR="00DD3EFA" w:rsidRPr="005A0E7C" w:rsidRDefault="00DD3EFA" w:rsidP="00391907">
            <w:pPr>
              <w:pStyle w:val="Odstavecseseznamem"/>
              <w:numPr>
                <w:ilvl w:val="0"/>
                <w:numId w:val="34"/>
              </w:numPr>
              <w:spacing w:before="60" w:after="60"/>
              <w:jc w:val="both"/>
            </w:pPr>
            <w:r w:rsidRPr="005A0E7C">
              <w:t xml:space="preserve">Preventivní programy – podpora duševního zdraví (vazba na prioritu Integrace zdravotní a sociální péče)  </w:t>
            </w:r>
          </w:p>
          <w:p w14:paraId="282704E1" w14:textId="77777777" w:rsidR="00DD3EFA" w:rsidRPr="005A0E7C" w:rsidRDefault="00DD3EFA" w:rsidP="00391907">
            <w:pPr>
              <w:pStyle w:val="Odstavecseseznamem"/>
              <w:numPr>
                <w:ilvl w:val="0"/>
                <w:numId w:val="34"/>
              </w:numPr>
              <w:spacing w:before="60" w:after="60"/>
              <w:jc w:val="both"/>
            </w:pPr>
            <w:r w:rsidRPr="005A0E7C">
              <w:t xml:space="preserve">Programy podpory zdravotní gramotnosti – pro celou Českou republiku, pro určité sociální skupiny obyvatel, zaměřená na určitá území se specifickými problémy </w:t>
            </w:r>
          </w:p>
          <w:p w14:paraId="7BF2FB75" w14:textId="77777777" w:rsidR="00DD3EFA" w:rsidRPr="005A0E7C" w:rsidRDefault="00DD3EFA" w:rsidP="00391907">
            <w:pPr>
              <w:pStyle w:val="Odstavecseseznamem"/>
              <w:numPr>
                <w:ilvl w:val="0"/>
                <w:numId w:val="34"/>
              </w:numPr>
              <w:spacing w:before="60" w:after="60"/>
              <w:jc w:val="both"/>
            </w:pPr>
            <w:r w:rsidRPr="005A0E7C">
              <w:t xml:space="preserve">Vznik a vybavení center zdraví (možná návaznost na sdružené praxe) </w:t>
            </w:r>
          </w:p>
          <w:p w14:paraId="33A5C1E6" w14:textId="77777777" w:rsidR="00DD3EFA" w:rsidRPr="005A0E7C" w:rsidRDefault="00DD3EFA" w:rsidP="00391907">
            <w:pPr>
              <w:pStyle w:val="Odstavecseseznamem"/>
              <w:numPr>
                <w:ilvl w:val="0"/>
                <w:numId w:val="34"/>
              </w:numPr>
              <w:spacing w:before="60" w:after="60"/>
              <w:jc w:val="both"/>
            </w:pPr>
            <w:r w:rsidRPr="005A0E7C">
              <w:t>Nemocnice a zdravotnická zařízení podporující zdraví</w:t>
            </w:r>
          </w:p>
          <w:p w14:paraId="790C5AE9" w14:textId="77777777" w:rsidR="00DD3EFA" w:rsidRPr="005A0E7C" w:rsidRDefault="00DD3EFA" w:rsidP="00391907">
            <w:pPr>
              <w:pStyle w:val="Odstavecseseznamem"/>
              <w:numPr>
                <w:ilvl w:val="0"/>
                <w:numId w:val="34"/>
              </w:numPr>
              <w:spacing w:before="60" w:after="60"/>
              <w:jc w:val="both"/>
            </w:pPr>
            <w:r w:rsidRPr="005A0E7C">
              <w:t xml:space="preserve">Nemocnice a zdravotnická zařízení bez tabáku </w:t>
            </w:r>
          </w:p>
          <w:p w14:paraId="6A088BFC" w14:textId="77777777" w:rsidR="00DD3EFA" w:rsidRPr="005A0E7C" w:rsidRDefault="00DD3EFA" w:rsidP="00B15ECB">
            <w:pPr>
              <w:pStyle w:val="Odstavecseseznamem"/>
              <w:spacing w:before="60" w:after="60"/>
            </w:pPr>
          </w:p>
          <w:p w14:paraId="64EF3FC0" w14:textId="77777777" w:rsidR="00DD3EFA" w:rsidRPr="005A0E7C" w:rsidRDefault="00DD3EFA" w:rsidP="00391907">
            <w:pPr>
              <w:pStyle w:val="Odstavecseseznamem"/>
              <w:numPr>
                <w:ilvl w:val="0"/>
                <w:numId w:val="42"/>
              </w:numPr>
              <w:spacing w:before="60" w:after="60"/>
              <w:jc w:val="both"/>
            </w:pPr>
            <w:r w:rsidRPr="005A0E7C">
              <w:t xml:space="preserve"> Reforma primární péče</w:t>
            </w:r>
          </w:p>
          <w:p w14:paraId="496D9698" w14:textId="77777777" w:rsidR="00DD3EFA" w:rsidRPr="005A0E7C" w:rsidRDefault="00DD3EFA" w:rsidP="00391907">
            <w:pPr>
              <w:pStyle w:val="Odstavecseseznamem"/>
              <w:numPr>
                <w:ilvl w:val="0"/>
                <w:numId w:val="34"/>
              </w:numPr>
              <w:spacing w:before="60" w:after="60"/>
              <w:jc w:val="both"/>
            </w:pPr>
            <w:r w:rsidRPr="005A0E7C">
              <w:t xml:space="preserve">Vznik a vybavení sdružených praxí (možná návaznost na centra zdraví a případně i sociální služby – viz příklad ze Slovenska - „centra integrovanej zdravotnej starostlivosti“, kde jsou poskytovány i určité sociální služby) </w:t>
            </w:r>
          </w:p>
          <w:p w14:paraId="0C372A00" w14:textId="77777777" w:rsidR="00DD3EFA" w:rsidRPr="005A0E7C" w:rsidRDefault="00DD3EFA" w:rsidP="00391907">
            <w:pPr>
              <w:pStyle w:val="Odstavecseseznamem"/>
              <w:numPr>
                <w:ilvl w:val="0"/>
                <w:numId w:val="34"/>
              </w:numPr>
              <w:spacing w:before="60" w:after="60"/>
              <w:jc w:val="both"/>
            </w:pPr>
            <w:r w:rsidRPr="005A0E7C">
              <w:t>Modernizace urgentních příjmů</w:t>
            </w:r>
          </w:p>
          <w:p w14:paraId="3B53013D" w14:textId="77777777" w:rsidR="00DD3EFA" w:rsidRPr="005A0E7C" w:rsidRDefault="00DD3EFA" w:rsidP="00391907">
            <w:pPr>
              <w:pStyle w:val="Odstavecseseznamem"/>
              <w:numPr>
                <w:ilvl w:val="0"/>
                <w:numId w:val="34"/>
              </w:numPr>
              <w:spacing w:before="60" w:after="60"/>
              <w:jc w:val="both"/>
            </w:pPr>
            <w:r w:rsidRPr="005A0E7C">
              <w:t xml:space="preserve">Pořízení vybavení ordinací primární péče dle navržených standardů </w:t>
            </w:r>
          </w:p>
          <w:p w14:paraId="7A6366AF" w14:textId="77777777" w:rsidR="00DD3EFA" w:rsidRPr="005A0E7C" w:rsidRDefault="00DD3EFA" w:rsidP="00391907">
            <w:pPr>
              <w:pStyle w:val="Odstavecseseznamem"/>
              <w:numPr>
                <w:ilvl w:val="0"/>
                <w:numId w:val="34"/>
              </w:numPr>
              <w:spacing w:before="60" w:after="60"/>
              <w:jc w:val="both"/>
            </w:pPr>
            <w:r w:rsidRPr="005A0E7C">
              <w:t xml:space="preserve">Programy na zvýšení dostupnosti primární péče v oblastech s nedostatečným pokrytím </w:t>
            </w:r>
          </w:p>
          <w:p w14:paraId="52674C7F" w14:textId="77777777" w:rsidR="00DD3EFA" w:rsidRPr="005A0E7C" w:rsidRDefault="00DD3EFA" w:rsidP="00B15ECB">
            <w:pPr>
              <w:pStyle w:val="Odstavecseseznamem"/>
              <w:spacing w:before="60" w:after="60"/>
              <w:ind w:left="970"/>
            </w:pPr>
          </w:p>
          <w:p w14:paraId="5FEE86F7" w14:textId="77777777" w:rsidR="00DD3EFA" w:rsidRPr="005A0E7C" w:rsidRDefault="00DD3EFA" w:rsidP="00391907">
            <w:pPr>
              <w:pStyle w:val="Odstavecseseznamem"/>
              <w:numPr>
                <w:ilvl w:val="0"/>
                <w:numId w:val="42"/>
              </w:numPr>
              <w:spacing w:before="60" w:after="60"/>
              <w:jc w:val="both"/>
            </w:pPr>
            <w:r w:rsidRPr="005A0E7C">
              <w:t xml:space="preserve">Personální stabilizace resortu zdravotnictví včetně přizpůsobení vzdělávání aktuálním potřebám </w:t>
            </w:r>
          </w:p>
          <w:p w14:paraId="5CBCA1F9" w14:textId="77777777" w:rsidR="00DD3EFA" w:rsidRPr="005A0E7C" w:rsidRDefault="00DD3EFA" w:rsidP="00B15ECB">
            <w:pPr>
              <w:pStyle w:val="Odstavecseseznamem"/>
              <w:spacing w:before="60" w:after="60"/>
              <w:ind w:left="970"/>
            </w:pPr>
          </w:p>
          <w:p w14:paraId="4B9EAB0B" w14:textId="77777777" w:rsidR="00DD3EFA" w:rsidRPr="005A0E7C" w:rsidRDefault="00DD3EFA" w:rsidP="00391907">
            <w:pPr>
              <w:pStyle w:val="Odstavecseseznamem"/>
              <w:numPr>
                <w:ilvl w:val="0"/>
                <w:numId w:val="34"/>
              </w:numPr>
              <w:spacing w:before="60" w:after="60" w:line="259" w:lineRule="auto"/>
              <w:jc w:val="both"/>
            </w:pPr>
            <w:r w:rsidRPr="005A0E7C">
              <w:t>Vytvoření centrálního systému řízení postgraduálního vzdělávání zdravotnických pracovníků propojujícího informace o zdravotnických pracovnících zařazených do vzdělávání, požadavky vzdělávacích programů, požadavky na akreditovaná zařízení a jejich hodnocení.</w:t>
            </w:r>
          </w:p>
          <w:p w14:paraId="211499D1" w14:textId="77777777" w:rsidR="00DD3EFA" w:rsidRPr="005A0E7C" w:rsidRDefault="00DD3EFA" w:rsidP="00391907">
            <w:pPr>
              <w:pStyle w:val="Odstavecseseznamem"/>
              <w:numPr>
                <w:ilvl w:val="0"/>
                <w:numId w:val="34"/>
              </w:numPr>
              <w:spacing w:before="60" w:after="60"/>
              <w:jc w:val="both"/>
            </w:pPr>
            <w:r w:rsidRPr="005A0E7C">
              <w:t xml:space="preserve">Zmapování potřeb – počtu lékařských i nelékařských pracovníků s ohledem na předpokládaný vývoj sítě poskytovatelů péče </w:t>
            </w:r>
          </w:p>
          <w:p w14:paraId="2E5DB215" w14:textId="77777777" w:rsidR="00DD3EFA" w:rsidRPr="005A0E7C" w:rsidRDefault="00DD3EFA" w:rsidP="00391907">
            <w:pPr>
              <w:pStyle w:val="Odstavecseseznamem"/>
              <w:numPr>
                <w:ilvl w:val="0"/>
                <w:numId w:val="34"/>
              </w:numPr>
              <w:spacing w:before="60" w:after="60"/>
              <w:jc w:val="both"/>
            </w:pPr>
            <w:r w:rsidRPr="005A0E7C">
              <w:t>Zmapování nutných kompetencí z hlediska aktuálních trendů v jednotlivých oborech</w:t>
            </w:r>
          </w:p>
          <w:p w14:paraId="5B858A39" w14:textId="77777777" w:rsidR="00DD3EFA" w:rsidRPr="005A0E7C" w:rsidRDefault="00DD3EFA" w:rsidP="00391907">
            <w:pPr>
              <w:pStyle w:val="Odstavecseseznamem"/>
              <w:numPr>
                <w:ilvl w:val="0"/>
                <w:numId w:val="34"/>
              </w:numPr>
              <w:spacing w:before="60" w:after="60"/>
              <w:jc w:val="both"/>
            </w:pPr>
            <w:r w:rsidRPr="005A0E7C">
              <w:t xml:space="preserve">Přizpůsobení kompetencí, doporučených postupů a vzdělávacích plánů aktuálním podmínkám a rozvoji oboru </w:t>
            </w:r>
          </w:p>
          <w:p w14:paraId="2D148832" w14:textId="77777777" w:rsidR="00DD3EFA" w:rsidRPr="005A0E7C" w:rsidRDefault="00DD3EFA" w:rsidP="00391907">
            <w:pPr>
              <w:pStyle w:val="Odstavecseseznamem"/>
              <w:numPr>
                <w:ilvl w:val="0"/>
                <w:numId w:val="34"/>
              </w:numPr>
              <w:spacing w:before="60" w:after="60"/>
              <w:jc w:val="both"/>
            </w:pPr>
            <w:r w:rsidRPr="005A0E7C">
              <w:t xml:space="preserve">Vzdělávání vedoucí k integraci zahraničních zdravotnických pracovníků </w:t>
            </w:r>
          </w:p>
          <w:p w14:paraId="07B9B7B1" w14:textId="77777777" w:rsidR="00DD3EFA" w:rsidRPr="005A0E7C" w:rsidRDefault="00DD3EFA" w:rsidP="00391907">
            <w:pPr>
              <w:pStyle w:val="Odstavecseseznamem"/>
              <w:numPr>
                <w:ilvl w:val="0"/>
                <w:numId w:val="34"/>
              </w:numPr>
              <w:spacing w:before="60" w:after="60"/>
              <w:jc w:val="both"/>
            </w:pPr>
            <w:r w:rsidRPr="005A0E7C">
              <w:t xml:space="preserve">Postgraduální vzdělávání v souladu s aktuálními podmínkami a rozvojem oboru </w:t>
            </w:r>
          </w:p>
          <w:p w14:paraId="7AC8A663" w14:textId="77777777" w:rsidR="00DD3EFA" w:rsidRPr="005A0E7C" w:rsidRDefault="00DD3EFA" w:rsidP="00B15ECB">
            <w:pPr>
              <w:spacing w:before="60" w:after="60"/>
            </w:pPr>
          </w:p>
          <w:p w14:paraId="7EA420CB" w14:textId="77777777" w:rsidR="00DD3EFA" w:rsidRPr="005A0E7C" w:rsidRDefault="00DD3EFA" w:rsidP="00391907">
            <w:pPr>
              <w:pStyle w:val="Odstavecseseznamem"/>
              <w:numPr>
                <w:ilvl w:val="0"/>
                <w:numId w:val="42"/>
              </w:numPr>
              <w:spacing w:before="60" w:after="60"/>
              <w:jc w:val="both"/>
            </w:pPr>
            <w:r w:rsidRPr="005A0E7C">
              <w:t>Integrace zdravotní a sociální péče</w:t>
            </w:r>
          </w:p>
          <w:p w14:paraId="798AFD42" w14:textId="77777777" w:rsidR="00DD3EFA" w:rsidRPr="005A0E7C" w:rsidRDefault="00DD3EFA" w:rsidP="00391907">
            <w:pPr>
              <w:pStyle w:val="Odstavecseseznamem"/>
              <w:numPr>
                <w:ilvl w:val="0"/>
                <w:numId w:val="34"/>
              </w:numPr>
              <w:spacing w:before="60" w:after="60"/>
              <w:jc w:val="both"/>
            </w:pPr>
            <w:r w:rsidRPr="005A0E7C">
              <w:t xml:space="preserve">Systémové projekty na definici potřebných kroků pro integraci zdravotních a sociálních služeb dle jednotlivých typů péče </w:t>
            </w:r>
          </w:p>
          <w:p w14:paraId="6422D45F" w14:textId="77777777" w:rsidR="00DD3EFA" w:rsidRPr="005A0E7C" w:rsidRDefault="00DD3EFA" w:rsidP="00391907">
            <w:pPr>
              <w:pStyle w:val="Odstavecseseznamem"/>
              <w:numPr>
                <w:ilvl w:val="0"/>
                <w:numId w:val="34"/>
              </w:numPr>
              <w:spacing w:before="60" w:after="60"/>
              <w:jc w:val="both"/>
            </w:pPr>
            <w:r w:rsidRPr="005A0E7C">
              <w:t xml:space="preserve">Pilotní ověření fungování jednotlivých integrovaných  zdravotně - sociálních služeb </w:t>
            </w:r>
          </w:p>
          <w:p w14:paraId="273A230B" w14:textId="77777777" w:rsidR="00DD3EFA" w:rsidRPr="005A0E7C" w:rsidRDefault="00DD3EFA" w:rsidP="00B15ECB">
            <w:pPr>
              <w:pStyle w:val="Odstavecseseznamem"/>
              <w:spacing w:before="60" w:after="60"/>
            </w:pPr>
          </w:p>
          <w:p w14:paraId="7C5F315D" w14:textId="77777777" w:rsidR="00DD3EFA" w:rsidRPr="005A0E7C" w:rsidRDefault="00DD3EFA" w:rsidP="00391907">
            <w:pPr>
              <w:pStyle w:val="Odstavecseseznamem"/>
              <w:numPr>
                <w:ilvl w:val="0"/>
                <w:numId w:val="42"/>
              </w:numPr>
              <w:spacing w:before="60" w:after="60"/>
              <w:jc w:val="both"/>
            </w:pPr>
            <w:r w:rsidRPr="005A0E7C">
              <w:t xml:space="preserve">Věda a výzkum v oblasti zdravotnictví </w:t>
            </w:r>
          </w:p>
          <w:p w14:paraId="6AF5AADA" w14:textId="77777777" w:rsidR="00DD3EFA" w:rsidRPr="005A0E7C" w:rsidRDefault="00DD3EFA" w:rsidP="00B15ECB">
            <w:pPr>
              <w:spacing w:before="60" w:after="60"/>
              <w:rPr>
                <w:i/>
              </w:rPr>
            </w:pPr>
            <w:r w:rsidRPr="005A0E7C">
              <w:rPr>
                <w:i/>
              </w:rPr>
              <w:t>Oblast bude řešena v individuální kartě zaměřené na vědu a výzkum.</w:t>
            </w:r>
          </w:p>
          <w:p w14:paraId="6DA866F4" w14:textId="77777777" w:rsidR="00DD3EFA" w:rsidRPr="005A0E7C" w:rsidRDefault="00DD3EFA" w:rsidP="00391907">
            <w:pPr>
              <w:pStyle w:val="Odstavecseseznamem"/>
              <w:numPr>
                <w:ilvl w:val="0"/>
                <w:numId w:val="42"/>
              </w:numPr>
              <w:spacing w:before="60" w:after="60"/>
              <w:jc w:val="both"/>
            </w:pPr>
            <w:r w:rsidRPr="005A0E7C">
              <w:t xml:space="preserve">Digitalizace zdravotnictví </w:t>
            </w:r>
          </w:p>
          <w:p w14:paraId="70827EEC" w14:textId="77777777" w:rsidR="00DD3EFA" w:rsidRPr="005A0E7C" w:rsidRDefault="00DD3EFA" w:rsidP="00B15ECB">
            <w:pPr>
              <w:pStyle w:val="Normlnweb"/>
              <w:jc w:val="both"/>
              <w:rPr>
                <w:color w:val="C00000"/>
                <w:sz w:val="20"/>
                <w:szCs w:val="20"/>
              </w:rPr>
            </w:pPr>
            <w:r w:rsidRPr="005A0E7C">
              <w:rPr>
                <w:color w:val="C00000"/>
                <w:sz w:val="20"/>
                <w:szCs w:val="20"/>
              </w:rPr>
              <w:t>.</w:t>
            </w:r>
          </w:p>
          <w:p w14:paraId="594C0D4F" w14:textId="77777777" w:rsidR="00DD3EFA" w:rsidRPr="005A0E7C" w:rsidRDefault="00DD3EFA" w:rsidP="00391907">
            <w:pPr>
              <w:pStyle w:val="Normlnweb"/>
              <w:numPr>
                <w:ilvl w:val="0"/>
                <w:numId w:val="34"/>
              </w:numPr>
              <w:jc w:val="both"/>
              <w:rPr>
                <w:sz w:val="20"/>
                <w:szCs w:val="20"/>
              </w:rPr>
            </w:pPr>
            <w:r w:rsidRPr="005A0E7C">
              <w:rPr>
                <w:sz w:val="20"/>
                <w:szCs w:val="20"/>
              </w:rPr>
              <w:t xml:space="preserve">Realizace národního zdravotnického informačního portálu, který bude sloužit jako hlavní zdroj informací o zdraví a zdravotnictví pro občana a jako zdroj státem garantovaných informací pro odborné pracovníky ve zdravotnictví. </w:t>
            </w:r>
          </w:p>
          <w:p w14:paraId="55A766FD" w14:textId="77777777" w:rsidR="00DD3EFA" w:rsidRPr="005A0E7C" w:rsidRDefault="00DD3EFA" w:rsidP="00391907">
            <w:pPr>
              <w:pStyle w:val="Normlnweb"/>
              <w:numPr>
                <w:ilvl w:val="0"/>
                <w:numId w:val="34"/>
              </w:numPr>
              <w:jc w:val="both"/>
              <w:rPr>
                <w:sz w:val="20"/>
                <w:szCs w:val="20"/>
              </w:rPr>
            </w:pPr>
            <w:r w:rsidRPr="005A0E7C">
              <w:rPr>
                <w:sz w:val="20"/>
                <w:szCs w:val="20"/>
              </w:rPr>
              <w:t>Unifikace a elektronizace zdravotnické dokumentace a dalších dokumentů, které souvisejí s úhradou a péčí o pacienta.</w:t>
            </w:r>
          </w:p>
          <w:p w14:paraId="1226E934" w14:textId="77777777" w:rsidR="00DD3EFA" w:rsidRPr="005A0E7C" w:rsidRDefault="00DD3EFA" w:rsidP="00391907">
            <w:pPr>
              <w:pStyle w:val="Normlnweb"/>
              <w:numPr>
                <w:ilvl w:val="0"/>
                <w:numId w:val="34"/>
              </w:numPr>
              <w:jc w:val="both"/>
              <w:rPr>
                <w:sz w:val="20"/>
                <w:szCs w:val="20"/>
              </w:rPr>
            </w:pPr>
            <w:r w:rsidRPr="005A0E7C">
              <w:rPr>
                <w:sz w:val="20"/>
                <w:szCs w:val="20"/>
              </w:rPr>
              <w:t>Vytvoření organizačního a právního rámce elektronizace a technické a informační infrastruktury s cílem dosažení navzájem spolupracujícího (interoperabilního) prostředí pro všechny uživatele společných sdílených elektronických služeb ve zdravotnictví</w:t>
            </w:r>
          </w:p>
          <w:p w14:paraId="79CD3BF1" w14:textId="77777777" w:rsidR="00DD3EFA" w:rsidRPr="005A0E7C" w:rsidRDefault="00DD3EFA" w:rsidP="00391907">
            <w:pPr>
              <w:pStyle w:val="Normlnweb"/>
              <w:numPr>
                <w:ilvl w:val="0"/>
                <w:numId w:val="34"/>
              </w:numPr>
              <w:jc w:val="both"/>
              <w:rPr>
                <w:sz w:val="20"/>
                <w:szCs w:val="20"/>
              </w:rPr>
            </w:pPr>
            <w:r w:rsidRPr="005A0E7C">
              <w:rPr>
                <w:sz w:val="20"/>
                <w:szCs w:val="20"/>
              </w:rPr>
              <w:t>Realizace cílů Národní strategie elektronického zdravotnictví za účelem dobudování základních stavebních kamenů elektronizace zdravotnictví</w:t>
            </w:r>
          </w:p>
          <w:p w14:paraId="51817467" w14:textId="77777777" w:rsidR="00DD3EFA" w:rsidRPr="005A0E7C" w:rsidRDefault="00DD3EFA" w:rsidP="00391907">
            <w:pPr>
              <w:pStyle w:val="Odstavecseseznamem"/>
              <w:numPr>
                <w:ilvl w:val="0"/>
                <w:numId w:val="34"/>
              </w:numPr>
              <w:spacing w:before="60" w:after="60"/>
              <w:jc w:val="both"/>
            </w:pPr>
            <w:r w:rsidRPr="005A0E7C">
              <w:t>Zavedení sdíleného zdravotního záznamu, opírajícího se o koncept souhrnu o pacientovi</w:t>
            </w:r>
          </w:p>
          <w:p w14:paraId="6E5B63F7" w14:textId="77777777" w:rsidR="00DD3EFA" w:rsidRPr="005A0E7C" w:rsidRDefault="00DD3EFA" w:rsidP="00391907">
            <w:pPr>
              <w:pStyle w:val="Odstavecseseznamem"/>
              <w:numPr>
                <w:ilvl w:val="0"/>
                <w:numId w:val="34"/>
              </w:numPr>
              <w:spacing w:before="60" w:after="60"/>
              <w:jc w:val="both"/>
            </w:pPr>
            <w:r w:rsidRPr="005A0E7C">
              <w:t>Portál elektronického zdravotnictví s pokročilými funkcemi resortního portálu</w:t>
            </w:r>
          </w:p>
          <w:p w14:paraId="4316DEAF" w14:textId="77777777" w:rsidR="00DD3EFA" w:rsidRPr="005A0E7C" w:rsidRDefault="00DD3EFA" w:rsidP="00391907">
            <w:pPr>
              <w:pStyle w:val="Odstavecseseznamem"/>
              <w:numPr>
                <w:ilvl w:val="0"/>
                <w:numId w:val="34"/>
              </w:numPr>
              <w:spacing w:before="60" w:after="60"/>
              <w:jc w:val="both"/>
            </w:pPr>
            <w:r w:rsidRPr="005A0E7C">
              <w:t xml:space="preserve">Vytvoření integrovaného datové rozhraní resortu </w:t>
            </w:r>
          </w:p>
          <w:p w14:paraId="5F69C566" w14:textId="77777777" w:rsidR="00DD3EFA" w:rsidRPr="005A0E7C" w:rsidRDefault="00DD3EFA" w:rsidP="00391907">
            <w:pPr>
              <w:pStyle w:val="Odstavecseseznamem"/>
              <w:numPr>
                <w:ilvl w:val="0"/>
                <w:numId w:val="34"/>
              </w:numPr>
              <w:spacing w:before="60" w:after="60"/>
              <w:jc w:val="both"/>
            </w:pPr>
            <w:r w:rsidRPr="005A0E7C">
              <w:t>NZIS – modernizovaný systém s novými funkcemi</w:t>
            </w:r>
          </w:p>
          <w:p w14:paraId="77C6D47C" w14:textId="77777777" w:rsidR="00DD3EFA" w:rsidRPr="005A0E7C" w:rsidRDefault="00DD3EFA" w:rsidP="00391907">
            <w:pPr>
              <w:pStyle w:val="Odstavecseseznamem"/>
              <w:numPr>
                <w:ilvl w:val="0"/>
                <w:numId w:val="34"/>
              </w:numPr>
              <w:spacing w:before="60" w:after="60"/>
              <w:jc w:val="both"/>
            </w:pPr>
            <w:r w:rsidRPr="005A0E7C">
              <w:t xml:space="preserve">Vytvoření elektronická preskripce s pokročilými funkcemi </w:t>
            </w:r>
          </w:p>
          <w:p w14:paraId="21D2919C" w14:textId="77777777" w:rsidR="00DD3EFA" w:rsidRPr="005A0E7C" w:rsidRDefault="00DD3EFA" w:rsidP="00391907">
            <w:pPr>
              <w:pStyle w:val="Odstavecseseznamem"/>
              <w:numPr>
                <w:ilvl w:val="0"/>
                <w:numId w:val="34"/>
              </w:numPr>
              <w:spacing w:before="60" w:after="60"/>
              <w:jc w:val="both"/>
            </w:pPr>
            <w:r w:rsidRPr="005A0E7C">
              <w:t xml:space="preserve">Projekty telemedicíny a technologie mobilního zdravotnictví </w:t>
            </w:r>
          </w:p>
          <w:p w14:paraId="2628CB31" w14:textId="77777777" w:rsidR="00DD3EFA" w:rsidRPr="005A0E7C" w:rsidRDefault="00DD3EFA" w:rsidP="00391907">
            <w:pPr>
              <w:pStyle w:val="Odstavecseseznamem"/>
              <w:numPr>
                <w:ilvl w:val="0"/>
                <w:numId w:val="34"/>
              </w:numPr>
              <w:spacing w:before="60" w:after="60"/>
              <w:jc w:val="both"/>
            </w:pPr>
            <w:r w:rsidRPr="005A0E7C">
              <w:t>Projekty platforem pro komunikaci a koordinaci veřejné správy, průmyslu a akademické sféry pro účely rozvoje digitálních služeb ve zdravotnictví a v péči o zdraví</w:t>
            </w:r>
          </w:p>
          <w:p w14:paraId="0607CF27" w14:textId="77777777" w:rsidR="00DD3EFA" w:rsidRPr="005A0E7C" w:rsidRDefault="00DD3EFA" w:rsidP="00391907">
            <w:pPr>
              <w:pStyle w:val="Odstavecseseznamem"/>
              <w:numPr>
                <w:ilvl w:val="0"/>
                <w:numId w:val="34"/>
              </w:numPr>
              <w:spacing w:before="60" w:after="60"/>
              <w:jc w:val="both"/>
              <w:rPr>
                <w:color w:val="C00000"/>
                <w:lang w:eastAsia="cs-CZ"/>
              </w:rPr>
            </w:pPr>
            <w:r w:rsidRPr="005A0E7C">
              <w:t xml:space="preserve">Program rozvoje obecné i specifické digitální gramotnosti pracovníků ve zdravotnictví, Program budování důvěry ve služby digitálního zdravotnictví mezi občany i zdravotníky, Program rozvoje specifické vědeckovýzkumné základny, ap. </w:t>
            </w:r>
          </w:p>
          <w:p w14:paraId="74A2AF0E" w14:textId="77777777" w:rsidR="00DD3EFA" w:rsidRPr="005A0E7C" w:rsidRDefault="00DD3EFA" w:rsidP="00B15ECB">
            <w:pPr>
              <w:pStyle w:val="Normlnweb"/>
              <w:jc w:val="both"/>
              <w:rPr>
                <w:rFonts w:eastAsiaTheme="majorEastAsia"/>
                <w:i/>
                <w:sz w:val="20"/>
                <w:szCs w:val="20"/>
              </w:rPr>
            </w:pPr>
          </w:p>
        </w:tc>
        <w:tc>
          <w:tcPr>
            <w:tcW w:w="138" w:type="pct"/>
            <w:tcBorders>
              <w:top w:val="nil"/>
              <w:bottom w:val="nil"/>
            </w:tcBorders>
            <w:shd w:val="clear" w:color="auto" w:fill="66CCFF"/>
          </w:tcPr>
          <w:p w14:paraId="2022AC84" w14:textId="77777777" w:rsidR="00DD3EFA" w:rsidRPr="005A0E7C" w:rsidRDefault="00DD3EFA" w:rsidP="00B15ECB">
            <w:pPr>
              <w:rPr>
                <w:b/>
              </w:rPr>
            </w:pPr>
          </w:p>
        </w:tc>
      </w:tr>
      <w:tr w:rsidR="00DD3EFA" w:rsidRPr="005A0E7C" w14:paraId="6C90ABEA" w14:textId="77777777" w:rsidTr="00B15ECB">
        <w:trPr>
          <w:trHeight w:val="377"/>
        </w:trPr>
        <w:tc>
          <w:tcPr>
            <w:tcW w:w="138" w:type="pct"/>
            <w:tcBorders>
              <w:top w:val="nil"/>
              <w:bottom w:val="nil"/>
              <w:right w:val="nil"/>
            </w:tcBorders>
            <w:shd w:val="clear" w:color="auto" w:fill="66CCFF"/>
          </w:tcPr>
          <w:p w14:paraId="724F7263" w14:textId="77777777" w:rsidR="00DD3EFA" w:rsidRPr="005A0E7C" w:rsidRDefault="00DD3EFA" w:rsidP="00B15ECB">
            <w:pPr>
              <w:rPr>
                <w:b/>
              </w:rPr>
            </w:pPr>
          </w:p>
        </w:tc>
        <w:tc>
          <w:tcPr>
            <w:tcW w:w="1412" w:type="pct"/>
            <w:tcBorders>
              <w:top w:val="single" w:sz="4" w:space="0" w:color="auto"/>
              <w:left w:val="nil"/>
              <w:bottom w:val="single" w:sz="4" w:space="0" w:color="auto"/>
              <w:right w:val="nil"/>
            </w:tcBorders>
            <w:shd w:val="clear" w:color="auto" w:fill="66CCFF"/>
          </w:tcPr>
          <w:p w14:paraId="6CE42D95" w14:textId="77777777" w:rsidR="00DD3EFA" w:rsidRPr="005A0E7C" w:rsidRDefault="00DD3EFA" w:rsidP="00B15ECB">
            <w:pPr>
              <w:spacing w:before="60" w:after="60"/>
              <w:rPr>
                <w:rFonts w:eastAsiaTheme="majorEastAsia"/>
                <w:b/>
              </w:rPr>
            </w:pPr>
          </w:p>
        </w:tc>
        <w:tc>
          <w:tcPr>
            <w:tcW w:w="3312" w:type="pct"/>
            <w:tcBorders>
              <w:top w:val="single" w:sz="4" w:space="0" w:color="auto"/>
              <w:left w:val="nil"/>
              <w:bottom w:val="single" w:sz="4" w:space="0" w:color="auto"/>
              <w:right w:val="nil"/>
            </w:tcBorders>
            <w:shd w:val="clear" w:color="auto" w:fill="66CCFF"/>
          </w:tcPr>
          <w:p w14:paraId="08B5A372" w14:textId="77777777" w:rsidR="00DD3EFA" w:rsidRPr="005A0E7C" w:rsidRDefault="00DD3EFA" w:rsidP="00B15ECB">
            <w:pPr>
              <w:spacing w:before="60" w:after="60"/>
              <w:rPr>
                <w:rFonts w:eastAsiaTheme="majorEastAsia"/>
                <w:i/>
              </w:rPr>
            </w:pPr>
          </w:p>
        </w:tc>
        <w:tc>
          <w:tcPr>
            <w:tcW w:w="138" w:type="pct"/>
            <w:tcBorders>
              <w:top w:val="nil"/>
              <w:left w:val="nil"/>
              <w:bottom w:val="nil"/>
            </w:tcBorders>
            <w:shd w:val="clear" w:color="auto" w:fill="66CCFF"/>
          </w:tcPr>
          <w:p w14:paraId="3B4BF8B3" w14:textId="77777777" w:rsidR="00DD3EFA" w:rsidRPr="005A0E7C" w:rsidRDefault="00DD3EFA" w:rsidP="00B15ECB">
            <w:pPr>
              <w:rPr>
                <w:b/>
              </w:rPr>
            </w:pPr>
          </w:p>
        </w:tc>
      </w:tr>
      <w:tr w:rsidR="00DD3EFA" w:rsidRPr="005A0E7C" w14:paraId="2B889DF5" w14:textId="77777777" w:rsidTr="00B15ECB">
        <w:trPr>
          <w:trHeight w:val="1202"/>
        </w:trPr>
        <w:tc>
          <w:tcPr>
            <w:tcW w:w="138" w:type="pct"/>
            <w:tcBorders>
              <w:top w:val="nil"/>
              <w:bottom w:val="nil"/>
            </w:tcBorders>
            <w:shd w:val="clear" w:color="auto" w:fill="66CCFF"/>
          </w:tcPr>
          <w:p w14:paraId="05201564" w14:textId="77777777" w:rsidR="00DD3EFA" w:rsidRPr="005A0E7C" w:rsidRDefault="00DD3EFA" w:rsidP="00B15ECB">
            <w:pPr>
              <w:rPr>
                <w:b/>
              </w:rPr>
            </w:pPr>
          </w:p>
        </w:tc>
        <w:tc>
          <w:tcPr>
            <w:tcW w:w="4724" w:type="pct"/>
            <w:gridSpan w:val="2"/>
            <w:tcBorders>
              <w:top w:val="single" w:sz="4" w:space="0" w:color="auto"/>
              <w:bottom w:val="single" w:sz="4" w:space="0" w:color="auto"/>
            </w:tcBorders>
            <w:shd w:val="clear" w:color="auto" w:fill="FFFFFF" w:themeFill="background1"/>
          </w:tcPr>
          <w:p w14:paraId="3AE147AA"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138" w:type="pct"/>
            <w:tcBorders>
              <w:top w:val="nil"/>
              <w:bottom w:val="nil"/>
            </w:tcBorders>
            <w:shd w:val="clear" w:color="auto" w:fill="66CCFF"/>
          </w:tcPr>
          <w:p w14:paraId="6F871048" w14:textId="77777777" w:rsidR="00DD3EFA" w:rsidRPr="005A0E7C" w:rsidRDefault="00DD3EFA" w:rsidP="00B15ECB">
            <w:pPr>
              <w:rPr>
                <w:b/>
              </w:rPr>
            </w:pPr>
          </w:p>
        </w:tc>
      </w:tr>
      <w:tr w:rsidR="00DD3EFA" w:rsidRPr="005A0E7C" w14:paraId="08B92EA9" w14:textId="77777777" w:rsidTr="00B15ECB">
        <w:trPr>
          <w:trHeight w:val="1202"/>
        </w:trPr>
        <w:tc>
          <w:tcPr>
            <w:tcW w:w="138" w:type="pct"/>
            <w:tcBorders>
              <w:top w:val="nil"/>
              <w:bottom w:val="nil"/>
            </w:tcBorders>
            <w:shd w:val="clear" w:color="auto" w:fill="66CCFF"/>
          </w:tcPr>
          <w:p w14:paraId="332086F6"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01E665BC"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Územní dimenze</w:t>
            </w:r>
          </w:p>
          <w:p w14:paraId="7ED99304" w14:textId="77777777" w:rsidR="00DD3EFA" w:rsidRPr="005A0E7C" w:rsidRDefault="00DD3EFA" w:rsidP="00B15ECB">
            <w:pPr>
              <w:spacing w:before="60" w:after="60"/>
              <w:rPr>
                <w:rFonts w:eastAsiaTheme="majorEastAsia"/>
                <w:b/>
              </w:rPr>
            </w:pPr>
          </w:p>
        </w:tc>
        <w:tc>
          <w:tcPr>
            <w:tcW w:w="3312" w:type="pct"/>
            <w:tcBorders>
              <w:bottom w:val="single" w:sz="4" w:space="0" w:color="auto"/>
            </w:tcBorders>
            <w:shd w:val="clear" w:color="auto" w:fill="FFFFFF" w:themeFill="background1"/>
          </w:tcPr>
          <w:p w14:paraId="7BEA09B9" w14:textId="77777777" w:rsidR="00DD3EFA" w:rsidRPr="005A0E7C" w:rsidRDefault="00DD3EFA" w:rsidP="00B15ECB">
            <w:r w:rsidRPr="005A0E7C">
              <w:t xml:space="preserve">Ukazatele kvality zdraví obyvatel vykazují v některých ohledech značné regionální rozdíly, jako faktory, které se podílí např. na rozdílné míře střední délky života při narození, lze označit především socioekonomické faktory (např. nezaměstnanost především dlouhodobá) a rizikové faktory v rámci životního stylu. Podle zprávy OECD střední délka života v nejvíce znevýhodněném okrese je o 2,5 roku nižší, než činí průměr. </w:t>
            </w:r>
          </w:p>
          <w:p w14:paraId="5C83E622" w14:textId="77777777" w:rsidR="00DD3EFA" w:rsidRPr="005A0E7C" w:rsidRDefault="00DD3EFA" w:rsidP="00B15ECB">
            <w:pPr>
              <w:rPr>
                <w:i/>
              </w:rPr>
            </w:pPr>
          </w:p>
          <w:p w14:paraId="4B207DCB" w14:textId="77777777" w:rsidR="00DD3EFA" w:rsidRPr="005A0E7C" w:rsidRDefault="00DD3EFA" w:rsidP="00B15ECB">
            <w:pPr>
              <w:rPr>
                <w:i/>
              </w:rPr>
            </w:pPr>
            <w:r w:rsidRPr="005A0E7C">
              <w:rPr>
                <w:i/>
              </w:rPr>
              <w:t xml:space="preserve">Střední délka života při narození dle okresů (průměr 2012 – 2016) </w:t>
            </w:r>
          </w:p>
          <w:p w14:paraId="3886AD9D" w14:textId="77777777" w:rsidR="00DD3EFA" w:rsidRPr="005A0E7C" w:rsidRDefault="00DD3EFA" w:rsidP="00B15ECB">
            <w:r w:rsidRPr="005A0E7C">
              <w:rPr>
                <w:noProof/>
                <w:lang w:eastAsia="cs-CZ"/>
              </w:rPr>
              <w:drawing>
                <wp:inline distT="0" distB="0" distL="0" distR="0" wp14:anchorId="6552BF48" wp14:editId="32811E60">
                  <wp:extent cx="4098547" cy="1938554"/>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8541" cy="1943281"/>
                          </a:xfrm>
                          <a:prstGeom prst="rect">
                            <a:avLst/>
                          </a:prstGeom>
                          <a:noFill/>
                          <a:ln>
                            <a:noFill/>
                          </a:ln>
                        </pic:spPr>
                      </pic:pic>
                    </a:graphicData>
                  </a:graphic>
                </wp:inline>
              </w:drawing>
            </w:r>
          </w:p>
          <w:p w14:paraId="21BF23D9"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 xml:space="preserve">Zdroj: OECD2018, podle dat Českého statistického úřadu </w:t>
            </w:r>
          </w:p>
          <w:p w14:paraId="3CCEFE12"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Z hlediska dostupnosti zdravotnických služeb vykazuje problematický trend snižující se počet samostatných ordinací praktického lékaře pro dospělé na 10 000 obyvatel v krajích, kde ve většině regionů došlo v období 2005-2015 k poklesu praktických lékařů. Poměrně nízký počet praktických lékařů na obyvatele zaznamenal Středočeský kraj, což je dáno kombinací dvou efektů – přílivem nových obyvatel do Středočeského kraje v důsledku suburbanizace a nedostatečnou generační obměnou praktických lékařů zejména v oblasti vnitřních periferií Středočeského kraje. </w:t>
            </w:r>
          </w:p>
          <w:p w14:paraId="6BF5C1E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 regionální nebo lokální dostupností péče (s přihlédnutím ke specifikům příhraničních oblastí, odlehlých oblastí a strukturálně postižených krajů se skladbou obyvatel v nízké socioekonomické příjmové skupině) souvisí rovněž nákladová efektivita zdravotnických služeb. Součástí řešení je posilování služeb zdravotně-sociálního pomezí a rozvoj komunitních služeb a multidisciplinárních týmů a propojení (ve smyslu návaznosti) sítě vzájemně navazujících zdravotních a sociálních služeb.</w:t>
            </w:r>
          </w:p>
          <w:p w14:paraId="4E1C415C"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Pokud jde o územní dimenzi podpory, lze očekávat jak intervence prováděné na národní úrovni (systémové projekty primární prevence, projekty e-Health) i projekty regionální, ale i mikroregionální. Vzhledem k plánované podpoře primární péče bude na rozdíl od současného období využitelný specifický cíl i pro budoucí podporu v rámci MAS (Místní akční skupiny), IPRM (Integrovaný plán rozvoje měst) a IPRÚ (Integrované plány rozvoje území), pokud dané platformy stanoví, že zachování a modernizace základní zdravotní péče je prioritou pro rozvoj na jejich území. </w:t>
            </w:r>
          </w:p>
          <w:p w14:paraId="2D04583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Pokud jde o jednotlivé resortní priority, tak u každé lze definovat následují územní dimenzi: </w:t>
            </w:r>
          </w:p>
          <w:p w14:paraId="1AB9F2A1" w14:textId="77777777" w:rsidR="00DD3EFA" w:rsidRPr="005A0E7C" w:rsidRDefault="00DD3EFA" w:rsidP="00391907">
            <w:pPr>
              <w:pStyle w:val="Odstavecseseznamem"/>
              <w:numPr>
                <w:ilvl w:val="0"/>
                <w:numId w:val="38"/>
              </w:numPr>
              <w:spacing w:before="60" w:after="60"/>
              <w:jc w:val="both"/>
            </w:pPr>
            <w:r w:rsidRPr="005A0E7C">
              <w:t>Prevence a zvyšování zdravotní gramotnosti, zvyšování motivace občanů k vlastnímu zdraví</w:t>
            </w:r>
          </w:p>
          <w:p w14:paraId="6A9DD57D" w14:textId="77777777" w:rsidR="00DD3EFA" w:rsidRPr="005A0E7C" w:rsidRDefault="00DD3EFA" w:rsidP="00B15ECB">
            <w:pPr>
              <w:spacing w:before="60" w:after="60"/>
            </w:pPr>
            <w:r w:rsidRPr="005A0E7C">
              <w:t xml:space="preserve">Lze očekávat jak systémové projekty primární prevence, tak speciální programy prevence pro specifická území včetně sociálně vyloučených lokalit. Specifické programy mohou být zaměřeny i na strukturálně postižené kraje, které vykazují významně horší ukazatele zdraví obyvatel (viz mapa </w:t>
            </w:r>
            <w:r w:rsidRPr="005A0E7C">
              <w:rPr>
                <w:i/>
              </w:rPr>
              <w:t xml:space="preserve">Střední délka života při narození dle okresů (průměr 2012 – 2016). </w:t>
            </w:r>
            <w:r w:rsidRPr="005A0E7C">
              <w:t xml:space="preserve">V případě, že bude podpořen vznik center zdraví, bude zohledněna i územní dimenze, k podpoře mohou být vybrány přednostně oblasti s horšími ukazateli úmrtnosti a nemocnosti než je průměr ČR. </w:t>
            </w:r>
          </w:p>
          <w:p w14:paraId="441415CB" w14:textId="77777777" w:rsidR="00DD3EFA" w:rsidRPr="005A0E7C" w:rsidRDefault="00DD3EFA" w:rsidP="00B15ECB">
            <w:pPr>
              <w:spacing w:before="60" w:after="60"/>
            </w:pPr>
          </w:p>
          <w:p w14:paraId="5194F07A" w14:textId="77777777" w:rsidR="00DD3EFA" w:rsidRPr="005A0E7C" w:rsidRDefault="00DD3EFA" w:rsidP="00391907">
            <w:pPr>
              <w:pStyle w:val="Odstavecseseznamem"/>
              <w:numPr>
                <w:ilvl w:val="0"/>
                <w:numId w:val="38"/>
              </w:numPr>
              <w:spacing w:before="60" w:after="60"/>
              <w:jc w:val="both"/>
            </w:pPr>
            <w:r w:rsidRPr="005A0E7C">
              <w:t>Reforma primární péče</w:t>
            </w:r>
          </w:p>
          <w:p w14:paraId="59DA4917" w14:textId="77777777" w:rsidR="00DD3EFA" w:rsidRPr="005A0E7C" w:rsidRDefault="00DD3EFA" w:rsidP="00B15ECB">
            <w:pPr>
              <w:spacing w:before="60" w:after="60"/>
            </w:pPr>
            <w:r w:rsidRPr="005A0E7C">
              <w:t>V této oblasti je územní dimenze nejsilnější, protože cílem intervence bude zajistit dostupnost modernizované základní zdravotní péče na celém území ČR s tím, že podpora musí reagovat na zřetelné současné rozdíly v dostupnosti péče. Případné výzvy tedy budou vypisovány pouze pro vybraná území, případně budou projekty z regionů s nízkou dostupností výrazně bonifikovány. Dá se předpokládat, že se bude jednat o území v metropolitních územích, strukturálně postižených krajích a hospodářsky a sociálně ohrožených územích</w:t>
            </w:r>
            <w:r w:rsidRPr="005A0E7C">
              <w:rPr>
                <w:rStyle w:val="Znakapoznpodarou"/>
              </w:rPr>
              <w:footnoteReference w:id="17"/>
            </w:r>
            <w:r w:rsidRPr="005A0E7C">
              <w:t xml:space="preserve">. </w:t>
            </w:r>
          </w:p>
          <w:p w14:paraId="0B36474C" w14:textId="77777777" w:rsidR="00DD3EFA" w:rsidRPr="005A0E7C" w:rsidRDefault="00DD3EFA" w:rsidP="00B15ECB">
            <w:pPr>
              <w:tabs>
                <w:tab w:val="left" w:pos="6987"/>
              </w:tabs>
              <w:spacing w:before="60" w:after="60"/>
            </w:pPr>
            <w:r w:rsidRPr="005A0E7C">
              <w:t xml:space="preserve">Dostupnost stomatologické péče zobrazuje následující mapa: </w:t>
            </w:r>
            <w:r w:rsidRPr="005A0E7C">
              <w:tab/>
            </w:r>
          </w:p>
          <w:p w14:paraId="3C59F5DE" w14:textId="77777777" w:rsidR="00DD3EFA" w:rsidRPr="005A0E7C" w:rsidRDefault="00DD3EFA" w:rsidP="00B15ECB">
            <w:pPr>
              <w:tabs>
                <w:tab w:val="left" w:pos="6987"/>
              </w:tabs>
              <w:spacing w:before="60" w:after="60"/>
            </w:pPr>
          </w:p>
          <w:p w14:paraId="623A1585" w14:textId="77777777" w:rsidR="00DD3EFA" w:rsidRPr="005A0E7C" w:rsidRDefault="00DD3EFA" w:rsidP="00B15ECB">
            <w:pPr>
              <w:spacing w:before="60" w:after="60"/>
            </w:pPr>
            <w:r w:rsidRPr="005A0E7C">
              <w:rPr>
                <w:bCs/>
                <w:noProof/>
                <w:lang w:eastAsia="cs-CZ"/>
              </w:rPr>
              <w:drawing>
                <wp:inline distT="0" distB="0" distL="0" distR="0" wp14:anchorId="1E770DF6" wp14:editId="585F5BF9">
                  <wp:extent cx="3858805" cy="2726713"/>
                  <wp:effectExtent l="0" t="0" r="8890" b="0"/>
                  <wp:docPr id="10" name="Obrázek 10" descr="Stomatologie_dostupnost_O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matologie_dostupnost_ORP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0633" cy="2735071"/>
                          </a:xfrm>
                          <a:prstGeom prst="rect">
                            <a:avLst/>
                          </a:prstGeom>
                          <a:noFill/>
                          <a:ln>
                            <a:noFill/>
                          </a:ln>
                        </pic:spPr>
                      </pic:pic>
                    </a:graphicData>
                  </a:graphic>
                </wp:inline>
              </w:drawing>
            </w:r>
          </w:p>
          <w:p w14:paraId="69588148" w14:textId="77777777" w:rsidR="00DD3EFA" w:rsidRPr="005A0E7C" w:rsidRDefault="00DD3EFA" w:rsidP="00391907">
            <w:pPr>
              <w:pStyle w:val="Odstavecseseznamem"/>
              <w:numPr>
                <w:ilvl w:val="0"/>
                <w:numId w:val="38"/>
              </w:numPr>
              <w:spacing w:before="60" w:after="60"/>
              <w:jc w:val="both"/>
            </w:pPr>
            <w:r w:rsidRPr="005A0E7C">
              <w:t xml:space="preserve">Personální stabilizace resortu zdravotnictví včetně přizpůsobení vzdělávání aktuálním potřebám </w:t>
            </w:r>
          </w:p>
          <w:p w14:paraId="03648B90" w14:textId="77777777" w:rsidR="00DD3EFA" w:rsidRPr="005A0E7C" w:rsidRDefault="00DD3EFA" w:rsidP="00B15ECB">
            <w:pPr>
              <w:spacing w:before="60" w:after="60"/>
            </w:pPr>
            <w:r w:rsidRPr="005A0E7C">
              <w:t>Dle navrhovaných aktivit by se mělo jednat spíše o systémové projekty na národní úrovni, s tím, že samotné vzdělávání se většinou odehrává v metropolích případně aglomeracích.</w:t>
            </w:r>
          </w:p>
          <w:p w14:paraId="434AD613" w14:textId="77777777" w:rsidR="00DD3EFA" w:rsidRPr="005A0E7C" w:rsidRDefault="00DD3EFA" w:rsidP="00B15ECB">
            <w:pPr>
              <w:spacing w:before="60" w:after="60"/>
            </w:pPr>
            <w:r w:rsidRPr="005A0E7C">
              <w:t xml:space="preserve"> </w:t>
            </w:r>
          </w:p>
          <w:p w14:paraId="29036AAD" w14:textId="77777777" w:rsidR="00DD3EFA" w:rsidRPr="005A0E7C" w:rsidRDefault="00DD3EFA" w:rsidP="00391907">
            <w:pPr>
              <w:pStyle w:val="Odstavecseseznamem"/>
              <w:numPr>
                <w:ilvl w:val="0"/>
                <w:numId w:val="38"/>
              </w:numPr>
              <w:spacing w:before="60" w:after="60"/>
              <w:jc w:val="both"/>
            </w:pPr>
            <w:r w:rsidRPr="005A0E7C">
              <w:t>Integrace zdravotní a sociální péče</w:t>
            </w:r>
          </w:p>
          <w:p w14:paraId="0320252D" w14:textId="77777777" w:rsidR="00DD3EFA" w:rsidRPr="005A0E7C" w:rsidRDefault="00DD3EFA" w:rsidP="00B15ECB">
            <w:pPr>
              <w:spacing w:before="60" w:after="60"/>
            </w:pPr>
            <w:r w:rsidRPr="005A0E7C">
              <w:t xml:space="preserve">Lze očekávat jak systémové projekty národní úrovně, tak následně např. i pilotní provozování integrovaných služeb ve vybraných územích (vzhledem k nutnosti přenosu zkušeností z fungování v různých typech území může být dle charakteru služby např. iniciován vznik v metropolitním území, ve velkém krajském městě, ve venkovském prostředí, v strukturálně postiženém kraji apod.) případně vznik celé sítě poskytovatelů pokrývajících alespoň rámcově celou Českou republiku. Např. v současném období je podporován vznik sítě tzv. Center duševního zdraví (CDZ), kdy z ESIF má vzniknout center 30, s tím, že na základě zkušeností a odhadů je pro pokrytí celého území Česka nutné fungování 100 těchto CDZ. Intervence budou směřovány tak, aby se podpora integrovaných služeb stala atraktivní i pro podporu v rámci výzev IPRM, IPRÚ a MAS, mezi kterými je velmi oblíbená v současné době podpora služeb sociálních. </w:t>
            </w:r>
          </w:p>
          <w:p w14:paraId="033ED6EA" w14:textId="77777777" w:rsidR="00DD3EFA" w:rsidRPr="005A0E7C" w:rsidRDefault="00DD3EFA" w:rsidP="00B15ECB">
            <w:pPr>
              <w:spacing w:before="60" w:after="60"/>
            </w:pPr>
          </w:p>
          <w:p w14:paraId="1CC77EE4" w14:textId="77777777" w:rsidR="00DD3EFA" w:rsidRPr="005A0E7C" w:rsidRDefault="00DD3EFA" w:rsidP="00391907">
            <w:pPr>
              <w:pStyle w:val="Odstavecseseznamem"/>
              <w:numPr>
                <w:ilvl w:val="0"/>
                <w:numId w:val="38"/>
              </w:numPr>
              <w:spacing w:before="60" w:after="60"/>
              <w:jc w:val="both"/>
              <w:rPr>
                <w:i/>
              </w:rPr>
            </w:pPr>
            <w:r w:rsidRPr="005A0E7C">
              <w:rPr>
                <w:i/>
              </w:rPr>
              <w:t xml:space="preserve">Věda a výzkum v oblasti zdravotnictví </w:t>
            </w:r>
          </w:p>
          <w:p w14:paraId="2C5BBDED" w14:textId="77777777" w:rsidR="00DD3EFA" w:rsidRPr="005A0E7C" w:rsidRDefault="00DD3EFA" w:rsidP="00B15ECB">
            <w:pPr>
              <w:spacing w:before="60" w:after="60"/>
            </w:pPr>
            <w:r w:rsidRPr="005A0E7C">
              <w:rPr>
                <w:i/>
              </w:rPr>
              <w:t>Oblast bude řešena v individuální kartě zaměřené na vědu a výzkum.</w:t>
            </w:r>
          </w:p>
          <w:p w14:paraId="5691FBC5" w14:textId="77777777" w:rsidR="00DD3EFA" w:rsidRPr="005A0E7C" w:rsidRDefault="00DD3EFA" w:rsidP="00B15ECB">
            <w:pPr>
              <w:spacing w:before="60" w:after="60"/>
            </w:pPr>
          </w:p>
          <w:p w14:paraId="3974AA21" w14:textId="77777777" w:rsidR="00DD3EFA" w:rsidRPr="005A0E7C" w:rsidRDefault="00DD3EFA" w:rsidP="00391907">
            <w:pPr>
              <w:pStyle w:val="Odstavecseseznamem"/>
              <w:numPr>
                <w:ilvl w:val="0"/>
                <w:numId w:val="38"/>
              </w:numPr>
              <w:tabs>
                <w:tab w:val="left" w:pos="284"/>
              </w:tabs>
              <w:suppressAutoHyphens/>
              <w:spacing w:before="60" w:after="60"/>
              <w:jc w:val="both"/>
            </w:pPr>
            <w:r w:rsidRPr="005A0E7C">
              <w:t xml:space="preserve">Digitalizace zdravotnictví </w:t>
            </w:r>
          </w:p>
          <w:p w14:paraId="4BAF8D9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Charakter priority ukazuje spíše na systémové projekty národní úrovně, nicméně zejména telemedicína má velký potenciál i pro projekty na regionální úrovni, zejména v oblasti podpory vybavení a ordinací praktických lékařů a specialistů a jejich vzdělávání v souvislosti se zavedení povinnosti využívat eRecepty. Předpokládá se, že doplnění běžného rozsahu zdravotních služeb o telemedicínská řešení bude, vedle zkvalitnění péče, cestou ke snížení počtu nezbytných ambulantních návštěv a hospitalizací u chronicky nemocných pacientů a zlepšení jejich compliance. Jedním z cílů Národní strategie elektronického zdravotnictví je dosažení elementární interoperability zdravotních záznamů u poskytovatelů zdravotních služeb, mezi nimi, v rámci regionů, na národní úrovni a v přeshraniční péči.</w:t>
            </w:r>
            <w:r w:rsidRPr="005A0E7C" w:rsidDel="004B35BC">
              <w:rPr>
                <w:rFonts w:ascii="Times New Roman" w:hAnsi="Times New Roman"/>
              </w:rPr>
              <w:t xml:space="preserve"> </w:t>
            </w:r>
          </w:p>
        </w:tc>
        <w:tc>
          <w:tcPr>
            <w:tcW w:w="138" w:type="pct"/>
            <w:tcBorders>
              <w:top w:val="nil"/>
              <w:bottom w:val="nil"/>
            </w:tcBorders>
            <w:shd w:val="clear" w:color="auto" w:fill="66CCFF"/>
          </w:tcPr>
          <w:p w14:paraId="28D83014" w14:textId="77777777" w:rsidR="00DD3EFA" w:rsidRPr="005A0E7C" w:rsidRDefault="00DD3EFA" w:rsidP="00B15ECB">
            <w:pPr>
              <w:rPr>
                <w:b/>
              </w:rPr>
            </w:pPr>
          </w:p>
        </w:tc>
      </w:tr>
      <w:tr w:rsidR="00DD3EFA" w:rsidRPr="005A0E7C" w14:paraId="38EF14E6" w14:textId="77777777" w:rsidTr="00B15ECB">
        <w:trPr>
          <w:trHeight w:val="1202"/>
        </w:trPr>
        <w:tc>
          <w:tcPr>
            <w:tcW w:w="138" w:type="pct"/>
            <w:tcBorders>
              <w:top w:val="nil"/>
              <w:bottom w:val="nil"/>
            </w:tcBorders>
            <w:shd w:val="clear" w:color="auto" w:fill="66CCFF"/>
          </w:tcPr>
          <w:p w14:paraId="433FB022"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7D54DEAA"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Adaptace na změnu klimatu</w:t>
            </w:r>
          </w:p>
        </w:tc>
        <w:tc>
          <w:tcPr>
            <w:tcW w:w="3312" w:type="pct"/>
            <w:tcBorders>
              <w:bottom w:val="single" w:sz="4" w:space="0" w:color="auto"/>
            </w:tcBorders>
            <w:shd w:val="clear" w:color="auto" w:fill="FFFFFF" w:themeFill="background1"/>
          </w:tcPr>
          <w:p w14:paraId="3BEF298D" w14:textId="77777777" w:rsidR="00DD3EFA" w:rsidRPr="005A0E7C" w:rsidRDefault="00DD3EFA" w:rsidP="00B15ECB">
            <w:pPr>
              <w:spacing w:before="60" w:after="60"/>
              <w:rPr>
                <w:rFonts w:eastAsiaTheme="majorEastAsia"/>
              </w:rPr>
            </w:pPr>
            <w:r w:rsidRPr="005A0E7C">
              <w:rPr>
                <w:rFonts w:eastAsiaTheme="majorEastAsia"/>
              </w:rPr>
              <w:t>- - -</w:t>
            </w:r>
          </w:p>
        </w:tc>
        <w:tc>
          <w:tcPr>
            <w:tcW w:w="138" w:type="pct"/>
            <w:tcBorders>
              <w:top w:val="nil"/>
              <w:bottom w:val="nil"/>
            </w:tcBorders>
            <w:shd w:val="clear" w:color="auto" w:fill="66CCFF"/>
          </w:tcPr>
          <w:p w14:paraId="6119E18F" w14:textId="77777777" w:rsidR="00DD3EFA" w:rsidRPr="005A0E7C" w:rsidRDefault="00DD3EFA" w:rsidP="00B15ECB">
            <w:pPr>
              <w:rPr>
                <w:b/>
              </w:rPr>
            </w:pPr>
          </w:p>
        </w:tc>
      </w:tr>
      <w:tr w:rsidR="00DD3EFA" w:rsidRPr="005A0E7C" w14:paraId="49725586" w14:textId="77777777" w:rsidTr="00B15ECB">
        <w:trPr>
          <w:trHeight w:val="1202"/>
        </w:trPr>
        <w:tc>
          <w:tcPr>
            <w:tcW w:w="138" w:type="pct"/>
            <w:tcBorders>
              <w:top w:val="nil"/>
              <w:bottom w:val="nil"/>
            </w:tcBorders>
            <w:shd w:val="clear" w:color="auto" w:fill="66CCFF"/>
          </w:tcPr>
          <w:p w14:paraId="47018F40"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21E15FF8"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Společnost 4.0.</w:t>
            </w:r>
          </w:p>
          <w:p w14:paraId="5E2B7F24" w14:textId="77777777" w:rsidR="00DD3EFA" w:rsidRPr="005A0E7C" w:rsidRDefault="00DD3EFA" w:rsidP="00B15ECB">
            <w:pPr>
              <w:spacing w:before="60" w:after="60"/>
              <w:rPr>
                <w:rFonts w:eastAsiaTheme="majorEastAsia"/>
                <w:b/>
              </w:rPr>
            </w:pPr>
          </w:p>
        </w:tc>
        <w:tc>
          <w:tcPr>
            <w:tcW w:w="3312" w:type="pct"/>
            <w:tcBorders>
              <w:bottom w:val="single" w:sz="4" w:space="0" w:color="auto"/>
            </w:tcBorders>
            <w:shd w:val="clear" w:color="auto" w:fill="FFFFFF" w:themeFill="background1"/>
          </w:tcPr>
          <w:p w14:paraId="45B95DF2" w14:textId="77777777" w:rsidR="00DD3EFA" w:rsidRPr="005A0E7C" w:rsidRDefault="00DD3EFA" w:rsidP="00B15ECB">
            <w:pPr>
              <w:spacing w:before="60" w:after="60"/>
              <w:rPr>
                <w:rFonts w:eastAsiaTheme="majorEastAsia"/>
              </w:rPr>
            </w:pPr>
            <w:r w:rsidRPr="005A0E7C">
              <w:rPr>
                <w:rFonts w:eastAsiaTheme="majorEastAsia"/>
              </w:rPr>
              <w:t xml:space="preserve">V oblasti zdravotnictví je v rámci Společnosti 4.0 vytyčen cíl Zdraví 4.0, jehož součástí je tzv. elektronické zdravotnictví (e-Health) spočívající k digitalizaci řady procesů ve zdravotní péči (např. e-recept, elektronická neschopenka). Podstatné jsou také problematika zabezpečení přístupu a sdílení zdravotnických informací napříč EU a digitální nástroje pro posílení personalizované medicíny a telemedicíny. </w:t>
            </w:r>
          </w:p>
          <w:p w14:paraId="7355ECE5" w14:textId="77777777" w:rsidR="00DD3EFA" w:rsidRPr="005A0E7C" w:rsidRDefault="00DD3EFA" w:rsidP="00B15ECB">
            <w:pPr>
              <w:spacing w:before="60" w:after="60"/>
              <w:rPr>
                <w:rFonts w:eastAsiaTheme="majorEastAsia"/>
              </w:rPr>
            </w:pPr>
            <w:r w:rsidRPr="005A0E7C">
              <w:rPr>
                <w:rFonts w:eastAsiaTheme="majorEastAsia"/>
              </w:rPr>
              <w:t>Digitální technologie jsou nedílnou součástí zdraví a péče a jejich uplatňování je zaměřeno na realizaci cílů zdravotního systému. Inovativní digitální řešení napomáhají podpoře zdraví a kvality života občanů a umožňují účinnější způsoby organizace a poskytování zdravotních a sociálních služeb.</w:t>
            </w:r>
          </w:p>
          <w:p w14:paraId="426E012E" w14:textId="77777777" w:rsidR="00DD3EFA" w:rsidRPr="005A0E7C" w:rsidRDefault="00DD3EFA" w:rsidP="00B15ECB">
            <w:pPr>
              <w:spacing w:before="60" w:after="60"/>
              <w:rPr>
                <w:rFonts w:eastAsiaTheme="majorEastAsia"/>
              </w:rPr>
            </w:pPr>
            <w:r w:rsidRPr="005A0E7C">
              <w:rPr>
                <w:rFonts w:eastAsiaTheme="majorEastAsia"/>
              </w:rPr>
              <w:t xml:space="preserve">Soustava cílů a opatření Národní strategie elektronického zdravotnictví ČR na období 2016 – 2020 (ve své realizaci přesahující horizont roku 2020) se prioritně zaměřila na vytvoření základních stavebních kamenů elektronizace zdravotnictví. </w:t>
            </w:r>
          </w:p>
          <w:p w14:paraId="11302272" w14:textId="77777777" w:rsidR="00DD3EFA" w:rsidRPr="005A0E7C" w:rsidRDefault="00DD3EFA" w:rsidP="00B15ECB">
            <w:pPr>
              <w:spacing w:before="60" w:after="60"/>
            </w:pPr>
            <w:r w:rsidRPr="005A0E7C">
              <w:rPr>
                <w:rFonts w:eastAsiaTheme="majorEastAsia"/>
              </w:rPr>
              <w:t>Pro období po roce 2020 bude charakteristický nástup nových digitálních technologií a postupů v oblasti personalizované medicíny, klinických aplikacích umělé inteligence, praktické aplikace modelů sdílených zdravotních záznamů, včetně uplatnění technologie Blockchain, využití konceptů z oblasti zpracování velkých souborů dat (Big Data). Rostoucí měrou se do péče o zdraví zapojí technologie mobilního zdravotnictví (mHealth) a telemedicína.</w:t>
            </w:r>
            <w:r w:rsidRPr="005A0E7C" w:rsidDel="00FA13BC">
              <w:rPr>
                <w:rFonts w:eastAsiaTheme="majorEastAsia"/>
              </w:rPr>
              <w:t xml:space="preserve"> </w:t>
            </w:r>
          </w:p>
        </w:tc>
        <w:tc>
          <w:tcPr>
            <w:tcW w:w="138" w:type="pct"/>
            <w:tcBorders>
              <w:top w:val="nil"/>
              <w:bottom w:val="nil"/>
            </w:tcBorders>
            <w:shd w:val="clear" w:color="auto" w:fill="66CCFF"/>
          </w:tcPr>
          <w:p w14:paraId="7EA635FE" w14:textId="77777777" w:rsidR="00DD3EFA" w:rsidRPr="005A0E7C" w:rsidRDefault="00DD3EFA" w:rsidP="00B15ECB">
            <w:pPr>
              <w:rPr>
                <w:b/>
              </w:rPr>
            </w:pPr>
          </w:p>
        </w:tc>
      </w:tr>
      <w:tr w:rsidR="00DD3EFA" w:rsidRPr="005A0E7C" w14:paraId="6F5A7471" w14:textId="77777777" w:rsidTr="00B15ECB">
        <w:trPr>
          <w:trHeight w:val="1202"/>
        </w:trPr>
        <w:tc>
          <w:tcPr>
            <w:tcW w:w="138" w:type="pct"/>
            <w:tcBorders>
              <w:top w:val="nil"/>
              <w:bottom w:val="nil"/>
            </w:tcBorders>
            <w:shd w:val="clear" w:color="auto" w:fill="66CCFF"/>
          </w:tcPr>
          <w:p w14:paraId="4247C015"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55A0CDA1" w14:textId="77777777" w:rsidR="00DD3EFA" w:rsidRPr="005A0E7C" w:rsidRDefault="00DD3EFA" w:rsidP="00391907">
            <w:pPr>
              <w:pStyle w:val="Odstavecseseznamem"/>
              <w:numPr>
                <w:ilvl w:val="0"/>
                <w:numId w:val="2"/>
              </w:numPr>
              <w:spacing w:before="60" w:after="60"/>
              <w:jc w:val="both"/>
              <w:rPr>
                <w:rFonts w:eastAsiaTheme="majorEastAsia"/>
                <w:b/>
              </w:rPr>
            </w:pPr>
            <w:r w:rsidRPr="005A0E7C">
              <w:rPr>
                <w:rFonts w:eastAsiaTheme="majorEastAsia"/>
                <w:b/>
              </w:rPr>
              <w:t>Vazba na megatrendy</w:t>
            </w:r>
          </w:p>
          <w:p w14:paraId="14FD77D3" w14:textId="77777777" w:rsidR="00DD3EFA" w:rsidRPr="005A0E7C" w:rsidRDefault="00DD3EFA" w:rsidP="00B15ECB">
            <w:pPr>
              <w:spacing w:before="60" w:after="60"/>
              <w:rPr>
                <w:rFonts w:eastAsiaTheme="majorEastAsia"/>
                <w:b/>
              </w:rPr>
            </w:pPr>
          </w:p>
        </w:tc>
        <w:tc>
          <w:tcPr>
            <w:tcW w:w="3312" w:type="pct"/>
            <w:tcBorders>
              <w:bottom w:val="single" w:sz="4" w:space="0" w:color="auto"/>
            </w:tcBorders>
            <w:shd w:val="clear" w:color="auto" w:fill="FFFFFF" w:themeFill="background1"/>
          </w:tcPr>
          <w:p w14:paraId="5AEAA76D" w14:textId="77777777" w:rsidR="00DD3EFA" w:rsidRPr="005A0E7C" w:rsidRDefault="00DD3EFA" w:rsidP="00B15ECB">
            <w:r w:rsidRPr="005A0E7C">
              <w:t xml:space="preserve">Národní koncepce realizace politiky soudružnosti v ČR po roce 2020 definovala jako megatrendy: demografické stárnutí, rostoucí nerovnosti, zvyšující se rychlost technologické změny, virtualizaci světa, rostoucí mobilitu, posun civilizace ke znalostní ekonomice, zvyšující se dostupnost technologií a kompetence pro budoucnost. Vazbu v podstatě na všechny megatrendy lze vysledovat i v tomto specifickém cíli. </w:t>
            </w:r>
          </w:p>
          <w:p w14:paraId="7725EF44" w14:textId="77777777" w:rsidR="00DD3EFA" w:rsidRPr="005A0E7C" w:rsidRDefault="00DD3EFA" w:rsidP="00B15ECB"/>
          <w:p w14:paraId="0558E869" w14:textId="77777777" w:rsidR="00DD3EFA" w:rsidRPr="005A0E7C" w:rsidRDefault="00DD3EFA" w:rsidP="00B15ECB">
            <w:r w:rsidRPr="005A0E7C">
              <w:t xml:space="preserve">Jak už bylo na několika místech uvedeno, na zdravotnictví a péči o zdraví má největší vliv </w:t>
            </w:r>
            <w:r w:rsidRPr="005A0E7C">
              <w:rPr>
                <w:b/>
              </w:rPr>
              <w:t>demografické stárnutí</w:t>
            </w:r>
            <w:r w:rsidRPr="005A0E7C">
              <w:t xml:space="preserve">, které vytváří tlak na financování zdravotnictví a na změnu nároků na zdravotnictví např. proměnou struktury léčených chorob. Na druhou stranu je právě zdravotnictví a obecně péče o zdraví a životní styl předpokladem pro vyrovnání se s demografickým posunem tím, že bude moci být většina občanů aktivní až do vysokého věku (a to i na trhu práce) – tj. nejen, že poroste průměrná délka života, ale hlavně, že poroste průměrná délka života prožitá ve zdraví. </w:t>
            </w:r>
          </w:p>
          <w:p w14:paraId="3ED8BC6B" w14:textId="77777777" w:rsidR="00DD3EFA" w:rsidRPr="005A0E7C" w:rsidRDefault="00DD3EFA" w:rsidP="00B15ECB">
            <w:pPr>
              <w:tabs>
                <w:tab w:val="left" w:pos="3740"/>
              </w:tabs>
            </w:pPr>
            <w:r w:rsidRPr="005A0E7C">
              <w:tab/>
            </w:r>
          </w:p>
          <w:p w14:paraId="1BC11829" w14:textId="77777777" w:rsidR="00DD3EFA" w:rsidRPr="005A0E7C" w:rsidRDefault="00DD3EFA" w:rsidP="00B15ECB">
            <w:r w:rsidRPr="005A0E7C">
              <w:rPr>
                <w:b/>
              </w:rPr>
              <w:t xml:space="preserve">Trend rostoucích nerovností </w:t>
            </w:r>
            <w:r w:rsidRPr="005A0E7C">
              <w:t>v rámci společnosti by se neměl více odrazit v diferencovaném přístupu obyvatel ke zdravotní péči. I v současné době přes univerzální přístup k péči garantovaný státem, lze vysledovat ukazatele, ze kterých vychází, že znevýhodněné sociální skupiny vykazují výrazně horší ukazatele kvality zdraví, viz např. graf naděje dožití ve věku 30 let mezi muži s nejnižším a nejvyšším stupněm vzdělání.</w:t>
            </w:r>
          </w:p>
          <w:p w14:paraId="59C894B7" w14:textId="77777777" w:rsidR="00DD3EFA" w:rsidRPr="005A0E7C" w:rsidRDefault="00DD3EFA" w:rsidP="00B15ECB"/>
          <w:p w14:paraId="7EFE16AE" w14:textId="77777777" w:rsidR="00DD3EFA" w:rsidRPr="005A0E7C" w:rsidRDefault="00DD3EFA" w:rsidP="00B15ECB">
            <w:pPr>
              <w:rPr>
                <w:b/>
              </w:rPr>
            </w:pPr>
            <w:r w:rsidRPr="005A0E7C">
              <w:t xml:space="preserve">S </w:t>
            </w:r>
            <w:r w:rsidRPr="005A0E7C">
              <w:rPr>
                <w:b/>
              </w:rPr>
              <w:t>trendy v oblasti technologií</w:t>
            </w:r>
            <w:r w:rsidRPr="005A0E7C">
              <w:t xml:space="preserve"> (zvyšující se rychlost technologické změny, virtualizace světa, zvyšující se dostupnost technologií) se musí samozřejmě vyrovnávat i zdravotnictví, proto se financování v příštím programovém období zaměří také na digitalizaci zdravotnictví, zahrnující využívání e-Health, telemedicíny a dalších prostředků na bázi informačních a komunikačních technologií v praxi.</w:t>
            </w:r>
          </w:p>
          <w:p w14:paraId="74B9081F" w14:textId="77777777" w:rsidR="00DD3EFA" w:rsidRPr="005A0E7C" w:rsidRDefault="00DD3EFA" w:rsidP="00B15ECB">
            <w:pPr>
              <w:spacing w:before="240" w:line="256" w:lineRule="auto"/>
            </w:pPr>
            <w:r w:rsidRPr="005A0E7C">
              <w:rPr>
                <w:b/>
              </w:rPr>
              <w:t xml:space="preserve">Rostoucí mobilita </w:t>
            </w:r>
            <w:r w:rsidRPr="005A0E7C">
              <w:t>– tedy zvýšený pohyb lidí</w:t>
            </w:r>
            <w:r w:rsidRPr="005A0E7C">
              <w:rPr>
                <w:b/>
              </w:rPr>
              <w:t xml:space="preserve"> </w:t>
            </w:r>
            <w:r w:rsidRPr="005A0E7C">
              <w:t xml:space="preserve">z pohledu resortu zdravotnictví představuje také větší riziko přenosu infekčních či vektorových onemocnění do lokalit, kde již byly vymýceny nebo se nikdy nevyskytovaly. Klíčová je v tomto ohledu prevence přenosu takových chorob. </w:t>
            </w:r>
          </w:p>
          <w:p w14:paraId="7979714A" w14:textId="77777777" w:rsidR="00DD3EFA" w:rsidRPr="005A0E7C" w:rsidRDefault="00DD3EFA" w:rsidP="00B15ECB">
            <w:pPr>
              <w:spacing w:before="240" w:line="256" w:lineRule="auto"/>
            </w:pPr>
            <w:r w:rsidRPr="005A0E7C">
              <w:rPr>
                <w:b/>
              </w:rPr>
              <w:t>Urbanizace – nebo v rámci České republiky spíše suburbanizace</w:t>
            </w:r>
            <w:r w:rsidRPr="005A0E7C">
              <w:t xml:space="preserve"> představuje pro české zdravotnictví problém a to z pohledu nutnosti zachování či zvýšení dostupnosti péče, neboť v rostoucích zázemích hlavních center musí nabídka zdravotních služeb reagovat na rostoucí počet obyvatel.  </w:t>
            </w:r>
          </w:p>
          <w:p w14:paraId="42FC109B" w14:textId="77777777" w:rsidR="00DD3EFA" w:rsidRPr="005A0E7C" w:rsidRDefault="00DD3EFA" w:rsidP="00B15ECB">
            <w:pPr>
              <w:spacing w:before="60" w:after="60"/>
              <w:rPr>
                <w:rFonts w:eastAsiaTheme="majorEastAsia"/>
                <w:i/>
              </w:rPr>
            </w:pPr>
            <w:r w:rsidRPr="005A0E7C">
              <w:rPr>
                <w:b/>
              </w:rPr>
              <w:t>Kompetence pro budoucnost</w:t>
            </w:r>
            <w:r w:rsidRPr="005A0E7C">
              <w:t xml:space="preserve"> – i v oblasti zdravotnictví musí být vzdělávání koncipováno tak, aby pružněji reagovalo na vznikající potřeby a to jednak z důvodu vzniku a rozšíření nových technologií a postupů, ale i z pohledu rostoucího zaměření na prevenci nemocí spíše než na léčbu a dále na přesun těžiště péče z nemocnic do komunity.</w:t>
            </w:r>
            <w:r w:rsidRPr="005A0E7C">
              <w:br w:type="page"/>
            </w:r>
          </w:p>
        </w:tc>
        <w:tc>
          <w:tcPr>
            <w:tcW w:w="138" w:type="pct"/>
            <w:tcBorders>
              <w:top w:val="nil"/>
              <w:bottom w:val="nil"/>
            </w:tcBorders>
            <w:shd w:val="clear" w:color="auto" w:fill="66CCFF"/>
          </w:tcPr>
          <w:p w14:paraId="5B15D35D" w14:textId="77777777" w:rsidR="00DD3EFA" w:rsidRPr="005A0E7C" w:rsidRDefault="00DD3EFA" w:rsidP="00B15ECB">
            <w:pPr>
              <w:rPr>
                <w:b/>
              </w:rPr>
            </w:pPr>
          </w:p>
        </w:tc>
      </w:tr>
      <w:tr w:rsidR="00DD3EFA" w:rsidRPr="005A0E7C" w14:paraId="1B856985" w14:textId="77777777" w:rsidTr="00B15ECB">
        <w:trPr>
          <w:trHeight w:val="1202"/>
        </w:trPr>
        <w:tc>
          <w:tcPr>
            <w:tcW w:w="138" w:type="pct"/>
            <w:tcBorders>
              <w:top w:val="nil"/>
              <w:bottom w:val="nil"/>
            </w:tcBorders>
            <w:shd w:val="clear" w:color="auto" w:fill="66CCFF"/>
          </w:tcPr>
          <w:p w14:paraId="7C321533"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28643300"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politické cíle ON, specifické cíle nařízení k jednotlivým relevantním fondům</w:t>
            </w:r>
          </w:p>
        </w:tc>
        <w:tc>
          <w:tcPr>
            <w:tcW w:w="3312" w:type="pct"/>
            <w:tcBorders>
              <w:bottom w:val="single" w:sz="4" w:space="0" w:color="auto"/>
            </w:tcBorders>
            <w:shd w:val="clear" w:color="auto" w:fill="FFFFFF" w:themeFill="background1"/>
          </w:tcPr>
          <w:p w14:paraId="27054904" w14:textId="77777777" w:rsidR="00DD3EFA" w:rsidRPr="005A0E7C" w:rsidRDefault="00DD3EFA" w:rsidP="00B15ECB">
            <w:pPr>
              <w:spacing w:before="40"/>
            </w:pPr>
            <w:r w:rsidRPr="005A0E7C">
              <w:t xml:space="preserve">OBECNÉ NAŘÍZENÍ: </w:t>
            </w:r>
          </w:p>
          <w:p w14:paraId="10CED2E8" w14:textId="77777777" w:rsidR="00DD3EFA" w:rsidRPr="005A0E7C" w:rsidRDefault="00DD3EFA" w:rsidP="00B15ECB">
            <w:pPr>
              <w:spacing w:before="40"/>
            </w:pPr>
            <w:r w:rsidRPr="005A0E7C">
              <w:t xml:space="preserve">Čl. 4 Cíle politiky </w:t>
            </w:r>
          </w:p>
          <w:p w14:paraId="697DC773" w14:textId="77777777" w:rsidR="00DD3EFA" w:rsidRPr="005A0E7C" w:rsidRDefault="00DD3EFA" w:rsidP="00B15ECB">
            <w:pPr>
              <w:spacing w:before="40"/>
              <w:rPr>
                <w:b/>
              </w:rPr>
            </w:pPr>
            <w:r w:rsidRPr="005A0E7C">
              <w:rPr>
                <w:b/>
              </w:rPr>
              <w:t xml:space="preserve">d) sociálnější Evropa díky provádění evropského pilíře sociálních práv  </w:t>
            </w:r>
          </w:p>
          <w:p w14:paraId="19597753" w14:textId="77777777" w:rsidR="00DD3EFA" w:rsidRPr="005A0E7C" w:rsidRDefault="00DD3EFA" w:rsidP="00B15ECB">
            <w:pPr>
              <w:spacing w:before="40"/>
            </w:pPr>
          </w:p>
          <w:p w14:paraId="184357E3" w14:textId="77777777" w:rsidR="00DD3EFA" w:rsidRPr="005A0E7C" w:rsidRDefault="00DD3EFA" w:rsidP="00B15ECB">
            <w:pPr>
              <w:spacing w:before="40"/>
            </w:pPr>
            <w:r w:rsidRPr="005A0E7C">
              <w:t xml:space="preserve">NAŘÍZENÍ EVROPSKÉHO PARLAMENTU A RADY o Evropském fondu pro regionální rozvoj a o Fondu soudržnosti: </w:t>
            </w:r>
          </w:p>
          <w:p w14:paraId="6A8F63CC" w14:textId="77777777" w:rsidR="00DD3EFA" w:rsidRPr="005A0E7C" w:rsidRDefault="00DD3EFA" w:rsidP="00B15ECB">
            <w:pPr>
              <w:spacing w:before="40"/>
            </w:pPr>
            <w:r w:rsidRPr="005A0E7C">
              <w:t xml:space="preserve">Článek 2 Specifické cíle pro EFRR a Fond soudržnosti d) „sociálnější Evropa díky provádění evropského pilíře sociálních práv“ prostřednictvím: </w:t>
            </w:r>
          </w:p>
          <w:p w14:paraId="19F47C20" w14:textId="77777777" w:rsidR="00DD3EFA" w:rsidRPr="005A0E7C" w:rsidRDefault="00DD3EFA" w:rsidP="00B15ECB">
            <w:pPr>
              <w:spacing w:before="40"/>
              <w:rPr>
                <w:b/>
              </w:rPr>
            </w:pPr>
            <w:r w:rsidRPr="005A0E7C">
              <w:rPr>
                <w:b/>
              </w:rPr>
              <w:t xml:space="preserve">iv) zajištění rovného přístupu ke zdravotní péči pomocí rozvoje infrastruktury, včetně primární péče;  </w:t>
            </w:r>
          </w:p>
          <w:p w14:paraId="534AAA7F" w14:textId="77777777" w:rsidR="00DD3EFA" w:rsidRPr="005A0E7C" w:rsidRDefault="00DD3EFA" w:rsidP="00B15ECB">
            <w:pPr>
              <w:spacing w:before="40"/>
            </w:pPr>
          </w:p>
          <w:p w14:paraId="727B9FED" w14:textId="77777777" w:rsidR="00DD3EFA" w:rsidRPr="005A0E7C" w:rsidRDefault="00DD3EFA" w:rsidP="00B15ECB">
            <w:pPr>
              <w:spacing w:before="40"/>
            </w:pPr>
            <w:r w:rsidRPr="005A0E7C">
              <w:t xml:space="preserve">NAŘÍZENÍ EVROPSKÉHO PARLAMENTU A RADY o Evropském sociálním fondu plus (ESF+) </w:t>
            </w:r>
          </w:p>
          <w:p w14:paraId="0BB3467B" w14:textId="77777777" w:rsidR="00DD3EFA" w:rsidRPr="005A0E7C" w:rsidRDefault="00DD3EFA" w:rsidP="00B15ECB">
            <w:pPr>
              <w:spacing w:before="40"/>
            </w:pPr>
            <w:r w:rsidRPr="005A0E7C">
              <w:t xml:space="preserve">Článek 4 Specifické cíle </w:t>
            </w:r>
          </w:p>
          <w:p w14:paraId="77A38810" w14:textId="77777777" w:rsidR="00DD3EFA" w:rsidRPr="005A0E7C" w:rsidRDefault="00DD3EFA" w:rsidP="00B15ECB">
            <w:pPr>
              <w:spacing w:before="40"/>
              <w:rPr>
                <w:b/>
              </w:rPr>
            </w:pPr>
            <w:r w:rsidRPr="005A0E7C">
              <w:rPr>
                <w:b/>
              </w:rPr>
              <w:t>1 ix)</w:t>
            </w:r>
            <w:r w:rsidRPr="005A0E7C">
              <w:t xml:space="preserve"> </w:t>
            </w:r>
            <w:r w:rsidRPr="005A0E7C">
              <w:rPr>
                <w:b/>
              </w:rPr>
              <w:t>zvyšovat rovný a včasný přístup ke kvalitním, udržitelným a cenově dostupným službám; modernizovat systémy sociální ochrany včetně podpory přístupu k sociální ochraně; zlepšit dostupnost, účinnost a odolnost systémů zdravotní péče a služeb dlouhodobé zdravotní péče;</w:t>
            </w:r>
          </w:p>
          <w:p w14:paraId="57A7D488" w14:textId="77777777" w:rsidR="00DD3EFA" w:rsidRPr="005A0E7C" w:rsidRDefault="00DD3EFA" w:rsidP="00B15ECB">
            <w:pPr>
              <w:spacing w:before="40"/>
            </w:pPr>
            <w:r w:rsidRPr="005A0E7C">
              <w:t xml:space="preserve">3. V rámci složky Zdraví podporuje ESF+ zdraví a prevenci nemocí, přispívá k účinnosti, dostupnosti a odolnosti systémů zdravotní péče, usiluje o bezpečnější zdravotní péči, dále snižuje nerovnosti v oblasti zdraví, chrání občany před přeshraničními zdravotními hrozbami a podporuje právní předpisy EU v oblasti zdraví. </w:t>
            </w:r>
          </w:p>
          <w:p w14:paraId="5C915606" w14:textId="77777777" w:rsidR="00DD3EFA" w:rsidRPr="005A0E7C" w:rsidRDefault="00DD3EFA" w:rsidP="00B15ECB">
            <w:pPr>
              <w:spacing w:before="40"/>
            </w:pPr>
          </w:p>
          <w:p w14:paraId="4E9DFE3E" w14:textId="77777777" w:rsidR="00DD3EFA" w:rsidRPr="005A0E7C" w:rsidRDefault="00DD3EFA" w:rsidP="00B15ECB">
            <w:pPr>
              <w:spacing w:before="40"/>
            </w:pPr>
            <w:r w:rsidRPr="005A0E7C">
              <w:t xml:space="preserve">Kapitola II – Zvláštní ustanovení pro složku Zdraví </w:t>
            </w:r>
          </w:p>
          <w:p w14:paraId="1E2F771A" w14:textId="77777777" w:rsidR="00DD3EFA" w:rsidRPr="005A0E7C" w:rsidRDefault="00DD3EFA" w:rsidP="00B15ECB">
            <w:pPr>
              <w:spacing w:before="40"/>
            </w:pPr>
            <w:r w:rsidRPr="005A0E7C">
              <w:t xml:space="preserve">Čl. 26 Operační cíle </w:t>
            </w:r>
          </w:p>
          <w:p w14:paraId="1DF8ED79" w14:textId="77777777" w:rsidR="00DD3EFA" w:rsidRPr="005A0E7C" w:rsidRDefault="00DD3EFA" w:rsidP="00B15ECB">
            <w:pPr>
              <w:spacing w:before="40"/>
            </w:pPr>
            <w:r w:rsidRPr="005A0E7C">
              <w:rPr>
                <w:b/>
              </w:rPr>
              <w:t>a) posílit připravenost na krizové situace, jejich řízení a reakci na ně v rámci Unie, a chránit tak občany před přeshraničními zdravotními hrozbami:</w:t>
            </w:r>
            <w:r w:rsidRPr="005A0E7C">
              <w:t xml:space="preserve"> i) provádět opatření v oblasti budování kapacit pro zajištění připravenosti na krizové situace, jejich řízení a reakce na ně; ii) reagovat na přeshraniční zdravotní hrozby během krize; iii) podporovat kapacitu laboratoří; iv) řešit otázky mikrobiální rezistence; </w:t>
            </w:r>
          </w:p>
          <w:p w14:paraId="71BB0A4E" w14:textId="77777777" w:rsidR="00DD3EFA" w:rsidRPr="005A0E7C" w:rsidRDefault="00DD3EFA" w:rsidP="00B15ECB">
            <w:pPr>
              <w:spacing w:before="40"/>
            </w:pPr>
            <w:r w:rsidRPr="005A0E7C">
              <w:rPr>
                <w:b/>
              </w:rPr>
              <w:t>b) posílit zdravotní systémy;</w:t>
            </w:r>
            <w:r w:rsidRPr="005A0E7C">
              <w:t xml:space="preserve"> i) investovat do podpory zdraví a prevence nemocí; ii) podporovat digitální transformaci zdraví a péče; ii) podporovat rozvoj udržitelného zdravotního informačního systému Unie; iii) podporovat členské státy v předávání znalostí, které jsou užitečné pro vnitrostátní reformní procesy, aby se zvýšila účinnost, přístupnost a odolnost zdravotních systémů a více se podporovalo zdraví a prevence nemocí při současném zaměření zejména na výzvy zjištěné v rámci evropského semestru; iv) rozvíjet a zavádět přístupy, jimiž se reaguje na budoucí problémy týkající se systémů zdravotní péče; </w:t>
            </w:r>
          </w:p>
          <w:p w14:paraId="2F8739E3" w14:textId="77777777" w:rsidR="00DD3EFA" w:rsidRPr="005A0E7C" w:rsidRDefault="00DD3EFA" w:rsidP="00B15ECB">
            <w:pPr>
              <w:spacing w:before="40"/>
            </w:pPr>
            <w:r w:rsidRPr="005A0E7C">
              <w:t>c</w:t>
            </w:r>
            <w:r w:rsidRPr="005A0E7C">
              <w:rPr>
                <w:b/>
              </w:rPr>
              <w:t>) podporovat právní předpisy EU v oblasti zdraví;</w:t>
            </w:r>
            <w:r w:rsidRPr="005A0E7C">
              <w:t xml:space="preserve"> i) podporovat provádění právních předpisů týkajících se léčivých přípravků a zdravotnických prostředků; ii) podporovat provádění právních předpisů Unie v oblasti hodnocení zdravotnických technologií; 26 iii) monitorovat a podporovat členské státy při provádění právních předpisů v oblasti látek lidského původu (SoHO); iv) podporovat provádění právních předpisů týkajících se tabáku; v) podporovat provádění právních předpisů Unie v oblasti přeshraniční zdravotní péče; vi) podporovat vědecké výbory Komise pro bezpečnost spotřebitele a pro zdravotní, environmentální a vznikající rizika; </w:t>
            </w:r>
          </w:p>
          <w:p w14:paraId="71C49480" w14:textId="77777777" w:rsidR="00DD3EFA" w:rsidRPr="005A0E7C" w:rsidRDefault="00DD3EFA" w:rsidP="00B15ECB">
            <w:pPr>
              <w:spacing w:before="60" w:after="60"/>
              <w:rPr>
                <w:rFonts w:eastAsiaTheme="majorEastAsia"/>
                <w:i/>
              </w:rPr>
            </w:pPr>
            <w:r w:rsidRPr="005A0E7C">
              <w:t>d</w:t>
            </w:r>
            <w:r w:rsidRPr="005A0E7C">
              <w:rPr>
                <w:b/>
              </w:rPr>
              <w:t>) podporovat integrovanou činnost (pokud jde například o evropské referenční sítě, hodnocení zdravotnických technologií a zavádění osvědčených postupů na podporu zdraví, prevence a léčby nemocí);</w:t>
            </w:r>
            <w:r w:rsidRPr="005A0E7C">
              <w:t xml:space="preserve"> i) pokračovat v podpoře evropských referenčních sítí; ii) podporovat rozvoj spolupráce v oblasti hodnocení zdravotnických technologií při přípravě nových harmonizovaných pravidel; iii) podporovat zavádění osvědčených postupů pro inovace v oblasti veřejného zdraví.</w:t>
            </w:r>
          </w:p>
        </w:tc>
        <w:tc>
          <w:tcPr>
            <w:tcW w:w="138" w:type="pct"/>
            <w:tcBorders>
              <w:top w:val="nil"/>
              <w:bottom w:val="nil"/>
            </w:tcBorders>
            <w:shd w:val="clear" w:color="auto" w:fill="66CCFF"/>
          </w:tcPr>
          <w:p w14:paraId="1D81E6F1" w14:textId="77777777" w:rsidR="00DD3EFA" w:rsidRPr="005A0E7C" w:rsidRDefault="00DD3EFA" w:rsidP="00B15ECB">
            <w:pPr>
              <w:rPr>
                <w:b/>
              </w:rPr>
            </w:pPr>
          </w:p>
        </w:tc>
      </w:tr>
      <w:tr w:rsidR="00DD3EFA" w:rsidRPr="005A0E7C" w14:paraId="30964CCE" w14:textId="77777777" w:rsidTr="00B15ECB">
        <w:trPr>
          <w:trHeight w:val="1202"/>
        </w:trPr>
        <w:tc>
          <w:tcPr>
            <w:tcW w:w="138" w:type="pct"/>
            <w:tcBorders>
              <w:top w:val="nil"/>
              <w:bottom w:val="nil"/>
            </w:tcBorders>
            <w:shd w:val="clear" w:color="auto" w:fill="66CCFF"/>
          </w:tcPr>
          <w:p w14:paraId="682DCF1B"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406F3D10"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SDR</w:t>
            </w:r>
          </w:p>
        </w:tc>
        <w:tc>
          <w:tcPr>
            <w:tcW w:w="3312" w:type="pct"/>
            <w:tcBorders>
              <w:bottom w:val="single" w:sz="4" w:space="0" w:color="auto"/>
            </w:tcBorders>
            <w:shd w:val="clear" w:color="auto" w:fill="FFFFFF" w:themeFill="background1"/>
          </w:tcPr>
          <w:p w14:paraId="06866B21" w14:textId="77777777" w:rsidR="00DD3EFA" w:rsidRPr="005A0E7C" w:rsidRDefault="00DD3EFA" w:rsidP="00B15ECB">
            <w:pPr>
              <w:spacing w:before="60" w:after="60"/>
              <w:rPr>
                <w:rFonts w:eastAsiaTheme="majorEastAsia"/>
                <w:i/>
              </w:rPr>
            </w:pPr>
            <w:r w:rsidRPr="005A0E7C">
              <w:rPr>
                <w:rFonts w:eastAsiaTheme="majorEastAsia"/>
                <w:i/>
              </w:rPr>
              <w:t>po zveřejnění aktuálních SDR (předpoklad v březnu 2019) bude aktualizováno.</w:t>
            </w:r>
          </w:p>
          <w:p w14:paraId="6DC87C12" w14:textId="77777777" w:rsidR="00DD3EFA" w:rsidRPr="005A0E7C" w:rsidRDefault="00DD3EFA" w:rsidP="00B15ECB">
            <w:pPr>
              <w:autoSpaceDE w:val="0"/>
              <w:autoSpaceDN w:val="0"/>
              <w:adjustRightInd w:val="0"/>
            </w:pPr>
            <w:r w:rsidRPr="005A0E7C">
              <w:t>V rámci Specifických doporučení Rady (</w:t>
            </w:r>
            <w:r w:rsidRPr="005A0E7C">
              <w:rPr>
                <w:lang w:val="en-US"/>
              </w:rPr>
              <w:t>Country Specific Recommendations</w:t>
            </w:r>
            <w:r w:rsidRPr="005A0E7C">
              <w:t xml:space="preserve">, SCR) v posledních letech byla oblast zdravotnictví hodnocena v roce 2015. ČR čelila výzvám, pokud jde o dlouhodobou fiskální udržitelnost, a to především kvůli očekávaným nárůstům ve výdajích na důchody a zdravotní péči. </w:t>
            </w:r>
          </w:p>
          <w:p w14:paraId="3F4CA963" w14:textId="77777777" w:rsidR="00DD3EFA" w:rsidRPr="005A0E7C" w:rsidRDefault="00DD3EFA" w:rsidP="00B15ECB">
            <w:pPr>
              <w:autoSpaceDE w:val="0"/>
              <w:autoSpaceDN w:val="0"/>
              <w:adjustRightInd w:val="0"/>
            </w:pPr>
            <w:r w:rsidRPr="005A0E7C">
              <w:t>Z ukazatelů, jimiž se měří výsledky v nemocničním odvětví, vyplynulo, že lékařské výkony se ne vždy provádějí nákladově efektivním způsobem, a přidělování zdrojů není snadné, neboť přetrvávají problémy se zavedením systému pro úhrady nákladů, které nemocnicím vznikají. Praktičtí lékaři také podle všeho náležitě neplní úlohu lékařů prvního styku. Veřejné zakázky ve zdravotnictví jsou často provázeny nesrovnalostmi, což nasvědčuje nedostatkům ve správě a dozoru. Pro období 2015 - -2016 bylo České republice doporučeno, aby dosáhla fiskální korekce ve výši 0,5 % HDP v roce 2016 a zlepšila nákladovou efektivnost a správu ve zdravotnictví.</w:t>
            </w:r>
          </w:p>
          <w:p w14:paraId="7B0B15B3" w14:textId="77777777" w:rsidR="00DD3EFA" w:rsidRPr="005A0E7C" w:rsidRDefault="00DD3EFA" w:rsidP="00B15ECB">
            <w:pPr>
              <w:autoSpaceDE w:val="0"/>
              <w:autoSpaceDN w:val="0"/>
              <w:adjustRightInd w:val="0"/>
            </w:pPr>
          </w:p>
          <w:p w14:paraId="734C72F4" w14:textId="77777777" w:rsidR="00DD3EFA" w:rsidRPr="005A0E7C" w:rsidRDefault="00DD3EFA" w:rsidP="00B15ECB">
            <w:pPr>
              <w:autoSpaceDE w:val="0"/>
              <w:autoSpaceDN w:val="0"/>
              <w:adjustRightInd w:val="0"/>
            </w:pPr>
            <w:r w:rsidRPr="005A0E7C">
              <w:t xml:space="preserve">V roce 2016 vyplynula pro Českou republiku v dlouhodobém výhledu středně velká rizika týkající se fiskální udržitelnosti. Tato rizika plynula primárně z předpokládaného dopadu veřejných výdajů v souvislosti se stárnutím obyvatelstva, především výdajů na zdravotní péči, ale také výdajů na důchody. Obavy vzbuzovalo také očekávané zvýšení dlouhodobých výdajů na zdravotní péči. ČR stála před úkoly, jež spočívaly ve zlepšení řízení a nákladové efektivnosti zdravotnictví. Z ukazatelů byla patrná vysoká spotřeba zboží a služeb a komparativně vysoké využívání nemocniční péče, která je dražší než péče ambulantní. Systém úhrad za nemocniční péči byl přezkoumáván kvůli četným nedostatkům, mezi něž patří například skutečnost, že pro výpočet referenčních sazeb se využívá jen malý vzorek nemocnic. ČR dosud dostatečně neprozkoumala možnosti zlepšení koordinace ambulantní péče, posílení úlohy praktických lékařů jakožto lékařů prvního styku a snížení spotřeby ambulantních služeb, které nejsou nezbytné. Pro období 2016 - 2017 obdržela Česká republika doporučení, ve kterém Rada EU České republice doporučila „Podniknout opatření, jež zajistí dlouhodobou udržitelnost veřejných financí, ve světle budoucích rizik v oblasti zdravotní péče.“ </w:t>
            </w:r>
          </w:p>
          <w:p w14:paraId="56E2EF74" w14:textId="77777777" w:rsidR="00DD3EFA" w:rsidRPr="005A0E7C" w:rsidRDefault="00DD3EFA" w:rsidP="00B15ECB">
            <w:pPr>
              <w:autoSpaceDE w:val="0"/>
              <w:autoSpaceDN w:val="0"/>
              <w:adjustRightInd w:val="0"/>
            </w:pPr>
          </w:p>
          <w:p w14:paraId="5B0915DF" w14:textId="77777777" w:rsidR="00DD3EFA" w:rsidRPr="005A0E7C" w:rsidRDefault="00DD3EFA" w:rsidP="00B15ECB">
            <w:pPr>
              <w:autoSpaceDE w:val="0"/>
              <w:autoSpaceDN w:val="0"/>
              <w:adjustRightInd w:val="0"/>
            </w:pPr>
            <w:r w:rsidRPr="005A0E7C">
              <w:t xml:space="preserve">V roce 2017 přetrvávaly obavy ze zvyšování dlouhodobých výdajů na zdravotní péči, a to z hlediska správy i nákladové efektivnosti systému zdravotní péče, který se velkou měrou opírá o dražší nemocniční péči. Oblasti zdravotnictví se explicitně netýkalo žádné z obdržených doporučení. </w:t>
            </w:r>
          </w:p>
          <w:p w14:paraId="0698F8F6" w14:textId="77777777" w:rsidR="00DD3EFA" w:rsidRPr="005A0E7C" w:rsidRDefault="00DD3EFA" w:rsidP="00B15ECB">
            <w:pPr>
              <w:autoSpaceDE w:val="0"/>
              <w:autoSpaceDN w:val="0"/>
              <w:adjustRightInd w:val="0"/>
            </w:pPr>
          </w:p>
          <w:p w14:paraId="3593ACE4" w14:textId="77777777" w:rsidR="00DD3EFA" w:rsidRPr="005A0E7C" w:rsidRDefault="00DD3EFA" w:rsidP="00B15ECB">
            <w:pPr>
              <w:autoSpaceDE w:val="0"/>
              <w:autoSpaceDN w:val="0"/>
              <w:adjustRightInd w:val="0"/>
            </w:pPr>
            <w:r w:rsidRPr="005A0E7C">
              <w:t>V roce 2018 Česká republika nebyla uvedena mezi členskými státy EU, u nichž bude proveden hloubkový přezkum. V aktuálních specifických doporučeních Rady pro rok 2018 není oblast zdravotnictví reflektována. Ministerstvo zdravotnictví, v mezích své gesce ke zdravotnickému systému ČR, který rovněž determinuje fiskální udržitelnost systému veřejných financí, neuplatnilo k doporučení připomínky.</w:t>
            </w:r>
          </w:p>
          <w:p w14:paraId="7D5C7127" w14:textId="77777777" w:rsidR="00DD3EFA" w:rsidRPr="005A0E7C" w:rsidRDefault="00DD3EFA" w:rsidP="00B15ECB">
            <w:pPr>
              <w:autoSpaceDE w:val="0"/>
              <w:autoSpaceDN w:val="0"/>
              <w:adjustRightInd w:val="0"/>
            </w:pPr>
            <w:r w:rsidRPr="005A0E7C">
              <w:t xml:space="preserve">V roce 2018 se očekávalo kladné saldo příjmů a výdajů veřejného zdravotního pojištění. V systému zdravotní péče byla navíc uskutečňována řada kroků, které vedly ke zlepšení dlouhodobé udržitelnosti jeho financování. Patří mezi ně podpora přesunu péče z nákladné lůžkové do levnější ambulantní sféry s podporou jednodenní péče a zavedení tzv. systému Pharmacy-based Cost Groups v rámci úprav systému přerozdělování pojistného na veřejné zdravotní pojištění vedoucích k dlouhodobé konkurenceschopnosti zdravotních pojišťoven. Největším reformním krokem v souvislosti s nákladovou udržitelností je stále probíhající projekt Diagnosis Related Group (DRG) Restart, který zajistí účelnou distribuci finančních prostředků v akutní lůžkové péči. </w:t>
            </w:r>
          </w:p>
          <w:p w14:paraId="5E6DEC90" w14:textId="77777777" w:rsidR="00DD3EFA" w:rsidRPr="005A0E7C" w:rsidRDefault="00DD3EFA" w:rsidP="00B15ECB">
            <w:pPr>
              <w:tabs>
                <w:tab w:val="left" w:pos="9617"/>
              </w:tabs>
              <w:autoSpaceDE w:val="0"/>
              <w:autoSpaceDN w:val="0"/>
              <w:adjustRightInd w:val="0"/>
            </w:pPr>
            <w:r w:rsidRPr="005A0E7C">
              <w:tab/>
            </w:r>
          </w:p>
          <w:p w14:paraId="3A1932D8" w14:textId="77777777" w:rsidR="00DD3EFA" w:rsidRPr="005A0E7C" w:rsidRDefault="00DD3EFA" w:rsidP="00B15ECB">
            <w:pPr>
              <w:rPr>
                <w:rFonts w:eastAsiaTheme="majorEastAsia"/>
              </w:rPr>
            </w:pPr>
            <w:r w:rsidRPr="005A0E7C">
              <w:rPr>
                <w:rFonts w:eastAsiaTheme="majorEastAsia"/>
              </w:rPr>
              <w:t xml:space="preserve">Podle prvního dostupného návrhu </w:t>
            </w:r>
            <w:r w:rsidRPr="005A0E7C">
              <w:rPr>
                <w:rFonts w:eastAsiaTheme="majorEastAsia"/>
                <w:b/>
                <w:i/>
              </w:rPr>
              <w:t xml:space="preserve">Investment Guidance on Cohesion Policy Funding 2021 – 2027 for the Czech Republic </w:t>
            </w:r>
            <w:r w:rsidRPr="005A0E7C">
              <w:rPr>
                <w:rFonts w:eastAsiaTheme="majorEastAsia"/>
              </w:rPr>
              <w:t xml:space="preserve">v rámci Country Report 2019 by měla být stanovena dle Evropské komise v rámci Politického cíle 4: Sociálnější Evropa i následující priorita: </w:t>
            </w:r>
          </w:p>
          <w:p w14:paraId="73C05CD6" w14:textId="77777777" w:rsidR="00DD3EFA" w:rsidRPr="005A0E7C" w:rsidRDefault="00DD3EFA" w:rsidP="00B15ECB">
            <w:pPr>
              <w:rPr>
                <w:rFonts w:eastAsiaTheme="majorEastAsia"/>
              </w:rPr>
            </w:pPr>
          </w:p>
          <w:p w14:paraId="35B66BD0" w14:textId="77777777" w:rsidR="00DD3EFA" w:rsidRPr="005A0E7C" w:rsidRDefault="00DD3EFA" w:rsidP="00B15ECB">
            <w:pPr>
              <w:rPr>
                <w:rFonts w:eastAsiaTheme="majorEastAsia"/>
                <w:i/>
              </w:rPr>
            </w:pPr>
            <w:r w:rsidRPr="005A0E7C">
              <w:rPr>
                <w:rFonts w:eastAsiaTheme="majorEastAsia"/>
                <w:i/>
              </w:rPr>
              <w:t xml:space="preserve">Social challenges at regional level are increasing. Priority investment needs have been identified to promote the socio-economic integration of the most deprived, and to improve access to social, healthcare and long-term care services with a view to reducing health inequalities, including by developing infrastructure, and in particular to: </w:t>
            </w:r>
          </w:p>
          <w:p w14:paraId="3252DDF5" w14:textId="77777777" w:rsidR="00DD3EFA" w:rsidRPr="005A0E7C" w:rsidRDefault="00DD3EFA" w:rsidP="00391907">
            <w:pPr>
              <w:pStyle w:val="Odstavecseseznamem"/>
              <w:numPr>
                <w:ilvl w:val="0"/>
                <w:numId w:val="40"/>
              </w:numPr>
              <w:jc w:val="both"/>
              <w:rPr>
                <w:rFonts w:eastAsiaTheme="majorEastAsia"/>
                <w:i/>
              </w:rPr>
            </w:pPr>
            <w:r w:rsidRPr="005A0E7C">
              <w:rPr>
                <w:rFonts w:eastAsiaTheme="majorEastAsia"/>
                <w:i/>
              </w:rPr>
              <w:t xml:space="preserve">further promote a coordinated approach to the socioeconomic integration of the socially excluded, such as the Roma, including through food and basic material assistance, access to employment, health and social services, financial counselling, targeted education/training, and measures to tackle housing exclusion; </w:t>
            </w:r>
          </w:p>
          <w:p w14:paraId="3019E037"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 xml:space="preserve">. </w:t>
            </w:r>
          </w:p>
          <w:p w14:paraId="6BBB5A25" w14:textId="77777777" w:rsidR="00DD3EFA" w:rsidRPr="005A0E7C" w:rsidRDefault="00DD3EFA" w:rsidP="00391907">
            <w:pPr>
              <w:pStyle w:val="Odstavecseseznamem"/>
              <w:numPr>
                <w:ilvl w:val="0"/>
                <w:numId w:val="40"/>
              </w:numPr>
              <w:jc w:val="both"/>
              <w:rPr>
                <w:rFonts w:eastAsiaTheme="majorEastAsia"/>
              </w:rPr>
            </w:pPr>
            <w:r w:rsidRPr="005A0E7C">
              <w:rPr>
                <w:rFonts w:eastAsiaTheme="majorEastAsia"/>
                <w:i/>
              </w:rPr>
              <w:t>support de-institutionalisation of care particularly for children under 3, people with disabilities, the elderly and people with mental disabilities; cooperation between health and social services; strengthen and improve access to primary care particularly for vulnerable groups; integration of care and prevention</w:t>
            </w:r>
          </w:p>
          <w:p w14:paraId="0D7E382D" w14:textId="77777777" w:rsidR="00DD3EFA" w:rsidRPr="005A0E7C" w:rsidRDefault="00DD3EFA" w:rsidP="00B15ECB"/>
          <w:p w14:paraId="3E3DDE34" w14:textId="77777777" w:rsidR="00DD3EFA" w:rsidRPr="005A0E7C" w:rsidRDefault="00DD3EFA" w:rsidP="00B15ECB">
            <w:pPr>
              <w:spacing w:before="60" w:after="60"/>
              <w:rPr>
                <w:rFonts w:eastAsiaTheme="majorEastAsia"/>
                <w:i/>
              </w:rPr>
            </w:pPr>
            <w:r w:rsidRPr="005A0E7C">
              <w:t xml:space="preserve">Tato priorita je v souladu s plánovaným nastavením podpory prezentovaným v rámci této tematické karty. </w:t>
            </w:r>
          </w:p>
        </w:tc>
        <w:tc>
          <w:tcPr>
            <w:tcW w:w="138" w:type="pct"/>
            <w:tcBorders>
              <w:top w:val="nil"/>
              <w:bottom w:val="nil"/>
            </w:tcBorders>
            <w:shd w:val="clear" w:color="auto" w:fill="66CCFF"/>
          </w:tcPr>
          <w:p w14:paraId="66825225" w14:textId="77777777" w:rsidR="00DD3EFA" w:rsidRPr="005A0E7C" w:rsidRDefault="00DD3EFA" w:rsidP="00B15ECB">
            <w:pPr>
              <w:rPr>
                <w:b/>
              </w:rPr>
            </w:pPr>
          </w:p>
        </w:tc>
      </w:tr>
      <w:tr w:rsidR="00DD3EFA" w:rsidRPr="005A0E7C" w14:paraId="7B7193CC" w14:textId="77777777" w:rsidTr="00B15ECB">
        <w:trPr>
          <w:trHeight w:val="180"/>
        </w:trPr>
        <w:tc>
          <w:tcPr>
            <w:tcW w:w="138" w:type="pct"/>
            <w:tcBorders>
              <w:top w:val="nil"/>
              <w:bottom w:val="nil"/>
              <w:right w:val="nil"/>
            </w:tcBorders>
            <w:shd w:val="clear" w:color="auto" w:fill="66CCFF"/>
          </w:tcPr>
          <w:p w14:paraId="110D3BE0" w14:textId="77777777" w:rsidR="00DD3EFA" w:rsidRPr="005A0E7C" w:rsidRDefault="00DD3EFA" w:rsidP="00B15ECB">
            <w:pPr>
              <w:rPr>
                <w:b/>
              </w:rPr>
            </w:pPr>
          </w:p>
        </w:tc>
        <w:tc>
          <w:tcPr>
            <w:tcW w:w="1412" w:type="pct"/>
            <w:tcBorders>
              <w:left w:val="nil"/>
              <w:right w:val="nil"/>
            </w:tcBorders>
            <w:shd w:val="clear" w:color="auto" w:fill="66CCFF"/>
          </w:tcPr>
          <w:p w14:paraId="43BECD54" w14:textId="77777777" w:rsidR="00DD3EFA" w:rsidRPr="005A0E7C" w:rsidRDefault="00DD3EFA" w:rsidP="00B15ECB">
            <w:pPr>
              <w:rPr>
                <w:b/>
              </w:rPr>
            </w:pPr>
          </w:p>
        </w:tc>
        <w:tc>
          <w:tcPr>
            <w:tcW w:w="3312" w:type="pct"/>
            <w:tcBorders>
              <w:left w:val="nil"/>
              <w:right w:val="nil"/>
            </w:tcBorders>
            <w:shd w:val="clear" w:color="auto" w:fill="66CCFF"/>
          </w:tcPr>
          <w:p w14:paraId="09D7D7E6" w14:textId="77777777" w:rsidR="00DD3EFA" w:rsidRPr="005A0E7C" w:rsidRDefault="00DD3EFA" w:rsidP="00B15ECB">
            <w:pPr>
              <w:rPr>
                <w:b/>
              </w:rPr>
            </w:pPr>
          </w:p>
        </w:tc>
        <w:tc>
          <w:tcPr>
            <w:tcW w:w="138" w:type="pct"/>
            <w:tcBorders>
              <w:top w:val="nil"/>
              <w:left w:val="nil"/>
              <w:bottom w:val="nil"/>
            </w:tcBorders>
            <w:shd w:val="clear" w:color="auto" w:fill="66CCFF"/>
          </w:tcPr>
          <w:p w14:paraId="388257DD" w14:textId="77777777" w:rsidR="00DD3EFA" w:rsidRPr="005A0E7C" w:rsidRDefault="00DD3EFA" w:rsidP="00B15ECB">
            <w:pPr>
              <w:rPr>
                <w:b/>
              </w:rPr>
            </w:pPr>
          </w:p>
        </w:tc>
      </w:tr>
      <w:tr w:rsidR="00DD3EFA" w:rsidRPr="005A0E7C" w14:paraId="71991CD7" w14:textId="77777777" w:rsidTr="00B15ECB">
        <w:trPr>
          <w:trHeight w:val="938"/>
        </w:trPr>
        <w:tc>
          <w:tcPr>
            <w:tcW w:w="138" w:type="pct"/>
            <w:tcBorders>
              <w:top w:val="nil"/>
              <w:bottom w:val="nil"/>
            </w:tcBorders>
            <w:shd w:val="clear" w:color="auto" w:fill="66CCFF"/>
          </w:tcPr>
          <w:p w14:paraId="4F3FE322"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60F96A17"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5B67CCEB" w14:textId="77777777" w:rsidR="00DD3EFA" w:rsidRPr="005A0E7C" w:rsidRDefault="00DD3EFA" w:rsidP="00B15ECB">
            <w:pPr>
              <w:pStyle w:val="Odstavecseseznamem"/>
              <w:spacing w:before="60" w:after="60"/>
              <w:ind w:left="360"/>
              <w:rPr>
                <w:rFonts w:eastAsiaTheme="majorEastAsia"/>
                <w:b/>
              </w:rPr>
            </w:pPr>
          </w:p>
        </w:tc>
        <w:tc>
          <w:tcPr>
            <w:tcW w:w="3312" w:type="pct"/>
            <w:tcBorders>
              <w:bottom w:val="single" w:sz="4" w:space="0" w:color="auto"/>
            </w:tcBorders>
            <w:shd w:val="clear" w:color="auto" w:fill="FFFFFF" w:themeFill="background1"/>
          </w:tcPr>
          <w:p w14:paraId="382D480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roce 2014 byla přijata Národní strategie na ochranu a podporu zdraví a prevenci onemocnění - Zdraví 2020, jejímž účelem je především nastartování účinných a dlouhodobě udržitelných mechanismů ke zlepšení zdravotního stavu populace. Neméně významná je i její role jako klíčového dokumentu pro splnění předběžné podmínky Evropské komise pro čerpání finančních prostředků z evropských fondů pro oblast zdravotnictví v období 2014 - 2020. Hlavním výstupem dosavadní realizace je vytvoření tzv. akčních plánů, které blíže specifikují konkrétní cíle, odpovědnost, ukazatele, termíny plnění pro klíčová prioritní témata Národní strategie Zdraví 2020 a rámcové rozpočty.</w:t>
            </w:r>
          </w:p>
          <w:p w14:paraId="3C3153F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Základním strategickým dokumentem pro období 2020 – 2030 by měl být dokument Strategický rámec Rozvoj péče o zdraví v České republice do roku 2030. Tento dokument by měl reflektovat zkušenosti s implementací strategie Zdraví 2020 a zároveň reagovat na aktuální socioekonomický vývoj (zejména demografické stárnutí) i na trendy v pojetí zdravotnictví (např. důraz na primární, komunitní a dlouhodobou péči a rovněž na prevenci). Strategický rámec bude v souladu s Evropským pilířem sociálních práv (European Pillar of Social Rights) a rovněž bude reflektovat tzv. základní podmínku (enabling condition) dle článku 11 Obecného nařízení. Ke Strategickému rámci budou pro jednotlivé relevantní oblasti vytvořeny dokumenty implementačního charakteru, předpokládá se vytvoření implementačního dokumentu pro všech šest priorit uváděných v této tematické kartě. </w:t>
            </w:r>
          </w:p>
          <w:p w14:paraId="4B6FFF21"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Hlavní cíle Strategického rámce by měly být následující: </w:t>
            </w:r>
          </w:p>
          <w:p w14:paraId="229B763F"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1) prodloužení let prožitých ve zdraví obyvatel ČR, </w:t>
            </w:r>
          </w:p>
          <w:p w14:paraId="41141FE2"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2) zlepšení funkce zdravotnického systému, </w:t>
            </w:r>
          </w:p>
          <w:p w14:paraId="3C180881"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3) zvýšení kvality poskytovaných zdravotních služeb a </w:t>
            </w:r>
          </w:p>
          <w:p w14:paraId="010B09D2"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4) přispění k vytvoření a funkčnosti motivovaného a vstřícného zdravotně-sociálního pomezí. </w:t>
            </w:r>
          </w:p>
          <w:p w14:paraId="1F845F4F"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34491F0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Dokument Strategický rámec Rozvoj péče o zdraví v České republice do roku 2030 je v současné době připravován. Vládě ČR by měl být předložen ke schválení v první polovině roku 2019. </w:t>
            </w:r>
          </w:p>
          <w:p w14:paraId="743775B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Obecně se oblastí zdraví se zabývá také Strategický rámec Česká republika 2030, vč. implementačního plánu ke Strategickému rámci Česká republika 2030 ve svém strategickém cíli 5 Zdraví všech skupin obyvatel se zlepšuje. V samotném dokumentu je zdraví věnována podkapitola 1.5 Zdraví v rámci sekce Lidé a společnost.</w:t>
            </w:r>
          </w:p>
          <w:p w14:paraId="0EACCC5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Další relevantní dokumenty: </w:t>
            </w:r>
          </w:p>
          <w:p w14:paraId="1627B41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Národní akční plán pro duševní zdraví 2020+ (v procesu vzniku, předpokládaný termín předložení ke schválení vládě ČR – podzim 2019, aktuálně je realizována implementace Strategie reformy psychiatrické péče 2013 – 2023 a Akční plán č. 3 Duševní zdraví ze Strategie Zdraví 2020) – koncipován v návaznosti na realizované projekty reformy psychiatrie uskutečněné v aktuálním programovém období. </w:t>
            </w:r>
          </w:p>
          <w:p w14:paraId="0C33CC3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u w:val="single"/>
              </w:rPr>
            </w:pPr>
            <w:r w:rsidRPr="005A0E7C">
              <w:rPr>
                <w:rFonts w:ascii="Times New Roman" w:hAnsi="Times New Roman"/>
              </w:rPr>
              <w:t>Národní akční plán pro Alzheimerovu nemoc a obdobná onemocnění 2020+ (v procesu vzniku) navazuje a rozvíjí mj. některé z odpilotovaných aktivit v rámci reformy psychiatrie pro relevantní cílové skupiny osob.</w:t>
            </w:r>
          </w:p>
        </w:tc>
        <w:tc>
          <w:tcPr>
            <w:tcW w:w="138" w:type="pct"/>
            <w:tcBorders>
              <w:top w:val="nil"/>
              <w:bottom w:val="nil"/>
            </w:tcBorders>
            <w:shd w:val="clear" w:color="auto" w:fill="66CCFF"/>
          </w:tcPr>
          <w:p w14:paraId="3A2D2960" w14:textId="77777777" w:rsidR="00DD3EFA" w:rsidRPr="005A0E7C" w:rsidRDefault="00DD3EFA" w:rsidP="00B15ECB">
            <w:pPr>
              <w:rPr>
                <w:b/>
              </w:rPr>
            </w:pPr>
          </w:p>
        </w:tc>
      </w:tr>
      <w:tr w:rsidR="00DD3EFA" w:rsidRPr="005A0E7C" w14:paraId="50D88523" w14:textId="77777777" w:rsidTr="00B15ECB">
        <w:trPr>
          <w:trHeight w:val="938"/>
        </w:trPr>
        <w:tc>
          <w:tcPr>
            <w:tcW w:w="138" w:type="pct"/>
            <w:tcBorders>
              <w:top w:val="nil"/>
              <w:bottom w:val="nil"/>
            </w:tcBorders>
            <w:shd w:val="clear" w:color="auto" w:fill="66CCFF"/>
          </w:tcPr>
          <w:p w14:paraId="19F46390"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4F9C3DBD"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analýza problémů a potřeb</w:t>
            </w:r>
          </w:p>
          <w:p w14:paraId="37F95EDE" w14:textId="77777777" w:rsidR="00DD3EFA" w:rsidRPr="005A0E7C" w:rsidRDefault="00DD3EFA" w:rsidP="00B15ECB">
            <w:pPr>
              <w:spacing w:before="60" w:after="60"/>
              <w:rPr>
                <w:rFonts w:eastAsiaTheme="majorEastAsia"/>
                <w:b/>
              </w:rPr>
            </w:pPr>
          </w:p>
        </w:tc>
        <w:tc>
          <w:tcPr>
            <w:tcW w:w="3312" w:type="pct"/>
            <w:tcBorders>
              <w:bottom w:val="single" w:sz="4" w:space="0" w:color="auto"/>
            </w:tcBorders>
            <w:shd w:val="clear" w:color="auto" w:fill="FFFFFF" w:themeFill="background1"/>
          </w:tcPr>
          <w:p w14:paraId="74B9310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Ve Strategickém rámci Česká republika 2030 a dále v jednotlivých resortních (i meziresortních) strategických materiálech.</w:t>
            </w:r>
          </w:p>
          <w:p w14:paraId="7F99E2B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V současné době je dokončována analýza problémů a hlavních cílů – základ Strategického rámce Rozvoj péče o zdraví v České republice do roku 2030 (Zdraví 2030). Analýzy budou součástí i jednotlivých implementačních dokumentů, tak aby byla naplněna tzv. základní podmínka pro strategický dokument – mapování potřeb péče včetně nutné personální kapacity, a to i v dlouhodobé péči.</w:t>
            </w:r>
          </w:p>
        </w:tc>
        <w:tc>
          <w:tcPr>
            <w:tcW w:w="138" w:type="pct"/>
            <w:tcBorders>
              <w:top w:val="nil"/>
              <w:bottom w:val="nil"/>
            </w:tcBorders>
            <w:shd w:val="clear" w:color="auto" w:fill="66CCFF"/>
          </w:tcPr>
          <w:p w14:paraId="4D9B1098" w14:textId="77777777" w:rsidR="00DD3EFA" w:rsidRPr="005A0E7C" w:rsidRDefault="00DD3EFA" w:rsidP="00B15ECB">
            <w:pPr>
              <w:rPr>
                <w:b/>
              </w:rPr>
            </w:pPr>
          </w:p>
        </w:tc>
      </w:tr>
      <w:tr w:rsidR="00DD3EFA" w:rsidRPr="005A0E7C" w14:paraId="497E1C07" w14:textId="77777777" w:rsidTr="00B15ECB">
        <w:trPr>
          <w:trHeight w:val="938"/>
        </w:trPr>
        <w:tc>
          <w:tcPr>
            <w:tcW w:w="138" w:type="pct"/>
            <w:tcBorders>
              <w:top w:val="nil"/>
              <w:bottom w:val="nil"/>
            </w:tcBorders>
            <w:shd w:val="clear" w:color="auto" w:fill="66CCFF"/>
          </w:tcPr>
          <w:p w14:paraId="1D787B77"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32253F5A"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jasně definované cíle a opatření</w:t>
            </w:r>
          </w:p>
          <w:p w14:paraId="59FC1F3C" w14:textId="77777777" w:rsidR="00DD3EFA" w:rsidRPr="005A0E7C" w:rsidRDefault="00DD3EFA" w:rsidP="00B15ECB">
            <w:pPr>
              <w:spacing w:before="60" w:after="60"/>
              <w:rPr>
                <w:rFonts w:eastAsiaTheme="majorEastAsia"/>
                <w:b/>
              </w:rPr>
            </w:pPr>
          </w:p>
        </w:tc>
        <w:tc>
          <w:tcPr>
            <w:tcW w:w="3312" w:type="pct"/>
            <w:tcBorders>
              <w:bottom w:val="single" w:sz="4" w:space="0" w:color="auto"/>
            </w:tcBorders>
            <w:shd w:val="clear" w:color="auto" w:fill="FFFFFF" w:themeFill="background1"/>
          </w:tcPr>
          <w:p w14:paraId="38471BD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Viz výše SC z implementačního plánu Strategického rámce Česká republika 2030. </w:t>
            </w:r>
          </w:p>
          <w:p w14:paraId="1B03AED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V současné době je dokončována analýza problémů a hlavních cílů – základ Strategického rámce Rozvoj péče o zdraví v České republice do roku 2030. Dílčí cíle a opatření budou součástí jednotlivých implementačních dokumentů, tak aby byla naplněna tzv. základní podmínka, která definuje, jaká opatření mají být součástí relevantní strategie.</w:t>
            </w:r>
          </w:p>
        </w:tc>
        <w:tc>
          <w:tcPr>
            <w:tcW w:w="138" w:type="pct"/>
            <w:tcBorders>
              <w:top w:val="nil"/>
              <w:bottom w:val="nil"/>
            </w:tcBorders>
            <w:shd w:val="clear" w:color="auto" w:fill="66CCFF"/>
          </w:tcPr>
          <w:p w14:paraId="77566C1A" w14:textId="77777777" w:rsidR="00DD3EFA" w:rsidRPr="005A0E7C" w:rsidRDefault="00DD3EFA" w:rsidP="00B15ECB">
            <w:pPr>
              <w:rPr>
                <w:b/>
              </w:rPr>
            </w:pPr>
          </w:p>
        </w:tc>
      </w:tr>
      <w:tr w:rsidR="00DD3EFA" w:rsidRPr="005A0E7C" w14:paraId="08A4E5E0" w14:textId="77777777" w:rsidTr="00B15ECB">
        <w:trPr>
          <w:trHeight w:val="938"/>
        </w:trPr>
        <w:tc>
          <w:tcPr>
            <w:tcW w:w="138" w:type="pct"/>
            <w:tcBorders>
              <w:top w:val="nil"/>
              <w:bottom w:val="nil"/>
            </w:tcBorders>
            <w:shd w:val="clear" w:color="auto" w:fill="66CCFF"/>
          </w:tcPr>
          <w:p w14:paraId="060618AE"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32ED8069" w14:textId="77777777" w:rsidR="00DD3EFA" w:rsidRPr="005A0E7C" w:rsidRDefault="00DD3EFA" w:rsidP="00391907">
            <w:pPr>
              <w:pStyle w:val="Odstavecseseznamem"/>
              <w:numPr>
                <w:ilvl w:val="0"/>
                <w:numId w:val="3"/>
              </w:numPr>
              <w:spacing w:before="60" w:after="60"/>
              <w:jc w:val="both"/>
              <w:rPr>
                <w:rFonts w:eastAsiaTheme="majorEastAsia"/>
                <w:b/>
              </w:rPr>
            </w:pPr>
            <w:r w:rsidRPr="005A0E7C">
              <w:rPr>
                <w:rFonts w:eastAsiaTheme="majorEastAsia"/>
                <w:b/>
              </w:rPr>
              <w:t>implementační mechanismus</w:t>
            </w:r>
          </w:p>
          <w:p w14:paraId="5C6414A2" w14:textId="77777777" w:rsidR="00DD3EFA" w:rsidRPr="005A0E7C" w:rsidRDefault="00DD3EFA" w:rsidP="00B15ECB">
            <w:pPr>
              <w:spacing w:before="60" w:after="60"/>
              <w:rPr>
                <w:rFonts w:eastAsiaTheme="majorEastAsia"/>
                <w:b/>
              </w:rPr>
            </w:pPr>
          </w:p>
        </w:tc>
        <w:tc>
          <w:tcPr>
            <w:tcW w:w="3312" w:type="pct"/>
            <w:tcBorders>
              <w:bottom w:val="single" w:sz="4" w:space="0" w:color="auto"/>
            </w:tcBorders>
            <w:shd w:val="clear" w:color="auto" w:fill="FFFFFF" w:themeFill="background1"/>
          </w:tcPr>
          <w:p w14:paraId="0678788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 xml:space="preserve">Implementační mechanismus bude nastaven v souladu s Metodikou přípravy veřejných strategií. Na základě zkušeností s implementací Národní strategie na ochranu a podporu zdraví a prevenci onemocnění - Zdraví 2020, na níž bylo navázáno celkem velké množství Akčních plánů, což se ukázalo jako velmi nevhodné pro jejich realizaci. Míra splnění opatření jednotlivých Akčních plánů velmi kolísá, systém je těžko řiditelný a flexibilní. Z tohoto důvodu bude vytvořen menší počet implementačních dokumentů navázaných na priority MZd definované v této tematické kartě. </w:t>
            </w:r>
          </w:p>
        </w:tc>
        <w:tc>
          <w:tcPr>
            <w:tcW w:w="138" w:type="pct"/>
            <w:tcBorders>
              <w:top w:val="nil"/>
              <w:bottom w:val="nil"/>
            </w:tcBorders>
            <w:shd w:val="clear" w:color="auto" w:fill="66CCFF"/>
          </w:tcPr>
          <w:p w14:paraId="56B569B3" w14:textId="77777777" w:rsidR="00DD3EFA" w:rsidRPr="005A0E7C" w:rsidRDefault="00DD3EFA" w:rsidP="00B15ECB">
            <w:pPr>
              <w:rPr>
                <w:b/>
              </w:rPr>
            </w:pPr>
          </w:p>
        </w:tc>
      </w:tr>
      <w:tr w:rsidR="00DD3EFA" w:rsidRPr="005A0E7C" w14:paraId="6D9D0F8C" w14:textId="77777777" w:rsidTr="00B15ECB">
        <w:trPr>
          <w:trHeight w:val="938"/>
        </w:trPr>
        <w:tc>
          <w:tcPr>
            <w:tcW w:w="138" w:type="pct"/>
            <w:tcBorders>
              <w:top w:val="nil"/>
              <w:bottom w:val="nil"/>
            </w:tcBorders>
            <w:shd w:val="clear" w:color="auto" w:fill="66CCFF"/>
          </w:tcPr>
          <w:p w14:paraId="391380CB"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3C40AAFC"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monitoring a evaluace</w:t>
            </w:r>
          </w:p>
        </w:tc>
        <w:tc>
          <w:tcPr>
            <w:tcW w:w="3312" w:type="pct"/>
            <w:tcBorders>
              <w:bottom w:val="single" w:sz="4" w:space="0" w:color="auto"/>
            </w:tcBorders>
            <w:shd w:val="clear" w:color="auto" w:fill="FFFFFF" w:themeFill="background1"/>
          </w:tcPr>
          <w:p w14:paraId="17EC6B1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 xml:space="preserve">Monitoring a evaluace bude vycházet z Metodiky přípravy veřejných strategií. Pro hodnocení dosaženého pokroku budou přednostně vybrány schválené indikátorů Strategického rámce ČR 2030 a dále Indikátory kvality života v ČR. </w:t>
            </w:r>
          </w:p>
        </w:tc>
        <w:tc>
          <w:tcPr>
            <w:tcW w:w="138" w:type="pct"/>
            <w:tcBorders>
              <w:top w:val="nil"/>
              <w:bottom w:val="nil"/>
            </w:tcBorders>
            <w:shd w:val="clear" w:color="auto" w:fill="66CCFF"/>
          </w:tcPr>
          <w:p w14:paraId="63D49676" w14:textId="77777777" w:rsidR="00DD3EFA" w:rsidRPr="005A0E7C" w:rsidRDefault="00DD3EFA" w:rsidP="00B15ECB">
            <w:pPr>
              <w:rPr>
                <w:b/>
              </w:rPr>
            </w:pPr>
          </w:p>
        </w:tc>
      </w:tr>
      <w:tr w:rsidR="00DD3EFA" w:rsidRPr="005A0E7C" w14:paraId="0BD0ED89" w14:textId="77777777" w:rsidTr="00B15ECB">
        <w:trPr>
          <w:trHeight w:val="130"/>
        </w:trPr>
        <w:tc>
          <w:tcPr>
            <w:tcW w:w="138" w:type="pct"/>
            <w:tcBorders>
              <w:top w:val="nil"/>
              <w:bottom w:val="nil"/>
              <w:right w:val="nil"/>
            </w:tcBorders>
            <w:shd w:val="clear" w:color="auto" w:fill="66CCFF"/>
          </w:tcPr>
          <w:p w14:paraId="3D6A502A" w14:textId="77777777" w:rsidR="00DD3EFA" w:rsidRPr="005A0E7C" w:rsidRDefault="00DD3EFA" w:rsidP="00B15ECB">
            <w:pPr>
              <w:rPr>
                <w:b/>
              </w:rPr>
            </w:pPr>
          </w:p>
        </w:tc>
        <w:tc>
          <w:tcPr>
            <w:tcW w:w="1412" w:type="pct"/>
            <w:tcBorders>
              <w:left w:val="nil"/>
              <w:right w:val="nil"/>
            </w:tcBorders>
            <w:shd w:val="clear" w:color="auto" w:fill="66CCFF"/>
          </w:tcPr>
          <w:p w14:paraId="32924116" w14:textId="77777777" w:rsidR="00DD3EFA" w:rsidRPr="005A0E7C" w:rsidRDefault="00DD3EFA" w:rsidP="00B15ECB">
            <w:pPr>
              <w:rPr>
                <w:b/>
              </w:rPr>
            </w:pPr>
          </w:p>
        </w:tc>
        <w:tc>
          <w:tcPr>
            <w:tcW w:w="3312" w:type="pct"/>
            <w:tcBorders>
              <w:left w:val="nil"/>
              <w:right w:val="nil"/>
            </w:tcBorders>
            <w:shd w:val="clear" w:color="auto" w:fill="66CCFF"/>
          </w:tcPr>
          <w:p w14:paraId="2FD7BD10"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inorHAnsi" w:hAnsi="Times New Roman"/>
                <w:b/>
              </w:rPr>
            </w:pPr>
          </w:p>
        </w:tc>
        <w:tc>
          <w:tcPr>
            <w:tcW w:w="138" w:type="pct"/>
            <w:tcBorders>
              <w:top w:val="nil"/>
              <w:left w:val="nil"/>
              <w:bottom w:val="nil"/>
            </w:tcBorders>
            <w:shd w:val="clear" w:color="auto" w:fill="66CCFF"/>
          </w:tcPr>
          <w:p w14:paraId="027CE103" w14:textId="77777777" w:rsidR="00DD3EFA" w:rsidRPr="005A0E7C" w:rsidRDefault="00DD3EFA" w:rsidP="00B15ECB">
            <w:pPr>
              <w:rPr>
                <w:b/>
              </w:rPr>
            </w:pPr>
          </w:p>
        </w:tc>
      </w:tr>
      <w:tr w:rsidR="00DD3EFA" w:rsidRPr="005A0E7C" w14:paraId="46446E66" w14:textId="77777777" w:rsidTr="00B15ECB">
        <w:trPr>
          <w:trHeight w:val="1258"/>
        </w:trPr>
        <w:tc>
          <w:tcPr>
            <w:tcW w:w="138" w:type="pct"/>
            <w:tcBorders>
              <w:top w:val="nil"/>
              <w:bottom w:val="nil"/>
              <w:right w:val="nil"/>
            </w:tcBorders>
            <w:shd w:val="clear" w:color="auto" w:fill="66CCFF"/>
          </w:tcPr>
          <w:p w14:paraId="69355226" w14:textId="77777777" w:rsidR="00DD3EFA" w:rsidRPr="005A0E7C" w:rsidRDefault="00DD3EFA" w:rsidP="00B15ECB">
            <w:pPr>
              <w:rPr>
                <w:b/>
              </w:rPr>
            </w:pPr>
          </w:p>
        </w:tc>
        <w:tc>
          <w:tcPr>
            <w:tcW w:w="4724" w:type="pct"/>
            <w:gridSpan w:val="2"/>
            <w:shd w:val="clear" w:color="auto" w:fill="FFFFFF" w:themeFill="background1"/>
          </w:tcPr>
          <w:p w14:paraId="3D9D612C"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138" w:type="pct"/>
            <w:tcBorders>
              <w:top w:val="nil"/>
              <w:left w:val="nil"/>
              <w:bottom w:val="nil"/>
            </w:tcBorders>
            <w:shd w:val="clear" w:color="auto" w:fill="66CCFF"/>
          </w:tcPr>
          <w:p w14:paraId="59A5BCAF" w14:textId="77777777" w:rsidR="00DD3EFA" w:rsidRPr="005A0E7C" w:rsidRDefault="00DD3EFA" w:rsidP="00B15ECB">
            <w:pPr>
              <w:rPr>
                <w:b/>
              </w:rPr>
            </w:pPr>
          </w:p>
        </w:tc>
      </w:tr>
      <w:tr w:rsidR="00DD3EFA" w:rsidRPr="005A0E7C" w14:paraId="030C5ECE" w14:textId="77777777" w:rsidTr="00B15ECB">
        <w:trPr>
          <w:trHeight w:val="1258"/>
        </w:trPr>
        <w:tc>
          <w:tcPr>
            <w:tcW w:w="138" w:type="pct"/>
            <w:tcBorders>
              <w:top w:val="nil"/>
              <w:bottom w:val="nil"/>
              <w:right w:val="nil"/>
            </w:tcBorders>
            <w:shd w:val="clear" w:color="auto" w:fill="66CCFF"/>
          </w:tcPr>
          <w:p w14:paraId="4A4C1D50" w14:textId="77777777" w:rsidR="00DD3EFA" w:rsidRPr="005A0E7C" w:rsidRDefault="00DD3EFA" w:rsidP="00B15ECB">
            <w:pPr>
              <w:rPr>
                <w:b/>
              </w:rPr>
            </w:pPr>
          </w:p>
        </w:tc>
        <w:tc>
          <w:tcPr>
            <w:tcW w:w="1412" w:type="pct"/>
            <w:shd w:val="clear" w:color="auto" w:fill="FFFFFF" w:themeFill="background1"/>
          </w:tcPr>
          <w:p w14:paraId="650D733B" w14:textId="77777777" w:rsidR="00DD3EFA" w:rsidRPr="005A0E7C" w:rsidRDefault="00DD3EFA" w:rsidP="00B15ECB">
            <w:pPr>
              <w:rPr>
                <w:rFonts w:eastAsiaTheme="majorEastAsia"/>
                <w:b/>
              </w:rPr>
            </w:pPr>
            <w:r w:rsidRPr="005A0E7C">
              <w:rPr>
                <w:rFonts w:eastAsiaTheme="majorEastAsia"/>
                <w:b/>
              </w:rPr>
              <w:t>Věcný posun oblasti</w:t>
            </w:r>
          </w:p>
          <w:p w14:paraId="500A9139"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3312" w:type="pct"/>
            <w:shd w:val="clear" w:color="auto" w:fill="FFFFFF" w:themeFill="background1"/>
          </w:tcPr>
          <w:p w14:paraId="40721C0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Podpora 2007 – 2013 byla v oblasti zdravotnictví poskytována zejména v rámci Integrovaného operačního programu (IOP) v oblasti intervence 3.2 Služby v oblasti veřejného zdraví. Na stejné typy intervencí – tj. zdravotnickou infrastrukturu – technické a technologické vybavení bylo dále možno žádat v rámci jednotlivých regionálních operačních programů, kde byla podpora zdravotnické infrastruktury většinou součástí oblastí intervence zaměřených na rozvoj měst a obcí. Pouze Regionální operační program (ROP) Jihozápad a ROP Moravskoslezsko měly vytvořenu samostatnou oblast intervence. </w:t>
            </w:r>
          </w:p>
          <w:p w14:paraId="74AA676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IOP byly intervence zaměřené na rozvoj infrastruktury cíleny na ty oblasti péče, ve kterých Česká republika nejvíce zaostávala (tj. vykazovala nejhorší hodnoty ukazatelů kvality a úspěšnosti péče o zdraví obyvatel) ve srovnání se jinými členskými státy EU. Základním předmětem podpory tedy byla modernizace pracovišť specializované péče zahrnutých do národních sítí. Konkrétně se jednalo o podporu komplexních onkologických center, traumacenter a specializovaných pracovišť neurochirurgické a kardiochirurgické péče. V rámci jednotlivých ROP pak byly podporovány další nemocnice. </w:t>
            </w:r>
          </w:p>
          <w:p w14:paraId="484E987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Nicméně z analýzy zkušeností z tohoto programového období vyplývá, že jako hlavní problém byla vnímána nekoordinovanost projektů na pořízení specializované zdravotnické techniky mezi programem IOP a jednotlivými ROP. Tento problém se podařilo odstranit tím, že v rámci programového období 2014 – 2020 je oblast „tvrdých“ projektů ve zdravotnictví spolu se všemi dalšími oblastmi podpory regionálního rozvoje sdružena do Integrovaného regionálního operačního programu. Ke koordinovanosti investic z hlediska dosažení reálných potřeb regionů a zároveň nutnosti koncentrace péče jistě přispělo i vytvoření Koncepce návazné péče.</w:t>
            </w:r>
          </w:p>
          <w:p w14:paraId="0A3CCFC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Pokud jde o evaluace či analýzy dopadu podpory modernizace center specializované péče, nebyly dosud provedeny. Nicméně koncentrace péče na pracoviště disponující potřebnou modernizovanou přístrojovou vybaveností a zároveň erudovaným personálem určitě přispělo k tomu, že v letech cca 2006 – 2016 je dle dat OECD (Health at a Glance, 2018) vidět jasný posun ve výsledcích zdravotní péče a to zejména v léčbě onkologických onemocnění. Za období 2000 – 2015 např. klesla úmrtnost na rakovinu konečníku a tlustého střeva o více než 30 % (průměrné zlepšení v rámci EU – 10 %). </w:t>
            </w:r>
          </w:p>
          <w:p w14:paraId="59FC9D86" w14:textId="77777777" w:rsidR="00DD3EFA" w:rsidRPr="005A0E7C" w:rsidRDefault="00DD3EFA" w:rsidP="00B15ECB">
            <w:pPr>
              <w:pStyle w:val="Bntext"/>
              <w:ind w:left="-186" w:firstLine="0"/>
              <w:rPr>
                <w:rFonts w:ascii="Times New Roman" w:hAnsi="Times New Roman"/>
                <w:i/>
                <w:noProof w:val="0"/>
                <w:szCs w:val="20"/>
                <w:lang w:val="cs-CZ"/>
              </w:rPr>
            </w:pPr>
            <w:r w:rsidRPr="005A0E7C">
              <w:rPr>
                <w:rFonts w:ascii="Times New Roman" w:hAnsi="Times New Roman"/>
                <w:szCs w:val="20"/>
                <w:lang w:val="cs-CZ"/>
              </w:rPr>
              <w:drawing>
                <wp:inline distT="0" distB="0" distL="0" distR="0" wp14:anchorId="5D5855D8" wp14:editId="20E21903">
                  <wp:extent cx="4178736" cy="15643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6688" cy="1567372"/>
                          </a:xfrm>
                          <a:prstGeom prst="rect">
                            <a:avLst/>
                          </a:prstGeom>
                          <a:noFill/>
                          <a:ln>
                            <a:noFill/>
                          </a:ln>
                        </pic:spPr>
                      </pic:pic>
                    </a:graphicData>
                  </a:graphic>
                </wp:inline>
              </w:drawing>
            </w:r>
            <w:r w:rsidRPr="005A0E7C">
              <w:rPr>
                <w:rFonts w:ascii="Times New Roman" w:hAnsi="Times New Roman"/>
                <w:noProof w:val="0"/>
                <w:szCs w:val="20"/>
                <w:lang w:val="cs-CZ"/>
              </w:rPr>
              <w:t xml:space="preserve"> </w:t>
            </w:r>
            <w:r w:rsidRPr="005A0E7C">
              <w:rPr>
                <w:rFonts w:ascii="Times New Roman" w:hAnsi="Times New Roman"/>
                <w:i/>
                <w:noProof w:val="0"/>
                <w:szCs w:val="20"/>
                <w:lang w:val="cs-CZ"/>
              </w:rPr>
              <w:t>Zdroj: OECD: Health at a Glance 2018</w:t>
            </w:r>
          </w:p>
          <w:p w14:paraId="4B34046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ČR došlo k podstatnému zlepšení výsledků zdravotní péče, ale v předchozím období docházelo ke zlepšení ukazatelů i v zemích západní a severní Evropy, které se zaměřily i na jiné komponenty než je samotná nemocniční péče a právě v nich je nutné hledat potenciál pro zlepšení zdravotnictví i zdravotního stavu obyvatel. </w:t>
            </w:r>
          </w:p>
          <w:p w14:paraId="2599E4B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I v programovém období 2007 – 2013 se financování z fondů EU nezaměřovalo pouze na investice do infrastruktury, ale např. i na investice do screeningových programů. Následující graf zobrazuje posun, kterého bylo dosaženo u zapojení žen do mamografického screeningu. I přes výrazný nárůst podílu žen, které byly vyšetřeny, je stále vidět potenciál pro zlepšení. </w:t>
            </w:r>
          </w:p>
          <w:p w14:paraId="1BE93A7F" w14:textId="77777777" w:rsidR="00DD3EFA" w:rsidRPr="005A0E7C" w:rsidRDefault="00DD3EFA" w:rsidP="00B15ECB">
            <w:pPr>
              <w:pStyle w:val="slovanodstavec"/>
              <w:tabs>
                <w:tab w:val="clear" w:pos="567"/>
                <w:tab w:val="left" w:pos="284"/>
              </w:tabs>
              <w:suppressAutoHyphens/>
              <w:spacing w:line="240" w:lineRule="auto"/>
              <w:ind w:left="-186"/>
              <w:rPr>
                <w:rFonts w:ascii="Times New Roman" w:hAnsi="Times New Roman"/>
              </w:rPr>
            </w:pPr>
            <w:r w:rsidRPr="005A0E7C">
              <w:rPr>
                <w:rFonts w:ascii="Times New Roman" w:hAnsi="Times New Roman"/>
                <w:noProof/>
                <w:lang w:eastAsia="cs-CZ"/>
              </w:rPr>
              <w:drawing>
                <wp:inline distT="0" distB="0" distL="0" distR="0" wp14:anchorId="1CE63DE4" wp14:editId="47E11757">
                  <wp:extent cx="3966072" cy="156797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5627" cy="1567797"/>
                          </a:xfrm>
                          <a:prstGeom prst="rect">
                            <a:avLst/>
                          </a:prstGeom>
                          <a:noFill/>
                          <a:ln>
                            <a:noFill/>
                          </a:ln>
                        </pic:spPr>
                      </pic:pic>
                    </a:graphicData>
                  </a:graphic>
                </wp:inline>
              </w:drawing>
            </w:r>
          </w:p>
          <w:p w14:paraId="5D75DC12"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Zdroj: OECD: Health at a Glance 2018</w:t>
            </w:r>
          </w:p>
          <w:p w14:paraId="0D8898C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Pokud jde o vyhodnocení využití prostředků z ESIF v rámci současné priority v oblasti zdravotnictví – tedy implementace reformy psychiatrické péče, je vzhledem k tomu, že je realizována prostřednictvím složitých a dlouhotrvajících systémových projektů, nyní ještě předčasné. Nicméně už nyní lze konstatovat, že bez možnosti využití financováni z ESIF by reforma nikdy nemohla být nastartována v takovém měřítku, kdy je realizována celá řada navzájem propojených projektů, které se zaměřují jak na zajišťování samotné péče, na destigmatizaci lidí s duševním onemocněním, ale i na změnu přístupu samotných zdravotníků a sociálních pracovníků a zavedení multidisciplinárního přístupu v péči o klienty/pacienty. Dílčí úspěchy v rámci implementace reformy psychiatrické péče mohou být inspirací pro další oblasti, kde je vhodné integrovat sociální a zdravotní péči. Současný dosažený pokrok je zároveň předpokladem pro to, aby v programovém období 2021 – 2027 mohly být realizovány projekty, které efektivně přispějí k celkové realizaci strategie reformy psychiatrické péče.</w:t>
            </w:r>
          </w:p>
        </w:tc>
        <w:tc>
          <w:tcPr>
            <w:tcW w:w="138" w:type="pct"/>
            <w:tcBorders>
              <w:top w:val="nil"/>
              <w:left w:val="nil"/>
              <w:bottom w:val="nil"/>
            </w:tcBorders>
            <w:shd w:val="clear" w:color="auto" w:fill="66CCFF"/>
          </w:tcPr>
          <w:p w14:paraId="4C58BB0A" w14:textId="77777777" w:rsidR="00DD3EFA" w:rsidRPr="005A0E7C" w:rsidRDefault="00DD3EFA" w:rsidP="00B15ECB">
            <w:pPr>
              <w:rPr>
                <w:b/>
              </w:rPr>
            </w:pPr>
          </w:p>
        </w:tc>
      </w:tr>
      <w:tr w:rsidR="00DD3EFA" w:rsidRPr="005A0E7C" w14:paraId="13BB7B25" w14:textId="77777777" w:rsidTr="00B15ECB">
        <w:trPr>
          <w:trHeight w:val="1258"/>
        </w:trPr>
        <w:tc>
          <w:tcPr>
            <w:tcW w:w="138" w:type="pct"/>
            <w:tcBorders>
              <w:top w:val="nil"/>
              <w:bottom w:val="nil"/>
              <w:right w:val="nil"/>
            </w:tcBorders>
            <w:shd w:val="clear" w:color="auto" w:fill="66CCFF"/>
          </w:tcPr>
          <w:p w14:paraId="0C9DB518" w14:textId="77777777" w:rsidR="00DD3EFA" w:rsidRPr="005A0E7C" w:rsidRDefault="00DD3EFA" w:rsidP="00B15ECB">
            <w:pPr>
              <w:rPr>
                <w:b/>
              </w:rPr>
            </w:pPr>
          </w:p>
        </w:tc>
        <w:tc>
          <w:tcPr>
            <w:tcW w:w="1412" w:type="pct"/>
            <w:shd w:val="clear" w:color="auto" w:fill="FFFFFF" w:themeFill="background1"/>
          </w:tcPr>
          <w:p w14:paraId="19390C4D" w14:textId="77777777" w:rsidR="00DD3EFA" w:rsidRPr="005A0E7C" w:rsidRDefault="00DD3EFA" w:rsidP="00B15ECB">
            <w:pPr>
              <w:rPr>
                <w:rFonts w:eastAsiaTheme="majorEastAsia"/>
                <w:b/>
              </w:rPr>
            </w:pPr>
            <w:r w:rsidRPr="005A0E7C">
              <w:rPr>
                <w:rFonts w:eastAsiaTheme="majorEastAsia"/>
                <w:b/>
              </w:rPr>
              <w:t>Synergické a multiplikační efekty</w:t>
            </w:r>
          </w:p>
          <w:p w14:paraId="3C99A162"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3312" w:type="pct"/>
            <w:shd w:val="clear" w:color="auto" w:fill="FFFFFF" w:themeFill="background1"/>
          </w:tcPr>
          <w:p w14:paraId="6CD0F8C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programovém období 2007 – 2013 nebyly zjištěny žádné významné synergické a multiplikační efekty, sledování synergických efektů mezi jednotlivými oblastmi intervence nebylo oficiálně nastaveno. Vzhledem ke zkušenostem z tohoto programového období byly intervence v období 2014 – 2020 nastaveny tak, aby docházelo k synergickým a multiplikačním efektům. Specifický cíl 2.2 OPZ je synergicky těsně navázán na specifický cíl 2.3 IROP, kdy investice do infrastruktury by měly být navázány na projekty „měkkého charakteru“ v OPZ. Silné vazby by se měly projevit zejména v rámci projektů reformy psychiatrické péče, kdy v rámci OPZ jsou realizovány velké systémové a na sebe provázané projekty, zatímco v rámci IROP by měla být financována infrastruktura poskytovatelů zdravotních služeb a zejména poskytovatelů integrovaných zdravotně sociálních služeb – např. tzv. CDZ. Vzhledem k tomu, že je v rámci IROP zatím financována především modernizace oddělení psychiatrických oddělení všeobecných nemocnic, projevují se synergické efekty zejména tím, že pracovníci těchto psychiatrických oddělení mohou využívat vzdělávání v rámci velkých systémových projektů. Tyto projekty jsou např. cíleny na zavedení multidisciplinárního přístupu v péči o duševně nemocné. Z hlediska úrovně poskytovatelů služeb, lze zatím uvést pouze příklad jednoho z příjemců, který čerpá prostředky na zajištění infrastruktury CDZ z IROP a zároveň je mezi podpořenými v rámci Programu podpory CDZ II (RIAPS Trutnov). Nicméně vzhledem k tomu, že příslušná výzva IROP je otevřena až do roku 2020, lze předpokládat zvýšení počtu takových příjemců. </w:t>
            </w:r>
          </w:p>
          <w:p w14:paraId="27E4565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Vazby lze však nalézt i mezi projekty IROP na modernizaci příslušných sítí specializovaných pracovišť a modernizaci infrastruktury poskytovatelů návazné péče a podporou vzdělávání v rámci OPZ. Nyní bude např. předkládán projekt podpory specializačního vzdělávání neonatologů, tedy pracovníků klíčových pro fungování perinatologických center. </w:t>
            </w:r>
          </w:p>
          <w:p w14:paraId="7DD1FBA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Pokud jde o předpokládané synergické efekty v budoucím programovém období, specifický cíl Kvalitní a dostupná zdravotní péče bude v případě, že bude vybrán mezi priority, rozdělen převážně mezi budoucí OP Lidské zdroje a IROP, kde bude docházet k podobným synergickým efektům jako v současném programovém období. Nicméně cíl Kvalitní a dostupná zdravotní péče má silné vazby i na specifické cíle zejména v sociální oblasti Klientsky orientované sociální služby a Sociální začleňování, dále pak i na specifický cíl Sociální bydlení. </w:t>
            </w:r>
          </w:p>
        </w:tc>
        <w:tc>
          <w:tcPr>
            <w:tcW w:w="138" w:type="pct"/>
            <w:tcBorders>
              <w:top w:val="nil"/>
              <w:left w:val="nil"/>
              <w:bottom w:val="nil"/>
            </w:tcBorders>
            <w:shd w:val="clear" w:color="auto" w:fill="66CCFF"/>
          </w:tcPr>
          <w:p w14:paraId="7BAF6B7C" w14:textId="77777777" w:rsidR="00DD3EFA" w:rsidRPr="005A0E7C" w:rsidRDefault="00DD3EFA" w:rsidP="00B15ECB">
            <w:pPr>
              <w:rPr>
                <w:b/>
              </w:rPr>
            </w:pPr>
          </w:p>
        </w:tc>
      </w:tr>
      <w:tr w:rsidR="00DD3EFA" w:rsidRPr="005A0E7C" w14:paraId="1A267705" w14:textId="77777777" w:rsidTr="00B15ECB">
        <w:trPr>
          <w:trHeight w:val="180"/>
        </w:trPr>
        <w:tc>
          <w:tcPr>
            <w:tcW w:w="138" w:type="pct"/>
            <w:tcBorders>
              <w:top w:val="nil"/>
              <w:bottom w:val="nil"/>
              <w:right w:val="nil"/>
            </w:tcBorders>
            <w:shd w:val="clear" w:color="auto" w:fill="66CCFF"/>
          </w:tcPr>
          <w:p w14:paraId="1A70011A" w14:textId="77777777" w:rsidR="00DD3EFA" w:rsidRPr="005A0E7C" w:rsidRDefault="00DD3EFA" w:rsidP="00B15ECB">
            <w:pPr>
              <w:rPr>
                <w:b/>
              </w:rPr>
            </w:pPr>
          </w:p>
        </w:tc>
        <w:tc>
          <w:tcPr>
            <w:tcW w:w="1412" w:type="pct"/>
            <w:tcBorders>
              <w:left w:val="nil"/>
              <w:bottom w:val="single" w:sz="4" w:space="0" w:color="auto"/>
              <w:right w:val="nil"/>
            </w:tcBorders>
            <w:shd w:val="clear" w:color="auto" w:fill="66CCFF"/>
          </w:tcPr>
          <w:p w14:paraId="55E700EF" w14:textId="77777777" w:rsidR="00DD3EFA" w:rsidRPr="005A0E7C" w:rsidRDefault="00DD3EFA" w:rsidP="00B15ECB">
            <w:pPr>
              <w:rPr>
                <w:b/>
              </w:rPr>
            </w:pPr>
          </w:p>
        </w:tc>
        <w:tc>
          <w:tcPr>
            <w:tcW w:w="3312" w:type="pct"/>
            <w:tcBorders>
              <w:left w:val="nil"/>
              <w:bottom w:val="single" w:sz="4" w:space="0" w:color="auto"/>
              <w:right w:val="nil"/>
            </w:tcBorders>
            <w:shd w:val="clear" w:color="auto" w:fill="66CCFF"/>
          </w:tcPr>
          <w:p w14:paraId="1A1BBD66" w14:textId="77777777" w:rsidR="00DD3EFA" w:rsidRPr="005A0E7C" w:rsidRDefault="00DD3EFA" w:rsidP="00B15ECB">
            <w:pPr>
              <w:rPr>
                <w:b/>
              </w:rPr>
            </w:pPr>
          </w:p>
        </w:tc>
        <w:tc>
          <w:tcPr>
            <w:tcW w:w="138" w:type="pct"/>
            <w:tcBorders>
              <w:top w:val="nil"/>
              <w:left w:val="nil"/>
              <w:bottom w:val="nil"/>
            </w:tcBorders>
            <w:shd w:val="clear" w:color="auto" w:fill="66CCFF"/>
          </w:tcPr>
          <w:p w14:paraId="353DAD19" w14:textId="77777777" w:rsidR="00DD3EFA" w:rsidRPr="005A0E7C" w:rsidRDefault="00DD3EFA" w:rsidP="00B15ECB">
            <w:pPr>
              <w:rPr>
                <w:b/>
              </w:rPr>
            </w:pPr>
          </w:p>
        </w:tc>
      </w:tr>
      <w:tr w:rsidR="00DD3EFA" w:rsidRPr="005A0E7C" w14:paraId="642E8220" w14:textId="77777777" w:rsidTr="00B15ECB">
        <w:trPr>
          <w:trHeight w:val="990"/>
        </w:trPr>
        <w:tc>
          <w:tcPr>
            <w:tcW w:w="138" w:type="pct"/>
            <w:tcBorders>
              <w:top w:val="nil"/>
              <w:bottom w:val="nil"/>
            </w:tcBorders>
            <w:shd w:val="clear" w:color="auto" w:fill="66CCFF"/>
          </w:tcPr>
          <w:p w14:paraId="50B0B39D" w14:textId="77777777" w:rsidR="00DD3EFA" w:rsidRPr="005A0E7C" w:rsidRDefault="00DD3EFA" w:rsidP="00B15ECB">
            <w:pPr>
              <w:rPr>
                <w:b/>
              </w:rPr>
            </w:pPr>
          </w:p>
        </w:tc>
        <w:tc>
          <w:tcPr>
            <w:tcW w:w="4724" w:type="pct"/>
            <w:gridSpan w:val="2"/>
            <w:tcBorders>
              <w:bottom w:val="single" w:sz="4" w:space="0" w:color="auto"/>
            </w:tcBorders>
            <w:shd w:val="clear" w:color="auto" w:fill="FFFFFF" w:themeFill="background1"/>
          </w:tcPr>
          <w:p w14:paraId="25E75BBD"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37B72300" w14:textId="77777777" w:rsidR="00DD3EFA" w:rsidRPr="005A0E7C" w:rsidRDefault="00DD3EFA" w:rsidP="00B15ECB">
            <w:pPr>
              <w:spacing w:before="60" w:after="60"/>
              <w:rPr>
                <w:rFonts w:eastAsiaTheme="majorEastAsia"/>
              </w:rPr>
            </w:pPr>
          </w:p>
        </w:tc>
        <w:tc>
          <w:tcPr>
            <w:tcW w:w="138" w:type="pct"/>
            <w:tcBorders>
              <w:top w:val="nil"/>
              <w:bottom w:val="nil"/>
            </w:tcBorders>
            <w:shd w:val="clear" w:color="auto" w:fill="66CCFF"/>
          </w:tcPr>
          <w:p w14:paraId="07C67977" w14:textId="77777777" w:rsidR="00DD3EFA" w:rsidRPr="005A0E7C" w:rsidRDefault="00DD3EFA" w:rsidP="00B15ECB">
            <w:pPr>
              <w:rPr>
                <w:b/>
              </w:rPr>
            </w:pPr>
          </w:p>
        </w:tc>
      </w:tr>
      <w:tr w:rsidR="00DD3EFA" w:rsidRPr="005A0E7C" w14:paraId="441C7030" w14:textId="77777777" w:rsidTr="00B15ECB">
        <w:trPr>
          <w:trHeight w:val="557"/>
        </w:trPr>
        <w:tc>
          <w:tcPr>
            <w:tcW w:w="138" w:type="pct"/>
            <w:tcBorders>
              <w:top w:val="nil"/>
              <w:bottom w:val="nil"/>
            </w:tcBorders>
            <w:shd w:val="clear" w:color="auto" w:fill="66CCFF"/>
          </w:tcPr>
          <w:p w14:paraId="6742F2CB"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0E69488A"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Zhodnocení abs. kapacity v minulém a stávajícím období (tj. v období 2014 – 2020, příp. 2007 – 2013)</w:t>
            </w:r>
          </w:p>
        </w:tc>
        <w:tc>
          <w:tcPr>
            <w:tcW w:w="3312" w:type="pct"/>
            <w:tcBorders>
              <w:bottom w:val="single" w:sz="4" w:space="0" w:color="auto"/>
            </w:tcBorders>
            <w:shd w:val="clear" w:color="auto" w:fill="FFFFFF" w:themeFill="background1"/>
          </w:tcPr>
          <w:p w14:paraId="78109418" w14:textId="77777777" w:rsidR="00DD3EFA" w:rsidRPr="005A0E7C" w:rsidRDefault="00DD3EFA" w:rsidP="00B15ECB">
            <w:r w:rsidRPr="005A0E7C">
              <w:t xml:space="preserve">Problematika zdravotní péče je ve stávajícím období podporována především z OPZ a z IROP. </w:t>
            </w:r>
          </w:p>
          <w:p w14:paraId="2F0E653D" w14:textId="77777777" w:rsidR="00DD3EFA" w:rsidRPr="005A0E7C" w:rsidRDefault="00DD3EFA" w:rsidP="00B15ECB">
            <w:r w:rsidRPr="005A0E7C">
              <w:t xml:space="preserve">V rámci OPZ jsou podporovány aktivity v oblasti prevence, zavádění nových služeb, jejich deinstitucionalizace, vzdělávání zdravotnického personálu, ale i další oblasti zdravotně sociálního pomezí, jako je podpora paliativní péče v nemocničním i domácím prostředí, zvýšení dostupnosti a vytvoření možnosti zdravotní péče pro osoby bez domova nebo vytvoření koordinovaného programu dobrovolnictví ve zdravotních službách. </w:t>
            </w:r>
          </w:p>
          <w:p w14:paraId="564EAD33" w14:textId="77777777" w:rsidR="00DD3EFA" w:rsidRPr="005A0E7C" w:rsidRDefault="00DD3EFA" w:rsidP="00B15ECB">
            <w:pPr>
              <w:rPr>
                <w:lang w:eastAsia="cs-CZ"/>
              </w:rPr>
            </w:pPr>
            <w:r w:rsidRPr="005A0E7C">
              <w:t xml:space="preserve">Jedná se o IP 2.2 </w:t>
            </w:r>
            <w:r w:rsidRPr="005A0E7C">
              <w:rPr>
                <w:i/>
              </w:rPr>
              <w:t>Zlepšování přístupu k dostupným, udržitelným a vysoce kvalitním službám, včetně zdravotnictví a sociálních služeb obecného zájmu</w:t>
            </w:r>
            <w:r w:rsidRPr="005A0E7C">
              <w:t xml:space="preserve">, SC 2.2.2 </w:t>
            </w:r>
            <w:r w:rsidRPr="005A0E7C">
              <w:rPr>
                <w:i/>
              </w:rPr>
              <w:t>Zvýšit dostupnost a efektivitu zdravotních služeb a umožnit přesun těžiště psychiatrické péče do komunity</w:t>
            </w:r>
            <w:r w:rsidRPr="005A0E7C">
              <w:t>. V této oblasti byla zatím vyhlášena v roce 2015 jedna průběžná výzva č. 39 systémové projekty (datum ukončení příjmu žádostí bylo 30. 3. 2018), k 31. 12. 2017 dosáhl objem předložených žádostí o podporu cca 97 % alokace výzvy (zároveň však alokace byla snížena z 2,8 mld. Kč na 2,4 mld. Kč a došlo k výraznému rozšíření oprávněných žadatelů za účelem rychlejšího čerpání alokace výzvy).</w:t>
            </w:r>
            <w:r w:rsidRPr="005A0E7C">
              <w:rPr>
                <w:lang w:eastAsia="cs-CZ"/>
              </w:rPr>
              <w:t xml:space="preserve"> </w:t>
            </w:r>
          </w:p>
          <w:p w14:paraId="235767C7" w14:textId="77777777" w:rsidR="00DD3EFA" w:rsidRPr="005A0E7C" w:rsidRDefault="00DD3EFA" w:rsidP="00B15ECB">
            <w:r w:rsidRPr="005A0E7C">
              <w:t xml:space="preserve">Na začátek roku 2019 je plánováno vyhlášení následné výzvy pro systémové projekty, která se již zaměří pouze na vzdělávání zdravotnického personálu a kde bude jediným oprávněným žadatelem Institut postgraduálního vzdělávání ve zdravotnictví. Objem prostředků je 128 mil. Kč. </w:t>
            </w:r>
          </w:p>
          <w:p w14:paraId="6B35067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IROP je pak v SC 2.3 zaměřen na podporu deinstitucionalizace psychiatrické péče, na vysoce specializovanou péči v oblastech onkogynekologie a perinatologie a na investice v návazné péči.</w:t>
            </w:r>
          </w:p>
          <w:p w14:paraId="6C4721B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Celková alokace SC 2.3 je 7,8 mld. Kč za EFRR. V rámci SC 2.3 byly vyhlášeny čtyři průběžné výzvy. Jednalo se o výzvy č. 5 „Vysoce specializovaná péče v oblastech onkogynekologie a perinatologie“, č. 31 „Zvýšení kvality návazné péče“ a č. 54 „Deinstitucionalizace psychiatrické péče“ a 75. výzva IROP - Deinstitucionalizace psychiatrické péče II, čímž byly pokryty všechny hlavní aktivity tohoto SC a zároveň vyhlášena celá alokace daného SC. Výzvy ŘO IROP pro individuální projekty se setkaly s mimořádným zájmem a musely být z důvodu vyčerpání alokace předčasně uzavřeny. Vzhledem k vysokému zájmu a zkušeností z předešlého programového období 2007 – 2013 a možným úsporám získaných při realizaci projektů byly u výzev č. 5, 31 a č. 54 ŘO IROP stanoveny náhradní projekty. Celkem bylo dosud podpořeno 107 projektů za 7,3 mld. Kč. </w:t>
            </w:r>
          </w:p>
          <w:p w14:paraId="7FE5FCD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Mimořádná absorpční kapacita v rámci SC 2.3 je zohledněna i v připravované revizi IROP, který získá přesunem prostředky Operačního programu podnikání a inovace pro konkurenceschopnost ve výši cca 5,2 mld. Kč. Náhradní projekty z výzvy č. 31 (návazná péče) by měly být podpořeny částkou 2 mld. Kč. </w:t>
            </w:r>
          </w:p>
          <w:p w14:paraId="3521B25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Nastavování parametrů všech výzev SC 2.3 v IROP bylo koordinováno s věcným garantem SC 2.3, kterým je Ministerstvo zdravotnictví ČR. </w:t>
            </w:r>
          </w:p>
          <w:p w14:paraId="68C2FB7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b/>
              </w:rPr>
            </w:pPr>
            <w:r w:rsidRPr="005A0E7C">
              <w:rPr>
                <w:rFonts w:ascii="Times New Roman" w:hAnsi="Times New Roman"/>
                <w:b/>
              </w:rPr>
              <w:t xml:space="preserve">B) Absorpční kapacita v oblasti reformy psychiatrické péče </w:t>
            </w:r>
          </w:p>
          <w:p w14:paraId="1B369C0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Prioritní oblastí podpory v programovém období 2014 – 2020 je Reforma a modernizace systému psychiatrické péče, včetně přesunu ke komunitní a částečně ambulantní péči.</w:t>
            </w:r>
          </w:p>
          <w:p w14:paraId="190C025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Reforma psychiatrické péče je v rámci ESIF podporována z OPZ a IROP. V 39. Výzvě OPZ bylo podpořeno celkem 9 systémových vzájemně provázaných projektů s předpokládanými výdaji cca 1,15 mld. Kč. Hlavním příjemcem je samotné Ministerstvo zdravotnictví, dále se zapojily i Ústav zdravotnických informací a statistiky ČR a Národní ústav duševního zdraví. Uvedené projekty by měly vést k nastartování změn celého systému poskytované péče. </w:t>
            </w:r>
          </w:p>
          <w:p w14:paraId="7CC3C3D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Klíčová je absorpční kapacita možných poskytovatelů péče. </w:t>
            </w:r>
          </w:p>
          <w:p w14:paraId="7D3CD3F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Klíčovým stavebním kamenem celé Reformy jsou tzv. Centra duševního zdraví (CDZ), jejichž vznik je financován prostřednictvím tří projektů. Poskytovatele této inovativní služby propojující poskytování sociální služby a zdravotní služby jsou vybíráni Ministerstvem zdravotnictví v rámci dotačních programů (tzv. dotací v dotaci). V rámci prvního dotačního programu byl vybrán požadovaný počet pilotních CDZ (tj. 5). V rámci druhého dotačního programu, nebylo vybráno předpokládaných 16 CDZ, ale pouze 15, které by měly začít fungovat na začátku roku 2019. Důvodem nebyl nezájem žadatelů ale spíše chyby v žádostech - do dotačního programu se přihlásilo tolik žadatelů, že by teoreticky za splnění všech podmínek naopak mohlo vzniknout center 18. V první polovině roku 2019 budou vyhlášeny dotační programy, tak aby mohla být do konce roku 2019 funkční síť 30 pilotních CDZ v rámci celé České republiky podporovaných z ESIF. Regionální rozložení CDZ ukazuje následující mapa:  </w:t>
            </w:r>
          </w:p>
          <w:p w14:paraId="219C81E0" w14:textId="77777777" w:rsidR="00DD3EFA" w:rsidRPr="005A0E7C" w:rsidRDefault="00DD3EFA" w:rsidP="00B15ECB">
            <w:pPr>
              <w:pStyle w:val="slovanodstavec"/>
              <w:tabs>
                <w:tab w:val="clear" w:pos="567"/>
                <w:tab w:val="left" w:pos="284"/>
              </w:tabs>
              <w:suppressAutoHyphens/>
              <w:spacing w:line="240" w:lineRule="auto"/>
              <w:ind w:left="-186"/>
              <w:rPr>
                <w:rFonts w:ascii="Times New Roman" w:hAnsi="Times New Roman"/>
              </w:rPr>
            </w:pPr>
            <w:r w:rsidRPr="005A0E7C">
              <w:rPr>
                <w:rFonts w:ascii="Times New Roman" w:hAnsi="Times New Roman"/>
                <w:noProof/>
                <w:lang w:eastAsia="cs-CZ"/>
              </w:rPr>
              <w:drawing>
                <wp:inline distT="0" distB="0" distL="0" distR="0" wp14:anchorId="21493156" wp14:editId="0FF663B9">
                  <wp:extent cx="4063114" cy="2478795"/>
                  <wp:effectExtent l="0" t="0" r="0" b="0"/>
                  <wp:docPr id="4" name="Obrázek 4" descr="C:\Users\francovaj\AppData\Local\Microsoft\Windows\Temporary Internet Files\Content.Outlook\IM6BUDLV\New Project (25).png"/>
                  <wp:cNvGraphicFramePr/>
                  <a:graphic xmlns:a="http://schemas.openxmlformats.org/drawingml/2006/main">
                    <a:graphicData uri="http://schemas.openxmlformats.org/drawingml/2006/picture">
                      <pic:pic xmlns:pic="http://schemas.openxmlformats.org/drawingml/2006/picture">
                        <pic:nvPicPr>
                          <pic:cNvPr id="4" name="Obrázek 4" descr="C:\Users\francovaj\AppData\Local\Microsoft\Windows\Temporary Internet Files\Content.Outlook\IM6BUDLV\New Project (25).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8384" cy="2482010"/>
                          </a:xfrm>
                          <a:prstGeom prst="rect">
                            <a:avLst/>
                          </a:prstGeom>
                          <a:noFill/>
                          <a:ln>
                            <a:noFill/>
                          </a:ln>
                        </pic:spPr>
                      </pic:pic>
                    </a:graphicData>
                  </a:graphic>
                </wp:inline>
              </w:drawing>
            </w:r>
          </w:p>
          <w:p w14:paraId="0C2F2B72" w14:textId="77777777" w:rsidR="00DD3EFA" w:rsidRPr="005A0E7C" w:rsidRDefault="00DD3EFA" w:rsidP="00B15ECB">
            <w:pPr>
              <w:pStyle w:val="Bntext"/>
              <w:ind w:firstLine="0"/>
              <w:rPr>
                <w:rFonts w:ascii="Times New Roman" w:hAnsi="Times New Roman"/>
                <w:i/>
                <w:noProof w:val="0"/>
                <w:szCs w:val="20"/>
                <w:lang w:val="cs-CZ"/>
              </w:rPr>
            </w:pPr>
            <w:r w:rsidRPr="005A0E7C">
              <w:rPr>
                <w:rFonts w:ascii="Times New Roman" w:hAnsi="Times New Roman"/>
                <w:i/>
                <w:noProof w:val="0"/>
                <w:szCs w:val="20"/>
                <w:lang w:val="cs-CZ"/>
              </w:rPr>
              <w:t xml:space="preserve">Zdroj: Ministerstvo zdravotnictví </w:t>
            </w:r>
          </w:p>
          <w:p w14:paraId="08A26951" w14:textId="77777777" w:rsidR="00DD3EFA" w:rsidRPr="005A0E7C" w:rsidRDefault="00DD3EFA" w:rsidP="00B15ECB">
            <w:r w:rsidRPr="005A0E7C">
              <w:t xml:space="preserve">Z hlediska dosažení cíle v podobě fungování alespoň jednoho CDZ v každém kraji České republiky je nutná podpora potenciálních žadatelů v Ústeckém a Libereckém kraji, kde dosud nebyla podána jediná žádost. Naopak v Jihomoravském kraji nebyl podpořen žadatel, který úspěšně prošel celým hodnocením, neboť s ohledem na požadavek rovnoměrného pokrytí celé ČR není možné v Jihomoravském kraji již další centrum z projektů ESIF podpořit. Nicméně to představuje velký potenciál pro budování optimální sítě CDZ, kterých by v souladu s Reformou mělo vzniknout na území ČR celkem 100. </w:t>
            </w:r>
          </w:p>
          <w:p w14:paraId="59AF050B" w14:textId="77777777" w:rsidR="00DD3EFA" w:rsidRPr="005A0E7C" w:rsidRDefault="00DD3EFA" w:rsidP="00B15ECB"/>
          <w:p w14:paraId="2A614ED0" w14:textId="77777777" w:rsidR="00DD3EFA" w:rsidRPr="005A0E7C" w:rsidRDefault="00DD3EFA" w:rsidP="00B15ECB">
            <w:r w:rsidRPr="005A0E7C">
              <w:t xml:space="preserve">Co se týče podpory Reformy z IROP, 54. výzva byla cílena na investice na zřizování nových či rekonstrukce stávajících zařízení pro poskytování akutní péče a komunitní péče, tzn. CDZ, stacionáře se zaměřením na psychoterapeutické služby a ambulance poskytující rozšířené ambulantní služby v péči o osoby s duševním onemocněním. Vybrány byly nakonec projekty na zřizování nových či rekonstrukci stávajících psychiatrických oddělení všeobecných nemocnic (např. výstavba nového pavilonu Psychiatrické kliniky ve Fakultní nemocnici Plzeň) s výjimkou jednoho CDZ v Trutnově. Celkový objem předpokládaných výdajů je cca 1,825 mld. Kč. Dva projekty jsou ještě na seznamu náhradníků. </w:t>
            </w:r>
          </w:p>
          <w:p w14:paraId="721956E7" w14:textId="77777777" w:rsidR="00DD3EFA" w:rsidRPr="005A0E7C" w:rsidRDefault="00DD3EFA" w:rsidP="00B15ECB"/>
          <w:p w14:paraId="5127D7D9" w14:textId="77777777" w:rsidR="00DD3EFA" w:rsidRPr="005A0E7C" w:rsidRDefault="00DD3EFA" w:rsidP="00B15ECB">
            <w:pPr>
              <w:spacing w:before="60" w:after="60"/>
            </w:pPr>
            <w:r w:rsidRPr="005A0E7C">
              <w:t xml:space="preserve">Výzva č. 75 (objem prostředků 0,5 mld.) je následně cílena na menší projekty – investice do zřizování nových či rekonstrukce stávajících zařízení pro poskytování komunitní péče, tzn. CDZ, stacionáře se zaměřením na psychoterapeutické služby a na psychiatrické ambulance s rozšířenou péčí. Podporováno je rovněž zařízení a vybavení mobilních komunitních týmů. Do 1. 1. 2019 bylo zatím podpořeno zatím pouze 5 projektů s celkovými způsobilými výdaji 28,5 mil. Kč. Výzva je však otevřena až do 15. 7. 2020. V současné době lze předpokládat, že potenciální žadatelé se zaměřili na přípravu na poskytování péče pilotních CDZ v rámci projektů Ministerstva zdravotnictví. Jakmile začnou fungovat jako CDZ, lze očekávat přípravu projektů do IROP. </w:t>
            </w:r>
          </w:p>
        </w:tc>
        <w:tc>
          <w:tcPr>
            <w:tcW w:w="138" w:type="pct"/>
            <w:tcBorders>
              <w:top w:val="nil"/>
              <w:bottom w:val="nil"/>
            </w:tcBorders>
            <w:shd w:val="clear" w:color="auto" w:fill="66CCFF"/>
          </w:tcPr>
          <w:p w14:paraId="00908A76" w14:textId="77777777" w:rsidR="00DD3EFA" w:rsidRPr="005A0E7C" w:rsidRDefault="00DD3EFA" w:rsidP="00B15ECB">
            <w:pPr>
              <w:rPr>
                <w:b/>
              </w:rPr>
            </w:pPr>
          </w:p>
        </w:tc>
      </w:tr>
      <w:tr w:rsidR="00DD3EFA" w:rsidRPr="005A0E7C" w14:paraId="74059FC8" w14:textId="77777777" w:rsidTr="00B15ECB">
        <w:trPr>
          <w:trHeight w:val="850"/>
        </w:trPr>
        <w:tc>
          <w:tcPr>
            <w:tcW w:w="138" w:type="pct"/>
            <w:tcBorders>
              <w:top w:val="nil"/>
              <w:bottom w:val="nil"/>
            </w:tcBorders>
            <w:shd w:val="clear" w:color="auto" w:fill="66CCFF"/>
          </w:tcPr>
          <w:p w14:paraId="1208B86F"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739834D7"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Poptávka příjemců</w:t>
            </w:r>
          </w:p>
        </w:tc>
        <w:tc>
          <w:tcPr>
            <w:tcW w:w="3312" w:type="pct"/>
            <w:tcBorders>
              <w:bottom w:val="single" w:sz="4" w:space="0" w:color="auto"/>
            </w:tcBorders>
            <w:shd w:val="clear" w:color="auto" w:fill="FFFFFF" w:themeFill="background1"/>
          </w:tcPr>
          <w:p w14:paraId="313016FD" w14:textId="77777777" w:rsidR="00DD3EFA" w:rsidRPr="005A0E7C" w:rsidRDefault="00DD3EFA" w:rsidP="00B15ECB">
            <w:pPr>
              <w:spacing w:before="60" w:after="60"/>
              <w:rPr>
                <w:rFonts w:eastAsiaTheme="majorEastAsia"/>
              </w:rPr>
            </w:pPr>
            <w:r w:rsidRPr="005A0E7C">
              <w:rPr>
                <w:rFonts w:eastAsiaTheme="majorEastAsia"/>
              </w:rPr>
              <w:t xml:space="preserve">Jak je uvedeno v kolonce </w:t>
            </w:r>
            <w:r w:rsidRPr="005A0E7C">
              <w:rPr>
                <w:rFonts w:eastAsiaTheme="majorEastAsia"/>
                <w:i/>
              </w:rPr>
              <w:t>Absorpční kapacita</w:t>
            </w:r>
            <w:r w:rsidRPr="005A0E7C">
              <w:rPr>
                <w:rFonts w:eastAsiaTheme="majorEastAsia"/>
              </w:rPr>
              <w:t xml:space="preserve">, v současném programovém období lze označit poptávku jako dostačující a v některých oblastech dokonce velmi vysokou. </w:t>
            </w:r>
          </w:p>
          <w:p w14:paraId="1CEEBD8E" w14:textId="77777777" w:rsidR="00DD3EFA" w:rsidRPr="005A0E7C" w:rsidRDefault="00DD3EFA" w:rsidP="00B15ECB">
            <w:pPr>
              <w:spacing w:before="60" w:after="60"/>
              <w:rPr>
                <w:rFonts w:eastAsiaTheme="majorEastAsia"/>
              </w:rPr>
            </w:pPr>
            <w:r w:rsidRPr="005A0E7C">
              <w:rPr>
                <w:rFonts w:eastAsiaTheme="majorEastAsia"/>
              </w:rPr>
              <w:t xml:space="preserve">Pokud jde o předpokládanou poptávku, záleží samozřejmě na jednotlivých prioritách. Např. v oblasti reformy primární péče bude nutné nastavit podporu tak, aby byla dostatečně atraktivní, neboť v současné době realizovaná podpora v rámci dotačních programů Ministerstva zdravotnictví, které mají zajistit péči v regionech se špatnou dostupností, není dostatečně lákavá. </w:t>
            </w:r>
          </w:p>
          <w:p w14:paraId="0DEABBAB" w14:textId="77777777" w:rsidR="00DD3EFA" w:rsidRPr="005A0E7C" w:rsidRDefault="00DD3EFA" w:rsidP="00B15ECB">
            <w:pPr>
              <w:spacing w:before="60" w:after="60"/>
              <w:rPr>
                <w:rFonts w:eastAsiaTheme="majorEastAsia"/>
              </w:rPr>
            </w:pPr>
            <w:r w:rsidRPr="005A0E7C">
              <w:rPr>
                <w:rFonts w:eastAsiaTheme="majorEastAsia"/>
              </w:rPr>
              <w:t xml:space="preserve">Pokud jde o oblast integrace zdravotní a sociální péče, může být v současném období „testována“ absorpční kapacita, protože v rámci Ministerstva zdravotnictví jsou realizovány pilotní projekty pro vybrané oblasti péče - kromě oblasti péče o duševní zdraví, se jedná i např. o péči paliativní. Případné nastavení podpory bude tedy vycházet z reálných zkušeností a bude reflektovat všechny požadavky, aby bylo dosaženo co nejvyšší poptávky příjemců. </w:t>
            </w:r>
          </w:p>
          <w:p w14:paraId="012E42C0" w14:textId="77777777" w:rsidR="00DD3EFA" w:rsidRPr="005A0E7C" w:rsidRDefault="00DD3EFA" w:rsidP="00B15ECB">
            <w:pPr>
              <w:spacing w:before="60" w:after="60"/>
              <w:rPr>
                <w:rFonts w:eastAsiaTheme="majorEastAsia"/>
              </w:rPr>
            </w:pPr>
          </w:p>
        </w:tc>
        <w:tc>
          <w:tcPr>
            <w:tcW w:w="138" w:type="pct"/>
            <w:tcBorders>
              <w:top w:val="nil"/>
              <w:bottom w:val="nil"/>
            </w:tcBorders>
            <w:shd w:val="clear" w:color="auto" w:fill="66CCFF"/>
          </w:tcPr>
          <w:p w14:paraId="66C378FE" w14:textId="77777777" w:rsidR="00DD3EFA" w:rsidRPr="005A0E7C" w:rsidRDefault="00DD3EFA" w:rsidP="00B15ECB">
            <w:pPr>
              <w:rPr>
                <w:b/>
              </w:rPr>
            </w:pPr>
          </w:p>
        </w:tc>
      </w:tr>
      <w:tr w:rsidR="00DD3EFA" w:rsidRPr="005A0E7C" w14:paraId="5EFD5E4C" w14:textId="77777777" w:rsidTr="00B15ECB">
        <w:trPr>
          <w:trHeight w:val="925"/>
        </w:trPr>
        <w:tc>
          <w:tcPr>
            <w:tcW w:w="138" w:type="pct"/>
            <w:tcBorders>
              <w:top w:val="nil"/>
              <w:bottom w:val="nil"/>
            </w:tcBorders>
            <w:shd w:val="clear" w:color="auto" w:fill="66CCFF"/>
          </w:tcPr>
          <w:p w14:paraId="16CFBC76"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3A7DB7A2"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Příprava projektových záměrů</w:t>
            </w:r>
          </w:p>
        </w:tc>
        <w:tc>
          <w:tcPr>
            <w:tcW w:w="3312" w:type="pct"/>
            <w:tcBorders>
              <w:bottom w:val="single" w:sz="4" w:space="0" w:color="auto"/>
            </w:tcBorders>
            <w:shd w:val="clear" w:color="auto" w:fill="FFFFFF" w:themeFill="background1"/>
          </w:tcPr>
          <w:p w14:paraId="03FAA79C" w14:textId="77777777" w:rsidR="00DD3EFA" w:rsidRPr="005A0E7C" w:rsidRDefault="00DD3EFA" w:rsidP="00B15ECB">
            <w:pPr>
              <w:spacing w:before="60" w:after="60"/>
              <w:rPr>
                <w:rFonts w:eastAsiaTheme="majorEastAsia"/>
              </w:rPr>
            </w:pPr>
            <w:r w:rsidRPr="005A0E7C">
              <w:rPr>
                <w:rFonts w:eastAsiaTheme="majorEastAsia"/>
              </w:rPr>
              <w:t xml:space="preserve">Konkrétní projektové záměry nejsou zatím připravovány, samozřejmě bude oblast péče o zdraví vybrána mezi oblasti prioritní pro financování z ESIF, bude moci být zahájena příprava projektových záměrů s ohledem na dostupné informace. Klíčové bude nyní spíše odstraňování možných bariér. </w:t>
            </w:r>
          </w:p>
          <w:p w14:paraId="41FCB269" w14:textId="77777777" w:rsidR="00DD3EFA" w:rsidRPr="005A0E7C" w:rsidRDefault="00DD3EFA" w:rsidP="00B15ECB">
            <w:pPr>
              <w:spacing w:before="60" w:after="60"/>
              <w:rPr>
                <w:rFonts w:eastAsiaTheme="majorEastAsia"/>
              </w:rPr>
            </w:pPr>
          </w:p>
        </w:tc>
        <w:tc>
          <w:tcPr>
            <w:tcW w:w="138" w:type="pct"/>
            <w:tcBorders>
              <w:top w:val="nil"/>
              <w:bottom w:val="nil"/>
            </w:tcBorders>
            <w:shd w:val="clear" w:color="auto" w:fill="66CCFF"/>
          </w:tcPr>
          <w:p w14:paraId="16553C77" w14:textId="77777777" w:rsidR="00DD3EFA" w:rsidRPr="005A0E7C" w:rsidRDefault="00DD3EFA" w:rsidP="00B15ECB">
            <w:pPr>
              <w:rPr>
                <w:b/>
              </w:rPr>
            </w:pPr>
          </w:p>
        </w:tc>
      </w:tr>
      <w:tr w:rsidR="00DD3EFA" w:rsidRPr="005A0E7C" w14:paraId="31327169" w14:textId="77777777" w:rsidTr="00B15ECB">
        <w:trPr>
          <w:trHeight w:val="1001"/>
        </w:trPr>
        <w:tc>
          <w:tcPr>
            <w:tcW w:w="138" w:type="pct"/>
            <w:tcBorders>
              <w:top w:val="nil"/>
              <w:bottom w:val="nil"/>
            </w:tcBorders>
            <w:shd w:val="clear" w:color="auto" w:fill="66CCFF"/>
          </w:tcPr>
          <w:p w14:paraId="391764DF" w14:textId="77777777" w:rsidR="00DD3EFA" w:rsidRPr="005A0E7C" w:rsidRDefault="00DD3EFA" w:rsidP="00B15ECB">
            <w:pPr>
              <w:rPr>
                <w:b/>
              </w:rPr>
            </w:pPr>
          </w:p>
        </w:tc>
        <w:tc>
          <w:tcPr>
            <w:tcW w:w="1412" w:type="pct"/>
            <w:tcBorders>
              <w:bottom w:val="single" w:sz="4" w:space="0" w:color="auto"/>
            </w:tcBorders>
            <w:shd w:val="clear" w:color="auto" w:fill="FFFFFF" w:themeFill="background1"/>
          </w:tcPr>
          <w:p w14:paraId="5185A1FE" w14:textId="77777777" w:rsidR="00DD3EFA" w:rsidRPr="005A0E7C" w:rsidRDefault="00DD3EFA" w:rsidP="00391907">
            <w:pPr>
              <w:pStyle w:val="Odstavecseseznamem"/>
              <w:numPr>
                <w:ilvl w:val="0"/>
                <w:numId w:val="5"/>
              </w:numPr>
              <w:spacing w:before="60" w:after="60"/>
              <w:jc w:val="both"/>
              <w:rPr>
                <w:rFonts w:eastAsiaTheme="majorEastAsia"/>
                <w:b/>
              </w:rPr>
            </w:pPr>
            <w:r w:rsidRPr="005A0E7C">
              <w:rPr>
                <w:rFonts w:eastAsiaTheme="majorEastAsia"/>
                <w:b/>
              </w:rPr>
              <w:t>Bariéry</w:t>
            </w:r>
          </w:p>
        </w:tc>
        <w:tc>
          <w:tcPr>
            <w:tcW w:w="3312" w:type="pct"/>
            <w:tcBorders>
              <w:bottom w:val="single" w:sz="4" w:space="0" w:color="auto"/>
            </w:tcBorders>
            <w:shd w:val="clear" w:color="auto" w:fill="FFFFFF" w:themeFill="background1"/>
          </w:tcPr>
          <w:p w14:paraId="0EA46518" w14:textId="77777777" w:rsidR="00DD3EFA" w:rsidRPr="005A0E7C" w:rsidRDefault="00DD3EFA" w:rsidP="00B15ECB">
            <w:pPr>
              <w:spacing w:before="60" w:after="60"/>
              <w:rPr>
                <w:rFonts w:eastAsiaTheme="majorEastAsia"/>
              </w:rPr>
            </w:pPr>
            <w:r w:rsidRPr="005A0E7C">
              <w:rPr>
                <w:rFonts w:eastAsiaTheme="majorEastAsia"/>
              </w:rPr>
              <w:t>Z pohledu dosažení cílů v jednotlivých prioritních oblastech</w:t>
            </w:r>
            <w:r w:rsidRPr="005A0E7C">
              <w:t xml:space="preserve"> </w:t>
            </w:r>
            <w:r w:rsidRPr="005A0E7C">
              <w:rPr>
                <w:rFonts w:eastAsiaTheme="majorEastAsia"/>
              </w:rPr>
              <w:t>byly identifikovány bariéry v oblasti legislativní (např. v oblasti integrace zdravotní a sociální péče se jedná o ukotvení služby, sdílení informací mezi sociální a zdravotní částí kombinované služby, hodnocení kvality, vedení dokumentace apod.) a v oblasti financování. Kromě dvou uvedených se (zejména na zdravotně-sociálním pomezí) může jevit bariéra v samotném myšlení a přístupech relevantních aktérů ať už stakeholderů,</w:t>
            </w:r>
            <w:r w:rsidRPr="005A0E7C">
              <w:t xml:space="preserve"> </w:t>
            </w:r>
            <w:r w:rsidRPr="005A0E7C">
              <w:rPr>
                <w:rFonts w:eastAsiaTheme="majorEastAsia"/>
              </w:rPr>
              <w:t>v oblasti řízení systému péče, tak u poskytovatelů péče / pracovníků v přímé péči. Nutná integrace zdravotní a sociální péče může přímo ztroskotat na odlišných přístupech k pacientovi (zdravotní péče)/klientovi (sociální péče), ačkoliv se jedná o jednu a tutéž osobu. Tyto bariéry byly v reformě péče o duševní zdraví identifikovány a byly navrženy formy řešení, které jsou aplikovatelné i pro ostatní zdravotně-sociální služby. Jsou navrženy legislativní změny, právně ošetřeno sdílení informací, metodicky ošetřeno nastavení financování a pilotováno společné hodnocení kvality. Změna myšlení je realizována pomocí vzdělávání, sdílení dobré praxe (včetně stáží) a metodického vedení nových provozů.</w:t>
            </w:r>
          </w:p>
          <w:p w14:paraId="53C6F8B3" w14:textId="77777777" w:rsidR="00DD3EFA" w:rsidRPr="005A0E7C" w:rsidRDefault="00DD3EFA" w:rsidP="00B15ECB">
            <w:pPr>
              <w:spacing w:before="60" w:after="60"/>
              <w:rPr>
                <w:rFonts w:eastAsiaTheme="majorEastAsia"/>
              </w:rPr>
            </w:pPr>
            <w:r w:rsidRPr="005A0E7C">
              <w:rPr>
                <w:rFonts w:eastAsiaTheme="majorEastAsia"/>
              </w:rPr>
              <w:t xml:space="preserve">Z pohledu administrativního – čerpání dotací: </w:t>
            </w:r>
          </w:p>
          <w:p w14:paraId="133FC099" w14:textId="77777777" w:rsidR="00DD3EFA" w:rsidRPr="005A0E7C" w:rsidRDefault="00DD3EFA" w:rsidP="00B15ECB">
            <w:pPr>
              <w:spacing w:before="60" w:after="60"/>
              <w:rPr>
                <w:rFonts w:eastAsiaTheme="majorEastAsia"/>
                <w:i/>
              </w:rPr>
            </w:pPr>
            <w:r w:rsidRPr="005A0E7C">
              <w:rPr>
                <w:rFonts w:eastAsiaTheme="majorEastAsia"/>
              </w:rPr>
              <w:t>Značnou část příjemců v oblasti zdravotní péče tvoří příspěvkové organizace Ministerstva zdravotnictví. Vzhledem ke stávající právní úpravě (zákon č. 218/2000 Sb., o rozpočtových pravidlech a o změně některých souvisejících zákonů rozpočtová pravidla) nemohou řídící orgány – jiná ministerstva (konkrétně nyní zejména Ministerstvo pro místní rozvoj a Ministerstvo práce a sociálních věcí) vydat Rozhodnutí o poskytnutí dotace přímo danému příjemci. Do procesu musí být zapojeno Ministerstvo zdravotnictví, které je dle zákona poskytovatelem dotace. To představuje zbytečnou administrativní zátěž jak na straně Ministerstva zdravotnictví, tak na straně příjemců, kteří mají „nad sebou“ de facto dva řídící orgány.</w:t>
            </w:r>
          </w:p>
        </w:tc>
        <w:tc>
          <w:tcPr>
            <w:tcW w:w="138" w:type="pct"/>
            <w:tcBorders>
              <w:top w:val="nil"/>
              <w:bottom w:val="nil"/>
            </w:tcBorders>
            <w:shd w:val="clear" w:color="auto" w:fill="66CCFF"/>
          </w:tcPr>
          <w:p w14:paraId="0FCC71B2" w14:textId="77777777" w:rsidR="00DD3EFA" w:rsidRPr="005A0E7C" w:rsidRDefault="00DD3EFA" w:rsidP="00B15ECB">
            <w:pPr>
              <w:rPr>
                <w:b/>
              </w:rPr>
            </w:pPr>
          </w:p>
        </w:tc>
      </w:tr>
      <w:tr w:rsidR="00DD3EFA" w:rsidRPr="005A0E7C" w14:paraId="3EFB28C8" w14:textId="77777777" w:rsidTr="00B15ECB">
        <w:trPr>
          <w:trHeight w:val="613"/>
        </w:trPr>
        <w:tc>
          <w:tcPr>
            <w:tcW w:w="138" w:type="pct"/>
            <w:tcBorders>
              <w:top w:val="nil"/>
              <w:left w:val="single" w:sz="4" w:space="0" w:color="auto"/>
              <w:bottom w:val="single" w:sz="4" w:space="0" w:color="auto"/>
              <w:right w:val="nil"/>
            </w:tcBorders>
            <w:shd w:val="clear" w:color="auto" w:fill="66CCFF"/>
          </w:tcPr>
          <w:p w14:paraId="7735A860" w14:textId="77777777" w:rsidR="00DD3EFA" w:rsidRPr="005A0E7C" w:rsidRDefault="00DD3EFA" w:rsidP="00B15ECB">
            <w:pPr>
              <w:rPr>
                <w:b/>
              </w:rPr>
            </w:pPr>
          </w:p>
        </w:tc>
        <w:tc>
          <w:tcPr>
            <w:tcW w:w="1412" w:type="pct"/>
            <w:tcBorders>
              <w:top w:val="single" w:sz="4" w:space="0" w:color="auto"/>
              <w:left w:val="nil"/>
              <w:bottom w:val="single" w:sz="4" w:space="0" w:color="auto"/>
              <w:right w:val="nil"/>
            </w:tcBorders>
            <w:shd w:val="clear" w:color="auto" w:fill="66CCFF"/>
          </w:tcPr>
          <w:p w14:paraId="608965E8" w14:textId="77777777" w:rsidR="00DD3EFA" w:rsidRPr="005A0E7C" w:rsidRDefault="00DD3EFA" w:rsidP="00B15ECB">
            <w:pPr>
              <w:spacing w:before="60" w:after="60"/>
              <w:rPr>
                <w:rFonts w:eastAsiaTheme="majorEastAsia"/>
                <w:b/>
              </w:rPr>
            </w:pPr>
          </w:p>
        </w:tc>
        <w:tc>
          <w:tcPr>
            <w:tcW w:w="3312" w:type="pct"/>
            <w:tcBorders>
              <w:top w:val="single" w:sz="4" w:space="0" w:color="auto"/>
              <w:left w:val="nil"/>
              <w:bottom w:val="single" w:sz="4" w:space="0" w:color="auto"/>
              <w:right w:val="nil"/>
            </w:tcBorders>
            <w:shd w:val="clear" w:color="auto" w:fill="66CCFF"/>
          </w:tcPr>
          <w:p w14:paraId="12175904" w14:textId="77777777" w:rsidR="00DD3EFA" w:rsidRPr="005A0E7C" w:rsidRDefault="00DD3EFA" w:rsidP="00B15ECB">
            <w:pPr>
              <w:spacing w:before="60" w:after="60"/>
              <w:rPr>
                <w:rFonts w:eastAsiaTheme="majorEastAsia"/>
                <w:i/>
              </w:rPr>
            </w:pPr>
          </w:p>
        </w:tc>
        <w:tc>
          <w:tcPr>
            <w:tcW w:w="138" w:type="pct"/>
            <w:tcBorders>
              <w:top w:val="nil"/>
              <w:left w:val="nil"/>
              <w:bottom w:val="single" w:sz="4" w:space="0" w:color="auto"/>
              <w:right w:val="single" w:sz="4" w:space="0" w:color="auto"/>
            </w:tcBorders>
            <w:shd w:val="clear" w:color="auto" w:fill="66CCFF"/>
          </w:tcPr>
          <w:p w14:paraId="24BE98DD" w14:textId="77777777" w:rsidR="00DD3EFA" w:rsidRPr="005A0E7C" w:rsidRDefault="00DD3EFA" w:rsidP="00B15ECB">
            <w:pPr>
              <w:rPr>
                <w:b/>
              </w:rPr>
            </w:pPr>
          </w:p>
        </w:tc>
      </w:tr>
      <w:tr w:rsidR="00DD3EFA" w:rsidRPr="005A0E7C" w14:paraId="41D965CC" w14:textId="77777777" w:rsidTr="00B15ECB">
        <w:trPr>
          <w:trHeight w:val="1559"/>
        </w:trPr>
        <w:tc>
          <w:tcPr>
            <w:tcW w:w="138" w:type="pct"/>
            <w:tcBorders>
              <w:top w:val="single" w:sz="4" w:space="0" w:color="auto"/>
              <w:bottom w:val="nil"/>
            </w:tcBorders>
            <w:shd w:val="clear" w:color="auto" w:fill="66CCFF"/>
          </w:tcPr>
          <w:p w14:paraId="445859F9" w14:textId="77777777" w:rsidR="00DD3EFA" w:rsidRPr="005A0E7C" w:rsidRDefault="00DD3EFA" w:rsidP="00B15ECB">
            <w:pPr>
              <w:rPr>
                <w:b/>
              </w:rPr>
            </w:pPr>
          </w:p>
        </w:tc>
        <w:tc>
          <w:tcPr>
            <w:tcW w:w="4724" w:type="pct"/>
            <w:gridSpan w:val="2"/>
            <w:tcBorders>
              <w:top w:val="single" w:sz="4" w:space="0" w:color="auto"/>
            </w:tcBorders>
            <w:shd w:val="clear" w:color="auto" w:fill="FFFFFF" w:themeFill="background1"/>
          </w:tcPr>
          <w:p w14:paraId="0C806CB8"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35D7785B" w14:textId="77777777" w:rsidR="00DD3EFA" w:rsidRPr="005A0E7C" w:rsidRDefault="00DD3EFA" w:rsidP="00B15ECB">
            <w:pPr>
              <w:spacing w:before="60" w:after="60"/>
              <w:rPr>
                <w:rFonts w:eastAsiaTheme="majorEastAsia"/>
                <w:i/>
              </w:rPr>
            </w:pPr>
          </w:p>
        </w:tc>
        <w:tc>
          <w:tcPr>
            <w:tcW w:w="138" w:type="pct"/>
            <w:tcBorders>
              <w:top w:val="single" w:sz="4" w:space="0" w:color="auto"/>
              <w:bottom w:val="nil"/>
            </w:tcBorders>
            <w:shd w:val="clear" w:color="auto" w:fill="66CCFF"/>
          </w:tcPr>
          <w:p w14:paraId="263106AA" w14:textId="77777777" w:rsidR="00DD3EFA" w:rsidRPr="005A0E7C" w:rsidRDefault="00DD3EFA" w:rsidP="00B15ECB">
            <w:pPr>
              <w:rPr>
                <w:b/>
              </w:rPr>
            </w:pPr>
          </w:p>
        </w:tc>
      </w:tr>
      <w:tr w:rsidR="00DD3EFA" w:rsidRPr="005A0E7C" w14:paraId="68DABBB0" w14:textId="77777777" w:rsidTr="00B15ECB">
        <w:trPr>
          <w:trHeight w:val="1968"/>
        </w:trPr>
        <w:tc>
          <w:tcPr>
            <w:tcW w:w="138" w:type="pct"/>
            <w:tcBorders>
              <w:top w:val="nil"/>
              <w:bottom w:val="nil"/>
            </w:tcBorders>
            <w:shd w:val="clear" w:color="auto" w:fill="66CCFF"/>
          </w:tcPr>
          <w:p w14:paraId="4C232C3C" w14:textId="77777777" w:rsidR="00DD3EFA" w:rsidRPr="005A0E7C" w:rsidRDefault="00DD3EFA" w:rsidP="00B15ECB">
            <w:pPr>
              <w:rPr>
                <w:b/>
              </w:rPr>
            </w:pPr>
          </w:p>
        </w:tc>
        <w:tc>
          <w:tcPr>
            <w:tcW w:w="1412" w:type="pct"/>
            <w:tcBorders>
              <w:top w:val="nil"/>
            </w:tcBorders>
            <w:shd w:val="clear" w:color="auto" w:fill="FFFFFF" w:themeFill="background1"/>
          </w:tcPr>
          <w:p w14:paraId="7C64CD90"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3312" w:type="pct"/>
            <w:tcBorders>
              <w:top w:val="nil"/>
            </w:tcBorders>
            <w:shd w:val="clear" w:color="auto" w:fill="FFFFFF" w:themeFill="background1"/>
          </w:tcPr>
          <w:p w14:paraId="422F105D" w14:textId="77777777" w:rsidR="00DD3EFA" w:rsidRPr="005A0E7C" w:rsidRDefault="00DD3EFA" w:rsidP="00B15ECB">
            <w:r w:rsidRPr="005A0E7C">
              <w:t xml:space="preserve">V budoucím období bude možné k financování cílů v oblasti zdravotnictví využít Evropský sociální fond + (ESF+), resp. jeho složku Zdraví, která naváže na svého předchůdce, Třetí víceletý program činnosti EU v oblasti zdraví 2014–2020. Pomocí složky Zdraví v rámci ESF+ by se mělo přispět k předcházení nemocem během celého života občanů EU a k podpoře zdraví tím, že se budou řešit rizikové faktory související se zdravím – jako je například konzumace tabáku a pasivní kouření, nadměrná konzumace alkoholu, snižování škodlivých účinků drog na zdraví, nezdravé stravovací návyky a nedostatek tělesné aktivity – a mělo by se vytvořit prostředí příznivé pro zdravý životní styl s cílem doplnit opatření členských států EU v souladu s příslušnými strategiemi. Složka Zdraví v rámci ESF+ by měla zahrnovat účinné modely prevence, inovativní technologie a nové obchodní modely a řešení, aby se přispělo k vytváření inovativních, účinných a udržitelných systémů zdravotní péče členských států EU a zlepšila se dostupnost kvalitnější a bezpečnější zdravotní péče pro evropské občany. </w:t>
            </w:r>
          </w:p>
          <w:p w14:paraId="22938DCA" w14:textId="77777777" w:rsidR="00DD3EFA" w:rsidRPr="005A0E7C" w:rsidRDefault="00DD3EFA" w:rsidP="00B15ECB">
            <w:pPr>
              <w:spacing w:before="60" w:after="60"/>
            </w:pPr>
            <w:r w:rsidRPr="005A0E7C">
              <w:t xml:space="preserve">V rámci připravovaného programu je tedy zachována jistá kontinuita s předchozím programovým obdobím z hlediska operačních cílů, kterými jsou: 1) ochrana občanů před závažnými zdravotními hrozbami zvenčí (zlepšení připravenosti na krize a přeshraniční zdravotní hrozby); 2) podpora budování inovativních, efektivních a udržitelných systémů zdravotní péče (digitální transformace, e-Health, podpora národních reforem); 3) podpora rozvoje legislativy EU v oblasti zdraví (léčivé přípravky, HTA, kontrola tabáku, přeshraniční zdravotní péče); 4) podpora integrované činnosti členských států EU a usnadnění přístupu občanů k lepší a bezpečnější zdravotní péči (Evropské referenční sítě, šíření příkladů dobré praxe pro podporu zdraví a prevenci nemocí). Program bude probíhat v režimu přímého řízení Evropskou komisí (agenda je v odpovědnosti DG SANTE). </w:t>
            </w:r>
          </w:p>
          <w:p w14:paraId="11B3353C" w14:textId="77777777" w:rsidR="00DD3EFA" w:rsidRPr="005A0E7C" w:rsidRDefault="00DD3EFA" w:rsidP="00B15ECB">
            <w:pPr>
              <w:spacing w:before="60" w:after="60"/>
              <w:rPr>
                <w:rFonts w:eastAsiaTheme="majorEastAsia"/>
                <w:i/>
              </w:rPr>
            </w:pPr>
            <w:r w:rsidRPr="005A0E7C">
              <w:t xml:space="preserve">Charakter podpořených projektů je definován požadavkem na tzv. evropskou přidanou hodnotu, jehož naplnění je nezbytnou podmínkou pro získání grantové podpory. Obvykle by se tedy mělo jednat především o tzv. „měkké projekty“ se zapojením partnerů z co nejvíce států účastnících se programu, jejichž součástí by bylo např. zaměření na správné provádění právních předpisů EU v členských státech; podpora šíření příkladů dobré praxe ve všech zúčastněných státech, aby občané mohli využívat nejmodernější osvědčené postupy; referenční srovnávání mezi partnery s cílem usnadnit rozhodování založené na důkazech; dosahování úspor z rozsahu na úrovni EU s cílem účinněji využívat finanční prostředky; či vytváření sítí mezi partnery pro lehčí šíření výsledků do všech členských států EU. </w:t>
            </w:r>
            <w:r w:rsidRPr="005A0E7C">
              <w:rPr>
                <w:i/>
              </w:rPr>
              <w:t xml:space="preserve"> </w:t>
            </w:r>
          </w:p>
        </w:tc>
        <w:tc>
          <w:tcPr>
            <w:tcW w:w="138" w:type="pct"/>
            <w:tcBorders>
              <w:top w:val="nil"/>
              <w:bottom w:val="nil"/>
            </w:tcBorders>
            <w:shd w:val="clear" w:color="auto" w:fill="66CCFF"/>
          </w:tcPr>
          <w:p w14:paraId="230DF0C7" w14:textId="77777777" w:rsidR="00DD3EFA" w:rsidRPr="005A0E7C" w:rsidRDefault="00DD3EFA" w:rsidP="00B15ECB">
            <w:pPr>
              <w:rPr>
                <w:b/>
              </w:rPr>
            </w:pPr>
          </w:p>
        </w:tc>
      </w:tr>
      <w:tr w:rsidR="00DD3EFA" w:rsidRPr="005A0E7C" w14:paraId="391502C9" w14:textId="77777777" w:rsidTr="00B15ECB">
        <w:trPr>
          <w:trHeight w:val="1968"/>
        </w:trPr>
        <w:tc>
          <w:tcPr>
            <w:tcW w:w="138" w:type="pct"/>
            <w:tcBorders>
              <w:top w:val="nil"/>
              <w:bottom w:val="nil"/>
            </w:tcBorders>
            <w:shd w:val="clear" w:color="auto" w:fill="66CCFF"/>
          </w:tcPr>
          <w:p w14:paraId="2A5F2E06" w14:textId="77777777" w:rsidR="00DD3EFA" w:rsidRPr="005A0E7C" w:rsidRDefault="00DD3EFA" w:rsidP="00B15ECB">
            <w:pPr>
              <w:rPr>
                <w:b/>
              </w:rPr>
            </w:pPr>
          </w:p>
        </w:tc>
        <w:tc>
          <w:tcPr>
            <w:tcW w:w="1412" w:type="pct"/>
            <w:tcBorders>
              <w:top w:val="nil"/>
            </w:tcBorders>
            <w:shd w:val="clear" w:color="auto" w:fill="FFFFFF" w:themeFill="background1"/>
          </w:tcPr>
          <w:p w14:paraId="207562EA"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3312" w:type="pct"/>
            <w:tcBorders>
              <w:top w:val="nil"/>
            </w:tcBorders>
            <w:shd w:val="clear" w:color="auto" w:fill="FFFFFF" w:themeFill="background1"/>
          </w:tcPr>
          <w:p w14:paraId="52607077" w14:textId="77777777" w:rsidR="00DD3EFA" w:rsidRPr="005A0E7C" w:rsidRDefault="00DD3EFA" w:rsidP="00B15ECB">
            <w:pPr>
              <w:autoSpaceDE w:val="0"/>
              <w:autoSpaceDN w:val="0"/>
              <w:adjustRightInd w:val="0"/>
              <w:rPr>
                <w:rFonts w:eastAsiaTheme="majorEastAsia"/>
              </w:rPr>
            </w:pPr>
            <w:r w:rsidRPr="005A0E7C">
              <w:rPr>
                <w:rFonts w:eastAsiaTheme="majorEastAsia"/>
              </w:rPr>
              <w:t xml:space="preserve">Ministerstvo zdravotnictví financuje v rámci dotačních programů několik oblastí, které jsou navrženy k podpoře v rámci budoucího programového období. </w:t>
            </w:r>
          </w:p>
          <w:p w14:paraId="58C76DAE" w14:textId="77777777" w:rsidR="00DD3EFA" w:rsidRPr="005A0E7C" w:rsidRDefault="00DD3EFA" w:rsidP="00B15ECB">
            <w:pPr>
              <w:autoSpaceDE w:val="0"/>
              <w:autoSpaceDN w:val="0"/>
              <w:adjustRightInd w:val="0"/>
              <w:rPr>
                <w:rFonts w:eastAsiaTheme="majorEastAsia"/>
              </w:rPr>
            </w:pPr>
            <w:r w:rsidRPr="005A0E7C">
              <w:rPr>
                <w:rFonts w:eastAsiaTheme="majorEastAsia"/>
              </w:rPr>
              <w:t xml:space="preserve">Z hlediska podpory regionálního rozvoje jsou klíčové dva programy, které nejsou vyhlašovány pro celé území ČR, ale pouze pro oblasti, kde není dostupná daná péče, jedná se tedy o regionální politiku realizovanou Ministerstvem zdravotnictví. Jako první byl vyhlášen </w:t>
            </w:r>
            <w:r w:rsidRPr="005A0E7C">
              <w:rPr>
                <w:rFonts w:eastAsiaTheme="majorEastAsia"/>
                <w:b/>
              </w:rPr>
              <w:t>Program na podporu dostupnosti zdravotních služeb praktických lékařů</w:t>
            </w:r>
            <w:r w:rsidRPr="005A0E7C">
              <w:rPr>
                <w:rFonts w:eastAsiaTheme="majorEastAsia"/>
              </w:rPr>
              <w:t xml:space="preserve"> a to v roce 2016. Dotace je však omezena pouze na max. 250.000 Kč na zajištění personálního obsazení nově vzniklých ordinací a na 250.000 Kč na zajištění technického vybavení ordinace. Financováno je max. 70 % výdajů. V roce 2016 byly schváleny 2 žádosti, v roce 2017 bylo vyplaceno osm dotací a v roce 2018 dotací 12. </w:t>
            </w:r>
          </w:p>
          <w:p w14:paraId="75C78DFD" w14:textId="77777777" w:rsidR="00DD3EFA" w:rsidRPr="005A0E7C" w:rsidRDefault="00DD3EFA" w:rsidP="00B15ECB">
            <w:pPr>
              <w:autoSpaceDE w:val="0"/>
              <w:autoSpaceDN w:val="0"/>
              <w:adjustRightInd w:val="0"/>
              <w:rPr>
                <w:rFonts w:eastAsiaTheme="majorEastAsia"/>
              </w:rPr>
            </w:pPr>
            <w:r w:rsidRPr="005A0E7C">
              <w:rPr>
                <w:rFonts w:eastAsiaTheme="majorEastAsia"/>
                <w:b/>
              </w:rPr>
              <w:t>Program na podporu zubních lékařů v oblastech s omezenou dostupností zdravotní péče</w:t>
            </w:r>
            <w:r w:rsidRPr="005A0E7C">
              <w:rPr>
                <w:rFonts w:eastAsiaTheme="majorEastAsia"/>
              </w:rPr>
              <w:t xml:space="preserve"> byl vyhlášen v roce 2018. Dotace může být poskytnuta až na pět let a to na mzdové výdaje na všeobecnou sestru, dentální hygienistku nebo zubní instrumentářku. Max. roční dotace je stanovena na 240.000 Kč a je určena max. na 70 % nákladů. Od května 2018, kdy byl program vyhlášen, bylo schváleno 11 dotací. </w:t>
            </w:r>
          </w:p>
          <w:p w14:paraId="039F24B1" w14:textId="77777777" w:rsidR="00DD3EFA" w:rsidRPr="005A0E7C" w:rsidRDefault="00DD3EFA" w:rsidP="00B15ECB">
            <w:pPr>
              <w:spacing w:before="60" w:after="60"/>
              <w:rPr>
                <w:rFonts w:eastAsiaTheme="majorEastAsia"/>
              </w:rPr>
            </w:pPr>
            <w:r w:rsidRPr="005A0E7C">
              <w:rPr>
                <w:rFonts w:eastAsiaTheme="majorEastAsia"/>
              </w:rPr>
              <w:t xml:space="preserve">Dále jsou vyhlašovány programy na podporu např. oblasti psychiatrických a neurogenerativních onemocnění, program pro NNO pečující o pacienty v terminálním stádiu onemocnění, nebo Národní program zdraví – projekty podpory zdraví vždy pro daný rok. </w:t>
            </w:r>
          </w:p>
          <w:p w14:paraId="0B4F3E7F" w14:textId="77777777" w:rsidR="00DD3EFA" w:rsidRPr="005A0E7C" w:rsidRDefault="00DD3EFA" w:rsidP="00B15ECB">
            <w:r w:rsidRPr="005A0E7C">
              <w:t xml:space="preserve">Ministerstvo zdravotnictví rovněž realizuje investiční dotační programy na podporu hospicové paliativní péče v ČR; </w:t>
            </w:r>
            <w:r w:rsidRPr="005A0E7C">
              <w:rPr>
                <w:b/>
              </w:rPr>
              <w:t xml:space="preserve">hlavním cílem investičního programu reprodukce majetku </w:t>
            </w:r>
            <w:r w:rsidRPr="005A0E7C">
              <w:rPr>
                <w:b/>
                <w:i/>
              </w:rPr>
              <w:t xml:space="preserve">Podpora hospicové paliativní péče v ČR </w:t>
            </w:r>
            <w:r w:rsidRPr="005A0E7C">
              <w:rPr>
                <w:b/>
              </w:rPr>
              <w:t xml:space="preserve">je zvýšení kapacity hospicových lůžek, a to dosažením kapacity hospicových lůžek v počtu 5 lůžek na 100 000 obyvatel, </w:t>
            </w:r>
            <w:r w:rsidRPr="005A0E7C">
              <w:t xml:space="preserve">což pro Českou republiku představuje kapacitu 516 hospicových lůžek. Program se člení na </w:t>
            </w:r>
            <w:r w:rsidRPr="005A0E7C">
              <w:rPr>
                <w:b/>
              </w:rPr>
              <w:t xml:space="preserve">Podporu hospicové paliativní péče stroji a zařízeními </w:t>
            </w:r>
            <w:r w:rsidRPr="005A0E7C">
              <w:t>(č. 135 102, cílem je obnova a pořízení movitého majetku poskytovatelů paliativní a hospicové péče) a</w:t>
            </w:r>
            <w:r w:rsidRPr="005A0E7C">
              <w:rPr>
                <w:b/>
              </w:rPr>
              <w:t xml:space="preserve"> Podporu rozvoje nemovité infrastruktury hospicové paliativní péče </w:t>
            </w:r>
            <w:r w:rsidRPr="005A0E7C">
              <w:t>(č. 135 103, cílem je navýšení kapacity hospicové paliativní péče).</w:t>
            </w:r>
          </w:p>
          <w:p w14:paraId="7A1D3758" w14:textId="77777777" w:rsidR="00DD3EFA" w:rsidRPr="005A0E7C" w:rsidRDefault="00DD3EFA" w:rsidP="00B15ECB">
            <w:r w:rsidRPr="005A0E7C">
              <w:t xml:space="preserve">Dále je realizován investiční dotační program na </w:t>
            </w:r>
            <w:r w:rsidRPr="005A0E7C">
              <w:rPr>
                <w:b/>
              </w:rPr>
              <w:t>podporu rozvoje zdravotní a sociální péče</w:t>
            </w:r>
            <w:r w:rsidRPr="005A0E7C">
              <w:t xml:space="preserve">, jehož součástí je podprogram </w:t>
            </w:r>
            <w:r w:rsidRPr="005A0E7C">
              <w:rPr>
                <w:b/>
              </w:rPr>
              <w:t>Vyrovnávání příležitostí pro občany se zdravotním postižením</w:t>
            </w:r>
            <w:r w:rsidRPr="005A0E7C">
              <w:t>. Hlavním cílem je zabezpečit investice na snížení důsledků zdravotního postižení v akutní i následné péči a rehabilitaci.</w:t>
            </w:r>
          </w:p>
          <w:p w14:paraId="4DE1276D" w14:textId="77777777" w:rsidR="00DD3EFA" w:rsidRPr="005A0E7C" w:rsidRDefault="00DD3EFA" w:rsidP="00B15ECB">
            <w:r w:rsidRPr="005A0E7C">
              <w:t>Průběžně jsou ze státního rozpočtu zajišťovány investice do reprodukce stávající materiálně technické základny páteřních zdravotnických zařízení, (sítě zdravotnických zařízení, kde je zřizovatelem Ministerstvo zdravotnictví), které jsou zaměřeny na modernizaci a rekonstrukci staveb a obnovu zdravotnické techniky.</w:t>
            </w:r>
          </w:p>
          <w:p w14:paraId="51B24F32" w14:textId="77777777" w:rsidR="00DD3EFA" w:rsidRPr="005A0E7C" w:rsidRDefault="00DD3EFA" w:rsidP="00B15ECB">
            <w:r w:rsidRPr="005A0E7C">
              <w:t>V případě regionálních zdravotnických zařízení je rozvoj materiálně technické základny regionálního zdravotnictví plně v kompetenci zřizovatelů – konkrétně krajů a obcí, které dostávají prostředky státního rozpočtu z rozpočtového určení daní.</w:t>
            </w:r>
          </w:p>
          <w:p w14:paraId="40951FC2" w14:textId="77777777" w:rsidR="00DD3EFA" w:rsidRPr="005A0E7C" w:rsidRDefault="00DD3EFA" w:rsidP="00B15ECB">
            <w:pPr>
              <w:spacing w:before="60" w:after="60"/>
              <w:rPr>
                <w:rFonts w:eastAsiaTheme="majorEastAsia"/>
              </w:rPr>
            </w:pPr>
            <w:r w:rsidRPr="005A0E7C">
              <w:rPr>
                <w:rFonts w:eastAsiaTheme="majorEastAsia"/>
              </w:rPr>
              <w:t xml:space="preserve">Rovněž kraje v rámci podpory rozvoje svého území podporují oblast zdravotní péče – převažují programy zaměřené na získání a udržení pracovníků ve zdravotnictví – např. projekty specializačního vzdělávání všeobecných praktických lékařů a praktických lékařů pro děti a dorost. Z hlediska dostupnosti péče na celém území ČR je nesystémové takové „lákání“ pracovníků ze strany jednotlivých krajů. </w:t>
            </w:r>
          </w:p>
          <w:p w14:paraId="33F03337" w14:textId="77777777" w:rsidR="00DD3EFA" w:rsidRPr="005A0E7C" w:rsidRDefault="00DD3EFA" w:rsidP="00B15ECB">
            <w:pPr>
              <w:spacing w:before="60" w:after="60"/>
              <w:rPr>
                <w:rFonts w:eastAsiaTheme="majorEastAsia"/>
                <w:i/>
              </w:rPr>
            </w:pPr>
            <w:r w:rsidRPr="005A0E7C">
              <w:rPr>
                <w:rFonts w:eastAsiaTheme="majorEastAsia"/>
              </w:rPr>
              <w:t>Dalšími oblastmi podpory, které se vyskytují napříč kraji je podpora paliativní péče, domácí i nemocniční, programy na podporu zdraví, zdravého životního stylu a prevenci.</w:t>
            </w:r>
            <w:r w:rsidRPr="005A0E7C" w:rsidDel="00C751E5">
              <w:rPr>
                <w:rFonts w:eastAsiaTheme="majorEastAsia"/>
              </w:rPr>
              <w:t xml:space="preserve"> </w:t>
            </w:r>
          </w:p>
        </w:tc>
        <w:tc>
          <w:tcPr>
            <w:tcW w:w="138" w:type="pct"/>
            <w:tcBorders>
              <w:top w:val="nil"/>
              <w:bottom w:val="nil"/>
            </w:tcBorders>
            <w:shd w:val="clear" w:color="auto" w:fill="66CCFF"/>
          </w:tcPr>
          <w:p w14:paraId="20E98160" w14:textId="77777777" w:rsidR="00DD3EFA" w:rsidRPr="005A0E7C" w:rsidRDefault="00DD3EFA" w:rsidP="00B15ECB">
            <w:pPr>
              <w:rPr>
                <w:b/>
              </w:rPr>
            </w:pPr>
          </w:p>
        </w:tc>
      </w:tr>
      <w:tr w:rsidR="00DD3EFA" w:rsidRPr="005A0E7C" w14:paraId="0A3397F2" w14:textId="77777777" w:rsidTr="00B15ECB">
        <w:trPr>
          <w:trHeight w:val="1025"/>
        </w:trPr>
        <w:tc>
          <w:tcPr>
            <w:tcW w:w="138" w:type="pct"/>
            <w:tcBorders>
              <w:top w:val="nil"/>
              <w:bottom w:val="nil"/>
            </w:tcBorders>
            <w:shd w:val="clear" w:color="auto" w:fill="66CCFF"/>
          </w:tcPr>
          <w:p w14:paraId="7618BAB9" w14:textId="77777777" w:rsidR="00DD3EFA" w:rsidRPr="005A0E7C" w:rsidRDefault="00DD3EFA" w:rsidP="00B15ECB">
            <w:pPr>
              <w:rPr>
                <w:b/>
              </w:rPr>
            </w:pPr>
          </w:p>
        </w:tc>
        <w:tc>
          <w:tcPr>
            <w:tcW w:w="1412" w:type="pct"/>
            <w:tcBorders>
              <w:top w:val="nil"/>
            </w:tcBorders>
            <w:shd w:val="clear" w:color="auto" w:fill="FFFFFF" w:themeFill="background1"/>
          </w:tcPr>
          <w:p w14:paraId="2DC04604"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3312" w:type="pct"/>
            <w:tcBorders>
              <w:top w:val="nil"/>
            </w:tcBorders>
            <w:shd w:val="clear" w:color="auto" w:fill="FFFFFF" w:themeFill="background1"/>
          </w:tcPr>
          <w:p w14:paraId="444AD634" w14:textId="77777777" w:rsidR="00DD3EFA" w:rsidRPr="005A0E7C" w:rsidRDefault="00DD3EFA" w:rsidP="00B15ECB">
            <w:pPr>
              <w:spacing w:before="60" w:after="60"/>
              <w:rPr>
                <w:rFonts w:eastAsiaTheme="majorEastAsia"/>
              </w:rPr>
            </w:pPr>
            <w:r w:rsidRPr="005A0E7C">
              <w:rPr>
                <w:rFonts w:eastAsiaTheme="majorEastAsia"/>
              </w:rPr>
              <w:t>Mimo veřejné rozpočty mohou poskytovatelé zdravotní péče získat prostředky individuálně např. sponzorské dary, případně mají vlastní financování ze soukromých zdrojů nebo využívají přímé platby od pacientů (např. v rámci mobilní hospicové péče).</w:t>
            </w:r>
          </w:p>
        </w:tc>
        <w:tc>
          <w:tcPr>
            <w:tcW w:w="138" w:type="pct"/>
            <w:tcBorders>
              <w:top w:val="nil"/>
              <w:bottom w:val="nil"/>
            </w:tcBorders>
            <w:shd w:val="clear" w:color="auto" w:fill="66CCFF"/>
          </w:tcPr>
          <w:p w14:paraId="06085F10" w14:textId="77777777" w:rsidR="00DD3EFA" w:rsidRPr="005A0E7C" w:rsidRDefault="00DD3EFA" w:rsidP="00B15ECB">
            <w:pPr>
              <w:rPr>
                <w:b/>
              </w:rPr>
            </w:pPr>
          </w:p>
        </w:tc>
      </w:tr>
      <w:tr w:rsidR="00DD3EFA" w:rsidRPr="005A0E7C" w14:paraId="41513ED4" w14:textId="77777777" w:rsidTr="00B15ECB">
        <w:trPr>
          <w:trHeight w:val="1968"/>
        </w:trPr>
        <w:tc>
          <w:tcPr>
            <w:tcW w:w="138" w:type="pct"/>
            <w:tcBorders>
              <w:top w:val="nil"/>
              <w:bottom w:val="nil"/>
            </w:tcBorders>
            <w:shd w:val="clear" w:color="auto" w:fill="66CCFF"/>
          </w:tcPr>
          <w:p w14:paraId="7858DC0D" w14:textId="77777777" w:rsidR="00DD3EFA" w:rsidRPr="005A0E7C" w:rsidRDefault="00DD3EFA" w:rsidP="00B15ECB">
            <w:pPr>
              <w:rPr>
                <w:b/>
              </w:rPr>
            </w:pPr>
          </w:p>
        </w:tc>
        <w:tc>
          <w:tcPr>
            <w:tcW w:w="1412" w:type="pct"/>
            <w:tcBorders>
              <w:top w:val="nil"/>
            </w:tcBorders>
            <w:shd w:val="clear" w:color="auto" w:fill="FFFFFF" w:themeFill="background1"/>
          </w:tcPr>
          <w:p w14:paraId="03FEE752"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3312" w:type="pct"/>
            <w:tcBorders>
              <w:top w:val="nil"/>
            </w:tcBorders>
            <w:shd w:val="clear" w:color="auto" w:fill="FFFFFF" w:themeFill="background1"/>
          </w:tcPr>
          <w:p w14:paraId="64FCED5C" w14:textId="77777777" w:rsidR="00DD3EFA" w:rsidRPr="005A0E7C" w:rsidRDefault="00DD3EFA" w:rsidP="00B15ECB">
            <w:pPr>
              <w:spacing w:before="60" w:after="60"/>
              <w:rPr>
                <w:rFonts w:eastAsiaTheme="majorEastAsia"/>
                <w:i/>
              </w:rPr>
            </w:pPr>
            <w:r w:rsidRPr="005A0E7C">
              <w:rPr>
                <w:rFonts w:eastAsiaTheme="majorEastAsia"/>
              </w:rPr>
              <w:t>Oblast zdravotnictví není oblastí, kde lze předpokládat masivní využití finančních nástrojů. Nicméně vzhledem k tomu, že i v dalším období by mělo docházet k podpoře integrace zdravotní a sociální péče – zejména v oblasti péče o duševně nemocné a další chronicky nemocné, je v tomto ohledu esenciální zajištění bydlení a zaměstnávání, což jsou oblasti, u nichž je podpora z finančních nástrojů žádoucí tak, aby docházelo k integraci daných osob jak na chráněný (tak nechráněný) trh práce i k zajištění dostupnosti bydlení.</w:t>
            </w:r>
          </w:p>
        </w:tc>
        <w:tc>
          <w:tcPr>
            <w:tcW w:w="138" w:type="pct"/>
            <w:tcBorders>
              <w:top w:val="nil"/>
              <w:bottom w:val="nil"/>
            </w:tcBorders>
            <w:shd w:val="clear" w:color="auto" w:fill="66CCFF"/>
          </w:tcPr>
          <w:p w14:paraId="562AC194" w14:textId="77777777" w:rsidR="00DD3EFA" w:rsidRPr="005A0E7C" w:rsidRDefault="00DD3EFA" w:rsidP="00B15ECB">
            <w:pPr>
              <w:rPr>
                <w:b/>
              </w:rPr>
            </w:pPr>
          </w:p>
        </w:tc>
      </w:tr>
      <w:tr w:rsidR="00DD3EFA" w:rsidRPr="005A0E7C" w14:paraId="248625D5" w14:textId="77777777" w:rsidTr="00B15ECB">
        <w:trPr>
          <w:trHeight w:val="150"/>
        </w:trPr>
        <w:tc>
          <w:tcPr>
            <w:tcW w:w="138" w:type="pct"/>
            <w:tcBorders>
              <w:top w:val="nil"/>
              <w:right w:val="nil"/>
            </w:tcBorders>
            <w:shd w:val="clear" w:color="auto" w:fill="66CCFF"/>
          </w:tcPr>
          <w:p w14:paraId="64E432B7" w14:textId="77777777" w:rsidR="00DD3EFA" w:rsidRPr="005A0E7C" w:rsidRDefault="00DD3EFA" w:rsidP="00B15ECB">
            <w:pPr>
              <w:rPr>
                <w:b/>
              </w:rPr>
            </w:pPr>
          </w:p>
        </w:tc>
        <w:tc>
          <w:tcPr>
            <w:tcW w:w="1412" w:type="pct"/>
            <w:tcBorders>
              <w:left w:val="nil"/>
              <w:right w:val="nil"/>
            </w:tcBorders>
            <w:shd w:val="clear" w:color="auto" w:fill="66CCFF"/>
          </w:tcPr>
          <w:p w14:paraId="217A7F4F" w14:textId="77777777" w:rsidR="00DD3EFA" w:rsidRPr="005A0E7C" w:rsidRDefault="00DD3EFA" w:rsidP="00B15ECB">
            <w:pPr>
              <w:rPr>
                <w:b/>
              </w:rPr>
            </w:pPr>
          </w:p>
        </w:tc>
        <w:tc>
          <w:tcPr>
            <w:tcW w:w="3312" w:type="pct"/>
            <w:tcBorders>
              <w:left w:val="nil"/>
              <w:right w:val="nil"/>
            </w:tcBorders>
            <w:shd w:val="clear" w:color="auto" w:fill="66CCFF"/>
          </w:tcPr>
          <w:p w14:paraId="7372B198" w14:textId="77777777" w:rsidR="00DD3EFA" w:rsidRPr="005A0E7C" w:rsidRDefault="00DD3EFA" w:rsidP="00B15ECB">
            <w:pPr>
              <w:rPr>
                <w:b/>
              </w:rPr>
            </w:pPr>
          </w:p>
        </w:tc>
        <w:tc>
          <w:tcPr>
            <w:tcW w:w="138" w:type="pct"/>
            <w:tcBorders>
              <w:top w:val="nil"/>
              <w:left w:val="nil"/>
            </w:tcBorders>
            <w:shd w:val="clear" w:color="auto" w:fill="66CCFF"/>
          </w:tcPr>
          <w:p w14:paraId="12140164" w14:textId="77777777" w:rsidR="00DD3EFA" w:rsidRPr="005A0E7C" w:rsidRDefault="00DD3EFA" w:rsidP="00B15ECB">
            <w:pPr>
              <w:rPr>
                <w:b/>
              </w:rPr>
            </w:pPr>
          </w:p>
        </w:tc>
      </w:tr>
    </w:tbl>
    <w:p w14:paraId="4475F19C" w14:textId="77777777" w:rsidR="00C107A7" w:rsidRDefault="00C107A7">
      <w:pPr>
        <w:rPr>
          <w:rFonts w:ascii="Times New Roman" w:eastAsiaTheme="majorEastAsia" w:hAnsi="Times New Roman" w:cs="Times New Roman"/>
          <w:color w:val="2E74B5" w:themeColor="accent1" w:themeShade="BF"/>
          <w:sz w:val="32"/>
          <w:szCs w:val="32"/>
        </w:rPr>
      </w:pPr>
      <w:bookmarkStart w:id="4" w:name="_Toc9511883"/>
      <w:r>
        <w:rPr>
          <w:rFonts w:ascii="Times New Roman" w:hAnsi="Times New Roman" w:cs="Times New Roman"/>
        </w:rPr>
        <w:br w:type="page"/>
      </w:r>
    </w:p>
    <w:p w14:paraId="5784A245" w14:textId="1B843BC7" w:rsidR="00D762E9" w:rsidRPr="00C107A7" w:rsidRDefault="00D762E9" w:rsidP="00391907">
      <w:pPr>
        <w:pStyle w:val="Nadpis1"/>
        <w:numPr>
          <w:ilvl w:val="0"/>
          <w:numId w:val="1"/>
        </w:numPr>
        <w:rPr>
          <w:rFonts w:ascii="Times New Roman" w:hAnsi="Times New Roman" w:cs="Times New Roman"/>
        </w:rPr>
      </w:pPr>
      <w:r w:rsidRPr="00C107A7">
        <w:rPr>
          <w:rFonts w:ascii="Times New Roman" w:hAnsi="Times New Roman" w:cs="Times New Roman"/>
        </w:rPr>
        <w:t>Veřejná správa a bezpečnost</w:t>
      </w:r>
      <w:bookmarkEnd w:id="4"/>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7A1831DC" w14:textId="77777777" w:rsidTr="00B15ECB">
        <w:trPr>
          <w:trHeight w:val="180"/>
        </w:trPr>
        <w:tc>
          <w:tcPr>
            <w:tcW w:w="249" w:type="dxa"/>
            <w:tcBorders>
              <w:bottom w:val="nil"/>
              <w:right w:val="nil"/>
            </w:tcBorders>
            <w:shd w:val="clear" w:color="auto" w:fill="66CCFF"/>
          </w:tcPr>
          <w:p w14:paraId="16522236" w14:textId="77777777" w:rsidR="00DD3EFA" w:rsidRPr="005A0E7C" w:rsidRDefault="00DD3EFA" w:rsidP="00B15ECB">
            <w:pPr>
              <w:rPr>
                <w:b/>
              </w:rPr>
            </w:pPr>
          </w:p>
        </w:tc>
        <w:tc>
          <w:tcPr>
            <w:tcW w:w="2548" w:type="dxa"/>
            <w:tcBorders>
              <w:left w:val="nil"/>
              <w:right w:val="nil"/>
            </w:tcBorders>
            <w:shd w:val="clear" w:color="auto" w:fill="66CCFF"/>
          </w:tcPr>
          <w:p w14:paraId="67F72FBB" w14:textId="77777777" w:rsidR="00DD3EFA" w:rsidRPr="005A0E7C" w:rsidRDefault="00DD3EFA" w:rsidP="00B15ECB">
            <w:pPr>
              <w:rPr>
                <w:b/>
              </w:rPr>
            </w:pPr>
          </w:p>
        </w:tc>
        <w:tc>
          <w:tcPr>
            <w:tcW w:w="5978" w:type="dxa"/>
            <w:tcBorders>
              <w:left w:val="nil"/>
              <w:right w:val="nil"/>
            </w:tcBorders>
            <w:shd w:val="clear" w:color="auto" w:fill="66CCFF"/>
          </w:tcPr>
          <w:p w14:paraId="10EF0908" w14:textId="77777777" w:rsidR="00DD3EFA" w:rsidRPr="005A0E7C" w:rsidRDefault="00DD3EFA" w:rsidP="00B15ECB">
            <w:pPr>
              <w:rPr>
                <w:b/>
              </w:rPr>
            </w:pPr>
          </w:p>
        </w:tc>
        <w:tc>
          <w:tcPr>
            <w:tcW w:w="249" w:type="dxa"/>
            <w:tcBorders>
              <w:left w:val="nil"/>
              <w:bottom w:val="nil"/>
            </w:tcBorders>
            <w:shd w:val="clear" w:color="auto" w:fill="66CCFF"/>
          </w:tcPr>
          <w:p w14:paraId="3D3A2131" w14:textId="77777777" w:rsidR="00DD3EFA" w:rsidRPr="005A0E7C" w:rsidRDefault="00DD3EFA" w:rsidP="00B15ECB">
            <w:pPr>
              <w:rPr>
                <w:b/>
              </w:rPr>
            </w:pPr>
          </w:p>
        </w:tc>
      </w:tr>
      <w:tr w:rsidR="00DD3EFA" w:rsidRPr="005A0E7C" w14:paraId="444DD307" w14:textId="77777777" w:rsidTr="00B15ECB">
        <w:trPr>
          <w:trHeight w:val="561"/>
        </w:trPr>
        <w:tc>
          <w:tcPr>
            <w:tcW w:w="249" w:type="dxa"/>
            <w:tcBorders>
              <w:top w:val="nil"/>
              <w:bottom w:val="nil"/>
            </w:tcBorders>
            <w:shd w:val="clear" w:color="auto" w:fill="66CCFF"/>
          </w:tcPr>
          <w:p w14:paraId="0D3DB5B1" w14:textId="77777777" w:rsidR="00DD3EFA" w:rsidRPr="005A0E7C" w:rsidRDefault="00DD3EFA" w:rsidP="00B15ECB">
            <w:pPr>
              <w:rPr>
                <w:b/>
              </w:rPr>
            </w:pPr>
          </w:p>
        </w:tc>
        <w:tc>
          <w:tcPr>
            <w:tcW w:w="2548" w:type="dxa"/>
            <w:shd w:val="clear" w:color="auto" w:fill="0070C0"/>
          </w:tcPr>
          <w:p w14:paraId="13700904"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4C169D64"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Konkurenceschopná a soudržná společnost</w:t>
            </w:r>
          </w:p>
        </w:tc>
        <w:tc>
          <w:tcPr>
            <w:tcW w:w="5978" w:type="dxa"/>
            <w:shd w:val="clear" w:color="auto" w:fill="0070C0"/>
          </w:tcPr>
          <w:p w14:paraId="1AA0F559"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18"/>
            </w:r>
            <w:r w:rsidRPr="005A0E7C">
              <w:rPr>
                <w:rFonts w:eastAsiaTheme="majorEastAsia"/>
                <w:b/>
                <w:color w:val="FFFFFF" w:themeColor="background1"/>
                <w:u w:val="single"/>
              </w:rPr>
              <w:t xml:space="preserve">: </w:t>
            </w:r>
          </w:p>
          <w:p w14:paraId="5C65F445"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Zefektivnění veřejné správy pro poskytování kvalitních služeb</w:t>
            </w:r>
          </w:p>
        </w:tc>
        <w:tc>
          <w:tcPr>
            <w:tcW w:w="249" w:type="dxa"/>
            <w:tcBorders>
              <w:top w:val="nil"/>
              <w:bottom w:val="nil"/>
            </w:tcBorders>
            <w:shd w:val="clear" w:color="auto" w:fill="66CCFF"/>
          </w:tcPr>
          <w:p w14:paraId="4E58EB75" w14:textId="77777777" w:rsidR="00DD3EFA" w:rsidRPr="005A0E7C" w:rsidRDefault="00DD3EFA" w:rsidP="00B15ECB">
            <w:pPr>
              <w:rPr>
                <w:b/>
              </w:rPr>
            </w:pPr>
          </w:p>
        </w:tc>
      </w:tr>
      <w:tr w:rsidR="00DD3EFA" w:rsidRPr="005A0E7C" w14:paraId="21B0B9AC" w14:textId="77777777" w:rsidTr="00B15ECB">
        <w:trPr>
          <w:trHeight w:val="180"/>
        </w:trPr>
        <w:tc>
          <w:tcPr>
            <w:tcW w:w="249" w:type="dxa"/>
            <w:tcBorders>
              <w:top w:val="nil"/>
              <w:bottom w:val="nil"/>
              <w:right w:val="nil"/>
            </w:tcBorders>
            <w:shd w:val="clear" w:color="auto" w:fill="66CCFF"/>
          </w:tcPr>
          <w:p w14:paraId="78A5801E" w14:textId="77777777" w:rsidR="00DD3EFA" w:rsidRPr="005A0E7C" w:rsidRDefault="00DD3EFA" w:rsidP="00B15ECB">
            <w:pPr>
              <w:rPr>
                <w:b/>
              </w:rPr>
            </w:pPr>
          </w:p>
        </w:tc>
        <w:tc>
          <w:tcPr>
            <w:tcW w:w="2548" w:type="dxa"/>
            <w:tcBorders>
              <w:left w:val="nil"/>
              <w:right w:val="nil"/>
            </w:tcBorders>
            <w:shd w:val="clear" w:color="auto" w:fill="66CCFF"/>
          </w:tcPr>
          <w:p w14:paraId="0030F12B" w14:textId="77777777" w:rsidR="00DD3EFA" w:rsidRPr="005A0E7C" w:rsidRDefault="00DD3EFA" w:rsidP="00B15ECB">
            <w:pPr>
              <w:rPr>
                <w:b/>
              </w:rPr>
            </w:pPr>
          </w:p>
        </w:tc>
        <w:tc>
          <w:tcPr>
            <w:tcW w:w="5978" w:type="dxa"/>
            <w:tcBorders>
              <w:left w:val="nil"/>
              <w:right w:val="nil"/>
            </w:tcBorders>
            <w:shd w:val="clear" w:color="auto" w:fill="66CCFF"/>
          </w:tcPr>
          <w:p w14:paraId="70A0B23E" w14:textId="77777777" w:rsidR="00DD3EFA" w:rsidRPr="005A0E7C" w:rsidRDefault="00DD3EFA" w:rsidP="00B15ECB">
            <w:pPr>
              <w:rPr>
                <w:b/>
              </w:rPr>
            </w:pPr>
          </w:p>
        </w:tc>
        <w:tc>
          <w:tcPr>
            <w:tcW w:w="249" w:type="dxa"/>
            <w:tcBorders>
              <w:top w:val="nil"/>
              <w:left w:val="nil"/>
              <w:bottom w:val="nil"/>
            </w:tcBorders>
            <w:shd w:val="clear" w:color="auto" w:fill="66CCFF"/>
          </w:tcPr>
          <w:p w14:paraId="5FE2FA7F" w14:textId="77777777" w:rsidR="00DD3EFA" w:rsidRPr="005A0E7C" w:rsidRDefault="00DD3EFA" w:rsidP="00B15ECB">
            <w:pPr>
              <w:rPr>
                <w:b/>
              </w:rPr>
            </w:pPr>
          </w:p>
        </w:tc>
      </w:tr>
      <w:tr w:rsidR="00DD3EFA" w:rsidRPr="005A0E7C" w14:paraId="4B5AC766" w14:textId="77777777" w:rsidTr="00B15ECB">
        <w:trPr>
          <w:trHeight w:val="892"/>
        </w:trPr>
        <w:tc>
          <w:tcPr>
            <w:tcW w:w="249" w:type="dxa"/>
            <w:tcBorders>
              <w:top w:val="nil"/>
              <w:bottom w:val="nil"/>
            </w:tcBorders>
            <w:shd w:val="clear" w:color="auto" w:fill="66CCFF"/>
          </w:tcPr>
          <w:p w14:paraId="13CFC5AB" w14:textId="77777777" w:rsidR="00DD3EFA" w:rsidRPr="005A0E7C" w:rsidRDefault="00DD3EFA" w:rsidP="00B15ECB">
            <w:pPr>
              <w:rPr>
                <w:b/>
              </w:rPr>
            </w:pPr>
          </w:p>
        </w:tc>
        <w:tc>
          <w:tcPr>
            <w:tcW w:w="2548" w:type="dxa"/>
            <w:shd w:val="clear" w:color="auto" w:fill="FFFFFF" w:themeFill="background1"/>
          </w:tcPr>
          <w:p w14:paraId="24DEDDDB"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14F1DEE5" w14:textId="77777777" w:rsidR="00DD3EFA" w:rsidRPr="005A0E7C" w:rsidRDefault="00DD3EFA" w:rsidP="00B15ECB">
            <w:r w:rsidRPr="005A0E7C">
              <w:t xml:space="preserve">Do této podoblasti patří obecně úroveň vládnutí, tedy způsob tvorby a implementace veřejných politik na všech úrovních, včetně jejich vyhodnocování a sledování dopadů, řízení a koordinace veřejné správy a jejích institucí (včetně jejich vnitřního managementu) či lidské zdroje ve veřejné správě. Z pohledu klientů veřejné správy se pak jedná zejména o kvalitu a dostupnost služeb veřejné správy, z pohledu občana pak o její transparentnost a rovněž o možnost participovat na rozhodování. </w:t>
            </w:r>
          </w:p>
          <w:p w14:paraId="1E00C3D8" w14:textId="77777777" w:rsidR="00DD3EFA" w:rsidRPr="005A0E7C" w:rsidRDefault="00DD3EFA" w:rsidP="00B15ECB">
            <w:r w:rsidRPr="005A0E7C">
              <w:t xml:space="preserve">Do oblasti se neřadí téma elektronizace veřejné správy a eGovernmentu. Rozvoj obou oblastí, výše zmíněné obecné veřejné správy (Governmentu) a eGovernmentu, však nesmí být realizován izolovaně, naopak musí být realizován ve vzájemném souhladu, kroky realizované v obou oblastech musí být vzájemně koordinovány. </w:t>
            </w:r>
          </w:p>
        </w:tc>
        <w:tc>
          <w:tcPr>
            <w:tcW w:w="249" w:type="dxa"/>
            <w:tcBorders>
              <w:top w:val="nil"/>
              <w:bottom w:val="nil"/>
            </w:tcBorders>
            <w:shd w:val="clear" w:color="auto" w:fill="66CCFF"/>
          </w:tcPr>
          <w:p w14:paraId="1E660858" w14:textId="77777777" w:rsidR="00DD3EFA" w:rsidRPr="005A0E7C" w:rsidRDefault="00DD3EFA" w:rsidP="00B15ECB">
            <w:pPr>
              <w:rPr>
                <w:b/>
              </w:rPr>
            </w:pPr>
          </w:p>
        </w:tc>
      </w:tr>
      <w:tr w:rsidR="00DD3EFA" w:rsidRPr="005A0E7C" w14:paraId="3002527D" w14:textId="77777777" w:rsidTr="00B15ECB">
        <w:trPr>
          <w:trHeight w:val="46"/>
        </w:trPr>
        <w:tc>
          <w:tcPr>
            <w:tcW w:w="249" w:type="dxa"/>
            <w:tcBorders>
              <w:top w:val="nil"/>
              <w:bottom w:val="nil"/>
              <w:right w:val="nil"/>
            </w:tcBorders>
            <w:shd w:val="clear" w:color="auto" w:fill="66CCFF"/>
          </w:tcPr>
          <w:p w14:paraId="74A06D11"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49851D49"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2C159F5" w14:textId="77777777" w:rsidR="00DD3EFA" w:rsidRPr="005A0E7C" w:rsidRDefault="00DD3EFA" w:rsidP="00B15ECB">
            <w:pPr>
              <w:rPr>
                <w:b/>
              </w:rPr>
            </w:pPr>
          </w:p>
        </w:tc>
        <w:tc>
          <w:tcPr>
            <w:tcW w:w="249" w:type="dxa"/>
            <w:tcBorders>
              <w:top w:val="nil"/>
              <w:left w:val="nil"/>
              <w:bottom w:val="nil"/>
            </w:tcBorders>
            <w:shd w:val="clear" w:color="auto" w:fill="66CCFF"/>
          </w:tcPr>
          <w:p w14:paraId="1EA4B6B7" w14:textId="77777777" w:rsidR="00DD3EFA" w:rsidRPr="005A0E7C" w:rsidRDefault="00DD3EFA" w:rsidP="00B15ECB">
            <w:pPr>
              <w:rPr>
                <w:b/>
              </w:rPr>
            </w:pPr>
          </w:p>
        </w:tc>
      </w:tr>
      <w:tr w:rsidR="00DD3EFA" w:rsidRPr="005A0E7C" w14:paraId="7B4B59A9" w14:textId="77777777" w:rsidTr="00B15ECB">
        <w:trPr>
          <w:trHeight w:val="1274"/>
        </w:trPr>
        <w:tc>
          <w:tcPr>
            <w:tcW w:w="249" w:type="dxa"/>
            <w:tcBorders>
              <w:top w:val="nil"/>
              <w:bottom w:val="nil"/>
            </w:tcBorders>
            <w:shd w:val="clear" w:color="auto" w:fill="66CCFF"/>
          </w:tcPr>
          <w:p w14:paraId="64234E3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97D6948"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1B3CB0F2" w14:textId="77777777" w:rsidR="00DD3EFA" w:rsidRPr="005A0E7C" w:rsidRDefault="00DD3EFA" w:rsidP="00B15ECB">
            <w:r w:rsidRPr="005A0E7C">
              <w:t xml:space="preserve">Sociální, hospodářský a environmentální rozvoj České republiky a jejích regionů, ale i celé Evropské unie, je významně ovlivňován </w:t>
            </w:r>
            <w:r w:rsidRPr="005A0E7C">
              <w:rPr>
                <w:b/>
              </w:rPr>
              <w:t>kvalitou veřejné správy a jejích institucí</w:t>
            </w:r>
            <w:r w:rsidRPr="005A0E7C">
              <w:t xml:space="preserve">. </w:t>
            </w:r>
          </w:p>
          <w:p w14:paraId="025CF9D4" w14:textId="77777777" w:rsidR="00DD3EFA" w:rsidRPr="005A0E7C" w:rsidRDefault="00DD3EFA" w:rsidP="00B15ECB"/>
          <w:p w14:paraId="43E8D930" w14:textId="34564726" w:rsidR="00DD3EFA" w:rsidRPr="005A0E7C" w:rsidRDefault="00DD3EFA" w:rsidP="00B15ECB">
            <w:r w:rsidRPr="005A0E7C">
              <w:t xml:space="preserve">Dobře fungující veřejná správa, orientovaná na klienta, je jedním z nejdůležitějších předpokladů zlepšování </w:t>
            </w:r>
            <w:r w:rsidR="00203AE0" w:rsidRPr="005A0E7C">
              <w:t>konkurenceschopnosti</w:t>
            </w:r>
            <w:r w:rsidRPr="005A0E7C">
              <w:t xml:space="preserve"> ČR i zlepšování kvality života obyvatel. </w:t>
            </w:r>
          </w:p>
          <w:p w14:paraId="56E0CF7E" w14:textId="77777777" w:rsidR="00DD3EFA" w:rsidRPr="005A0E7C" w:rsidRDefault="00DD3EFA" w:rsidP="00B15ECB"/>
          <w:p w14:paraId="09850971" w14:textId="15F14A9D" w:rsidR="00DD3EFA" w:rsidRPr="005A0E7C" w:rsidRDefault="00DD3EFA" w:rsidP="00B15ECB">
            <w:r w:rsidRPr="005A0E7C">
              <w:t xml:space="preserve">Z hlediska zmíněné </w:t>
            </w:r>
            <w:r w:rsidR="00203AE0" w:rsidRPr="005A0E7C">
              <w:t>konkurenceschopnosti</w:t>
            </w:r>
            <w:r w:rsidRPr="005A0E7C">
              <w:t xml:space="preserve"> lze přínos veřejné správy spatřovat zejména v kvalitní přípravě a následné implementaci všech sektorových politik, které jsou předmětem Národní koncepce realizace politiky soudržnosti. Funguje-li veřejná správa dobře, lze očekávat dobré výsledky také v konkrétním provádění sektorových politik. Naopak, pokud veřejná správa nefunguje tak, jak by měla, politiky mohou být nastaveny či implementovány nevhodně, bez ohledu na jejich vzájemnou koherenci. </w:t>
            </w:r>
          </w:p>
          <w:p w14:paraId="4FC7E068" w14:textId="77777777" w:rsidR="00DD3EFA" w:rsidRPr="005A0E7C" w:rsidRDefault="00DD3EFA" w:rsidP="00B15ECB"/>
          <w:p w14:paraId="41F8E400" w14:textId="5350D8CD" w:rsidR="00DD3EFA" w:rsidRPr="005A0E7C" w:rsidRDefault="00DD3EFA" w:rsidP="00B15ECB">
            <w:r w:rsidRPr="005A0E7C">
              <w:t>Z pohledu zlepšování kvality života obyvatel je tato určována řadou aspektů, mezi které vyjma příjmu a bohatství či životního prostředí patří také občanská angažovanost a dobré vládnutí. Dobré vládnutí je velmi významně determinováno stupněm kva</w:t>
            </w:r>
            <w:r w:rsidR="00203AE0" w:rsidRPr="005A0E7C">
              <w:t>lity veřejné správy v dané zemi</w:t>
            </w:r>
            <w:r w:rsidRPr="005A0E7C">
              <w:t xml:space="preserve">, protože obecně zahrnuje do výkonu veřejné správy rovněž participaci občanů, garance právního státu, efektivitu a efektivnost, transparentnost a odpovědnost apod. </w:t>
            </w:r>
          </w:p>
          <w:p w14:paraId="044FB543" w14:textId="77777777" w:rsidR="00DD3EFA" w:rsidRPr="005A0E7C" w:rsidRDefault="00DD3EFA" w:rsidP="00B15ECB"/>
          <w:p w14:paraId="00E975FA" w14:textId="77777777" w:rsidR="00DD3EFA" w:rsidRPr="005A0E7C" w:rsidRDefault="00DD3EFA" w:rsidP="00B15ECB">
            <w:r w:rsidRPr="005A0E7C">
              <w:t xml:space="preserve">Mimo přínosů v oblasti kvality života a konkurenceschopnosti ČR dobře fungující veřejná správa také velmi významně ovlivňuje výsledky regionů v oblastech životního prostředí, inovací a podnikání, stejně jako v oblasti sociální. </w:t>
            </w:r>
          </w:p>
          <w:p w14:paraId="175FB8DC" w14:textId="77777777" w:rsidR="00DD3EFA" w:rsidRPr="005A0E7C" w:rsidRDefault="00DD3EFA" w:rsidP="00B15ECB"/>
          <w:p w14:paraId="4E439CE0" w14:textId="77777777" w:rsidR="00DD3EFA" w:rsidRPr="005A0E7C" w:rsidRDefault="00DD3EFA" w:rsidP="00B15ECB">
            <w:r w:rsidRPr="005A0E7C">
              <w:t xml:space="preserve">V kvalitě veřejné správy ČR se ovšem nadále objevují rezervy, které mohou mít na sociální, hospodářský i environmentální rozvoj negativní vliv. </w:t>
            </w:r>
          </w:p>
          <w:p w14:paraId="12E61143" w14:textId="77777777" w:rsidR="00DD3EFA" w:rsidRPr="005A0E7C" w:rsidRDefault="00DD3EFA" w:rsidP="00B15ECB"/>
          <w:p w14:paraId="1F30E4E6" w14:textId="77777777" w:rsidR="00DD3EFA" w:rsidRPr="005A0E7C" w:rsidRDefault="00DD3EFA" w:rsidP="00B15ECB">
            <w:r w:rsidRPr="005A0E7C">
              <w:t xml:space="preserve">V mezinárodních srovnáních dosahuje veřejná správa v ČR výsledků, které jsou relativně vysoko nad úrovní světového průměru, ale pod úrovní průměru OECD případně EU. Veřejná správa v ČR tak nedosahuje úrovně tzv. starých členských států. </w:t>
            </w:r>
          </w:p>
          <w:p w14:paraId="31CA0FD1" w14:textId="77777777" w:rsidR="00DD3EFA" w:rsidRPr="005A0E7C" w:rsidRDefault="00DD3EFA" w:rsidP="00B15ECB"/>
        </w:tc>
        <w:tc>
          <w:tcPr>
            <w:tcW w:w="249" w:type="dxa"/>
            <w:tcBorders>
              <w:top w:val="nil"/>
              <w:bottom w:val="nil"/>
            </w:tcBorders>
            <w:shd w:val="clear" w:color="auto" w:fill="66CCFF"/>
          </w:tcPr>
          <w:p w14:paraId="2FCD8A9C" w14:textId="77777777" w:rsidR="00DD3EFA" w:rsidRPr="005A0E7C" w:rsidRDefault="00DD3EFA" w:rsidP="00B15ECB">
            <w:pPr>
              <w:rPr>
                <w:b/>
              </w:rPr>
            </w:pPr>
          </w:p>
        </w:tc>
      </w:tr>
      <w:tr w:rsidR="00DD3EFA" w:rsidRPr="005A0E7C" w14:paraId="4A2BDCCD" w14:textId="77777777" w:rsidTr="00B15ECB">
        <w:trPr>
          <w:trHeight w:val="1274"/>
        </w:trPr>
        <w:tc>
          <w:tcPr>
            <w:tcW w:w="249" w:type="dxa"/>
            <w:tcBorders>
              <w:top w:val="nil"/>
              <w:bottom w:val="nil"/>
            </w:tcBorders>
            <w:shd w:val="clear" w:color="auto" w:fill="66CCFF"/>
          </w:tcPr>
          <w:p w14:paraId="14BBA42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D962EE1"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05917A75" w14:textId="77777777" w:rsidR="00DD3EFA" w:rsidRPr="005A0E7C" w:rsidRDefault="00DD3EFA" w:rsidP="00B15ECB">
            <w:r w:rsidRPr="005A0E7C">
              <w:t xml:space="preserve">Problémové oblasti, ze kterých speficický cíl vychází, lze rozdělit do 3 skupin: </w:t>
            </w:r>
          </w:p>
          <w:p w14:paraId="391392C7" w14:textId="77777777" w:rsidR="00DD3EFA" w:rsidRPr="005A0E7C" w:rsidRDefault="00DD3EFA" w:rsidP="00B15ECB">
            <w:pPr>
              <w:rPr>
                <w:b/>
              </w:rPr>
            </w:pPr>
          </w:p>
          <w:p w14:paraId="3EF29F94" w14:textId="77777777" w:rsidR="00DD3EFA" w:rsidRPr="005A0E7C" w:rsidRDefault="00DD3EFA" w:rsidP="00B15ECB">
            <w:r w:rsidRPr="005A0E7C">
              <w:rPr>
                <w:b/>
              </w:rPr>
              <w:t>Problémy týkající se přípravy a implementace politik</w:t>
            </w:r>
            <w:r w:rsidRPr="005A0E7C">
              <w:t xml:space="preserve">: </w:t>
            </w:r>
          </w:p>
          <w:p w14:paraId="7CE0CEF2" w14:textId="77777777" w:rsidR="00DD3EFA" w:rsidRPr="005A0E7C" w:rsidRDefault="00DD3EFA" w:rsidP="00391907">
            <w:pPr>
              <w:pStyle w:val="Odstavecseseznamem"/>
              <w:numPr>
                <w:ilvl w:val="0"/>
                <w:numId w:val="43"/>
              </w:numPr>
              <w:spacing w:after="200"/>
              <w:jc w:val="both"/>
            </w:pPr>
            <w:r w:rsidRPr="005A0E7C">
              <w:t xml:space="preserve">evidence-informed rozhodování v české veřejné správě není uplatňováno v dostatečné míře. Důvodem je neexistence odpovídajících podmínek pro jeho rozvoj, daná  mimo jiné nesystémovým ukotvením či přímo absencí analytických útvarů na resortech, nedostatky v oblasti sběru, sdílení i vyhodnocování dat a následně i v kvalitě zpracovávaných analytických materiálů, formální spolupráci veřejné správy s akademickou sférou, apod. </w:t>
            </w:r>
          </w:p>
          <w:p w14:paraId="5770267A" w14:textId="77777777" w:rsidR="00DD3EFA" w:rsidRPr="005A0E7C" w:rsidRDefault="00DD3EFA" w:rsidP="00391907">
            <w:pPr>
              <w:pStyle w:val="Odstavecseseznamem"/>
              <w:numPr>
                <w:ilvl w:val="0"/>
                <w:numId w:val="43"/>
              </w:numPr>
              <w:spacing w:after="200"/>
              <w:jc w:val="both"/>
            </w:pPr>
            <w:r w:rsidRPr="005A0E7C">
              <w:t xml:space="preserve">strategické řízení stále nedosáhlo požadované úrovně,  vzniká velké množství strategických dokumentů, které se duplikují, jsou často formální a nejsou důsledně plněny, vyhodnocovány a aktualizovány, mnohdy nemají vazbu na státní rozpočet </w:t>
            </w:r>
          </w:p>
          <w:p w14:paraId="04810D3C" w14:textId="19436935" w:rsidR="00DD3EFA" w:rsidRPr="005A0E7C" w:rsidRDefault="00DD3EFA" w:rsidP="00391907">
            <w:pPr>
              <w:pStyle w:val="Odstavecseseznamem"/>
              <w:numPr>
                <w:ilvl w:val="0"/>
                <w:numId w:val="43"/>
              </w:numPr>
              <w:spacing w:after="200"/>
              <w:jc w:val="both"/>
            </w:pPr>
            <w:r w:rsidRPr="005A0E7C">
              <w:t>dopady veřejných politik jsou často posuzovány nedostatečně, ať už se jedná o formalismus ve fungování zavedených mechanismů (např. hodnocení RIA) nebo téměř úplnou absenci modernějších forem odhadu dopadů (např. policy lab, testování na menších vzorcích/pilotáže,</w:t>
            </w:r>
            <w:r w:rsidR="00203AE0" w:rsidRPr="005A0E7C">
              <w:t xml:space="preserve"> </w:t>
            </w:r>
            <w:r w:rsidRPr="005A0E7C">
              <w:t>apod.), v hodnocení není dostatečně zohledňována perspektiva příjemců</w:t>
            </w:r>
          </w:p>
          <w:p w14:paraId="65E57463" w14:textId="77777777" w:rsidR="00DD3EFA" w:rsidRPr="005A0E7C" w:rsidRDefault="00DD3EFA" w:rsidP="00391907">
            <w:pPr>
              <w:pStyle w:val="Odstavecseseznamem"/>
              <w:numPr>
                <w:ilvl w:val="0"/>
                <w:numId w:val="43"/>
              </w:numPr>
              <w:spacing w:after="200"/>
              <w:jc w:val="both"/>
            </w:pPr>
            <w:r w:rsidRPr="005A0E7C">
              <w:t>veřejnost není v přípravě politik dostatečně zapojena, na centrální úrovni je zřetelná absence využívání novějších forem deliberace, na lokální úrovni je situace lepší, ovšem možnosti participace taktéž nejsou dostatečně proponovány a následně i veřejností využívány</w:t>
            </w:r>
          </w:p>
          <w:p w14:paraId="2EAEDFA5" w14:textId="77777777" w:rsidR="00DD3EFA" w:rsidRPr="005A0E7C" w:rsidRDefault="00DD3EFA" w:rsidP="00391907">
            <w:pPr>
              <w:pStyle w:val="Odstavecseseznamem"/>
              <w:numPr>
                <w:ilvl w:val="0"/>
                <w:numId w:val="43"/>
              </w:numPr>
              <w:spacing w:after="200"/>
              <w:jc w:val="both"/>
            </w:pPr>
            <w:r w:rsidRPr="005A0E7C">
              <w:t>veřejná správa má stále jisté rezervy v transparentnosti, výstupy její činnosti a výstupy politik nejsou dostatečně s veřejností komunikovány</w:t>
            </w:r>
          </w:p>
          <w:p w14:paraId="05C68314" w14:textId="77777777" w:rsidR="00DD3EFA" w:rsidRPr="005A0E7C" w:rsidRDefault="00DD3EFA" w:rsidP="00391907">
            <w:pPr>
              <w:pStyle w:val="Odstavecseseznamem"/>
              <w:numPr>
                <w:ilvl w:val="0"/>
                <w:numId w:val="43"/>
              </w:numPr>
              <w:spacing w:after="200"/>
              <w:jc w:val="both"/>
            </w:pPr>
            <w:r w:rsidRPr="005A0E7C">
              <w:t>ve veřejné správě neexistuje odpovídající prostředí, stimulující rozvoj inovací ve veřejné správě a využívání inovativních řešení</w:t>
            </w:r>
          </w:p>
          <w:p w14:paraId="2B9F4A58" w14:textId="77777777" w:rsidR="00DD3EFA" w:rsidRPr="005A0E7C" w:rsidRDefault="00DD3EFA" w:rsidP="00391907">
            <w:pPr>
              <w:pStyle w:val="Odstavecseseznamem"/>
              <w:numPr>
                <w:ilvl w:val="0"/>
                <w:numId w:val="43"/>
              </w:numPr>
              <w:spacing w:after="200"/>
              <w:jc w:val="both"/>
            </w:pPr>
            <w:r w:rsidRPr="005A0E7C">
              <w:t xml:space="preserve">projektové práce nejsou ve veřejné správě realizovány v jednotné kvalitě </w:t>
            </w:r>
          </w:p>
          <w:p w14:paraId="18F3CEAA" w14:textId="509A42A2" w:rsidR="00DD3EFA" w:rsidRPr="005A0E7C" w:rsidRDefault="00DD3EFA" w:rsidP="00391907">
            <w:pPr>
              <w:pStyle w:val="Odstavecseseznamem"/>
              <w:numPr>
                <w:ilvl w:val="0"/>
                <w:numId w:val="43"/>
              </w:numPr>
              <w:spacing w:after="200"/>
              <w:jc w:val="both"/>
            </w:pPr>
            <w:r w:rsidRPr="005A0E7C">
              <w:t xml:space="preserve">povědomí o udržitelném rozvoji ve </w:t>
            </w:r>
            <w:r w:rsidR="00203AE0" w:rsidRPr="005A0E7C">
              <w:t xml:space="preserve">veřejné správě je nízké a proto </w:t>
            </w:r>
            <w:r w:rsidRPr="005A0E7C">
              <w:t>není při přípravě a implementaci politik dostatečně uplatňován</w:t>
            </w:r>
          </w:p>
          <w:p w14:paraId="5C4C082D" w14:textId="77777777" w:rsidR="00DD3EFA" w:rsidRPr="005A0E7C" w:rsidRDefault="00DD3EFA" w:rsidP="00391907">
            <w:pPr>
              <w:pStyle w:val="Odstavecseseznamem"/>
              <w:numPr>
                <w:ilvl w:val="0"/>
                <w:numId w:val="43"/>
              </w:numPr>
              <w:spacing w:after="200"/>
              <w:jc w:val="both"/>
            </w:pPr>
            <w:r w:rsidRPr="005A0E7C">
              <w:t>liší se vypovídací hodnota kontrolních výstupů v oblasti kontroly veřejných prostředků, jejich sdílení je nedostatečné</w:t>
            </w:r>
          </w:p>
          <w:p w14:paraId="6BE29DEE" w14:textId="77777777" w:rsidR="00DD3EFA" w:rsidRPr="005A0E7C" w:rsidRDefault="00DD3EFA" w:rsidP="00B15ECB"/>
          <w:p w14:paraId="6FD1AFC4" w14:textId="77777777" w:rsidR="00DD3EFA" w:rsidRPr="005A0E7C" w:rsidRDefault="00DD3EFA" w:rsidP="00B15ECB">
            <w:pPr>
              <w:rPr>
                <w:b/>
              </w:rPr>
            </w:pPr>
            <w:r w:rsidRPr="005A0E7C">
              <w:rPr>
                <w:b/>
              </w:rPr>
              <w:t>Problémy týkající se řízení a koordinace veřejné správy</w:t>
            </w:r>
          </w:p>
          <w:p w14:paraId="5A50D93A" w14:textId="77777777" w:rsidR="00DD3EFA" w:rsidRPr="005A0E7C" w:rsidRDefault="00DD3EFA" w:rsidP="00391907">
            <w:pPr>
              <w:pStyle w:val="Odstavecseseznamem"/>
              <w:numPr>
                <w:ilvl w:val="0"/>
                <w:numId w:val="43"/>
              </w:numPr>
              <w:spacing w:after="200"/>
              <w:jc w:val="both"/>
            </w:pPr>
            <w:r w:rsidRPr="005A0E7C">
              <w:t>resortismus: prosazování parciálních zájmů jednotlivých resortů a jejich často spíše formální spolupráce ústí ve složité vypořádávání některých mezirezortních připomínkových řízení, k neochotě spolupracovat nad rámec přijatých usnesení vlády, nebo se projevuje v nekomplexním nastavení právního rámce, kdy legislativa není propojená napříč resorty a výklady norem jednotlivých ministerstev míří v některých případech proti sobě. Resortismus neblaze ovlivňuje také celkovou vnitřní i vzájemnou koherenci jednotlivých celonárodních politik</w:t>
            </w:r>
          </w:p>
          <w:p w14:paraId="6AAA7CFB" w14:textId="77777777" w:rsidR="00DD3EFA" w:rsidRPr="005A0E7C" w:rsidRDefault="00DD3EFA" w:rsidP="00391907">
            <w:pPr>
              <w:pStyle w:val="Odstavecseseznamem"/>
              <w:numPr>
                <w:ilvl w:val="0"/>
                <w:numId w:val="43"/>
              </w:numPr>
              <w:spacing w:after="200"/>
              <w:jc w:val="both"/>
            </w:pPr>
            <w:r w:rsidRPr="005A0E7C">
              <w:t>výkon přenesené působnosti je s výjimkou několika málo agend financován plošně příspěvkem na výkon přenesené působnosti, který však v řadě případů ne zcela odpovídá skutečným vynaloženým nákladům</w:t>
            </w:r>
          </w:p>
          <w:p w14:paraId="29898D24" w14:textId="77777777" w:rsidR="00DD3EFA" w:rsidRPr="005A0E7C" w:rsidRDefault="00DD3EFA" w:rsidP="00391907">
            <w:pPr>
              <w:pStyle w:val="Odstavecseseznamem"/>
              <w:numPr>
                <w:ilvl w:val="0"/>
                <w:numId w:val="43"/>
              </w:numPr>
              <w:spacing w:after="200"/>
              <w:jc w:val="both"/>
            </w:pPr>
            <w:r w:rsidRPr="005A0E7C">
              <w:t>správní činnosti v přenesené působnosti jsou v různých částech ČR vykonávány nejednotně</w:t>
            </w:r>
          </w:p>
          <w:p w14:paraId="1CF85D65" w14:textId="77777777" w:rsidR="00DD3EFA" w:rsidRPr="005A0E7C" w:rsidRDefault="00DD3EFA" w:rsidP="00391907">
            <w:pPr>
              <w:pStyle w:val="Odstavecseseznamem"/>
              <w:numPr>
                <w:ilvl w:val="0"/>
                <w:numId w:val="43"/>
              </w:numPr>
              <w:spacing w:after="200"/>
              <w:jc w:val="both"/>
            </w:pPr>
            <w:r w:rsidRPr="005A0E7C">
              <w:t>nekvalitní je metodické vedení resortů vůči územním samosprávným celkům, metodické dokumenty nejsou zpracovávány, nebo nejsou pro územní samosprávné celky dostatečně srozumitelné, jejich dodržování není kontrolováno</w:t>
            </w:r>
          </w:p>
          <w:p w14:paraId="7F23B1D2" w14:textId="77777777" w:rsidR="00DD3EFA" w:rsidRPr="005A0E7C" w:rsidRDefault="00DD3EFA" w:rsidP="00B15ECB">
            <w:pPr>
              <w:rPr>
                <w:b/>
              </w:rPr>
            </w:pPr>
            <w:r w:rsidRPr="005A0E7C">
              <w:rPr>
                <w:b/>
              </w:rPr>
              <w:t>Problémy vztahující se k dostupnosti služeb a jejich kvalitě</w:t>
            </w:r>
          </w:p>
          <w:p w14:paraId="1769C618" w14:textId="77777777" w:rsidR="00DD3EFA" w:rsidRPr="005A0E7C" w:rsidRDefault="00DD3EFA" w:rsidP="00391907">
            <w:pPr>
              <w:pStyle w:val="Odstavecseseznamem"/>
              <w:numPr>
                <w:ilvl w:val="0"/>
                <w:numId w:val="43"/>
              </w:numPr>
              <w:spacing w:after="200"/>
              <w:jc w:val="both"/>
            </w:pPr>
            <w:r w:rsidRPr="005A0E7C">
              <w:t>kompetence úředníků územní samosprávy ne zcela odpovídají požadavkům moderní doby</w:t>
            </w:r>
          </w:p>
          <w:p w14:paraId="4FE1437C" w14:textId="77777777" w:rsidR="00DD3EFA" w:rsidRPr="005A0E7C" w:rsidRDefault="00DD3EFA" w:rsidP="00391907">
            <w:pPr>
              <w:pStyle w:val="Odstavecseseznamem"/>
              <w:numPr>
                <w:ilvl w:val="0"/>
                <w:numId w:val="43"/>
              </w:numPr>
              <w:spacing w:after="200"/>
              <w:jc w:val="both"/>
            </w:pPr>
            <w:r w:rsidRPr="005A0E7C">
              <w:t>zastupitelé nemají dostatečnou znalost o odpovědnostních vztazích, které jsou spojeny s výkonem jejich funkce</w:t>
            </w:r>
          </w:p>
          <w:p w14:paraId="0FE6D1CE" w14:textId="77777777" w:rsidR="00DD3EFA" w:rsidRPr="005A0E7C" w:rsidRDefault="00DD3EFA" w:rsidP="00391907">
            <w:pPr>
              <w:pStyle w:val="Odstavecseseznamem"/>
              <w:numPr>
                <w:ilvl w:val="0"/>
                <w:numId w:val="43"/>
              </w:numPr>
              <w:spacing w:after="200"/>
              <w:jc w:val="both"/>
            </w:pPr>
            <w:r w:rsidRPr="005A0E7C">
              <w:t>služby poskytované veřejnou správou nejsou poskytovány v jednotné kvalitě, úroveň pro-klientské orientace je různá</w:t>
            </w:r>
          </w:p>
          <w:p w14:paraId="250B7293" w14:textId="77777777" w:rsidR="00DD3EFA" w:rsidRPr="005A0E7C" w:rsidRDefault="00DD3EFA" w:rsidP="00391907">
            <w:pPr>
              <w:pStyle w:val="Odstavecseseznamem"/>
              <w:numPr>
                <w:ilvl w:val="0"/>
                <w:numId w:val="43"/>
              </w:numPr>
              <w:spacing w:after="200"/>
              <w:jc w:val="both"/>
            </w:pPr>
            <w:r w:rsidRPr="005A0E7C">
              <w:t>ne všechny obce třetího typu jsou reálnými a přirozenými centry mikroregionu, což často znesnadňuje dostupnost veřejné správy pro občany; výkon přenesené působnosti je stále vykonáván všemi typy obcí, bez ohledu na efektivnost tohoto nastavení</w:t>
            </w:r>
          </w:p>
          <w:p w14:paraId="433747B8" w14:textId="77777777" w:rsidR="00DD3EFA" w:rsidRPr="005A0E7C" w:rsidRDefault="00DD3EFA" w:rsidP="00B15ECB">
            <w:pPr>
              <w:spacing w:before="60" w:after="60"/>
              <w:rPr>
                <w:rFonts w:eastAsia="ArialMT"/>
              </w:rPr>
            </w:pPr>
            <w:r w:rsidRPr="005A0E7C">
              <w:rPr>
                <w:rFonts w:eastAsia="ArialMT"/>
              </w:rPr>
              <w:t xml:space="preserve">Dostupnost služeb je výrazně ovlivňována také probíhající digitalizací veřejné správy, tj. pokrokem v oblasti eGovernmentu. Obecnou veřejnou správu je za tímto účelem nutné kontinuálně přizpůsobovat, např. i formou zavádění flexibilnějších forem úřadování, změnou struktury úřadů a spektra poskytovaných služeb, optimalizací lidských zdrojů apod. </w:t>
            </w:r>
          </w:p>
          <w:p w14:paraId="3AC74146" w14:textId="77777777" w:rsidR="00DD3EFA" w:rsidRPr="005A0E7C" w:rsidRDefault="00DD3EFA" w:rsidP="00B15ECB">
            <w:pPr>
              <w:spacing w:before="60" w:after="60"/>
              <w:rPr>
                <w:rFonts w:eastAsia="ArialMT"/>
              </w:rPr>
            </w:pPr>
          </w:p>
          <w:p w14:paraId="091FF5B2" w14:textId="77777777" w:rsidR="00DD3EFA" w:rsidRPr="005A0E7C" w:rsidRDefault="00DD3EFA" w:rsidP="00B15ECB">
            <w:pPr>
              <w:spacing w:before="60" w:after="60"/>
              <w:rPr>
                <w:rFonts w:eastAsiaTheme="majorEastAsia"/>
              </w:rPr>
            </w:pPr>
          </w:p>
          <w:p w14:paraId="2A216A48" w14:textId="77777777" w:rsidR="00DD3EFA" w:rsidRPr="005A0E7C" w:rsidRDefault="00DD3EFA" w:rsidP="00B15ECB">
            <w:pPr>
              <w:spacing w:before="60" w:after="60"/>
              <w:rPr>
                <w:i/>
              </w:rPr>
            </w:pPr>
          </w:p>
        </w:tc>
        <w:tc>
          <w:tcPr>
            <w:tcW w:w="249" w:type="dxa"/>
            <w:tcBorders>
              <w:top w:val="nil"/>
              <w:bottom w:val="nil"/>
            </w:tcBorders>
            <w:shd w:val="clear" w:color="auto" w:fill="66CCFF"/>
          </w:tcPr>
          <w:p w14:paraId="5EF723F8" w14:textId="77777777" w:rsidR="00DD3EFA" w:rsidRPr="005A0E7C" w:rsidRDefault="00DD3EFA" w:rsidP="00B15ECB">
            <w:pPr>
              <w:rPr>
                <w:b/>
              </w:rPr>
            </w:pPr>
          </w:p>
        </w:tc>
      </w:tr>
      <w:tr w:rsidR="00DD3EFA" w:rsidRPr="005A0E7C" w14:paraId="091C0198" w14:textId="77777777" w:rsidTr="00B15ECB">
        <w:trPr>
          <w:trHeight w:val="1274"/>
        </w:trPr>
        <w:tc>
          <w:tcPr>
            <w:tcW w:w="249" w:type="dxa"/>
            <w:tcBorders>
              <w:top w:val="nil"/>
              <w:bottom w:val="nil"/>
            </w:tcBorders>
            <w:shd w:val="clear" w:color="auto" w:fill="66CCFF"/>
          </w:tcPr>
          <w:p w14:paraId="0FC27A0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2D0BC1B"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0CCD35EC"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79A579B" w14:textId="77777777" w:rsidR="00DD3EFA" w:rsidRPr="005A0E7C" w:rsidRDefault="00DD3EFA" w:rsidP="00B15ECB">
            <w:r w:rsidRPr="005A0E7C">
              <w:t xml:space="preserve">Hlavním cílem veřejné správy a tedy i společným jmenovatelem řešení výše uvedených problémů, je </w:t>
            </w:r>
            <w:r w:rsidRPr="005A0E7C">
              <w:rPr>
                <w:b/>
              </w:rPr>
              <w:t>zvýšení pro-klientské orientace veřejné správy, a to na všech jejích úrovních</w:t>
            </w:r>
            <w:r w:rsidRPr="005A0E7C">
              <w:t xml:space="preserve">, tj. zajištění takového přístupu veřejné správy k jejímu fungování, který je orientován na uspokojení klienta při zachování efektivního fungování veřejné správy. </w:t>
            </w:r>
          </w:p>
          <w:p w14:paraId="371FA9FA" w14:textId="77777777" w:rsidR="00DD3EFA" w:rsidRPr="005A0E7C" w:rsidRDefault="00DD3EFA" w:rsidP="00B15ECB"/>
          <w:p w14:paraId="54C8BF66" w14:textId="77777777" w:rsidR="00DD3EFA" w:rsidRPr="005A0E7C" w:rsidRDefault="00DD3EFA" w:rsidP="00B15ECB">
            <w:r w:rsidRPr="005A0E7C">
              <w:t xml:space="preserve">Za účelem dosažení cíle je nutné </w:t>
            </w:r>
            <w:r w:rsidRPr="005A0E7C">
              <w:rPr>
                <w:b/>
              </w:rPr>
              <w:t>zlepšovat nejen dostupnost a kvalitu služeb veřejné správy, které jsou klientovi poskytovány, ale také zefektivňovat samotné fungování systému veřejné správy, jejích institucí</w:t>
            </w:r>
            <w:r w:rsidRPr="005A0E7C">
              <w:t>,</w:t>
            </w:r>
            <w:r w:rsidRPr="005A0E7C">
              <w:rPr>
                <w:b/>
              </w:rPr>
              <w:t xml:space="preserve"> zvyšovat kompetence pracovníků a umožňovat veřejnosti aktivně se účastnit veřejného dění</w:t>
            </w:r>
            <w:r w:rsidRPr="005A0E7C">
              <w:t xml:space="preserve">. Jednotlivé podcíle, naplňující výše definovaný cíl, jsou uvedeny níže a blíže specifikovány v části „dílčí cíle podpory“. </w:t>
            </w:r>
          </w:p>
          <w:p w14:paraId="34639541" w14:textId="77777777" w:rsidR="00DD3EFA" w:rsidRPr="005A0E7C" w:rsidRDefault="00DD3EFA" w:rsidP="00B15ECB"/>
          <w:p w14:paraId="6B61B959" w14:textId="77777777" w:rsidR="00DD3EFA" w:rsidRPr="005A0E7C" w:rsidRDefault="00DD3EFA" w:rsidP="00B15ECB">
            <w:pPr>
              <w:rPr>
                <w:b/>
              </w:rPr>
            </w:pPr>
            <w:r w:rsidRPr="005A0E7C">
              <w:rPr>
                <w:b/>
              </w:rPr>
              <w:t xml:space="preserve">SC 1 PRO KLIENTA DOSTUPNÉ A KVALITNÍ SLUŽBY VS. </w:t>
            </w:r>
          </w:p>
          <w:p w14:paraId="1F108A43" w14:textId="77777777" w:rsidR="00DD3EFA" w:rsidRPr="005A0E7C" w:rsidRDefault="00DD3EFA" w:rsidP="00B15ECB">
            <w:r w:rsidRPr="005A0E7C">
              <w:rPr>
                <w:b/>
              </w:rPr>
              <w:t>Změna</w:t>
            </w:r>
            <w:r w:rsidRPr="005A0E7C">
              <w:t xml:space="preserve"> → zlepšení přívětivosti poskytovaných služeb, jejich poskytování na úrovni, která zaručí odborně způsobilý výkon a optimální územní dostupnost pro klienty</w:t>
            </w:r>
          </w:p>
          <w:p w14:paraId="5894FACA" w14:textId="77777777" w:rsidR="00DD3EFA" w:rsidRPr="005A0E7C" w:rsidRDefault="00DD3EFA" w:rsidP="00B15ECB">
            <w:pPr>
              <w:rPr>
                <w:b/>
              </w:rPr>
            </w:pPr>
          </w:p>
          <w:p w14:paraId="6665F80A" w14:textId="77777777" w:rsidR="00DD3EFA" w:rsidRPr="005A0E7C" w:rsidRDefault="00DD3EFA" w:rsidP="00B15ECB">
            <w:r w:rsidRPr="005A0E7C">
              <w:rPr>
                <w:b/>
              </w:rPr>
              <w:t>SC 2 EFEKTIVNĚ FUNGUJÍCÍ SYSTÉM VEŘEJNÉ SPRÁVY</w:t>
            </w:r>
            <w:r w:rsidRPr="005A0E7C">
              <w:t xml:space="preserve">. </w:t>
            </w:r>
          </w:p>
          <w:p w14:paraId="70E97D9C" w14:textId="6784CB31" w:rsidR="00DD3EFA" w:rsidRPr="005A0E7C" w:rsidRDefault="00DD3EFA" w:rsidP="00B15ECB">
            <w:r w:rsidRPr="005A0E7C">
              <w:rPr>
                <w:b/>
              </w:rPr>
              <w:t>Změna</w:t>
            </w:r>
            <w:r w:rsidRPr="005A0E7C">
              <w:t xml:space="preserve"> → zlepšení řízení veřejné správy, umenšení resortismu a zlepšení kvality výkonu agend </w:t>
            </w:r>
            <w:r w:rsidR="00203AE0" w:rsidRPr="005A0E7C">
              <w:t>přenesené</w:t>
            </w:r>
            <w:r w:rsidRPr="005A0E7C">
              <w:t xml:space="preserve"> působnosti v území, existence prostředí, stimulujícího tvorbu inovací</w:t>
            </w:r>
          </w:p>
          <w:p w14:paraId="4884ABAE" w14:textId="77777777" w:rsidR="00DD3EFA" w:rsidRPr="005A0E7C" w:rsidRDefault="00DD3EFA" w:rsidP="00B15ECB">
            <w:pPr>
              <w:rPr>
                <w:b/>
              </w:rPr>
            </w:pPr>
          </w:p>
          <w:p w14:paraId="24BAFC2B" w14:textId="77777777" w:rsidR="00DD3EFA" w:rsidRPr="005A0E7C" w:rsidRDefault="00DD3EFA" w:rsidP="00B15ECB">
            <w:r w:rsidRPr="005A0E7C">
              <w:rPr>
                <w:b/>
              </w:rPr>
              <w:t xml:space="preserve">SC 3 EFEKTIVNĚ FUNGUJÍCÍ INSTITUCE VEŘEJNÉ SPRÁVY </w:t>
            </w:r>
            <w:r w:rsidRPr="005A0E7C">
              <w:t xml:space="preserve"> </w:t>
            </w:r>
            <w:r w:rsidRPr="005A0E7C">
              <w:rPr>
                <w:b/>
              </w:rPr>
              <w:t>Změna</w:t>
            </w:r>
            <w:r w:rsidRPr="005A0E7C">
              <w:t xml:space="preserve"> → zvýšení odpovědného rozhodování veřejné správy na základě dat, širší využívání nástrojů řízení kvality, zlepšení  aplikace principů udržitelného rozvoje, zkvalitnění strategického řízení, využívání projektového řízení u všech rozvojových aktivit, u kterých je to vhodné</w:t>
            </w:r>
          </w:p>
          <w:p w14:paraId="3468BBD0" w14:textId="77777777" w:rsidR="00DD3EFA" w:rsidRPr="005A0E7C" w:rsidRDefault="00DD3EFA" w:rsidP="00B15ECB">
            <w:pPr>
              <w:rPr>
                <w:b/>
              </w:rPr>
            </w:pPr>
          </w:p>
          <w:p w14:paraId="30F9EB43" w14:textId="77777777" w:rsidR="00DD3EFA" w:rsidRPr="005A0E7C" w:rsidRDefault="00DD3EFA" w:rsidP="00B15ECB">
            <w:r w:rsidRPr="005A0E7C">
              <w:rPr>
                <w:b/>
              </w:rPr>
              <w:t xml:space="preserve">SC 4 KOMPETENTNÍ LIDSKÉ ZDROJE </w:t>
            </w:r>
          </w:p>
          <w:p w14:paraId="7EC334DD" w14:textId="77777777" w:rsidR="00DD3EFA" w:rsidRPr="005A0E7C" w:rsidRDefault="00DD3EFA" w:rsidP="00B15ECB">
            <w:r w:rsidRPr="005A0E7C">
              <w:rPr>
                <w:b/>
              </w:rPr>
              <w:t>Změna</w:t>
            </w:r>
            <w:r w:rsidRPr="005A0E7C">
              <w:t xml:space="preserve"> → zvýšení odborné způsobilosti úředníků územních samosprávných celků (odbornost odpovídající úrovni výkonu přenesené působnosti), zvýšení povědomí zastupitelů o odpovědnostních vztazích plynoucích z jejich funkce</w:t>
            </w:r>
          </w:p>
          <w:p w14:paraId="21D00616" w14:textId="77777777" w:rsidR="00DD3EFA" w:rsidRPr="005A0E7C" w:rsidRDefault="00DD3EFA" w:rsidP="00B15ECB">
            <w:pPr>
              <w:rPr>
                <w:b/>
              </w:rPr>
            </w:pPr>
          </w:p>
          <w:p w14:paraId="448640F3" w14:textId="77777777" w:rsidR="00DD3EFA" w:rsidRPr="005A0E7C" w:rsidRDefault="00DD3EFA" w:rsidP="00B15ECB">
            <w:pPr>
              <w:rPr>
                <w:b/>
              </w:rPr>
            </w:pPr>
            <w:r w:rsidRPr="005A0E7C">
              <w:rPr>
                <w:b/>
              </w:rPr>
              <w:t>SC 5 INFORMOVANÍ A PARTICIPUJÍCÍ OBČANÉ</w:t>
            </w:r>
          </w:p>
          <w:p w14:paraId="6D7684A3" w14:textId="77777777" w:rsidR="00DD3EFA" w:rsidRPr="005A0E7C" w:rsidRDefault="00DD3EFA" w:rsidP="00B15ECB">
            <w:pPr>
              <w:rPr>
                <w:b/>
              </w:rPr>
            </w:pPr>
            <w:r w:rsidRPr="005A0E7C">
              <w:rPr>
                <w:b/>
              </w:rPr>
              <w:t xml:space="preserve">Změna </w:t>
            </w:r>
            <w:r w:rsidRPr="005A0E7C">
              <w:t>→ občané lépe informovaní o dění ve veřejné správě a jejích výstupech, zvýšení povědomí občanů o možnostech jejich účasti na veřejném dění</w:t>
            </w:r>
          </w:p>
          <w:p w14:paraId="76CB63A9" w14:textId="77777777" w:rsidR="00DD3EFA" w:rsidRPr="005A0E7C" w:rsidRDefault="00DD3EFA" w:rsidP="00B15ECB">
            <w:pPr>
              <w:rPr>
                <w:b/>
              </w:rPr>
            </w:pPr>
          </w:p>
          <w:p w14:paraId="73BB53BC" w14:textId="77777777" w:rsidR="00DD3EFA" w:rsidRPr="005A0E7C" w:rsidRDefault="00DD3EFA" w:rsidP="00B15ECB">
            <w:r w:rsidRPr="005A0E7C">
              <w:t xml:space="preserve">Konkrétní změny, které se na základě realizace uvedených strategických cílů odehrají, jsou patrné z níže uvedeného výčtu předpokládaných výstupů/výsledků/dopadů. </w:t>
            </w:r>
          </w:p>
          <w:p w14:paraId="7488518C" w14:textId="77777777" w:rsidR="00DD3EFA" w:rsidRPr="005A0E7C" w:rsidRDefault="00DD3EFA" w:rsidP="00B15ECB">
            <w:pPr>
              <w:rPr>
                <w:b/>
              </w:rPr>
            </w:pPr>
          </w:p>
          <w:p w14:paraId="2CAD6A9C"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13DFBB2A" w14:textId="77777777" w:rsidR="00DD3EFA" w:rsidRPr="005A0E7C" w:rsidRDefault="00DD3EFA" w:rsidP="00B15ECB">
            <w:pPr>
              <w:rPr>
                <w:b/>
              </w:rPr>
            </w:pPr>
          </w:p>
        </w:tc>
      </w:tr>
      <w:tr w:rsidR="00DD3EFA" w:rsidRPr="005A0E7C" w14:paraId="6F648FC5" w14:textId="77777777" w:rsidTr="00B15ECB">
        <w:trPr>
          <w:trHeight w:val="1274"/>
        </w:trPr>
        <w:tc>
          <w:tcPr>
            <w:tcW w:w="249" w:type="dxa"/>
            <w:tcBorders>
              <w:top w:val="nil"/>
              <w:bottom w:val="nil"/>
            </w:tcBorders>
            <w:shd w:val="clear" w:color="auto" w:fill="66CCFF"/>
          </w:tcPr>
          <w:p w14:paraId="1275D4B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D6D9E82"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0166C602"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78" w:type="dxa"/>
            <w:tcBorders>
              <w:bottom w:val="single" w:sz="4" w:space="0" w:color="auto"/>
            </w:tcBorders>
            <w:shd w:val="clear" w:color="auto" w:fill="FFFFFF" w:themeFill="background1"/>
          </w:tcPr>
          <w:p w14:paraId="5EC6F9F7" w14:textId="77777777" w:rsidR="00DD3EFA" w:rsidRPr="005A0E7C" w:rsidRDefault="00DD3EFA" w:rsidP="00B15ECB">
            <w:pPr>
              <w:rPr>
                <w:b/>
              </w:rPr>
            </w:pPr>
            <w:r w:rsidRPr="005A0E7C">
              <w:rPr>
                <w:b/>
              </w:rPr>
              <w:t xml:space="preserve">V případě úspěšné realizace jsou v následujícím období očekávány zejména </w:t>
            </w:r>
            <w:r w:rsidRPr="005A0E7C">
              <w:rPr>
                <w:b/>
                <w:u w:val="single"/>
              </w:rPr>
              <w:t>následující výstupy</w:t>
            </w:r>
            <w:r w:rsidRPr="005A0E7C">
              <w:rPr>
                <w:b/>
              </w:rPr>
              <w:t xml:space="preserve"> v rozlišení dle jednotlivých cílů (výčet obsahuje pouze nejdůležitější výstupy):</w:t>
            </w:r>
          </w:p>
          <w:p w14:paraId="12705E43" w14:textId="77777777" w:rsidR="00DD3EFA" w:rsidRPr="005A0E7C" w:rsidRDefault="00DD3EFA" w:rsidP="00B15ECB">
            <w:r w:rsidRPr="005A0E7C">
              <w:t xml:space="preserve"> </w:t>
            </w:r>
          </w:p>
          <w:p w14:paraId="7BDCF3FF" w14:textId="77777777" w:rsidR="00DD3EFA" w:rsidRPr="005A0E7C" w:rsidRDefault="00DD3EFA" w:rsidP="00B15ECB">
            <w:pPr>
              <w:rPr>
                <w:b/>
              </w:rPr>
            </w:pPr>
            <w:r w:rsidRPr="005A0E7C">
              <w:rPr>
                <w:b/>
              </w:rPr>
              <w:t>PRO KLIENTA DOSTUPNÉ A KVALITNÍ SLUŽBY VS</w:t>
            </w:r>
          </w:p>
          <w:p w14:paraId="66897EA9" w14:textId="77777777" w:rsidR="00DD3EFA" w:rsidRPr="005A0E7C" w:rsidRDefault="00DD3EFA" w:rsidP="00B15ECB">
            <w:pPr>
              <w:rPr>
                <w:b/>
              </w:rPr>
            </w:pPr>
          </w:p>
          <w:p w14:paraId="43CD1181" w14:textId="77777777" w:rsidR="00DD3EFA" w:rsidRPr="005A0E7C" w:rsidRDefault="00DD3EFA" w:rsidP="00B15ECB">
            <w:r w:rsidRPr="005A0E7C">
              <w:t xml:space="preserve">- rozšíření a zkvalitnění motivačních soutěží a dalších motivačních prvků ke zlepšování poskytovaných služeb </w:t>
            </w:r>
          </w:p>
          <w:p w14:paraId="2D256239" w14:textId="77777777" w:rsidR="00DD3EFA" w:rsidRPr="005A0E7C" w:rsidRDefault="00DD3EFA" w:rsidP="00B15ECB">
            <w:r w:rsidRPr="005A0E7C">
              <w:t>- zavedení adresného financování výkonu přenesené působnosti ve všech agendách, kde to bude možné</w:t>
            </w:r>
          </w:p>
          <w:p w14:paraId="0E35EED1" w14:textId="77777777" w:rsidR="00DD3EFA" w:rsidRPr="005A0E7C" w:rsidRDefault="00DD3EFA" w:rsidP="00B15ECB">
            <w:r w:rsidRPr="005A0E7C">
              <w:t>- proškolení vedoucích úředníků/představených i úředníků pracujících v rámci front-office v pro-klientské orientaci</w:t>
            </w:r>
          </w:p>
          <w:p w14:paraId="46176DB1" w14:textId="77777777" w:rsidR="00DD3EFA" w:rsidRPr="005A0E7C" w:rsidRDefault="00DD3EFA" w:rsidP="00B15ECB">
            <w:r w:rsidRPr="005A0E7C">
              <w:t>- přesun kompetencí v přenesené působnosti mezi jednotlivými typy obcí</w:t>
            </w:r>
          </w:p>
          <w:p w14:paraId="0BD7E7C3" w14:textId="77777777" w:rsidR="00DD3EFA" w:rsidRPr="005A0E7C" w:rsidRDefault="00DD3EFA" w:rsidP="00B15ECB">
            <w:r w:rsidRPr="005A0E7C">
              <w:t xml:space="preserve">- nové uspořádání výkonu veřejné správy v aglomeracích a konurbacích </w:t>
            </w:r>
          </w:p>
          <w:p w14:paraId="74E2C9C0" w14:textId="77777777" w:rsidR="00DD3EFA" w:rsidRPr="005A0E7C" w:rsidRDefault="00DD3EFA" w:rsidP="00B15ECB">
            <w:r w:rsidRPr="005A0E7C">
              <w:t>- zavedení centrálního informačního systému matrik</w:t>
            </w:r>
          </w:p>
          <w:p w14:paraId="3B62C782" w14:textId="77777777" w:rsidR="00DD3EFA" w:rsidRPr="005A0E7C" w:rsidRDefault="00DD3EFA" w:rsidP="00B15ECB"/>
          <w:p w14:paraId="578C8A56" w14:textId="77777777" w:rsidR="00DD3EFA" w:rsidRPr="005A0E7C" w:rsidRDefault="00DD3EFA" w:rsidP="00B15ECB">
            <w:pPr>
              <w:rPr>
                <w:b/>
              </w:rPr>
            </w:pPr>
            <w:r w:rsidRPr="005A0E7C">
              <w:rPr>
                <w:b/>
              </w:rPr>
              <w:t>EFEKTIVNĚ FUNGUJÍCÍ SYSTÉM VEŘEJNÉ SPRÁVY</w:t>
            </w:r>
          </w:p>
          <w:p w14:paraId="45A3E35A" w14:textId="77777777" w:rsidR="00DD3EFA" w:rsidRPr="005A0E7C" w:rsidRDefault="00DD3EFA" w:rsidP="00B15ECB">
            <w:pPr>
              <w:rPr>
                <w:b/>
              </w:rPr>
            </w:pPr>
          </w:p>
          <w:p w14:paraId="3B55D2EE" w14:textId="0A9A98AF" w:rsidR="00DD3EFA" w:rsidRPr="005A0E7C" w:rsidRDefault="00DD3EFA" w:rsidP="00B15ECB">
            <w:r w:rsidRPr="005A0E7C">
              <w:t xml:space="preserve">- analytické zhodnocení duplicit resp. multiplicit výkonu agend </w:t>
            </w:r>
            <w:r w:rsidR="00203AE0" w:rsidRPr="005A0E7C">
              <w:t>ústředními</w:t>
            </w:r>
            <w:r w:rsidRPr="005A0E7C">
              <w:t xml:space="preserve"> orgány státní správy a vypracování nového kompetenčního zákona</w:t>
            </w:r>
          </w:p>
          <w:p w14:paraId="6689C921" w14:textId="77777777" w:rsidR="00DD3EFA" w:rsidRPr="005A0E7C" w:rsidRDefault="00DD3EFA" w:rsidP="00B15ECB">
            <w:r w:rsidRPr="005A0E7C">
              <w:t>-vytvoření důraznějšího nástroje státu pro případy, kdy dlouhodobě přetrvává nezájem občanů obce o její správu</w:t>
            </w:r>
          </w:p>
          <w:p w14:paraId="4EF5DA91" w14:textId="77777777" w:rsidR="00DD3EFA" w:rsidRPr="005A0E7C" w:rsidRDefault="00DD3EFA" w:rsidP="00B15ECB">
            <w:r w:rsidRPr="005A0E7C">
              <w:t>- analytické zhodnocení duplicit a rozdílů v kontrolních výstupech a vypracování návrhu zákona o řízení a kontrole veřejných financí</w:t>
            </w:r>
          </w:p>
          <w:p w14:paraId="48CED5E0" w14:textId="77777777" w:rsidR="00DD3EFA" w:rsidRPr="005A0E7C" w:rsidRDefault="00DD3EFA" w:rsidP="00B15ECB">
            <w:r w:rsidRPr="005A0E7C">
              <w:t>- komplexní evaluace procesu RIA v ČR, provázání ex ante RIA s ex post RIA</w:t>
            </w:r>
          </w:p>
          <w:p w14:paraId="41EFCD1D" w14:textId="77777777" w:rsidR="00DD3EFA" w:rsidRPr="005A0E7C" w:rsidRDefault="00DD3EFA" w:rsidP="00B15ECB">
            <w:r w:rsidRPr="005A0E7C">
              <w:t>- propojení právních předpisů v e-Sbírce s judikaturou</w:t>
            </w:r>
          </w:p>
          <w:p w14:paraId="279CAA1A" w14:textId="77777777" w:rsidR="00DD3EFA" w:rsidRPr="005A0E7C" w:rsidRDefault="00DD3EFA" w:rsidP="00B15ECB">
            <w:r w:rsidRPr="005A0E7C">
              <w:t>- rozšíření e-Sbírky o publikaci právních předpisů ÚSC</w:t>
            </w:r>
          </w:p>
          <w:p w14:paraId="403675BF" w14:textId="77777777" w:rsidR="00DD3EFA" w:rsidRPr="005A0E7C" w:rsidRDefault="00DD3EFA" w:rsidP="00B15ECB">
            <w:r w:rsidRPr="005A0E7C">
              <w:t>-vytvoření efektivního systému vzájemné spolupráce obcí</w:t>
            </w:r>
          </w:p>
          <w:p w14:paraId="044FF31D" w14:textId="77777777" w:rsidR="00DD3EFA" w:rsidRPr="005A0E7C" w:rsidRDefault="00DD3EFA" w:rsidP="00B15ECB">
            <w:r w:rsidRPr="005A0E7C">
              <w:t>-analytické zhodnocení systému inovací veřejných politik a následná realizace doporučení</w:t>
            </w:r>
          </w:p>
          <w:p w14:paraId="0A2E4108" w14:textId="77777777" w:rsidR="00DD3EFA" w:rsidRPr="005A0E7C" w:rsidRDefault="00DD3EFA" w:rsidP="00B15ECB">
            <w:pPr>
              <w:rPr>
                <w:b/>
              </w:rPr>
            </w:pPr>
          </w:p>
          <w:p w14:paraId="2B818ACD" w14:textId="77777777" w:rsidR="00DD3EFA" w:rsidRPr="005A0E7C" w:rsidRDefault="00DD3EFA" w:rsidP="00B15ECB">
            <w:pPr>
              <w:rPr>
                <w:b/>
              </w:rPr>
            </w:pPr>
            <w:r w:rsidRPr="005A0E7C">
              <w:rPr>
                <w:b/>
              </w:rPr>
              <w:t>EFEKTIVNĚ FUNGUJÍCÍ INSTITUCE VEŘEJNÉ SPRÁVY</w:t>
            </w:r>
          </w:p>
          <w:p w14:paraId="23B6AB79" w14:textId="77777777" w:rsidR="00DD3EFA" w:rsidRPr="005A0E7C" w:rsidRDefault="00DD3EFA" w:rsidP="00B15ECB">
            <w:pPr>
              <w:rPr>
                <w:b/>
              </w:rPr>
            </w:pPr>
          </w:p>
          <w:p w14:paraId="31DD01FF" w14:textId="77777777" w:rsidR="00DD3EFA" w:rsidRPr="005A0E7C" w:rsidRDefault="00DD3EFA" w:rsidP="00B15ECB">
            <w:r w:rsidRPr="005A0E7C">
              <w:t>-proškolení analytických pracovníků v analytických a predikčních metodách</w:t>
            </w:r>
          </w:p>
          <w:p w14:paraId="06A26098" w14:textId="77777777" w:rsidR="00DD3EFA" w:rsidRPr="005A0E7C" w:rsidRDefault="00DD3EFA" w:rsidP="00B15ECB">
            <w:r w:rsidRPr="005A0E7C">
              <w:t>- vytvoření platformy sdílení dat pro analytickou práci</w:t>
            </w:r>
          </w:p>
          <w:p w14:paraId="1E60493D" w14:textId="77777777" w:rsidR="00DD3EFA" w:rsidRPr="005A0E7C" w:rsidRDefault="00DD3EFA" w:rsidP="00B15ECB">
            <w:r w:rsidRPr="005A0E7C">
              <w:t>-ukotvení analytických útvarů v organizační struktuře státní správy</w:t>
            </w:r>
          </w:p>
          <w:p w14:paraId="6EE66E77" w14:textId="77777777" w:rsidR="00DD3EFA" w:rsidRPr="005A0E7C" w:rsidRDefault="00DD3EFA" w:rsidP="00B15ECB">
            <w:r w:rsidRPr="005A0E7C">
              <w:t>- vytvoření systému sběru dat o veřejné správě</w:t>
            </w:r>
          </w:p>
          <w:p w14:paraId="1928CC1C" w14:textId="77777777" w:rsidR="00DD3EFA" w:rsidRPr="005A0E7C" w:rsidRDefault="00DD3EFA" w:rsidP="00B15ECB">
            <w:r w:rsidRPr="005A0E7C">
              <w:t>- zlepšení zavedeného systému řízení kvality ve služebních úřadech i v územně samosprávných celcích</w:t>
            </w:r>
          </w:p>
          <w:p w14:paraId="4D2B11D5" w14:textId="77777777" w:rsidR="00DD3EFA" w:rsidRPr="005A0E7C" w:rsidRDefault="00DD3EFA" w:rsidP="00B15ECB">
            <w:r w:rsidRPr="005A0E7C">
              <w:t xml:space="preserve">- proškolení pracovníků v principech udržitelného rozvoje, vytvoření metodického nástroje jeho hodnocení </w:t>
            </w:r>
          </w:p>
          <w:p w14:paraId="0857F30C" w14:textId="77777777" w:rsidR="00DD3EFA" w:rsidRPr="005A0E7C" w:rsidRDefault="00DD3EFA" w:rsidP="00B15ECB">
            <w:r w:rsidRPr="005A0E7C">
              <w:t>-vytvoření centra metodické podpory pro strategické řízení</w:t>
            </w:r>
          </w:p>
          <w:p w14:paraId="3113BE98" w14:textId="77777777" w:rsidR="00DD3EFA" w:rsidRPr="005A0E7C" w:rsidRDefault="00DD3EFA" w:rsidP="00B15ECB">
            <w:r w:rsidRPr="005A0E7C">
              <w:t>- zhodnocení a případné zavedení SIA</w:t>
            </w:r>
          </w:p>
          <w:p w14:paraId="5D839FA3" w14:textId="77777777" w:rsidR="00DD3EFA" w:rsidRPr="005A0E7C" w:rsidRDefault="00DD3EFA" w:rsidP="00B15ECB">
            <w:r w:rsidRPr="005A0E7C">
              <w:t>-vytvoření systému priorit a prioritizace vč. mechanismu sledování a hodnocení implementace</w:t>
            </w:r>
          </w:p>
          <w:p w14:paraId="1D9028ED" w14:textId="77777777" w:rsidR="00DD3EFA" w:rsidRPr="005A0E7C" w:rsidRDefault="00DD3EFA" w:rsidP="00B15ECB">
            <w:r w:rsidRPr="005A0E7C">
              <w:t>- vytvoření, rekonstrukce či posílení strategických útvarů</w:t>
            </w:r>
          </w:p>
          <w:p w14:paraId="3E7ED77A" w14:textId="77777777" w:rsidR="00DD3EFA" w:rsidRPr="005A0E7C" w:rsidRDefault="00DD3EFA" w:rsidP="00B15ECB">
            <w:r w:rsidRPr="005A0E7C">
              <w:t>-definice minimálních standardů projektového řízení pro instituce státní správy</w:t>
            </w:r>
          </w:p>
          <w:p w14:paraId="231D32D2" w14:textId="77777777" w:rsidR="00DD3EFA" w:rsidRPr="005A0E7C" w:rsidRDefault="00DD3EFA" w:rsidP="00B15ECB">
            <w:r w:rsidRPr="005A0E7C">
              <w:t>-vytvoření kompetenčního modelu projektového manažera pro instituce státní správy, zařazení výkonu projektových prací do katalogu správních činností a oborů služby</w:t>
            </w:r>
          </w:p>
          <w:p w14:paraId="3233716A" w14:textId="77777777" w:rsidR="00DD3EFA" w:rsidRPr="005A0E7C" w:rsidRDefault="00DD3EFA" w:rsidP="00B15ECB">
            <w:pPr>
              <w:rPr>
                <w:b/>
              </w:rPr>
            </w:pPr>
          </w:p>
          <w:p w14:paraId="7A92C227" w14:textId="77777777" w:rsidR="00DD3EFA" w:rsidRPr="005A0E7C" w:rsidRDefault="00DD3EFA" w:rsidP="00B15ECB">
            <w:pPr>
              <w:rPr>
                <w:b/>
              </w:rPr>
            </w:pPr>
            <w:r w:rsidRPr="005A0E7C">
              <w:rPr>
                <w:b/>
              </w:rPr>
              <w:t>KOMPETENTNÍ LIDSKÉ ZDROJE</w:t>
            </w:r>
          </w:p>
          <w:p w14:paraId="6B2F396B" w14:textId="77777777" w:rsidR="00DD3EFA" w:rsidRPr="005A0E7C" w:rsidRDefault="00DD3EFA" w:rsidP="00B15ECB">
            <w:pPr>
              <w:rPr>
                <w:b/>
              </w:rPr>
            </w:pPr>
          </w:p>
          <w:p w14:paraId="0DBAA367" w14:textId="77777777" w:rsidR="00DD3EFA" w:rsidRPr="005A0E7C" w:rsidRDefault="00DD3EFA" w:rsidP="00B15ECB">
            <w:r w:rsidRPr="005A0E7C">
              <w:t>-zavedení systémového vzdělávání zastupitelů</w:t>
            </w:r>
          </w:p>
          <w:p w14:paraId="4C1B5EB0" w14:textId="77777777" w:rsidR="00DD3EFA" w:rsidRPr="005A0E7C" w:rsidRDefault="00DD3EFA" w:rsidP="00B15ECB">
            <w:r w:rsidRPr="005A0E7C">
              <w:t>-zavedení povinné zkoušky pro zastupitele vykonávající správní činnost</w:t>
            </w:r>
          </w:p>
          <w:p w14:paraId="510C6F96" w14:textId="77562937" w:rsidR="00DD3EFA" w:rsidRPr="005A0E7C" w:rsidRDefault="00DD3EFA" w:rsidP="00B15ECB">
            <w:r w:rsidRPr="005A0E7C">
              <w:t>-nastavení kompetenčních modelů pro jednotlivé typy vzdělávání úředníků</w:t>
            </w:r>
            <w:r w:rsidR="00203AE0" w:rsidRPr="005A0E7C">
              <w:t xml:space="preserve"> územních samosprávných celků, </w:t>
            </w:r>
            <w:r w:rsidRPr="005A0E7C">
              <w:t>vytvoření víceúrovňového modelu vzdělávání při zohlednění působnosti územních samosprávných celků</w:t>
            </w:r>
          </w:p>
          <w:p w14:paraId="6521ABAD" w14:textId="77777777" w:rsidR="00DD3EFA" w:rsidRPr="005A0E7C" w:rsidRDefault="00DD3EFA" w:rsidP="00B15ECB"/>
          <w:p w14:paraId="57C3F20C" w14:textId="77777777" w:rsidR="00DD3EFA" w:rsidRPr="005A0E7C" w:rsidRDefault="00DD3EFA" w:rsidP="00B15ECB">
            <w:pPr>
              <w:rPr>
                <w:b/>
              </w:rPr>
            </w:pPr>
            <w:r w:rsidRPr="005A0E7C">
              <w:rPr>
                <w:b/>
              </w:rPr>
              <w:t>INFORMOVANÍ A PARTICIPUJÍCÍ OBČANÉ</w:t>
            </w:r>
          </w:p>
          <w:p w14:paraId="1329AD46" w14:textId="77777777" w:rsidR="00DD3EFA" w:rsidRPr="005A0E7C" w:rsidRDefault="00DD3EFA" w:rsidP="00B15ECB">
            <w:pPr>
              <w:rPr>
                <w:b/>
              </w:rPr>
            </w:pPr>
          </w:p>
          <w:p w14:paraId="40E91405" w14:textId="77777777" w:rsidR="00DD3EFA" w:rsidRPr="005A0E7C" w:rsidRDefault="00DD3EFA" w:rsidP="00B15ECB">
            <w:r w:rsidRPr="005A0E7C">
              <w:t>-vytvoření metodiky komunikace institucí veřejné správy s veřejností a se specifickými skupinami obyvatel</w:t>
            </w:r>
          </w:p>
          <w:p w14:paraId="48B1E97E" w14:textId="77777777" w:rsidR="00DD3EFA" w:rsidRPr="005A0E7C" w:rsidRDefault="00DD3EFA" w:rsidP="00B15ECB">
            <w:r w:rsidRPr="005A0E7C">
              <w:t>-vypracování brožury informující občany o možnostech jejich účasti na veřejném dění</w:t>
            </w:r>
          </w:p>
          <w:p w14:paraId="6C577344" w14:textId="77777777" w:rsidR="00DD3EFA" w:rsidRPr="005A0E7C" w:rsidRDefault="00DD3EFA" w:rsidP="00B15ECB">
            <w:pPr>
              <w:rPr>
                <w:b/>
              </w:rPr>
            </w:pPr>
            <w:r w:rsidRPr="005A0E7C">
              <w:t>-vytvoření metodiky pro uplatňování méně tradičních nástrojů participace</w:t>
            </w:r>
          </w:p>
          <w:p w14:paraId="71EDF881" w14:textId="77777777" w:rsidR="00DD3EFA" w:rsidRPr="005A0E7C" w:rsidRDefault="00DD3EFA" w:rsidP="00B15ECB"/>
          <w:p w14:paraId="51634FFE" w14:textId="77777777" w:rsidR="00DD3EFA" w:rsidRPr="005A0E7C" w:rsidRDefault="00DD3EFA" w:rsidP="00B15ECB">
            <w:pPr>
              <w:rPr>
                <w:b/>
              </w:rPr>
            </w:pPr>
            <w:r w:rsidRPr="005A0E7C">
              <w:rPr>
                <w:b/>
              </w:rPr>
              <w:t xml:space="preserve">V případě úspěšné realizace bude v nadcházejícím období dosaženo zejména následujících výsledků: </w:t>
            </w:r>
          </w:p>
          <w:p w14:paraId="6A00A919" w14:textId="77777777" w:rsidR="00DD3EFA" w:rsidRPr="005A0E7C" w:rsidRDefault="00DD3EFA" w:rsidP="00B15ECB"/>
          <w:p w14:paraId="36641E84" w14:textId="3C8D31A4" w:rsidR="00DD3EFA" w:rsidRPr="005A0E7C" w:rsidRDefault="00203AE0" w:rsidP="00391907">
            <w:pPr>
              <w:pStyle w:val="Odstavecseseznamem"/>
              <w:numPr>
                <w:ilvl w:val="0"/>
                <w:numId w:val="44"/>
              </w:numPr>
              <w:spacing w:after="200"/>
              <w:jc w:val="both"/>
            </w:pPr>
            <w:r w:rsidRPr="005A0E7C">
              <w:t>Služby budou občanům poskytovány v podobě, odpovídající jejich potřebám</w:t>
            </w:r>
          </w:p>
          <w:p w14:paraId="39F38026" w14:textId="349DA733" w:rsidR="00DD3EFA" w:rsidRPr="005A0E7C" w:rsidRDefault="00203AE0" w:rsidP="00391907">
            <w:pPr>
              <w:pStyle w:val="Odstavecseseznamem"/>
              <w:numPr>
                <w:ilvl w:val="0"/>
                <w:numId w:val="44"/>
              </w:numPr>
              <w:spacing w:after="200"/>
              <w:jc w:val="both"/>
            </w:pPr>
            <w:r w:rsidRPr="005A0E7C">
              <w:t>Politiky budou tvořeny uváženě, tj. budou založeny na relevantních údajích a tvořeny kompetentními zaměstnanci s ohledem na koherenci s jinými politikami</w:t>
            </w:r>
          </w:p>
          <w:p w14:paraId="4D88159C" w14:textId="2624A49F" w:rsidR="00DD3EFA" w:rsidRPr="005A0E7C" w:rsidRDefault="00203AE0" w:rsidP="00391907">
            <w:pPr>
              <w:pStyle w:val="Odstavecseseznamem"/>
              <w:numPr>
                <w:ilvl w:val="0"/>
                <w:numId w:val="44"/>
              </w:numPr>
              <w:spacing w:after="200"/>
              <w:jc w:val="both"/>
            </w:pPr>
            <w:r w:rsidRPr="005A0E7C">
              <w:t>Implementace politik bude prováděna co nejefektivněji a s občany bude komunikována</w:t>
            </w:r>
          </w:p>
          <w:p w14:paraId="78B1D969" w14:textId="6AF62E86" w:rsidR="00DD3EFA" w:rsidRPr="005A0E7C" w:rsidRDefault="00203AE0" w:rsidP="00391907">
            <w:pPr>
              <w:pStyle w:val="Odstavecseseznamem"/>
              <w:numPr>
                <w:ilvl w:val="0"/>
                <w:numId w:val="44"/>
              </w:numPr>
              <w:spacing w:after="200"/>
              <w:jc w:val="both"/>
            </w:pPr>
            <w:r w:rsidRPr="005A0E7C">
              <w:t>Právní rámec bude srozumitelnější a občan se v něm bude lépe orientovat</w:t>
            </w:r>
          </w:p>
          <w:p w14:paraId="59EE85E2" w14:textId="49C00087" w:rsidR="00DD3EFA" w:rsidRPr="005A0E7C" w:rsidRDefault="00203AE0" w:rsidP="00391907">
            <w:pPr>
              <w:pStyle w:val="Odstavecseseznamem"/>
              <w:numPr>
                <w:ilvl w:val="0"/>
                <w:numId w:val="44"/>
              </w:numPr>
              <w:spacing w:after="200"/>
              <w:jc w:val="both"/>
            </w:pPr>
            <w:r w:rsidRPr="005A0E7C">
              <w:t>Občané si bodou vědomi možností své účasti na veřejném dění, využívání těchto možností bude jednoduché</w:t>
            </w:r>
          </w:p>
          <w:p w14:paraId="2E9308F1" w14:textId="1CE4B772" w:rsidR="00DD3EFA" w:rsidRPr="005A0E7C" w:rsidRDefault="00203AE0" w:rsidP="00391907">
            <w:pPr>
              <w:pStyle w:val="Odstavecseseznamem"/>
              <w:numPr>
                <w:ilvl w:val="0"/>
                <w:numId w:val="44"/>
              </w:numPr>
              <w:spacing w:after="200"/>
              <w:jc w:val="both"/>
            </w:pPr>
            <w:r w:rsidRPr="005A0E7C">
              <w:t>Systém veřejné správy bude efektivně řízen, efektivně budou fungovat také jednotlivé instituce</w:t>
            </w:r>
          </w:p>
          <w:p w14:paraId="59CAD739" w14:textId="77777777" w:rsidR="00DD3EFA" w:rsidRPr="005A0E7C" w:rsidRDefault="00DD3EFA" w:rsidP="00B15ECB">
            <w:pPr>
              <w:spacing w:after="200" w:line="276" w:lineRule="auto"/>
              <w:rPr>
                <w:b/>
              </w:rPr>
            </w:pPr>
            <w:r w:rsidRPr="005A0E7C">
              <w:rPr>
                <w:b/>
              </w:rPr>
              <w:t xml:space="preserve">V případě úspěšné realizace lze očekávat následující dopady: </w:t>
            </w:r>
          </w:p>
          <w:p w14:paraId="55AF7F18" w14:textId="2EEEBBE7" w:rsidR="00DD3EFA" w:rsidRPr="005A0E7C" w:rsidRDefault="00203AE0" w:rsidP="00391907">
            <w:pPr>
              <w:pStyle w:val="Odstavecseseznamem"/>
              <w:numPr>
                <w:ilvl w:val="0"/>
                <w:numId w:val="45"/>
              </w:numPr>
              <w:spacing w:after="200"/>
              <w:jc w:val="both"/>
            </w:pPr>
            <w:r w:rsidRPr="005A0E7C">
              <w:t>Zlepšení vnímání veřejné správy v očích veřejnosti a zlepšení samotného vztahu stát a občan</w:t>
            </w:r>
          </w:p>
          <w:p w14:paraId="48ABB04F" w14:textId="65C8FE21" w:rsidR="00DD3EFA" w:rsidRPr="005A0E7C" w:rsidRDefault="00203AE0" w:rsidP="00391907">
            <w:pPr>
              <w:pStyle w:val="Odstavecseseznamem"/>
              <w:numPr>
                <w:ilvl w:val="0"/>
                <w:numId w:val="45"/>
              </w:numPr>
              <w:spacing w:after="200"/>
              <w:jc w:val="both"/>
            </w:pPr>
            <w:r w:rsidRPr="005A0E7C">
              <w:t>Zvýšení otevřenosti a odpovědnosti vládnutí</w:t>
            </w:r>
          </w:p>
          <w:p w14:paraId="7D979273" w14:textId="3B20697C" w:rsidR="00DD3EFA" w:rsidRPr="005A0E7C" w:rsidRDefault="00203AE0" w:rsidP="00391907">
            <w:pPr>
              <w:pStyle w:val="Odstavecseseznamem"/>
              <w:numPr>
                <w:ilvl w:val="0"/>
                <w:numId w:val="45"/>
              </w:numPr>
              <w:spacing w:after="200"/>
              <w:jc w:val="both"/>
            </w:pPr>
            <w:r w:rsidRPr="005A0E7C">
              <w:t>Zlepšení vzájemného vztahu stát – územní samosprávné celky</w:t>
            </w:r>
          </w:p>
          <w:p w14:paraId="3ADA381E" w14:textId="018D5F13" w:rsidR="00DD3EFA" w:rsidRPr="005A0E7C" w:rsidRDefault="00203AE0" w:rsidP="00391907">
            <w:pPr>
              <w:pStyle w:val="Odstavecseseznamem"/>
              <w:numPr>
                <w:ilvl w:val="0"/>
                <w:numId w:val="45"/>
              </w:numPr>
              <w:spacing w:after="200"/>
              <w:jc w:val="both"/>
            </w:pPr>
            <w:r w:rsidRPr="005A0E7C">
              <w:t xml:space="preserve">Pozitivní ekonomické dopady </w:t>
            </w:r>
          </w:p>
          <w:p w14:paraId="60A7B7EE"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1D4807EB" w14:textId="77777777" w:rsidR="00DD3EFA" w:rsidRPr="005A0E7C" w:rsidRDefault="00DD3EFA" w:rsidP="00B15ECB">
            <w:pPr>
              <w:rPr>
                <w:b/>
              </w:rPr>
            </w:pPr>
          </w:p>
        </w:tc>
      </w:tr>
      <w:tr w:rsidR="00DD3EFA" w:rsidRPr="005A0E7C" w14:paraId="3EE3426B" w14:textId="77777777" w:rsidTr="00B15ECB">
        <w:trPr>
          <w:trHeight w:val="1274"/>
        </w:trPr>
        <w:tc>
          <w:tcPr>
            <w:tcW w:w="249" w:type="dxa"/>
            <w:tcBorders>
              <w:top w:val="nil"/>
              <w:bottom w:val="nil"/>
            </w:tcBorders>
            <w:shd w:val="clear" w:color="auto" w:fill="66CCFF"/>
          </w:tcPr>
          <w:p w14:paraId="7FEC6AC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BC8676C"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2347712" w14:textId="3ECAC935" w:rsidR="00DD3EFA" w:rsidRPr="005A0E7C" w:rsidRDefault="00DD3EFA" w:rsidP="00B15ECB">
            <w:pPr>
              <w:spacing w:before="60" w:after="60"/>
              <w:rPr>
                <w:rFonts w:eastAsiaTheme="majorEastAsia"/>
              </w:rPr>
            </w:pPr>
            <w:r w:rsidRPr="005A0E7C">
              <w:rPr>
                <w:rFonts w:eastAsiaTheme="majorEastAsia"/>
              </w:rPr>
              <w:t xml:space="preserve">Odhadovaný procentní podíl ESIF by </w:t>
            </w:r>
            <w:r w:rsidR="00203AE0" w:rsidRPr="005A0E7C">
              <w:rPr>
                <w:rFonts w:eastAsiaTheme="majorEastAsia"/>
              </w:rPr>
              <w:t>optimálně</w:t>
            </w:r>
            <w:r w:rsidRPr="005A0E7C">
              <w:rPr>
                <w:rFonts w:eastAsiaTheme="majorEastAsia"/>
              </w:rPr>
              <w:t xml:space="preserve"> měl činit cca 70% celkových nákladů na realizaci uvedených cílů. </w:t>
            </w:r>
          </w:p>
        </w:tc>
        <w:tc>
          <w:tcPr>
            <w:tcW w:w="249" w:type="dxa"/>
            <w:tcBorders>
              <w:top w:val="nil"/>
              <w:bottom w:val="nil"/>
            </w:tcBorders>
            <w:shd w:val="clear" w:color="auto" w:fill="66CCFF"/>
          </w:tcPr>
          <w:p w14:paraId="71C8C966" w14:textId="77777777" w:rsidR="00DD3EFA" w:rsidRPr="005A0E7C" w:rsidRDefault="00DD3EFA" w:rsidP="00B15ECB">
            <w:pPr>
              <w:rPr>
                <w:b/>
              </w:rPr>
            </w:pPr>
          </w:p>
        </w:tc>
      </w:tr>
      <w:tr w:rsidR="00DD3EFA" w:rsidRPr="005A0E7C" w14:paraId="117CF745" w14:textId="77777777" w:rsidTr="00B15ECB">
        <w:trPr>
          <w:trHeight w:val="1274"/>
        </w:trPr>
        <w:tc>
          <w:tcPr>
            <w:tcW w:w="249" w:type="dxa"/>
            <w:tcBorders>
              <w:top w:val="nil"/>
              <w:bottom w:val="nil"/>
            </w:tcBorders>
            <w:shd w:val="clear" w:color="auto" w:fill="66CCFF"/>
          </w:tcPr>
          <w:p w14:paraId="2F77E02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4DF3DD8"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23543CBF" w14:textId="77777777" w:rsidR="00DD3EFA" w:rsidRPr="005A0E7C" w:rsidRDefault="00DD3EFA" w:rsidP="00B15ECB">
            <w:pPr>
              <w:spacing w:before="60" w:after="60"/>
              <w:rPr>
                <w:rFonts w:eastAsiaTheme="majorEastAsia"/>
              </w:rPr>
            </w:pPr>
            <w:r w:rsidRPr="005A0E7C">
              <w:rPr>
                <w:rFonts w:eastAsiaTheme="majorEastAsia"/>
              </w:rPr>
              <w:t xml:space="preserve">Vybraná témata jako např. strategické řízení, řízení kvality, RIA, spolupráce obcí, kvalita služeb apod., budou rozvíjena v návaznosti na pokrok, učiněný v aktuálním programovém období, budou obohacena o nové nástroje a řešení, související se snahou o jejich kvalitativní posun a posílení jejich významu. </w:t>
            </w:r>
          </w:p>
          <w:p w14:paraId="71AB247B" w14:textId="77777777" w:rsidR="00DD3EFA" w:rsidRPr="005A0E7C" w:rsidRDefault="00DD3EFA" w:rsidP="00B15ECB">
            <w:pPr>
              <w:spacing w:before="60" w:after="60"/>
            </w:pPr>
            <w:r w:rsidRPr="005A0E7C">
              <w:rPr>
                <w:rFonts w:eastAsiaTheme="majorEastAsia"/>
              </w:rPr>
              <w:t xml:space="preserve">Řada intervencí však bude také zcela nová a dosud nerealizovaná. Jedná se zejména o oblasti usnadňování participace občanů, zlepšování uplatňování principů udržitelného rozvoje, projektové řízení, evidence-informed rozhodování, podporu tvorby inovací, zefektivnění kontrolních mechanismů v oblasti nakládání s veřejnými prostředky či zajištění optimální dostupnosti služeb. Těmto oblastem dosud nebyla věnována odpovídající pozornost, ačkoliv mají velký potenciál přispět k dobrému vládnutí. </w:t>
            </w:r>
          </w:p>
        </w:tc>
        <w:tc>
          <w:tcPr>
            <w:tcW w:w="249" w:type="dxa"/>
            <w:tcBorders>
              <w:top w:val="nil"/>
              <w:bottom w:val="nil"/>
            </w:tcBorders>
            <w:shd w:val="clear" w:color="auto" w:fill="66CCFF"/>
          </w:tcPr>
          <w:p w14:paraId="4DA36C42" w14:textId="77777777" w:rsidR="00DD3EFA" w:rsidRPr="005A0E7C" w:rsidRDefault="00DD3EFA" w:rsidP="00B15ECB">
            <w:pPr>
              <w:rPr>
                <w:b/>
              </w:rPr>
            </w:pPr>
          </w:p>
        </w:tc>
      </w:tr>
      <w:tr w:rsidR="00DD3EFA" w:rsidRPr="005A0E7C" w14:paraId="18704CF9" w14:textId="77777777" w:rsidTr="00B15ECB">
        <w:trPr>
          <w:trHeight w:val="272"/>
        </w:trPr>
        <w:tc>
          <w:tcPr>
            <w:tcW w:w="249" w:type="dxa"/>
            <w:tcBorders>
              <w:top w:val="nil"/>
              <w:bottom w:val="nil"/>
              <w:right w:val="nil"/>
            </w:tcBorders>
            <w:shd w:val="clear" w:color="auto" w:fill="66CCFF"/>
          </w:tcPr>
          <w:p w14:paraId="0226DD00"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7F8EEB1"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3E9BDCB"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0922D5CA" w14:textId="77777777" w:rsidR="00DD3EFA" w:rsidRPr="005A0E7C" w:rsidRDefault="00DD3EFA" w:rsidP="00B15ECB">
            <w:pPr>
              <w:rPr>
                <w:b/>
              </w:rPr>
            </w:pPr>
          </w:p>
        </w:tc>
      </w:tr>
      <w:tr w:rsidR="00DD3EFA" w:rsidRPr="005A0E7C" w14:paraId="68D508B3" w14:textId="77777777" w:rsidTr="00B15ECB">
        <w:trPr>
          <w:trHeight w:val="835"/>
        </w:trPr>
        <w:tc>
          <w:tcPr>
            <w:tcW w:w="249" w:type="dxa"/>
            <w:tcBorders>
              <w:top w:val="nil"/>
              <w:bottom w:val="nil"/>
            </w:tcBorders>
            <w:shd w:val="clear" w:color="auto" w:fill="66CCFF"/>
          </w:tcPr>
          <w:p w14:paraId="2745B4D7"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3837616A"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3FA0FA06"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1DA47BD8" w14:textId="77777777" w:rsidR="00DD3EFA" w:rsidRPr="005A0E7C" w:rsidRDefault="00DD3EFA" w:rsidP="00B15ECB">
            <w:pPr>
              <w:rPr>
                <w:b/>
              </w:rPr>
            </w:pPr>
            <w:r w:rsidRPr="005A0E7C">
              <w:rPr>
                <w:b/>
              </w:rPr>
              <w:t>PRO KLIENTA DOSTUPNÉ A KVALITNÍ SLUŽBY VS</w:t>
            </w:r>
          </w:p>
          <w:p w14:paraId="4A2FC1C5" w14:textId="77777777" w:rsidR="00DD3EFA" w:rsidRPr="005A0E7C" w:rsidRDefault="00DD3EFA" w:rsidP="00391907">
            <w:pPr>
              <w:pStyle w:val="Odstavecseseznamem"/>
              <w:numPr>
                <w:ilvl w:val="0"/>
                <w:numId w:val="43"/>
              </w:numPr>
              <w:spacing w:after="200"/>
              <w:jc w:val="both"/>
            </w:pPr>
            <w:r w:rsidRPr="005A0E7C">
              <w:t>zajistit optimální dostupnost služeb veřejné správy s ohledem na jejich elektronizaci i mobilitu obyvatel</w:t>
            </w:r>
          </w:p>
          <w:p w14:paraId="2529742A" w14:textId="77777777" w:rsidR="00DD3EFA" w:rsidRPr="005A0E7C" w:rsidRDefault="00DD3EFA" w:rsidP="00391907">
            <w:pPr>
              <w:pStyle w:val="Odstavecseseznamem"/>
              <w:numPr>
                <w:ilvl w:val="0"/>
                <w:numId w:val="43"/>
              </w:numPr>
              <w:spacing w:after="200"/>
              <w:jc w:val="both"/>
            </w:pPr>
            <w:r w:rsidRPr="005A0E7C">
              <w:t>zlepšit kvalitu služeb, které jsou klientům poskytovány a to včetně způsobu, jakým jsou ve vztahu ke klientům služby komunikovány</w:t>
            </w:r>
          </w:p>
          <w:p w14:paraId="425A41AE" w14:textId="77777777" w:rsidR="00DD3EFA" w:rsidRPr="005A0E7C" w:rsidRDefault="00DD3EFA" w:rsidP="00B15ECB"/>
          <w:p w14:paraId="1B96828F" w14:textId="77777777" w:rsidR="00DD3EFA" w:rsidRPr="005A0E7C" w:rsidRDefault="00DD3EFA" w:rsidP="00B15ECB">
            <w:pPr>
              <w:rPr>
                <w:b/>
              </w:rPr>
            </w:pPr>
            <w:r w:rsidRPr="005A0E7C">
              <w:rPr>
                <w:b/>
              </w:rPr>
              <w:t>EFEKTIVNĚ FUNGUJÍCÍ SYSTÉM VEŘEJNÉ SPRÁVY</w:t>
            </w:r>
          </w:p>
          <w:p w14:paraId="781B7353" w14:textId="77777777" w:rsidR="00DD3EFA" w:rsidRPr="005A0E7C" w:rsidRDefault="00DD3EFA" w:rsidP="00391907">
            <w:pPr>
              <w:pStyle w:val="Odstavecseseznamem"/>
              <w:numPr>
                <w:ilvl w:val="0"/>
                <w:numId w:val="43"/>
              </w:numPr>
              <w:spacing w:after="200"/>
              <w:jc w:val="both"/>
            </w:pPr>
            <w:r w:rsidRPr="005A0E7C">
              <w:t>posílit řídící a koordinační mechanismy ve veřejné správě</w:t>
            </w:r>
          </w:p>
          <w:p w14:paraId="50242D04" w14:textId="77777777" w:rsidR="00DD3EFA" w:rsidRPr="005A0E7C" w:rsidRDefault="00DD3EFA" w:rsidP="00391907">
            <w:pPr>
              <w:pStyle w:val="Odstavecseseznamem"/>
              <w:numPr>
                <w:ilvl w:val="0"/>
                <w:numId w:val="43"/>
              </w:numPr>
              <w:spacing w:after="200"/>
              <w:jc w:val="both"/>
            </w:pPr>
            <w:r w:rsidRPr="005A0E7C">
              <w:t>zajistit větší vzájemnou koordinaci provádění kontrol veřejných financí, odstranit duplicity a multiplicity</w:t>
            </w:r>
          </w:p>
          <w:p w14:paraId="16DFC1A8" w14:textId="77777777" w:rsidR="00DD3EFA" w:rsidRPr="005A0E7C" w:rsidRDefault="00DD3EFA" w:rsidP="00391907">
            <w:pPr>
              <w:pStyle w:val="Odstavecseseznamem"/>
              <w:numPr>
                <w:ilvl w:val="0"/>
                <w:numId w:val="43"/>
              </w:numPr>
              <w:spacing w:after="200"/>
              <w:jc w:val="both"/>
            </w:pPr>
            <w:r w:rsidRPr="005A0E7C">
              <w:t>zlepšit právní prostředí, jeho předvídatelnost a srozumitelnost</w:t>
            </w:r>
          </w:p>
          <w:p w14:paraId="2114FD49" w14:textId="77777777" w:rsidR="00DD3EFA" w:rsidRPr="005A0E7C" w:rsidRDefault="00DD3EFA" w:rsidP="00391907">
            <w:pPr>
              <w:pStyle w:val="Odstavecseseznamem"/>
              <w:numPr>
                <w:ilvl w:val="0"/>
                <w:numId w:val="43"/>
              </w:numPr>
              <w:spacing w:after="200"/>
              <w:jc w:val="both"/>
            </w:pPr>
            <w:r w:rsidRPr="005A0E7C">
              <w:t xml:space="preserve">zefektivnit spolupráci obcí </w:t>
            </w:r>
          </w:p>
          <w:p w14:paraId="3D459649" w14:textId="77777777" w:rsidR="00DD3EFA" w:rsidRPr="005A0E7C" w:rsidRDefault="00DD3EFA" w:rsidP="00391907">
            <w:pPr>
              <w:pStyle w:val="Odstavecseseznamem"/>
              <w:numPr>
                <w:ilvl w:val="0"/>
                <w:numId w:val="43"/>
              </w:numPr>
              <w:spacing w:after="200"/>
              <w:jc w:val="both"/>
            </w:pPr>
            <w:r w:rsidRPr="005A0E7C">
              <w:t>podporovat tvorbu inovací a využívání inovačních řešení</w:t>
            </w:r>
          </w:p>
          <w:p w14:paraId="31A35446" w14:textId="77777777" w:rsidR="00DD3EFA" w:rsidRPr="005A0E7C" w:rsidRDefault="00DD3EFA" w:rsidP="00B15ECB"/>
          <w:p w14:paraId="61E4CE87" w14:textId="77777777" w:rsidR="00DD3EFA" w:rsidRPr="005A0E7C" w:rsidRDefault="00DD3EFA" w:rsidP="00B15ECB">
            <w:pPr>
              <w:rPr>
                <w:b/>
              </w:rPr>
            </w:pPr>
            <w:r w:rsidRPr="005A0E7C">
              <w:rPr>
                <w:b/>
              </w:rPr>
              <w:t>EFEKTIVNĚ FUNGUJÍCÍ INSTITUCE VEŘEJNÉ SPRÁVY</w:t>
            </w:r>
          </w:p>
          <w:p w14:paraId="21D40DBA" w14:textId="77777777" w:rsidR="00DD3EFA" w:rsidRPr="005A0E7C" w:rsidRDefault="00DD3EFA" w:rsidP="00391907">
            <w:pPr>
              <w:pStyle w:val="Odstavecseseznamem"/>
              <w:numPr>
                <w:ilvl w:val="0"/>
                <w:numId w:val="43"/>
              </w:numPr>
              <w:spacing w:after="200"/>
              <w:jc w:val="both"/>
            </w:pPr>
            <w:r w:rsidRPr="005A0E7C">
              <w:t xml:space="preserve">rozšířit evidence-informed rozhodování ve veřejné správě </w:t>
            </w:r>
          </w:p>
          <w:p w14:paraId="5F1F55A3" w14:textId="43332213" w:rsidR="00DD3EFA" w:rsidRPr="005A0E7C" w:rsidRDefault="00DD3EFA" w:rsidP="00391907">
            <w:pPr>
              <w:pStyle w:val="Odstavecseseznamem"/>
              <w:numPr>
                <w:ilvl w:val="0"/>
                <w:numId w:val="43"/>
              </w:numPr>
              <w:spacing w:after="200"/>
              <w:jc w:val="both"/>
            </w:pPr>
            <w:r w:rsidRPr="005A0E7C">
              <w:t xml:space="preserve">rozšířit aplikaci metod řízení kvality a zvýšit </w:t>
            </w:r>
            <w:r w:rsidR="00203AE0" w:rsidRPr="005A0E7C">
              <w:t>kompetence</w:t>
            </w:r>
            <w:r w:rsidRPr="005A0E7C">
              <w:t xml:space="preserve"> pracovníků v této oblasti</w:t>
            </w:r>
          </w:p>
          <w:p w14:paraId="5025297A" w14:textId="77777777" w:rsidR="00DD3EFA" w:rsidRPr="005A0E7C" w:rsidRDefault="00DD3EFA" w:rsidP="00391907">
            <w:pPr>
              <w:pStyle w:val="Odstavecseseznamem"/>
              <w:numPr>
                <w:ilvl w:val="0"/>
                <w:numId w:val="43"/>
              </w:numPr>
              <w:spacing w:after="200"/>
              <w:jc w:val="both"/>
            </w:pPr>
            <w:r w:rsidRPr="005A0E7C">
              <w:t>posílit strategické útvary v institucích veřejné správy, posílit význam strategického řízení, propojit jej s rozpočtováním</w:t>
            </w:r>
          </w:p>
          <w:p w14:paraId="3CB5104D" w14:textId="77777777" w:rsidR="00DD3EFA" w:rsidRPr="005A0E7C" w:rsidRDefault="00DD3EFA" w:rsidP="00391907">
            <w:pPr>
              <w:pStyle w:val="Odstavecseseznamem"/>
              <w:numPr>
                <w:ilvl w:val="0"/>
                <w:numId w:val="43"/>
              </w:numPr>
              <w:spacing w:after="200"/>
              <w:jc w:val="both"/>
            </w:pPr>
            <w:r w:rsidRPr="005A0E7C">
              <w:t>zvýšit reálné uplatnění principů udržitelného rozvoje, povědomí o něm a umožnit jeho hodnocení</w:t>
            </w:r>
          </w:p>
          <w:p w14:paraId="093F31CB" w14:textId="77777777" w:rsidR="00DD3EFA" w:rsidRPr="005A0E7C" w:rsidRDefault="00DD3EFA" w:rsidP="00391907">
            <w:pPr>
              <w:pStyle w:val="Odstavecseseznamem"/>
              <w:numPr>
                <w:ilvl w:val="0"/>
                <w:numId w:val="43"/>
              </w:numPr>
              <w:spacing w:after="200"/>
              <w:jc w:val="both"/>
            </w:pPr>
            <w:r w:rsidRPr="005A0E7C">
              <w:t xml:space="preserve">sjednotit kvalitu prováděných projektových prací </w:t>
            </w:r>
          </w:p>
          <w:p w14:paraId="5865E7BA" w14:textId="77777777" w:rsidR="00DD3EFA" w:rsidRPr="005A0E7C" w:rsidRDefault="00DD3EFA" w:rsidP="00B15ECB">
            <w:pPr>
              <w:rPr>
                <w:b/>
              </w:rPr>
            </w:pPr>
            <w:r w:rsidRPr="005A0E7C">
              <w:rPr>
                <w:b/>
              </w:rPr>
              <w:t>KOMPETENTNÍ LIDSKÉ ZDROJE</w:t>
            </w:r>
          </w:p>
          <w:p w14:paraId="5877A023" w14:textId="77777777" w:rsidR="00DD3EFA" w:rsidRPr="005A0E7C" w:rsidRDefault="00DD3EFA" w:rsidP="00391907">
            <w:pPr>
              <w:pStyle w:val="Odstavecseseznamem"/>
              <w:numPr>
                <w:ilvl w:val="0"/>
                <w:numId w:val="43"/>
              </w:numPr>
              <w:spacing w:after="200"/>
              <w:jc w:val="both"/>
              <w:rPr>
                <w:b/>
              </w:rPr>
            </w:pPr>
            <w:r w:rsidRPr="005A0E7C">
              <w:t>zlepšit odborné kompetence zastupitelů i úředníků územních samosprávných celků</w:t>
            </w:r>
          </w:p>
          <w:p w14:paraId="00474931" w14:textId="77777777" w:rsidR="00DD3EFA" w:rsidRPr="005A0E7C" w:rsidRDefault="00DD3EFA" w:rsidP="00B15ECB">
            <w:pPr>
              <w:rPr>
                <w:b/>
              </w:rPr>
            </w:pPr>
            <w:r w:rsidRPr="005A0E7C">
              <w:rPr>
                <w:b/>
              </w:rPr>
              <w:t>INFORMOVANÍ A PARTICIPUJÍCÍ OBČANÉ</w:t>
            </w:r>
          </w:p>
          <w:p w14:paraId="49CF948C" w14:textId="77777777" w:rsidR="00DD3EFA" w:rsidRPr="005A0E7C" w:rsidRDefault="00DD3EFA" w:rsidP="00391907">
            <w:pPr>
              <w:pStyle w:val="Odstavecseseznamem"/>
              <w:numPr>
                <w:ilvl w:val="0"/>
                <w:numId w:val="43"/>
              </w:numPr>
              <w:spacing w:after="200"/>
              <w:jc w:val="both"/>
            </w:pPr>
            <w:r w:rsidRPr="005A0E7C">
              <w:t>usnadnit občanům participaci na veřejném dění</w:t>
            </w:r>
          </w:p>
          <w:p w14:paraId="3B829E18" w14:textId="77777777" w:rsidR="00DD3EFA" w:rsidRPr="005A0E7C" w:rsidRDefault="00DD3EFA" w:rsidP="00391907">
            <w:pPr>
              <w:pStyle w:val="Odstavecseseznamem"/>
              <w:numPr>
                <w:ilvl w:val="0"/>
                <w:numId w:val="43"/>
              </w:numPr>
              <w:spacing w:after="200"/>
              <w:jc w:val="both"/>
            </w:pPr>
            <w:r w:rsidRPr="005A0E7C">
              <w:t>zlepšit komunikaci veřejné správy směrem k veřejnosti</w:t>
            </w:r>
          </w:p>
          <w:p w14:paraId="1CF7E1C7"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C9D47B6" w14:textId="77777777" w:rsidR="00DD3EFA" w:rsidRPr="005A0E7C" w:rsidRDefault="00DD3EFA" w:rsidP="00B15ECB">
            <w:pPr>
              <w:rPr>
                <w:b/>
              </w:rPr>
            </w:pPr>
          </w:p>
        </w:tc>
      </w:tr>
      <w:tr w:rsidR="00DD3EFA" w:rsidRPr="005A0E7C" w14:paraId="7524079F" w14:textId="77777777" w:rsidTr="00B15ECB">
        <w:trPr>
          <w:trHeight w:val="377"/>
        </w:trPr>
        <w:tc>
          <w:tcPr>
            <w:tcW w:w="249" w:type="dxa"/>
            <w:tcBorders>
              <w:top w:val="nil"/>
              <w:bottom w:val="nil"/>
              <w:right w:val="nil"/>
            </w:tcBorders>
            <w:shd w:val="clear" w:color="auto" w:fill="66CCFF"/>
          </w:tcPr>
          <w:p w14:paraId="4FBBB755"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F751ED4"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B2C9AE1"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793EB148" w14:textId="77777777" w:rsidR="00DD3EFA" w:rsidRPr="005A0E7C" w:rsidRDefault="00DD3EFA" w:rsidP="00B15ECB">
            <w:pPr>
              <w:rPr>
                <w:b/>
              </w:rPr>
            </w:pPr>
          </w:p>
        </w:tc>
      </w:tr>
      <w:tr w:rsidR="00DD3EFA" w:rsidRPr="005A0E7C" w14:paraId="36F1E2B2" w14:textId="77777777" w:rsidTr="00B15ECB">
        <w:trPr>
          <w:trHeight w:val="1202"/>
        </w:trPr>
        <w:tc>
          <w:tcPr>
            <w:tcW w:w="249" w:type="dxa"/>
            <w:tcBorders>
              <w:top w:val="nil"/>
              <w:bottom w:val="nil"/>
            </w:tcBorders>
            <w:shd w:val="clear" w:color="auto" w:fill="66CCFF"/>
          </w:tcPr>
          <w:p w14:paraId="02455155"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384DD304"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1CA50F95"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03538A6B" w14:textId="77777777" w:rsidR="00DD3EFA" w:rsidRPr="005A0E7C" w:rsidRDefault="00DD3EFA" w:rsidP="00B15ECB">
            <w:pPr>
              <w:rPr>
                <w:b/>
              </w:rPr>
            </w:pPr>
          </w:p>
        </w:tc>
      </w:tr>
      <w:tr w:rsidR="00DD3EFA" w:rsidRPr="005A0E7C" w14:paraId="0E36E5BE" w14:textId="77777777" w:rsidTr="00B15ECB">
        <w:trPr>
          <w:trHeight w:val="425"/>
        </w:trPr>
        <w:tc>
          <w:tcPr>
            <w:tcW w:w="249" w:type="dxa"/>
            <w:tcBorders>
              <w:top w:val="nil"/>
              <w:bottom w:val="nil"/>
            </w:tcBorders>
            <w:shd w:val="clear" w:color="auto" w:fill="66CCFF"/>
          </w:tcPr>
          <w:p w14:paraId="7892868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83EEA6A"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10B3BF8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AC82BEF"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noProof/>
              </w:rPr>
            </w:pPr>
            <w:r w:rsidRPr="005A0E7C">
              <w:rPr>
                <w:rFonts w:ascii="Times New Roman" w:eastAsiaTheme="minorHAnsi" w:hAnsi="Times New Roman"/>
                <w:noProof/>
              </w:rPr>
              <w:t xml:space="preserve"> </w:t>
            </w:r>
          </w:p>
          <w:p w14:paraId="4C4A5401" w14:textId="77777777" w:rsidR="00DD3EFA" w:rsidRPr="005A0E7C" w:rsidRDefault="00DD3EFA" w:rsidP="00B15ECB">
            <w:r w:rsidRPr="005A0E7C">
              <w:t>Faktor územní dimenze je ve vztahu k veřejné správě velmi důležitý. Ačkoliv řada intervencí v oblasti veřejné správy z podstaty není regionálně zacílena, existují oblasti, kde je regionální rozlišení velmi potřebné.</w:t>
            </w:r>
          </w:p>
          <w:p w14:paraId="5A857E95" w14:textId="77777777" w:rsidR="00DD3EFA" w:rsidRPr="005A0E7C" w:rsidRDefault="00DD3EFA" w:rsidP="00B15ECB">
            <w:r w:rsidRPr="005A0E7C">
              <w:t xml:space="preserve"> </w:t>
            </w:r>
            <w:r w:rsidRPr="005A0E7C">
              <w:br/>
              <w:t xml:space="preserve">V nadcházejícím období se bude jednat zejména o aktivity zaměřené na optimalizaci výkonu veřejné správy v aglomeracích, jejichž cílem by se mělo stát vyřešení územně-správní struktury v okolí velkých měst. Aglomerace má mnohem složitější vztahy než ostatní „běžné“ mikroregiony, což má vliv i na obě složky VS, jak na přenesenou působnost – zde je usilováno o revizi počtu možných nefunkčních ORP a jejich koncentraci do jádra aglomerace, tak také na samostatnou působnost, kde je usilováno o to, aby obce spolupracovaly jinak než jen na základě dobrovolného svazku obcí, nýbrž na základě jiných druhů svazků (např. metropolitní svazek). </w:t>
            </w:r>
          </w:p>
          <w:p w14:paraId="4E55FA43" w14:textId="77777777" w:rsidR="00DD3EFA" w:rsidRPr="005A0E7C" w:rsidRDefault="00DD3EFA" w:rsidP="00B15ECB"/>
          <w:p w14:paraId="536EB7E7" w14:textId="77777777" w:rsidR="00DD3EFA" w:rsidRPr="005A0E7C" w:rsidRDefault="00DD3EFA" w:rsidP="00B15ECB">
            <w:r w:rsidRPr="005A0E7C">
              <w:t xml:space="preserve">V případě optimalizace výkonu veřejné správy v aglomeracích by se podpora mohla koncentrovat pouze na tyto entity, charakter podpory by tak mohl být odlišný od současného programového období, kdy byly stejným spektrem aktivit podporovány všechny oblasti. </w:t>
            </w:r>
          </w:p>
          <w:p w14:paraId="5991F168" w14:textId="77777777" w:rsidR="00DD3EFA" w:rsidRPr="005A0E7C" w:rsidRDefault="00DD3EFA" w:rsidP="00B15ECB"/>
          <w:p w14:paraId="4EE7107A" w14:textId="77777777" w:rsidR="00DD3EFA" w:rsidRPr="005A0E7C" w:rsidRDefault="00DD3EFA" w:rsidP="00B15ECB">
            <w:r w:rsidRPr="005A0E7C">
              <w:t>Uvedená problematika optimalizace aglomerací je v podobě typového opatření také součástí Strategie regionálního rozvoje 2021+.</w:t>
            </w:r>
          </w:p>
        </w:tc>
        <w:tc>
          <w:tcPr>
            <w:tcW w:w="249" w:type="dxa"/>
            <w:tcBorders>
              <w:top w:val="nil"/>
              <w:bottom w:val="nil"/>
            </w:tcBorders>
            <w:shd w:val="clear" w:color="auto" w:fill="66CCFF"/>
          </w:tcPr>
          <w:p w14:paraId="116FEF2A" w14:textId="77777777" w:rsidR="00DD3EFA" w:rsidRPr="005A0E7C" w:rsidRDefault="00DD3EFA" w:rsidP="00B15ECB">
            <w:pPr>
              <w:rPr>
                <w:b/>
              </w:rPr>
            </w:pPr>
          </w:p>
        </w:tc>
      </w:tr>
      <w:tr w:rsidR="00DD3EFA" w:rsidRPr="005A0E7C" w14:paraId="3EE6ACD8" w14:textId="77777777" w:rsidTr="00B15ECB">
        <w:trPr>
          <w:trHeight w:val="1202"/>
        </w:trPr>
        <w:tc>
          <w:tcPr>
            <w:tcW w:w="249" w:type="dxa"/>
            <w:tcBorders>
              <w:top w:val="nil"/>
              <w:bottom w:val="nil"/>
            </w:tcBorders>
            <w:shd w:val="clear" w:color="auto" w:fill="66CCFF"/>
          </w:tcPr>
          <w:p w14:paraId="6B18687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26B764B"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0FA5DA6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8B8CCB4" w14:textId="77777777" w:rsidR="00DD3EFA" w:rsidRPr="005A0E7C" w:rsidRDefault="00DD3EFA" w:rsidP="00B15ECB">
            <w:pPr>
              <w:spacing w:before="60" w:after="60"/>
              <w:rPr>
                <w:rFonts w:eastAsiaTheme="majorEastAsia"/>
              </w:rPr>
            </w:pPr>
            <w:r w:rsidRPr="005A0E7C">
              <w:rPr>
                <w:rFonts w:eastAsiaTheme="majorEastAsia"/>
              </w:rPr>
              <w:t xml:space="preserve">- - - </w:t>
            </w:r>
          </w:p>
        </w:tc>
        <w:tc>
          <w:tcPr>
            <w:tcW w:w="249" w:type="dxa"/>
            <w:tcBorders>
              <w:top w:val="nil"/>
              <w:bottom w:val="nil"/>
            </w:tcBorders>
            <w:shd w:val="clear" w:color="auto" w:fill="66CCFF"/>
          </w:tcPr>
          <w:p w14:paraId="1491F813" w14:textId="77777777" w:rsidR="00DD3EFA" w:rsidRPr="005A0E7C" w:rsidRDefault="00DD3EFA" w:rsidP="00B15ECB">
            <w:pPr>
              <w:rPr>
                <w:b/>
              </w:rPr>
            </w:pPr>
          </w:p>
        </w:tc>
      </w:tr>
      <w:tr w:rsidR="00DD3EFA" w:rsidRPr="005A0E7C" w14:paraId="3C75B72C" w14:textId="77777777" w:rsidTr="00B15ECB">
        <w:trPr>
          <w:trHeight w:val="1202"/>
        </w:trPr>
        <w:tc>
          <w:tcPr>
            <w:tcW w:w="249" w:type="dxa"/>
            <w:tcBorders>
              <w:top w:val="nil"/>
              <w:bottom w:val="nil"/>
            </w:tcBorders>
            <w:shd w:val="clear" w:color="auto" w:fill="66CCFF"/>
          </w:tcPr>
          <w:p w14:paraId="3281C04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6BAF7AE"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3DBCA06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8629997" w14:textId="1D08F751" w:rsidR="00DD3EFA" w:rsidRPr="005A0E7C" w:rsidRDefault="00DD3EFA" w:rsidP="00B15ECB">
            <w:r w:rsidRPr="005A0E7C">
              <w:t xml:space="preserve">Z pohledu Společnosti 4.0 je tato podoblast silně propojena především s podoblastí Elektronizace veřejné správy a tedy s Informační koncepcí ČR, jakou součástí soboru strategických dokumentů Digitální Česko. </w:t>
            </w:r>
            <w:r w:rsidR="00203AE0" w:rsidRPr="005A0E7C">
              <w:rPr>
                <w:b/>
              </w:rPr>
              <w:t>Veškeré</w:t>
            </w:r>
            <w:r w:rsidRPr="005A0E7C">
              <w:rPr>
                <w:b/>
              </w:rPr>
              <w:t xml:space="preserve"> aktivity v oblasti obecné veřejné správy musí být realizovány ve vzájemném souladu s aktivitami v oblasti elektronizace veřejné správy</w:t>
            </w:r>
            <w:r w:rsidRPr="005A0E7C">
              <w:t xml:space="preserve">, přičemž provazby lze spatřovat zejména v  elektronizaci a optimalizaci procesů ve veřejné správě legislativním rámci, komunikaci uvnitř veřejné správy i navenek, strategického plánování a řízení veřejné správy, jakož i otevřenosti a transparentnosti veřejné správy směrem k občanům. </w:t>
            </w:r>
          </w:p>
        </w:tc>
        <w:tc>
          <w:tcPr>
            <w:tcW w:w="249" w:type="dxa"/>
            <w:tcBorders>
              <w:top w:val="nil"/>
              <w:bottom w:val="nil"/>
            </w:tcBorders>
            <w:shd w:val="clear" w:color="auto" w:fill="66CCFF"/>
          </w:tcPr>
          <w:p w14:paraId="49AAE73C" w14:textId="77777777" w:rsidR="00DD3EFA" w:rsidRPr="005A0E7C" w:rsidRDefault="00DD3EFA" w:rsidP="00B15ECB">
            <w:pPr>
              <w:rPr>
                <w:b/>
              </w:rPr>
            </w:pPr>
          </w:p>
        </w:tc>
      </w:tr>
      <w:tr w:rsidR="00DD3EFA" w:rsidRPr="005A0E7C" w14:paraId="36CB188B" w14:textId="77777777" w:rsidTr="00B15ECB">
        <w:trPr>
          <w:trHeight w:val="1202"/>
        </w:trPr>
        <w:tc>
          <w:tcPr>
            <w:tcW w:w="249" w:type="dxa"/>
            <w:tcBorders>
              <w:top w:val="nil"/>
              <w:bottom w:val="nil"/>
            </w:tcBorders>
            <w:shd w:val="clear" w:color="auto" w:fill="66CCFF"/>
          </w:tcPr>
          <w:p w14:paraId="0B00ECA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D846C95"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1C4671C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5871351" w14:textId="77777777" w:rsidR="00DD3EFA" w:rsidRPr="005A0E7C" w:rsidRDefault="00DD3EFA" w:rsidP="00B15ECB">
            <w:r w:rsidRPr="005A0E7C">
              <w:t xml:space="preserve">Kvalitní veřejná správa má potenciál v českém prostředí významně přispět k reflexi důležitých změn, které jsou označovány také jako megatrendy. Ve vztahu k veřejné správě se jedná zejména o změny spojené s urbanizací a rostoucí mobilitou obyvatel, stárnutím obyvatel, proměnou demokratické participace či digitalizací ekonomiky (Společnost 4.0). Potřeba řešení těchto megatrendů se ukazuje již nyní a do budoucna by měla být v reakci na digitalizaci i stárnutí obyvatel reflektována především změnami ve fyzické dostupnosti veřejné správy pro občany, v reakci na větší mobilitu obyvatel především optimalizací výkonu veřejné správy v území a s ohledem na proměny demokratické participace pak především rozšířením možností participace na obou úrovních veřejné správy. </w:t>
            </w:r>
          </w:p>
          <w:p w14:paraId="39FCDD39"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4BFA288" w14:textId="77777777" w:rsidR="00DD3EFA" w:rsidRPr="005A0E7C" w:rsidRDefault="00DD3EFA" w:rsidP="00B15ECB">
            <w:pPr>
              <w:rPr>
                <w:b/>
              </w:rPr>
            </w:pPr>
          </w:p>
        </w:tc>
      </w:tr>
      <w:tr w:rsidR="00DD3EFA" w:rsidRPr="005A0E7C" w14:paraId="1C5E6437" w14:textId="77777777" w:rsidTr="00B15ECB">
        <w:trPr>
          <w:trHeight w:val="1202"/>
        </w:trPr>
        <w:tc>
          <w:tcPr>
            <w:tcW w:w="249" w:type="dxa"/>
            <w:tcBorders>
              <w:top w:val="nil"/>
              <w:bottom w:val="nil"/>
            </w:tcBorders>
            <w:shd w:val="clear" w:color="auto" w:fill="66CCFF"/>
          </w:tcPr>
          <w:p w14:paraId="28795DD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312F18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18C8A6C1" w14:textId="77777777" w:rsidR="00DD3EFA" w:rsidRPr="005A0E7C" w:rsidRDefault="00DD3EFA" w:rsidP="00B15ECB">
            <w:pPr>
              <w:spacing w:before="60" w:after="60"/>
              <w:rPr>
                <w:rFonts w:eastAsiaTheme="majorEastAsia"/>
              </w:rPr>
            </w:pPr>
            <w:r w:rsidRPr="005A0E7C">
              <w:rPr>
                <w:rFonts w:eastAsiaTheme="majorEastAsia"/>
              </w:rPr>
              <w:t xml:space="preserve">Veřejná správa se aktuálně neobjevuje v návrzích politických ani specifických cílů obecného nařízení, nařízení o ERDF či nařízení o ESF+. Podporu veřejné správy z ESIF však lze považovat za klíčovou. Je proto definována jako jedna z priorit vyjednávání ČR o podobě budoucí politiky koheze. Ministerstvo vnitra se domnívá, že podpora veřejné správy by měla být jako podporovaná oblast do návrhů nařízení zařazena, jelikož kvalitní veřejná správa je determinantou vývoje všech sektorových politik a významně tak ovlivňuje konkurenceschopnost ČR i její regionální soudržnost. </w:t>
            </w:r>
          </w:p>
        </w:tc>
        <w:tc>
          <w:tcPr>
            <w:tcW w:w="249" w:type="dxa"/>
            <w:tcBorders>
              <w:top w:val="nil"/>
              <w:bottom w:val="nil"/>
            </w:tcBorders>
            <w:shd w:val="clear" w:color="auto" w:fill="66CCFF"/>
          </w:tcPr>
          <w:p w14:paraId="64B2045E" w14:textId="77777777" w:rsidR="00DD3EFA" w:rsidRPr="005A0E7C" w:rsidRDefault="00DD3EFA" w:rsidP="00B15ECB">
            <w:pPr>
              <w:rPr>
                <w:b/>
              </w:rPr>
            </w:pPr>
          </w:p>
        </w:tc>
      </w:tr>
      <w:tr w:rsidR="00DD3EFA" w:rsidRPr="005A0E7C" w14:paraId="7E551B18" w14:textId="77777777" w:rsidTr="00B15ECB">
        <w:trPr>
          <w:trHeight w:val="1202"/>
        </w:trPr>
        <w:tc>
          <w:tcPr>
            <w:tcW w:w="249" w:type="dxa"/>
            <w:tcBorders>
              <w:top w:val="nil"/>
              <w:bottom w:val="nil"/>
            </w:tcBorders>
            <w:shd w:val="clear" w:color="auto" w:fill="66CCFF"/>
          </w:tcPr>
          <w:p w14:paraId="6C37523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159153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718EC826" w14:textId="77777777" w:rsidR="00DD3EFA" w:rsidRPr="005A0E7C" w:rsidRDefault="00DD3EFA" w:rsidP="00B15ECB">
            <w:pPr>
              <w:spacing w:before="60" w:after="60"/>
              <w:rPr>
                <w:rFonts w:eastAsiaTheme="majorEastAsia"/>
                <w:i/>
              </w:rPr>
            </w:pPr>
            <w:r w:rsidRPr="005A0E7C">
              <w:t>Ačkoliv se zkvalitňování veřejné správy již několik let po sobě neobjevuje mezi hlavními Specifickými doporučeními rady (což je způsobeno zejména absencí zásadních systémových nedostatků), důležitost kvalitní a efektivně fungující veřejné správy pro rozvoj dalších sektorových politik se tradičně velmi intenzivně promítá v evropském semestru. Vysoká evropská přidaná hodnota této oblasti je konstatována v řadě materiálů unijní úrovně (ESF Committee), i nadnárodních organizací (OECD apod.).</w:t>
            </w:r>
          </w:p>
        </w:tc>
        <w:tc>
          <w:tcPr>
            <w:tcW w:w="249" w:type="dxa"/>
            <w:tcBorders>
              <w:top w:val="nil"/>
              <w:bottom w:val="nil"/>
            </w:tcBorders>
            <w:shd w:val="clear" w:color="auto" w:fill="66CCFF"/>
          </w:tcPr>
          <w:p w14:paraId="0DA1415C" w14:textId="77777777" w:rsidR="00DD3EFA" w:rsidRPr="005A0E7C" w:rsidRDefault="00DD3EFA" w:rsidP="00B15ECB">
            <w:pPr>
              <w:rPr>
                <w:b/>
              </w:rPr>
            </w:pPr>
          </w:p>
        </w:tc>
      </w:tr>
      <w:tr w:rsidR="00DD3EFA" w:rsidRPr="005A0E7C" w14:paraId="5E7AA5D7" w14:textId="77777777" w:rsidTr="00B15ECB">
        <w:trPr>
          <w:trHeight w:val="180"/>
        </w:trPr>
        <w:tc>
          <w:tcPr>
            <w:tcW w:w="249" w:type="dxa"/>
            <w:tcBorders>
              <w:top w:val="nil"/>
              <w:bottom w:val="nil"/>
              <w:right w:val="nil"/>
            </w:tcBorders>
            <w:shd w:val="clear" w:color="auto" w:fill="66CCFF"/>
          </w:tcPr>
          <w:p w14:paraId="21FD5C29" w14:textId="77777777" w:rsidR="00DD3EFA" w:rsidRPr="005A0E7C" w:rsidRDefault="00DD3EFA" w:rsidP="00B15ECB">
            <w:pPr>
              <w:rPr>
                <w:b/>
              </w:rPr>
            </w:pPr>
          </w:p>
        </w:tc>
        <w:tc>
          <w:tcPr>
            <w:tcW w:w="2548" w:type="dxa"/>
            <w:tcBorders>
              <w:left w:val="nil"/>
              <w:right w:val="nil"/>
            </w:tcBorders>
            <w:shd w:val="clear" w:color="auto" w:fill="66CCFF"/>
          </w:tcPr>
          <w:p w14:paraId="0FC54EDD" w14:textId="77777777" w:rsidR="00DD3EFA" w:rsidRPr="005A0E7C" w:rsidRDefault="00DD3EFA" w:rsidP="00B15ECB">
            <w:pPr>
              <w:rPr>
                <w:b/>
              </w:rPr>
            </w:pPr>
          </w:p>
        </w:tc>
        <w:tc>
          <w:tcPr>
            <w:tcW w:w="5978" w:type="dxa"/>
            <w:tcBorders>
              <w:left w:val="nil"/>
              <w:right w:val="nil"/>
            </w:tcBorders>
            <w:shd w:val="clear" w:color="auto" w:fill="66CCFF"/>
          </w:tcPr>
          <w:p w14:paraId="1F6F3015" w14:textId="77777777" w:rsidR="00DD3EFA" w:rsidRPr="005A0E7C" w:rsidRDefault="00DD3EFA" w:rsidP="00B15ECB">
            <w:pPr>
              <w:rPr>
                <w:b/>
              </w:rPr>
            </w:pPr>
          </w:p>
        </w:tc>
        <w:tc>
          <w:tcPr>
            <w:tcW w:w="249" w:type="dxa"/>
            <w:tcBorders>
              <w:top w:val="nil"/>
              <w:left w:val="nil"/>
              <w:bottom w:val="nil"/>
            </w:tcBorders>
            <w:shd w:val="clear" w:color="auto" w:fill="66CCFF"/>
          </w:tcPr>
          <w:p w14:paraId="07944729" w14:textId="77777777" w:rsidR="00DD3EFA" w:rsidRPr="005A0E7C" w:rsidRDefault="00DD3EFA" w:rsidP="00B15ECB">
            <w:pPr>
              <w:rPr>
                <w:b/>
              </w:rPr>
            </w:pPr>
          </w:p>
        </w:tc>
      </w:tr>
      <w:tr w:rsidR="00DD3EFA" w:rsidRPr="005A0E7C" w14:paraId="641B7E7B" w14:textId="77777777" w:rsidTr="00B15ECB">
        <w:trPr>
          <w:trHeight w:val="938"/>
        </w:trPr>
        <w:tc>
          <w:tcPr>
            <w:tcW w:w="249" w:type="dxa"/>
            <w:tcBorders>
              <w:top w:val="nil"/>
              <w:bottom w:val="nil"/>
            </w:tcBorders>
            <w:shd w:val="clear" w:color="auto" w:fill="66CCFF"/>
          </w:tcPr>
          <w:p w14:paraId="223920E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B09BDC"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0657FB27"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784AAB6E" w14:textId="77777777" w:rsidR="00DD3EFA" w:rsidRPr="005A0E7C" w:rsidRDefault="00DD3EFA" w:rsidP="00B15ECB">
            <w:pPr>
              <w:autoSpaceDE w:val="0"/>
              <w:autoSpaceDN w:val="0"/>
              <w:adjustRightInd w:val="0"/>
              <w:rPr>
                <w:rFonts w:eastAsia="ArialMT"/>
              </w:rPr>
            </w:pPr>
          </w:p>
          <w:p w14:paraId="639F97DD" w14:textId="6FBD992E" w:rsidR="00DD3EFA" w:rsidRPr="005A0E7C" w:rsidRDefault="00DD3EFA" w:rsidP="00B15ECB">
            <w:r w:rsidRPr="005A0E7C">
              <w:t xml:space="preserve">Aktuálně je pro oblast veřejné správy </w:t>
            </w:r>
            <w:r w:rsidRPr="005A0E7C">
              <w:rPr>
                <w:b/>
              </w:rPr>
              <w:t>připravován koncepční materiál Klientsky orientovaná veřejná správa 2030 (dominantní strategický materiál)</w:t>
            </w:r>
            <w:r w:rsidRPr="005A0E7C">
              <w:t>, stanovující rozvojové cíle veřejné správy v nadcházející dekádě. Připravena a projednána se všemi stakeholdery je analytická část Koncepce, definující problémové oblasti, dokončena je také část návrhová/strategická, která bude se stakeholdery projednána na konci února tohoto roku, a to včetně návrhu systému implementace, monitoringu i evaluace.</w:t>
            </w:r>
            <w:r w:rsidR="00203AE0" w:rsidRPr="005A0E7C">
              <w:t xml:space="preserve"> V březnu 2019</w:t>
            </w:r>
            <w:r w:rsidRPr="005A0E7C">
              <w:t xml:space="preserve"> bude Koncepce finalizována a bude spuštěna příprava prvního Akčního plánu na léta 2021-2023. Koncepce včetně prvního Akčního plánu bude po vnitrorezortním a mezirezortním připomínkovém řízení předložena ke schválení vládě ČR na podzim roku 2019. Z časového hlediska Koncepce plynule navazuje na do roku 2020 platný Strategický rámec rozvoje veřejné správy ČR pro období 2014-2020 (SRR VS).</w:t>
            </w:r>
          </w:p>
          <w:p w14:paraId="7C91F1B1" w14:textId="77777777" w:rsidR="00DD3EFA" w:rsidRPr="005A0E7C" w:rsidRDefault="00DD3EFA" w:rsidP="00B15ECB"/>
          <w:p w14:paraId="05F20F89" w14:textId="77777777" w:rsidR="00DD3EFA" w:rsidRPr="005A0E7C" w:rsidRDefault="00DD3EFA" w:rsidP="00B15ECB">
            <w:r w:rsidRPr="005A0E7C">
              <w:t xml:space="preserve">Vzhledem k tomu, že aktivity v oblasti Governmentu a eGovernmentu nutně musí být vzájemně propojeny, aby měly žádoucí efekt, provazba mezi oběma oblastmi funguje i na úrovni strategických materiálů. Koncepce je úzce provázána se souborem materiálů Digitální Česko, zejména pak Informační koncepcí, která určuje cíle v oblasti informačních systémů a eGovernmentu. Oba strategické materiály se primárně orientují na klienta, konkrétní provazby pak lze spatřovat zejména v oblastech dostupnosti veřejné správy pro občany (rozvoj Portálu občana, rozvoj sdílených služeb univerzálních obslužných kanálů front office), sdílení dat (zkvalitnění, aktualizace a validace obsahu RPP, podpora sdílení údajů agendových systémů, propojený datový fond), ale i komunikace s veřejností (open data, veřejný datový fond, vybudování služeb call centra, apod.), dále pak také v oblasti právního řádu, projektového řízení či vnitřního fungování institucí. Reálná koordinace nejen v uvedených oblastech bude probíhat na platformě Společného řídícího výboru pro eGovernment a služby informační společnosti, který je zřízen při RVIS i RVVS. </w:t>
            </w:r>
          </w:p>
          <w:p w14:paraId="324AB48A" w14:textId="77777777" w:rsidR="00DD3EFA" w:rsidRPr="005A0E7C" w:rsidRDefault="00DD3EFA" w:rsidP="00B15ECB"/>
          <w:p w14:paraId="76FCEDB1" w14:textId="77777777" w:rsidR="00DD3EFA" w:rsidRPr="005A0E7C" w:rsidRDefault="00DD3EFA" w:rsidP="00B15ECB">
            <w:r w:rsidRPr="005A0E7C">
              <w:t>Vyjma vznikající koncepce jsou vybrané oblasti veřejné správy, bezprostředně se vztahující k udržitelnému rozvoji (zejména témata vztahující se k SDGs dobré vládnutí či obce a regiony, konkrétně např. participace občanů na veřejném dění, rozvoj inovací ve veřejné správě, apod.) ukotvena také v zastřešujícím strategickém materiálu Strategický rámec ČR 2030</w:t>
            </w:r>
            <w:r w:rsidRPr="005A0E7C">
              <w:rPr>
                <w:rStyle w:val="Znakapoznpodarou"/>
              </w:rPr>
              <w:footnoteReference w:id="19"/>
            </w:r>
            <w:r w:rsidRPr="005A0E7C">
              <w:t xml:space="preserve">. </w:t>
            </w:r>
          </w:p>
          <w:p w14:paraId="50BB2BF0" w14:textId="77777777" w:rsidR="00DD3EFA" w:rsidRPr="005A0E7C" w:rsidRDefault="00DD3EFA" w:rsidP="00B15ECB"/>
          <w:p w14:paraId="37917400" w14:textId="77777777" w:rsidR="00DD3EFA" w:rsidRPr="005A0E7C" w:rsidRDefault="00DD3EFA" w:rsidP="00B15ECB">
            <w:pPr>
              <w:rPr>
                <w:lang w:eastAsia="cs-CZ"/>
              </w:rPr>
            </w:pPr>
            <w:r w:rsidRPr="005A0E7C">
              <w:t xml:space="preserve">Aktivity vztahující se k optimálnímu výkonu veřejné správy v aglomeracích, které jsou součástí Koncepce, jsou taktéž součástí Strategie regionálního rozvoje po roce 2020 (viz část „územní dimenze“).  </w:t>
            </w:r>
          </w:p>
          <w:p w14:paraId="621BE75C" w14:textId="77777777" w:rsidR="00DD3EFA" w:rsidRPr="005A0E7C" w:rsidRDefault="00DD3EFA" w:rsidP="00B15ECB"/>
        </w:tc>
        <w:tc>
          <w:tcPr>
            <w:tcW w:w="249" w:type="dxa"/>
            <w:tcBorders>
              <w:top w:val="nil"/>
              <w:bottom w:val="nil"/>
            </w:tcBorders>
            <w:shd w:val="clear" w:color="auto" w:fill="66CCFF"/>
          </w:tcPr>
          <w:p w14:paraId="63879993" w14:textId="77777777" w:rsidR="00DD3EFA" w:rsidRPr="005A0E7C" w:rsidRDefault="00DD3EFA" w:rsidP="00B15ECB">
            <w:pPr>
              <w:rPr>
                <w:b/>
              </w:rPr>
            </w:pPr>
          </w:p>
        </w:tc>
      </w:tr>
      <w:tr w:rsidR="00DD3EFA" w:rsidRPr="005A0E7C" w14:paraId="62D1685E" w14:textId="77777777" w:rsidTr="00B15ECB">
        <w:trPr>
          <w:trHeight w:val="938"/>
        </w:trPr>
        <w:tc>
          <w:tcPr>
            <w:tcW w:w="249" w:type="dxa"/>
            <w:tcBorders>
              <w:top w:val="nil"/>
              <w:bottom w:val="nil"/>
            </w:tcBorders>
            <w:shd w:val="clear" w:color="auto" w:fill="66CCFF"/>
          </w:tcPr>
          <w:p w14:paraId="0DD02BF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633A988"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06FB711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72F53E7" w14:textId="67C77A98" w:rsidR="00DD3EFA" w:rsidRPr="005A0E7C" w:rsidRDefault="00DD3EFA" w:rsidP="00B15ECB">
            <w:r w:rsidRPr="005A0E7C">
              <w:t xml:space="preserve">Analytická část koncepce byla zfinalizována v roce 2018 a představuje analytické zhodnocení aktuálně nejdůležitějších problémových oblastí veřejné správy, </w:t>
            </w:r>
            <w:r w:rsidR="00203AE0" w:rsidRPr="005A0E7C">
              <w:t>které</w:t>
            </w:r>
            <w:r w:rsidRPr="005A0E7C">
              <w:t xml:space="preserve"> je možné řešit jasně definovaným souborem opatření. Důležitým zdrojem pro zpracování analytické části se stal pravidelný monitoring a evaluace plnění SRR VS a jeho implementačních plánů</w:t>
            </w:r>
            <w:r w:rsidRPr="005A0E7C">
              <w:rPr>
                <w:vertAlign w:val="superscript"/>
              </w:rPr>
              <w:footnoteReference w:id="20"/>
            </w:r>
            <w:r w:rsidRPr="005A0E7C">
              <w:t xml:space="preserve">, který v oblasti koordinace a řízení veřejné správy, stejně jako v případě přípravy politik, poukazuje na dlouhodobě přetrvávající nedostatky. </w:t>
            </w:r>
          </w:p>
          <w:p w14:paraId="7BB4854A" w14:textId="77777777" w:rsidR="00DD3EFA" w:rsidRPr="005A0E7C" w:rsidRDefault="00DD3EFA" w:rsidP="00B15ECB"/>
          <w:p w14:paraId="576A501B" w14:textId="77777777" w:rsidR="00DD3EFA" w:rsidRPr="005A0E7C" w:rsidRDefault="00DD3EFA" w:rsidP="00B15ECB">
            <w:r w:rsidRPr="005A0E7C">
              <w:t>Druhým důležitým analytickým zdrojem jsou analýzy zpracované v rámci SRR VS, které jsou důležitým podkladem pro návrh řešení, která jsou představena v návrhové části Koncepce a zhmotněna v jednotlivých strategických i specifických cílech a opatřeních (např. analýza rozsahu výkonu veřejné správy v jednotlivých statutárních městech, městských částech a obvodech, analýza vybraných prostorových aspektů veřejné správy a zlepšení dostupnosti jejích služeb apod.) Všechny analýzy vzniklé na základě SRR VS jsou přehledně uloženy a veřejně přístupné na webu MV</w:t>
            </w:r>
            <w:r w:rsidRPr="005A0E7C">
              <w:rPr>
                <w:rStyle w:val="Znakapoznpodarou"/>
              </w:rPr>
              <w:footnoteReference w:id="21"/>
            </w:r>
            <w:r w:rsidRPr="005A0E7C">
              <w:t xml:space="preserve">. </w:t>
            </w:r>
          </w:p>
          <w:p w14:paraId="45A10701" w14:textId="77777777" w:rsidR="00DD3EFA" w:rsidRPr="005A0E7C" w:rsidRDefault="00DD3EFA" w:rsidP="00B15ECB"/>
          <w:p w14:paraId="4D969D09" w14:textId="77777777" w:rsidR="00DD3EFA" w:rsidRPr="005A0E7C" w:rsidRDefault="00DD3EFA" w:rsidP="00B15ECB">
            <w:r w:rsidRPr="005A0E7C">
              <w:t xml:space="preserve">Témata, která Koncepce otevírá nově, byla v analytické části zhodnocena na základě rozhovorů s odborníky, tuzemské i zahraniční literatury, best practice ze zahraničí, doporučení OECD k tzv. sound public governance apod. </w:t>
            </w:r>
          </w:p>
          <w:p w14:paraId="26133CC9" w14:textId="77777777" w:rsidR="00DD3EFA" w:rsidRPr="005A0E7C" w:rsidRDefault="00DD3EFA" w:rsidP="00B15ECB"/>
          <w:p w14:paraId="4B0FAEAE" w14:textId="77777777" w:rsidR="00DD3EFA" w:rsidRPr="005A0E7C" w:rsidRDefault="00DD3EFA" w:rsidP="00B15ECB">
            <w:r w:rsidRPr="005A0E7C">
              <w:t xml:space="preserve">Po roce 2020 by se důležitým analytickým vstupem do Koncepce, resp. Akčních plánů, mělo stát Public Governance Review České republiky, zpracované OECD, které mimo analýzy aktuálního stavu veřejné správy v řadě oblastí nabídne také konkrétní doporučení k dalšímu zlepšení vybraných aspektů fungování veřejné správy. Tato doporučení budou reflektována v jednotlivých relevantních Akčních plánech. </w:t>
            </w:r>
          </w:p>
          <w:p w14:paraId="33AD23E0" w14:textId="77777777" w:rsidR="00DD3EFA" w:rsidRPr="005A0E7C" w:rsidRDefault="00DD3EFA" w:rsidP="00B15ECB"/>
          <w:p w14:paraId="144619FA" w14:textId="77777777" w:rsidR="00DD3EFA" w:rsidRPr="005A0E7C" w:rsidRDefault="00DD3EFA" w:rsidP="00B15ECB">
            <w:r w:rsidRPr="005A0E7C">
              <w:t xml:space="preserve">Již v roce 2018 byla vytvořena Pracovní skupina pro přípravu koncepce rozvoje veřejné správy, které se pravidelně účastní zástupci jednotlivých resortů i zástupců územní samosprávy, kteří na přípravě Koncepce s MV úzce spolupracují. Oslovena byla za účelem přípravy Koncepce také odborná a laická veřejnost, a to prostřednictvím dotazníku, jehož výsledky byly do analytické části zapracovány a staly se také důležitým analytickým zdrojem. </w:t>
            </w:r>
          </w:p>
          <w:p w14:paraId="605F37E0" w14:textId="77777777" w:rsidR="00DD3EFA" w:rsidRPr="005A0E7C" w:rsidRDefault="00DD3EFA" w:rsidP="00B15ECB"/>
        </w:tc>
        <w:tc>
          <w:tcPr>
            <w:tcW w:w="249" w:type="dxa"/>
            <w:tcBorders>
              <w:top w:val="nil"/>
              <w:bottom w:val="nil"/>
            </w:tcBorders>
            <w:shd w:val="clear" w:color="auto" w:fill="66CCFF"/>
          </w:tcPr>
          <w:p w14:paraId="3FEF8516" w14:textId="77777777" w:rsidR="00DD3EFA" w:rsidRPr="005A0E7C" w:rsidRDefault="00DD3EFA" w:rsidP="00B15ECB">
            <w:pPr>
              <w:rPr>
                <w:b/>
              </w:rPr>
            </w:pPr>
          </w:p>
        </w:tc>
      </w:tr>
      <w:tr w:rsidR="00DD3EFA" w:rsidRPr="005A0E7C" w14:paraId="097949B9" w14:textId="77777777" w:rsidTr="00B15ECB">
        <w:trPr>
          <w:trHeight w:val="938"/>
        </w:trPr>
        <w:tc>
          <w:tcPr>
            <w:tcW w:w="249" w:type="dxa"/>
            <w:tcBorders>
              <w:top w:val="nil"/>
              <w:bottom w:val="nil"/>
            </w:tcBorders>
            <w:shd w:val="clear" w:color="auto" w:fill="66CCFF"/>
          </w:tcPr>
          <w:p w14:paraId="169DD40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DB4637"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5A217EA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203A760" w14:textId="370C6E3B" w:rsidR="00DD3EFA" w:rsidRPr="005A0E7C" w:rsidRDefault="00DD3EFA" w:rsidP="00B15ECB">
            <w:r w:rsidRPr="005A0E7C">
              <w:t>Návrhová část Koncepce, která byla zfinalizována na konci ledna  tohoto roku a bude předložena relevantním stakehoderům k projednání, přímo navazuje na analytickou část Koncepce, definující jednotlivé problémové oblasti veřejné správy. Na uvedené problémové oblasti bude veřejná správa v nadcházejícím období reagovat prostřednictvím 5 strategických cílů, které jsou rozčleněny dle typu subjektu, který má z realizace cíle primární prospěch, a to na klienta, systém, instituci, zaměstnance a občana. St</w:t>
            </w:r>
            <w:r w:rsidR="00203AE0" w:rsidRPr="005A0E7C">
              <w:t xml:space="preserve">rategické cíle se rozpadají na </w:t>
            </w:r>
            <w:r w:rsidRPr="005A0E7C">
              <w:t xml:space="preserve">celkem 16 specifických cílů a následně až na úroveň opatření, která jsou v návrhové části specifikována, a to s uvedením důvodu jejich zařazení, obsahu opatření, cílové skupiny a gestora. </w:t>
            </w:r>
          </w:p>
          <w:p w14:paraId="7138F340" w14:textId="77777777" w:rsidR="00DD3EFA" w:rsidRPr="005A0E7C" w:rsidRDefault="00DD3EFA" w:rsidP="00B15ECB">
            <w:pPr>
              <w:rPr>
                <w:i/>
              </w:rPr>
            </w:pPr>
          </w:p>
        </w:tc>
        <w:tc>
          <w:tcPr>
            <w:tcW w:w="249" w:type="dxa"/>
            <w:tcBorders>
              <w:top w:val="nil"/>
              <w:bottom w:val="nil"/>
            </w:tcBorders>
            <w:shd w:val="clear" w:color="auto" w:fill="66CCFF"/>
          </w:tcPr>
          <w:p w14:paraId="30D8D53D" w14:textId="77777777" w:rsidR="00DD3EFA" w:rsidRPr="005A0E7C" w:rsidRDefault="00DD3EFA" w:rsidP="00B15ECB">
            <w:pPr>
              <w:rPr>
                <w:b/>
              </w:rPr>
            </w:pPr>
          </w:p>
        </w:tc>
      </w:tr>
      <w:tr w:rsidR="00DD3EFA" w:rsidRPr="005A0E7C" w14:paraId="7293B807" w14:textId="77777777" w:rsidTr="00B15ECB">
        <w:trPr>
          <w:trHeight w:val="938"/>
        </w:trPr>
        <w:tc>
          <w:tcPr>
            <w:tcW w:w="249" w:type="dxa"/>
            <w:tcBorders>
              <w:top w:val="nil"/>
              <w:bottom w:val="nil"/>
            </w:tcBorders>
            <w:shd w:val="clear" w:color="auto" w:fill="66CCFF"/>
          </w:tcPr>
          <w:p w14:paraId="0D0DF96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C25AAEC"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7C1B1D0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734F0E7" w14:textId="77777777" w:rsidR="00DD3EFA" w:rsidRPr="005A0E7C" w:rsidRDefault="00DD3EFA" w:rsidP="00B15ECB">
            <w:r w:rsidRPr="005A0E7C">
              <w:t xml:space="preserve">Celkem budou během období platnosti Koncepce vytvořeny tři Akční plány, z toho dva tříleté a jeden čtyřletý. Každý Akční plán bude blíže specifikovat opatření v rozpadu na jednotlivé aktivity, a to vždy s uvedením odpovědnosti příp. spoluodpovědnosti za plnění, časového harmonogramu plnění, finanční náročnosti plnění a zdroje financování, stejně jako odpovídajícího/ch indikátoru/ů. </w:t>
            </w:r>
          </w:p>
          <w:p w14:paraId="050AAEA8" w14:textId="77777777" w:rsidR="00DD3EFA" w:rsidRPr="005A0E7C" w:rsidRDefault="00DD3EFA" w:rsidP="00B15ECB"/>
          <w:p w14:paraId="05DB0341" w14:textId="77777777" w:rsidR="00DD3EFA" w:rsidRPr="005A0E7C" w:rsidRDefault="00DD3EFA" w:rsidP="00B15ECB">
            <w:r w:rsidRPr="005A0E7C">
              <w:t xml:space="preserve">Koncepce bude implementována implementační jednotkou, jejíž pracovníci budou odpovědni za realizaci opatření a dosahování cílů, blíže rozpracovaných v Akčních plánech. O realizaci Koncepce bude rozhodovat vláda, na její implementaci bude vrcholově dohlížet Rada vlády pro veřejnou správu, na pracovní úrovni pak Pracovní skupina Koncepce VS, která bude tvořena relevantními stakeholdery na úrovni resortů i územní samosprávy, a bude se pravidelně scházet. Gestorem realizace koncepce bude příslušný odborný náměstek ministra vnitra. </w:t>
            </w:r>
          </w:p>
          <w:p w14:paraId="3E188C23" w14:textId="77777777" w:rsidR="00DD3EFA" w:rsidRPr="005A0E7C" w:rsidRDefault="00DD3EFA" w:rsidP="00B15ECB">
            <w:pPr>
              <w:rPr>
                <w:i/>
              </w:rPr>
            </w:pPr>
          </w:p>
        </w:tc>
        <w:tc>
          <w:tcPr>
            <w:tcW w:w="249" w:type="dxa"/>
            <w:tcBorders>
              <w:top w:val="nil"/>
              <w:bottom w:val="nil"/>
            </w:tcBorders>
            <w:shd w:val="clear" w:color="auto" w:fill="66CCFF"/>
          </w:tcPr>
          <w:p w14:paraId="4EC4E50B" w14:textId="77777777" w:rsidR="00DD3EFA" w:rsidRPr="005A0E7C" w:rsidRDefault="00DD3EFA" w:rsidP="00B15ECB">
            <w:pPr>
              <w:rPr>
                <w:b/>
              </w:rPr>
            </w:pPr>
          </w:p>
        </w:tc>
      </w:tr>
      <w:tr w:rsidR="00DD3EFA" w:rsidRPr="005A0E7C" w14:paraId="29938149" w14:textId="77777777" w:rsidTr="00B15ECB">
        <w:trPr>
          <w:trHeight w:val="938"/>
        </w:trPr>
        <w:tc>
          <w:tcPr>
            <w:tcW w:w="249" w:type="dxa"/>
            <w:tcBorders>
              <w:top w:val="nil"/>
              <w:bottom w:val="nil"/>
            </w:tcBorders>
            <w:shd w:val="clear" w:color="auto" w:fill="66CCFF"/>
          </w:tcPr>
          <w:p w14:paraId="2807C70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D6A188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7A3CB2FC" w14:textId="77777777" w:rsidR="00DD3EFA" w:rsidRPr="005A0E7C" w:rsidRDefault="00DD3EFA" w:rsidP="00B15ECB">
            <w:r w:rsidRPr="005A0E7C">
              <w:t xml:space="preserve">Plnění koncepce bude v pravidelných intervalech vyhodnocováno. Monitoring plnění Akčních plánů bude mimo posledního roku implementace Akčního plánu probíhat vždy v listopadu a prosinci daného roku, v posledním roce implementace pak od července do srpna. V posledním roce implementace Akčního plánu bude vždy od září do prosince plnění Akčního plánu vyhodnoceno, a bude zpracován následný Akční plán, který bude včetně vyhodnocení toho předchozího předložen vládě ČR ke schválení v březnu následujícího roku (blíže viz harmonogram monitoringu a vyhodnocování plnění cílů v Koncepci). </w:t>
            </w:r>
          </w:p>
          <w:p w14:paraId="05AB5E9E" w14:textId="77777777" w:rsidR="00DD3EFA" w:rsidRPr="005A0E7C" w:rsidRDefault="00DD3EFA" w:rsidP="00B15ECB"/>
          <w:p w14:paraId="1A598AA0" w14:textId="77777777" w:rsidR="00DD3EFA" w:rsidRPr="005A0E7C" w:rsidRDefault="00DD3EFA" w:rsidP="00B15ECB">
            <w:r w:rsidRPr="005A0E7C">
              <w:t xml:space="preserve">V prvním roce implementace Koncepce bude zpracována také dopadová ex post evaluace SRR VS, která se stane důležitým vstupem do 2. Akčního plánu. Zpracování dopadové ex post evaluace je plánováno také v roce 2031, po skončení planosti Koncepce. </w:t>
            </w:r>
          </w:p>
        </w:tc>
        <w:tc>
          <w:tcPr>
            <w:tcW w:w="249" w:type="dxa"/>
            <w:tcBorders>
              <w:top w:val="nil"/>
              <w:bottom w:val="nil"/>
            </w:tcBorders>
            <w:shd w:val="clear" w:color="auto" w:fill="66CCFF"/>
          </w:tcPr>
          <w:p w14:paraId="7827CA94" w14:textId="77777777" w:rsidR="00DD3EFA" w:rsidRPr="005A0E7C" w:rsidRDefault="00DD3EFA" w:rsidP="00B15ECB">
            <w:pPr>
              <w:rPr>
                <w:b/>
              </w:rPr>
            </w:pPr>
          </w:p>
        </w:tc>
      </w:tr>
      <w:tr w:rsidR="00DD3EFA" w:rsidRPr="005A0E7C" w14:paraId="2397FB4F" w14:textId="77777777" w:rsidTr="00B15ECB">
        <w:trPr>
          <w:trHeight w:val="130"/>
        </w:trPr>
        <w:tc>
          <w:tcPr>
            <w:tcW w:w="249" w:type="dxa"/>
            <w:tcBorders>
              <w:top w:val="nil"/>
              <w:bottom w:val="nil"/>
              <w:right w:val="nil"/>
            </w:tcBorders>
            <w:shd w:val="clear" w:color="auto" w:fill="66CCFF"/>
          </w:tcPr>
          <w:p w14:paraId="1AD38831" w14:textId="77777777" w:rsidR="00DD3EFA" w:rsidRPr="005A0E7C" w:rsidRDefault="00DD3EFA" w:rsidP="00B15ECB">
            <w:pPr>
              <w:rPr>
                <w:b/>
              </w:rPr>
            </w:pPr>
          </w:p>
        </w:tc>
        <w:tc>
          <w:tcPr>
            <w:tcW w:w="2548" w:type="dxa"/>
            <w:tcBorders>
              <w:left w:val="nil"/>
              <w:right w:val="nil"/>
            </w:tcBorders>
            <w:shd w:val="clear" w:color="auto" w:fill="66CCFF"/>
          </w:tcPr>
          <w:p w14:paraId="401C7BE5" w14:textId="77777777" w:rsidR="00DD3EFA" w:rsidRPr="005A0E7C" w:rsidRDefault="00DD3EFA" w:rsidP="00B15ECB">
            <w:pPr>
              <w:rPr>
                <w:b/>
              </w:rPr>
            </w:pPr>
          </w:p>
        </w:tc>
        <w:tc>
          <w:tcPr>
            <w:tcW w:w="5978" w:type="dxa"/>
            <w:tcBorders>
              <w:left w:val="nil"/>
              <w:right w:val="nil"/>
            </w:tcBorders>
            <w:shd w:val="clear" w:color="auto" w:fill="66CCFF"/>
          </w:tcPr>
          <w:p w14:paraId="1FC9CD9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1BE10C0C" w14:textId="77777777" w:rsidR="00DD3EFA" w:rsidRPr="005A0E7C" w:rsidRDefault="00DD3EFA" w:rsidP="00B15ECB">
            <w:pPr>
              <w:rPr>
                <w:b/>
              </w:rPr>
            </w:pPr>
          </w:p>
        </w:tc>
      </w:tr>
      <w:tr w:rsidR="00DD3EFA" w:rsidRPr="005A0E7C" w14:paraId="1E633964" w14:textId="77777777" w:rsidTr="00B15ECB">
        <w:trPr>
          <w:trHeight w:val="1258"/>
        </w:trPr>
        <w:tc>
          <w:tcPr>
            <w:tcW w:w="249" w:type="dxa"/>
            <w:tcBorders>
              <w:top w:val="nil"/>
              <w:bottom w:val="nil"/>
              <w:right w:val="nil"/>
            </w:tcBorders>
            <w:shd w:val="clear" w:color="auto" w:fill="66CCFF"/>
          </w:tcPr>
          <w:p w14:paraId="1890BC1A" w14:textId="77777777" w:rsidR="00DD3EFA" w:rsidRPr="005A0E7C" w:rsidRDefault="00DD3EFA" w:rsidP="00B15ECB">
            <w:pPr>
              <w:rPr>
                <w:b/>
              </w:rPr>
            </w:pPr>
          </w:p>
        </w:tc>
        <w:tc>
          <w:tcPr>
            <w:tcW w:w="8526" w:type="dxa"/>
            <w:gridSpan w:val="2"/>
            <w:shd w:val="clear" w:color="auto" w:fill="FFFFFF" w:themeFill="background1"/>
          </w:tcPr>
          <w:p w14:paraId="038CDFFB"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4E794BF1" w14:textId="77777777" w:rsidR="00DD3EFA" w:rsidRPr="005A0E7C" w:rsidRDefault="00DD3EFA" w:rsidP="00B15ECB">
            <w:pPr>
              <w:rPr>
                <w:b/>
              </w:rPr>
            </w:pPr>
          </w:p>
        </w:tc>
      </w:tr>
      <w:tr w:rsidR="00DD3EFA" w:rsidRPr="005A0E7C" w14:paraId="1C074D71" w14:textId="77777777" w:rsidTr="00B15ECB">
        <w:trPr>
          <w:trHeight w:val="1258"/>
        </w:trPr>
        <w:tc>
          <w:tcPr>
            <w:tcW w:w="249" w:type="dxa"/>
            <w:tcBorders>
              <w:top w:val="nil"/>
              <w:bottom w:val="nil"/>
              <w:right w:val="nil"/>
            </w:tcBorders>
            <w:shd w:val="clear" w:color="auto" w:fill="66CCFF"/>
          </w:tcPr>
          <w:p w14:paraId="5F9D66D3" w14:textId="77777777" w:rsidR="00DD3EFA" w:rsidRPr="005A0E7C" w:rsidRDefault="00DD3EFA" w:rsidP="00B15ECB">
            <w:pPr>
              <w:rPr>
                <w:b/>
              </w:rPr>
            </w:pPr>
          </w:p>
        </w:tc>
        <w:tc>
          <w:tcPr>
            <w:tcW w:w="2548" w:type="dxa"/>
            <w:shd w:val="clear" w:color="auto" w:fill="FFFFFF" w:themeFill="background1"/>
          </w:tcPr>
          <w:p w14:paraId="347EA104" w14:textId="77777777" w:rsidR="00DD3EFA" w:rsidRPr="005A0E7C" w:rsidRDefault="00DD3EFA" w:rsidP="00B15ECB">
            <w:pPr>
              <w:rPr>
                <w:rFonts w:eastAsiaTheme="majorEastAsia"/>
                <w:b/>
              </w:rPr>
            </w:pPr>
            <w:r w:rsidRPr="005A0E7C">
              <w:rPr>
                <w:rFonts w:eastAsiaTheme="majorEastAsia"/>
                <w:b/>
              </w:rPr>
              <w:t>Věcný posun oblasti</w:t>
            </w:r>
          </w:p>
          <w:p w14:paraId="78F3F3A9"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1D79919" w14:textId="77777777" w:rsidR="00DD3EFA" w:rsidRPr="005A0E7C" w:rsidRDefault="00DD3EFA" w:rsidP="00B15ECB">
            <w:r w:rsidRPr="005A0E7C">
              <w:t>Oblast veřejné správy byla ze zdrojů ESIF podporována v současném i minulém programovém období. V programovém období 2007-2013 učinila veřejná správa největší pokroky v oblastech zavedení kontaktních míst sítě CzechPoint, zavedení datových schránek, strategického řízení, zvýšení kompetencí zaměstnanců, řízení kvality apod., což je patrné i ze závěrů zpracované Dopadové ex post evaluace Strategie realizace Smart Administration v období 2007-2015</w:t>
            </w:r>
            <w:r w:rsidRPr="005A0E7C">
              <w:rPr>
                <w:rStyle w:val="Znakapoznpodarou"/>
              </w:rPr>
              <w:footnoteReference w:id="22"/>
            </w:r>
            <w:r w:rsidRPr="005A0E7C">
              <w:t>. V aktuálním programovém období dochází k největším pokrokům v oblasti řešení dlouhodobě přetrvávajících problémů v územním členění státu, zlepšování kvality poskytovaných služeb, zvyšování odborných kompetencí zastupitelů, analytického zhodnocení řady problémových oblastí, zpracování strategických materiálů apod., což prokazuje i Druhá evaluační zpráva k plnění Strategického rámce rozvoje veřejné správy ČR pro období 2014-2020</w:t>
            </w:r>
            <w:r w:rsidRPr="005A0E7C">
              <w:rPr>
                <w:rStyle w:val="Znakapoznpodarou"/>
              </w:rPr>
              <w:footnoteReference w:id="23"/>
            </w:r>
            <w:r w:rsidRPr="005A0E7C">
              <w:t>.</w:t>
            </w:r>
          </w:p>
          <w:p w14:paraId="5495EE6C" w14:textId="77777777" w:rsidR="00DD3EFA" w:rsidRPr="005A0E7C" w:rsidRDefault="00DD3EFA" w:rsidP="00B15ECB"/>
          <w:p w14:paraId="16E89182" w14:textId="77777777" w:rsidR="00DD3EFA" w:rsidRPr="005A0E7C" w:rsidRDefault="00DD3EFA" w:rsidP="00B15ECB">
            <w:r w:rsidRPr="005A0E7C">
              <w:t>Stejně tak i strategická evaluace OPZ I – relevance z 30. března 2017</w:t>
            </w:r>
            <w:r w:rsidRPr="005A0E7C">
              <w:rPr>
                <w:rStyle w:val="Znakapoznpodarou"/>
              </w:rPr>
              <w:footnoteReference w:id="24"/>
            </w:r>
            <w:r w:rsidRPr="005A0E7C">
              <w:t xml:space="preserve"> konstatuje, že prostředky týkající se měkkých aktivit veřejné správy jsou koncentrovány do relevantních témat, které je potřebné řešit. Indikátory jsou dle závěrů zprávy nastaveny vhodně a plně pokrývají všechny identifikované problémy. Obdobná konstatování pak předkládá také Výroční zpráva OPZ za rok 2017.  </w:t>
            </w:r>
          </w:p>
          <w:p w14:paraId="1E081AE6" w14:textId="77777777" w:rsidR="00DD3EFA" w:rsidRPr="005A0E7C" w:rsidRDefault="00DD3EFA" w:rsidP="00B15ECB"/>
          <w:p w14:paraId="37FCA0ED" w14:textId="2FC5AE7A" w:rsidR="00DD3EFA" w:rsidRPr="005A0E7C" w:rsidRDefault="00DD3EFA" w:rsidP="00B15ECB">
            <w:r w:rsidRPr="005A0E7C">
              <w:t>Konkrétně:  téměř 300 zastupitelů bylo komplexně proškoleno ve všech nejdůležitějších oblastech hospodaření obce, téměř 1000 zastupitelů pak ve vybraných oblastech hospodaření, vydána byla přehledová publikace, určená novým zastupitelům s názvem „Jsem zastupitel/ka“. Byl připraven nový návrh zákona o územně správním členění státu, vznikl také návrh optimalizace matričních úřadů a financování matriční agendy, který bude v roce 2019 dále projednáván s partnery. Spuštěna byla soutěž Přívětivý úřad, motivující obce k zavádění moderních a kvalitních služeb pro občany. Byl vytvořen Termínovník, metodický účetní nástroj pro obce, metodicky i kontinuálním šíře</w:t>
            </w:r>
            <w:r w:rsidR="00203AE0" w:rsidRPr="005A0E7C">
              <w:t>ní</w:t>
            </w:r>
            <w:r w:rsidRPr="005A0E7C">
              <w:t xml:space="preserve">m best practice bylo podpořeno také řízení kvality v územně samosprávných celcích i služebních úřadech. Každoročně je vydávána Výroční zpráva o stavu veřejné správy, shrnující posun a zajímavé informace o veřejné správě za předchozí rok. </w:t>
            </w:r>
          </w:p>
          <w:p w14:paraId="71B686DA" w14:textId="77777777" w:rsidR="00DD3EFA" w:rsidRPr="005A0E7C" w:rsidRDefault="00DD3EFA" w:rsidP="00B15ECB"/>
          <w:p w14:paraId="02604279" w14:textId="4B7F3E1D" w:rsidR="00DD3EFA" w:rsidRPr="005A0E7C" w:rsidRDefault="00DD3EFA" w:rsidP="00B15ECB">
            <w:r w:rsidRPr="005A0E7C">
              <w:t xml:space="preserve">Ze závěrů  uvedených evaluačních materiálů, stejně jako ze zkušeností z reálné praxe lze usoudit, že podpora byla většinově koncentrována účelně a účinně, ačkoliv dostatečně nebyla pokryta všechna věcná témata, které je v prostředí české veřejné správy potřebné řešit. Řadu těchto nových oblastí otevírá a </w:t>
            </w:r>
            <w:r w:rsidR="00203AE0" w:rsidRPr="005A0E7C">
              <w:t>zamýšlí</w:t>
            </w:r>
            <w:r w:rsidRPr="005A0E7C">
              <w:t xml:space="preserve"> konkrétně řešit právě připravovaná Koncepce (viz výše). </w:t>
            </w:r>
          </w:p>
          <w:p w14:paraId="41E2D760" w14:textId="77777777" w:rsidR="00DD3EFA" w:rsidRPr="005A0E7C" w:rsidRDefault="00DD3EFA">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left w:val="nil"/>
              <w:bottom w:val="nil"/>
            </w:tcBorders>
            <w:shd w:val="clear" w:color="auto" w:fill="66CCFF"/>
          </w:tcPr>
          <w:p w14:paraId="366D594A" w14:textId="77777777" w:rsidR="00DD3EFA" w:rsidRPr="005A0E7C" w:rsidRDefault="00DD3EFA" w:rsidP="00B15ECB">
            <w:pPr>
              <w:rPr>
                <w:b/>
              </w:rPr>
            </w:pPr>
          </w:p>
        </w:tc>
      </w:tr>
      <w:tr w:rsidR="00DD3EFA" w:rsidRPr="005A0E7C" w14:paraId="17365CD9" w14:textId="77777777" w:rsidTr="00B15ECB">
        <w:trPr>
          <w:trHeight w:val="1258"/>
        </w:trPr>
        <w:tc>
          <w:tcPr>
            <w:tcW w:w="249" w:type="dxa"/>
            <w:tcBorders>
              <w:top w:val="nil"/>
              <w:bottom w:val="nil"/>
              <w:right w:val="nil"/>
            </w:tcBorders>
            <w:shd w:val="clear" w:color="auto" w:fill="66CCFF"/>
          </w:tcPr>
          <w:p w14:paraId="5F32AE8F" w14:textId="77777777" w:rsidR="00DD3EFA" w:rsidRPr="005A0E7C" w:rsidRDefault="00DD3EFA" w:rsidP="00B15ECB">
            <w:pPr>
              <w:rPr>
                <w:b/>
              </w:rPr>
            </w:pPr>
          </w:p>
        </w:tc>
        <w:tc>
          <w:tcPr>
            <w:tcW w:w="2548" w:type="dxa"/>
            <w:shd w:val="clear" w:color="auto" w:fill="FFFFFF" w:themeFill="background1"/>
          </w:tcPr>
          <w:p w14:paraId="365F7ADE" w14:textId="77777777" w:rsidR="00DD3EFA" w:rsidRPr="005A0E7C" w:rsidRDefault="00DD3EFA" w:rsidP="00B15ECB">
            <w:pPr>
              <w:rPr>
                <w:rFonts w:eastAsiaTheme="majorEastAsia"/>
                <w:b/>
              </w:rPr>
            </w:pPr>
            <w:r w:rsidRPr="005A0E7C">
              <w:rPr>
                <w:rFonts w:eastAsiaTheme="majorEastAsia"/>
                <w:b/>
              </w:rPr>
              <w:t>Synergické a multiplikační efekty</w:t>
            </w:r>
          </w:p>
          <w:p w14:paraId="07F9651A"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05A850BE" w14:textId="77777777" w:rsidR="00DD3EFA" w:rsidRPr="005A0E7C" w:rsidRDefault="00DD3EFA" w:rsidP="00B15ECB">
            <w:r w:rsidRPr="005A0E7C">
              <w:t>Dobře fungující veřejná správa, tj. veřejná správa disponující kompetentními zaměstnanci, využívajícími efektivně fungující procesy přípravy a realizace politik, významně ovlivňuje úspěšnost realizace všech sektorových politik, ať už se jedná o oblast sociální, podnikání, životního prostředí či inovací. Podpora oblasti veřejné správy má tedy významné multiplikační efekty, které se pozitivně projevují na výsledcích všech dalších oblastí (např. na základě podpory rozvoje meziobecní spolupráce došlo k efektivnější správě agend v oblasti sociální, odpadové, hospodářské resp. školské, která byla dříve řešena více izolovaně na úrovni jednotlivých obcí, čímž došlo k pozitivnímu ovlivnění fungování jmenovaných sektorů)</w:t>
            </w:r>
          </w:p>
          <w:p w14:paraId="252E48A4" w14:textId="77777777" w:rsidR="00DD3EFA" w:rsidRPr="005A0E7C" w:rsidRDefault="00DD3EFA" w:rsidP="00B15ECB"/>
          <w:p w14:paraId="7BA57738" w14:textId="77777777" w:rsidR="00DD3EFA" w:rsidRPr="005A0E7C" w:rsidRDefault="00DD3EFA" w:rsidP="00B15ECB"/>
          <w:p w14:paraId="15DB8FAA" w14:textId="77777777" w:rsidR="00DD3EFA" w:rsidRPr="005A0E7C" w:rsidRDefault="00DD3EFA">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left w:val="nil"/>
              <w:bottom w:val="nil"/>
            </w:tcBorders>
            <w:shd w:val="clear" w:color="auto" w:fill="66CCFF"/>
          </w:tcPr>
          <w:p w14:paraId="23232B06" w14:textId="77777777" w:rsidR="00DD3EFA" w:rsidRPr="005A0E7C" w:rsidRDefault="00DD3EFA" w:rsidP="00B15ECB">
            <w:pPr>
              <w:rPr>
                <w:b/>
              </w:rPr>
            </w:pPr>
          </w:p>
        </w:tc>
      </w:tr>
      <w:tr w:rsidR="00DD3EFA" w:rsidRPr="002D2123" w14:paraId="6F4A047E" w14:textId="77777777" w:rsidTr="00B15ECB">
        <w:trPr>
          <w:trHeight w:val="180"/>
        </w:trPr>
        <w:tc>
          <w:tcPr>
            <w:tcW w:w="249" w:type="dxa"/>
            <w:tcBorders>
              <w:top w:val="nil"/>
              <w:bottom w:val="nil"/>
              <w:right w:val="nil"/>
            </w:tcBorders>
            <w:shd w:val="clear" w:color="auto" w:fill="66CCFF"/>
          </w:tcPr>
          <w:p w14:paraId="1B94B83E" w14:textId="77777777" w:rsidR="00DD3EFA" w:rsidRPr="002D2123" w:rsidRDefault="00DD3EFA" w:rsidP="00B15ECB">
            <w:pPr>
              <w:rPr>
                <w:b/>
                <w:sz w:val="10"/>
                <w:szCs w:val="10"/>
              </w:rPr>
            </w:pPr>
          </w:p>
        </w:tc>
        <w:tc>
          <w:tcPr>
            <w:tcW w:w="2548" w:type="dxa"/>
            <w:tcBorders>
              <w:left w:val="nil"/>
              <w:bottom w:val="single" w:sz="4" w:space="0" w:color="auto"/>
              <w:right w:val="nil"/>
            </w:tcBorders>
            <w:shd w:val="clear" w:color="auto" w:fill="66CCFF"/>
          </w:tcPr>
          <w:p w14:paraId="336CD9F9" w14:textId="77777777" w:rsidR="00DD3EFA" w:rsidRPr="002D2123" w:rsidRDefault="00DD3EFA" w:rsidP="00B15ECB">
            <w:pPr>
              <w:rPr>
                <w:b/>
                <w:sz w:val="10"/>
                <w:szCs w:val="10"/>
              </w:rPr>
            </w:pPr>
          </w:p>
        </w:tc>
        <w:tc>
          <w:tcPr>
            <w:tcW w:w="5978" w:type="dxa"/>
            <w:tcBorders>
              <w:left w:val="nil"/>
              <w:bottom w:val="single" w:sz="4" w:space="0" w:color="auto"/>
              <w:right w:val="nil"/>
            </w:tcBorders>
            <w:shd w:val="clear" w:color="auto" w:fill="66CCFF"/>
          </w:tcPr>
          <w:p w14:paraId="71F2E8D1" w14:textId="77777777" w:rsidR="00DD3EFA" w:rsidRPr="002D2123" w:rsidRDefault="00DD3EFA" w:rsidP="00B15ECB">
            <w:pPr>
              <w:rPr>
                <w:b/>
                <w:sz w:val="10"/>
                <w:szCs w:val="10"/>
              </w:rPr>
            </w:pPr>
          </w:p>
        </w:tc>
        <w:tc>
          <w:tcPr>
            <w:tcW w:w="249" w:type="dxa"/>
            <w:tcBorders>
              <w:top w:val="nil"/>
              <w:left w:val="nil"/>
              <w:bottom w:val="nil"/>
            </w:tcBorders>
            <w:shd w:val="clear" w:color="auto" w:fill="66CCFF"/>
          </w:tcPr>
          <w:p w14:paraId="0EDA7F15" w14:textId="77777777" w:rsidR="00DD3EFA" w:rsidRPr="002D2123" w:rsidRDefault="00DD3EFA" w:rsidP="00B15ECB">
            <w:pPr>
              <w:rPr>
                <w:b/>
                <w:sz w:val="10"/>
                <w:szCs w:val="10"/>
              </w:rPr>
            </w:pPr>
          </w:p>
        </w:tc>
      </w:tr>
      <w:tr w:rsidR="00DD3EFA" w:rsidRPr="002D2123" w14:paraId="22AE13EE" w14:textId="77777777" w:rsidTr="00B15ECB">
        <w:trPr>
          <w:trHeight w:val="990"/>
        </w:trPr>
        <w:tc>
          <w:tcPr>
            <w:tcW w:w="249" w:type="dxa"/>
            <w:tcBorders>
              <w:top w:val="nil"/>
              <w:bottom w:val="nil"/>
            </w:tcBorders>
            <w:shd w:val="clear" w:color="auto" w:fill="66CCFF"/>
          </w:tcPr>
          <w:p w14:paraId="059B5B00" w14:textId="77777777" w:rsidR="00DD3EFA" w:rsidRPr="002D2123" w:rsidRDefault="00DD3EFA" w:rsidP="00B15ECB">
            <w:pPr>
              <w:rPr>
                <w:b/>
                <w:sz w:val="10"/>
                <w:szCs w:val="10"/>
              </w:rPr>
            </w:pPr>
          </w:p>
        </w:tc>
        <w:tc>
          <w:tcPr>
            <w:tcW w:w="8526" w:type="dxa"/>
            <w:gridSpan w:val="2"/>
            <w:tcBorders>
              <w:bottom w:val="single" w:sz="4" w:space="0" w:color="auto"/>
            </w:tcBorders>
            <w:shd w:val="clear" w:color="auto" w:fill="FFFFFF" w:themeFill="background1"/>
          </w:tcPr>
          <w:p w14:paraId="33FEC0FA" w14:textId="77777777" w:rsidR="00DD3EFA" w:rsidRPr="002D2123" w:rsidRDefault="00DD3EFA" w:rsidP="00B15ECB">
            <w:pPr>
              <w:spacing w:before="60" w:after="60"/>
              <w:rPr>
                <w:rFonts w:eastAsiaTheme="majorEastAsia"/>
                <w:i/>
                <w:u w:val="single"/>
              </w:rPr>
            </w:pPr>
            <w:r w:rsidRPr="002D2123">
              <w:rPr>
                <w:rFonts w:eastAsiaTheme="majorEastAsia"/>
                <w:b/>
              </w:rPr>
              <w:t>Absorpční kapacita</w:t>
            </w:r>
            <w:r w:rsidRPr="002D2123">
              <w:rPr>
                <w:rFonts w:eastAsiaTheme="majorEastAsia"/>
                <w:i/>
                <w:u w:val="single"/>
              </w:rPr>
              <w:t xml:space="preserve"> </w:t>
            </w:r>
          </w:p>
          <w:p w14:paraId="4F3E1694" w14:textId="77777777" w:rsidR="00DD3EFA" w:rsidRPr="002D2123" w:rsidRDefault="00DD3EFA" w:rsidP="00B15ECB">
            <w:pPr>
              <w:spacing w:before="60" w:after="60"/>
              <w:rPr>
                <w:rFonts w:eastAsiaTheme="majorEastAsia"/>
              </w:rPr>
            </w:pPr>
          </w:p>
        </w:tc>
        <w:tc>
          <w:tcPr>
            <w:tcW w:w="249" w:type="dxa"/>
            <w:tcBorders>
              <w:top w:val="nil"/>
              <w:bottom w:val="nil"/>
            </w:tcBorders>
            <w:shd w:val="clear" w:color="auto" w:fill="66CCFF"/>
          </w:tcPr>
          <w:p w14:paraId="1BF50ADA" w14:textId="77777777" w:rsidR="00DD3EFA" w:rsidRPr="002D2123" w:rsidRDefault="00DD3EFA" w:rsidP="00B15ECB">
            <w:pPr>
              <w:rPr>
                <w:b/>
                <w:sz w:val="10"/>
                <w:szCs w:val="10"/>
              </w:rPr>
            </w:pPr>
          </w:p>
        </w:tc>
      </w:tr>
      <w:tr w:rsidR="00DD3EFA" w:rsidRPr="005A0E7C" w14:paraId="46A9D2BF" w14:textId="77777777" w:rsidTr="00B15ECB">
        <w:trPr>
          <w:trHeight w:val="1260"/>
        </w:trPr>
        <w:tc>
          <w:tcPr>
            <w:tcW w:w="249" w:type="dxa"/>
            <w:tcBorders>
              <w:top w:val="nil"/>
              <w:bottom w:val="nil"/>
            </w:tcBorders>
            <w:shd w:val="clear" w:color="auto" w:fill="66CCFF"/>
          </w:tcPr>
          <w:p w14:paraId="0B3F56E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7F65DD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617A2312" w14:textId="77777777" w:rsidR="00DD3EFA" w:rsidRPr="005A0E7C" w:rsidRDefault="00DD3EFA" w:rsidP="00B15ECB">
            <w:r w:rsidRPr="005A0E7C">
              <w:t xml:space="preserve">Problematika zefektivnění veřejné správy je ve stávajícím období finančně podporována z OPZ a IROP. </w:t>
            </w:r>
          </w:p>
          <w:p w14:paraId="25A044F4" w14:textId="77777777" w:rsidR="00DD3EFA" w:rsidRPr="005A0E7C" w:rsidRDefault="00DD3EFA" w:rsidP="00B15ECB"/>
          <w:p w14:paraId="10820F33" w14:textId="77777777" w:rsidR="00DD3EFA" w:rsidRPr="005A0E7C" w:rsidRDefault="00DD3EFA" w:rsidP="00B15ECB">
            <w:r w:rsidRPr="005A0E7C">
              <w:t xml:space="preserve">Podpora v rámci OPZ je zaměřena na zvýšení efektivity, odbornosti a transparentnosti veřejné správy, a to na úrovni státní správy i územních samospráv. Alokované zdroje jednotlivých výzev jsou kontinuálně čerpány na strategicky ukotvené systémové projekty Ministerstva vnitra, jako je např. implementační jednotka SRR VS či projektová kancelář, velký zájem ze strany ostatních centrálních orgánů i územní samosprávy je zejména o projekty vzdělávací či projekty zaměřené na tvorbu analytických a strategických dokumentů. </w:t>
            </w:r>
          </w:p>
          <w:p w14:paraId="688DC0BC" w14:textId="77777777" w:rsidR="00DD3EFA" w:rsidRPr="005A0E7C" w:rsidRDefault="00DD3EFA" w:rsidP="00B15ECB"/>
          <w:p w14:paraId="2127E8C1" w14:textId="77777777" w:rsidR="00DD3EFA" w:rsidRPr="005A0E7C" w:rsidRDefault="00DD3EFA" w:rsidP="00B15ECB">
            <w:r w:rsidRPr="005A0E7C">
              <w:t xml:space="preserve">V současném programovém období 2014-2020 lze předpokládat vyčerpání alokace, přidělené na rozvoj veřejné správy v rámci Operačního programu Zaměstnanost, prioritní osy č. 4 Efektivní veřejná správa, a to jak ve vztahu k příjemcům z řad ústředních orgánů státní správy, tak i územní samosprávy. </w:t>
            </w:r>
            <w:r w:rsidRPr="005A0E7C">
              <w:rPr>
                <w:b/>
              </w:rPr>
              <w:t>K 31. 12. 2018 bylo na základě uzavřených právních aktů zazávazkováno v přepočtu cca 2 995 939 119 Kč z celkové alokace PO4 OPZ, která činí cca 3 304 918 526 Kč.</w:t>
            </w:r>
            <w:r w:rsidRPr="005A0E7C">
              <w:t xml:space="preserve"> </w:t>
            </w:r>
          </w:p>
          <w:p w14:paraId="131902A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p>
          <w:p w14:paraId="41870ED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IROP jde především o zvýšení dostupnosti služeb eGovernmentu, tedy o elektronizaci veřejné správy, která je součástí jiných podoblastí. Podporován je tak eGovernment, kybernetická bezpečnost a specifické informační a komunikační systémy a infrastruktura. Zájem institucí o tyto výzvy překročil stanovené alokace. </w:t>
            </w:r>
          </w:p>
        </w:tc>
        <w:tc>
          <w:tcPr>
            <w:tcW w:w="249" w:type="dxa"/>
            <w:tcBorders>
              <w:top w:val="nil"/>
              <w:bottom w:val="nil"/>
            </w:tcBorders>
            <w:shd w:val="clear" w:color="auto" w:fill="66CCFF"/>
          </w:tcPr>
          <w:p w14:paraId="75512FF5" w14:textId="77777777" w:rsidR="00DD3EFA" w:rsidRPr="005A0E7C" w:rsidRDefault="00DD3EFA" w:rsidP="00B15ECB">
            <w:pPr>
              <w:rPr>
                <w:b/>
              </w:rPr>
            </w:pPr>
          </w:p>
        </w:tc>
      </w:tr>
      <w:tr w:rsidR="00DD3EFA" w:rsidRPr="005A0E7C" w14:paraId="0AD6C004" w14:textId="77777777" w:rsidTr="00B15ECB">
        <w:trPr>
          <w:trHeight w:val="850"/>
        </w:trPr>
        <w:tc>
          <w:tcPr>
            <w:tcW w:w="249" w:type="dxa"/>
            <w:tcBorders>
              <w:top w:val="nil"/>
              <w:bottom w:val="nil"/>
            </w:tcBorders>
            <w:shd w:val="clear" w:color="auto" w:fill="66CCFF"/>
          </w:tcPr>
          <w:p w14:paraId="7C06D64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D5678E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6968B7A4" w14:textId="77777777" w:rsidR="00DD3EFA" w:rsidRPr="005A0E7C" w:rsidRDefault="00DD3EFA" w:rsidP="00B15ECB">
            <w:r w:rsidRPr="005A0E7C">
              <w:t xml:space="preserve">Resort MV i relevantní stakeholdeři, zejména pak resorty a komunální svazy, deklarují svůj zájem o realizaci rozvojových aktivit v oblasti veřejné správy, které jsou mimo jiné zhmotněny i v připravované Koncepci, je tedy očekávána obdobná absorpční kapacita, jako v současném programovém období. </w:t>
            </w:r>
          </w:p>
          <w:p w14:paraId="7159EF3C" w14:textId="77777777" w:rsidR="00DD3EFA" w:rsidRPr="005A0E7C" w:rsidRDefault="00DD3EFA" w:rsidP="00B15ECB"/>
          <w:p w14:paraId="223BB6C7" w14:textId="77777777" w:rsidR="00DD3EFA" w:rsidRPr="005A0E7C" w:rsidRDefault="00DD3EFA">
            <w:pPr>
              <w:spacing w:before="60" w:after="60"/>
              <w:rPr>
                <w:rFonts w:eastAsiaTheme="majorEastAsia"/>
                <w:i/>
              </w:rPr>
            </w:pPr>
          </w:p>
        </w:tc>
        <w:tc>
          <w:tcPr>
            <w:tcW w:w="249" w:type="dxa"/>
            <w:tcBorders>
              <w:top w:val="nil"/>
              <w:bottom w:val="nil"/>
            </w:tcBorders>
            <w:shd w:val="clear" w:color="auto" w:fill="66CCFF"/>
          </w:tcPr>
          <w:p w14:paraId="67DFAC02" w14:textId="77777777" w:rsidR="00DD3EFA" w:rsidRPr="005A0E7C" w:rsidRDefault="00DD3EFA" w:rsidP="00B15ECB">
            <w:pPr>
              <w:rPr>
                <w:b/>
              </w:rPr>
            </w:pPr>
          </w:p>
        </w:tc>
      </w:tr>
      <w:tr w:rsidR="00DD3EFA" w:rsidRPr="005A0E7C" w14:paraId="19A75584" w14:textId="77777777" w:rsidTr="00B15ECB">
        <w:trPr>
          <w:trHeight w:val="925"/>
        </w:trPr>
        <w:tc>
          <w:tcPr>
            <w:tcW w:w="249" w:type="dxa"/>
            <w:tcBorders>
              <w:top w:val="nil"/>
              <w:bottom w:val="nil"/>
            </w:tcBorders>
            <w:shd w:val="clear" w:color="auto" w:fill="66CCFF"/>
          </w:tcPr>
          <w:p w14:paraId="6B91138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7A6CCC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1509D046" w14:textId="77777777" w:rsidR="00DD3EFA" w:rsidRPr="005A0E7C" w:rsidRDefault="00DD3EFA" w:rsidP="00B15ECB">
            <w:r w:rsidRPr="005A0E7C">
              <w:t>Konkrétní projektové záměry začnou být připravovány v prvním kvartálu roku 2019, kdy bude na základě návrhové části Koncepce vytvořen první Akční plán pro období 2021-2023, který již bude specifikovat konkrétní opatření a aktivity za účelem realizace cílů. Ministerstvo vnitra plánuje realizaci projektu, zaměřeného na realizaci prioritních cílů koncepce.</w:t>
            </w:r>
          </w:p>
          <w:p w14:paraId="3487BDD6" w14:textId="77777777" w:rsidR="00DD3EFA" w:rsidRPr="005A0E7C" w:rsidRDefault="00DD3EFA">
            <w:pPr>
              <w:spacing w:before="60" w:after="60"/>
              <w:rPr>
                <w:rFonts w:eastAsiaTheme="majorEastAsia"/>
                <w:i/>
              </w:rPr>
            </w:pPr>
          </w:p>
        </w:tc>
        <w:tc>
          <w:tcPr>
            <w:tcW w:w="249" w:type="dxa"/>
            <w:tcBorders>
              <w:top w:val="nil"/>
              <w:bottom w:val="nil"/>
            </w:tcBorders>
            <w:shd w:val="clear" w:color="auto" w:fill="66CCFF"/>
          </w:tcPr>
          <w:p w14:paraId="568A7B41" w14:textId="77777777" w:rsidR="00DD3EFA" w:rsidRPr="005A0E7C" w:rsidRDefault="00DD3EFA" w:rsidP="00B15ECB">
            <w:pPr>
              <w:rPr>
                <w:b/>
              </w:rPr>
            </w:pPr>
          </w:p>
        </w:tc>
      </w:tr>
      <w:tr w:rsidR="00DD3EFA" w:rsidRPr="005A0E7C" w14:paraId="43F608B2" w14:textId="77777777" w:rsidTr="00B15ECB">
        <w:trPr>
          <w:trHeight w:val="1001"/>
        </w:trPr>
        <w:tc>
          <w:tcPr>
            <w:tcW w:w="249" w:type="dxa"/>
            <w:tcBorders>
              <w:top w:val="nil"/>
              <w:bottom w:val="nil"/>
            </w:tcBorders>
            <w:shd w:val="clear" w:color="auto" w:fill="66CCFF"/>
          </w:tcPr>
          <w:p w14:paraId="438867D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303A5F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1E0334A0" w14:textId="77777777" w:rsidR="00DD3EFA" w:rsidRPr="005A0E7C" w:rsidRDefault="00DD3EFA" w:rsidP="00B15ECB">
            <w:r w:rsidRPr="005A0E7C">
              <w:t xml:space="preserve">Významnou bariérou efektivního čerpání v oblasti veřejné správy je i na základě pravidelné evaluace plnění SRR VS zejména nedostatečná míra koordinace a řízení ve veřejné správě, problematická je také neznalost relevantních dat o veřejné správě a jejím výkonu, která je způsobena přetrvávajícími problémy v oblasti sběru dat. Obě ze zmíněných překážek jsou předmětem řešení vznikající Koncepce a budou tedy vyřešeny nejpozději k datu ukončení její platnosti.  </w:t>
            </w:r>
          </w:p>
          <w:p w14:paraId="7C069891" w14:textId="77777777" w:rsidR="00DD3EFA" w:rsidRPr="005A0E7C" w:rsidRDefault="00DD3EFA">
            <w:pPr>
              <w:spacing w:before="60" w:after="60"/>
              <w:rPr>
                <w:rFonts w:eastAsiaTheme="majorEastAsia"/>
                <w:i/>
              </w:rPr>
            </w:pPr>
          </w:p>
        </w:tc>
        <w:tc>
          <w:tcPr>
            <w:tcW w:w="249" w:type="dxa"/>
            <w:tcBorders>
              <w:top w:val="nil"/>
              <w:bottom w:val="nil"/>
            </w:tcBorders>
            <w:shd w:val="clear" w:color="auto" w:fill="66CCFF"/>
          </w:tcPr>
          <w:p w14:paraId="2417E698" w14:textId="77777777" w:rsidR="00DD3EFA" w:rsidRPr="005A0E7C" w:rsidRDefault="00DD3EFA" w:rsidP="00B15ECB">
            <w:pPr>
              <w:rPr>
                <w:b/>
              </w:rPr>
            </w:pPr>
          </w:p>
        </w:tc>
      </w:tr>
      <w:tr w:rsidR="00DD3EFA" w:rsidRPr="005A0E7C" w14:paraId="1180B9CC"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0B86656"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D3ACAA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37C7713"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8F10605" w14:textId="77777777" w:rsidR="00DD3EFA" w:rsidRPr="005A0E7C" w:rsidRDefault="00DD3EFA" w:rsidP="00B15ECB">
            <w:pPr>
              <w:rPr>
                <w:b/>
              </w:rPr>
            </w:pPr>
          </w:p>
        </w:tc>
      </w:tr>
      <w:tr w:rsidR="00DD3EFA" w:rsidRPr="005A0E7C" w14:paraId="2E7DD1D9" w14:textId="77777777" w:rsidTr="00B15ECB">
        <w:trPr>
          <w:trHeight w:val="1559"/>
        </w:trPr>
        <w:tc>
          <w:tcPr>
            <w:tcW w:w="249" w:type="dxa"/>
            <w:tcBorders>
              <w:top w:val="single" w:sz="4" w:space="0" w:color="auto"/>
              <w:bottom w:val="nil"/>
            </w:tcBorders>
            <w:shd w:val="clear" w:color="auto" w:fill="66CCFF"/>
          </w:tcPr>
          <w:p w14:paraId="126481A2"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34CDD202"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56FE6C5E" w14:textId="77777777" w:rsidR="00DD3EFA" w:rsidRPr="005A0E7C" w:rsidRDefault="00DD3EFA" w:rsidP="00B15ECB">
            <w:pPr>
              <w:spacing w:before="60" w:after="60"/>
              <w:rPr>
                <w:rFonts w:eastAsiaTheme="majorEastAsia"/>
                <w:i/>
              </w:rPr>
            </w:pPr>
            <w:r w:rsidRPr="005A0E7C">
              <w:rPr>
                <w:rFonts w:eastAsiaTheme="majorEastAsia"/>
                <w:i/>
              </w:rPr>
              <w:t>Popsat další možné zdroje pro financování cíle v budoucím období, a zhodnotit reálnou možnost jejich využití.</w:t>
            </w:r>
          </w:p>
        </w:tc>
        <w:tc>
          <w:tcPr>
            <w:tcW w:w="249" w:type="dxa"/>
            <w:tcBorders>
              <w:top w:val="single" w:sz="4" w:space="0" w:color="auto"/>
              <w:bottom w:val="nil"/>
            </w:tcBorders>
            <w:shd w:val="clear" w:color="auto" w:fill="66CCFF"/>
          </w:tcPr>
          <w:p w14:paraId="79904396" w14:textId="77777777" w:rsidR="00DD3EFA" w:rsidRPr="005A0E7C" w:rsidRDefault="00DD3EFA" w:rsidP="00B15ECB">
            <w:pPr>
              <w:rPr>
                <w:b/>
              </w:rPr>
            </w:pPr>
          </w:p>
        </w:tc>
      </w:tr>
      <w:tr w:rsidR="00DD3EFA" w:rsidRPr="005A0E7C" w14:paraId="6A2C6901" w14:textId="77777777" w:rsidTr="00B15ECB">
        <w:trPr>
          <w:trHeight w:val="1968"/>
        </w:trPr>
        <w:tc>
          <w:tcPr>
            <w:tcW w:w="249" w:type="dxa"/>
            <w:tcBorders>
              <w:top w:val="nil"/>
              <w:bottom w:val="nil"/>
            </w:tcBorders>
            <w:shd w:val="clear" w:color="auto" w:fill="66CCFF"/>
          </w:tcPr>
          <w:p w14:paraId="2BE82B27" w14:textId="77777777" w:rsidR="00DD3EFA" w:rsidRPr="005A0E7C" w:rsidRDefault="00DD3EFA" w:rsidP="00B15ECB">
            <w:pPr>
              <w:rPr>
                <w:b/>
              </w:rPr>
            </w:pPr>
          </w:p>
        </w:tc>
        <w:tc>
          <w:tcPr>
            <w:tcW w:w="2548" w:type="dxa"/>
            <w:tcBorders>
              <w:top w:val="nil"/>
            </w:tcBorders>
            <w:shd w:val="clear" w:color="auto" w:fill="FFFFFF" w:themeFill="background1"/>
          </w:tcPr>
          <w:p w14:paraId="04CC4F4A"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2D0A6E60" w14:textId="77777777" w:rsidR="00DD3EFA" w:rsidRPr="005A0E7C" w:rsidRDefault="00DD3EFA" w:rsidP="00B15ECB">
            <w:r w:rsidRPr="005A0E7C">
              <w:t xml:space="preserve">Aktuálně je možné oblast veřejné správy mimo ESIF financovat také z jiných unijních zdrojů, zejména z přímo řízeného Programu na podporu strukturálních reforem (SRSP). Uvedené financování je však možné ve velmi omezené míře, a to nejen z důvodu výrazného převisu poptávky po podpoře z těchto programů, ale i z důvodu některých tematických omezení. </w:t>
            </w:r>
          </w:p>
          <w:p w14:paraId="04391DF6" w14:textId="77777777" w:rsidR="00DD3EFA" w:rsidRPr="005A0E7C" w:rsidRDefault="00DD3EFA" w:rsidP="00B15ECB">
            <w:r w:rsidRPr="005A0E7C">
              <w:t xml:space="preserve"> </w:t>
            </w:r>
          </w:p>
          <w:p w14:paraId="1E3F2BFA" w14:textId="77777777" w:rsidR="00DD3EFA" w:rsidRPr="005A0E7C" w:rsidRDefault="00DD3EFA" w:rsidP="00B15ECB">
            <w:pPr>
              <w:spacing w:before="60" w:after="60"/>
              <w:rPr>
                <w:rFonts w:eastAsiaTheme="majorEastAsia"/>
                <w:i/>
              </w:rPr>
            </w:pPr>
            <w:r w:rsidRPr="005A0E7C">
              <w:t>V budoucím programovém období by k financování širších reformních aktivit členských států, mimo jiné i v oblasti veřejné správy, měl sloužit Program na podporu reforem. Vůle k realizaci programem podporovaných reforem je však nejen v ČR odvislá od aktuální politické reprezentace a fáze volebního cyklu. V případě nevůle politické reprezentace by veřejná správa z uvedeného programu nemohla financovat nejen dílčí rozvojové aktivity, avšak i realizace širších reforem by nemusela být možná. Ačkoliv i pro MV se jistý prostor otevírá v rámci nástroje Technical Support, tento prostor je z hlediska alokovaných zdrojů, obdobně jako v případě existujícího SRSP, velmi omezený. Z tohoto důvodu by dle názoru MV neměl být Program na podporu reforem chápán jako alternativa financování veřejné správy z ESIF.</w:t>
            </w:r>
          </w:p>
        </w:tc>
        <w:tc>
          <w:tcPr>
            <w:tcW w:w="249" w:type="dxa"/>
            <w:tcBorders>
              <w:top w:val="nil"/>
              <w:bottom w:val="nil"/>
            </w:tcBorders>
            <w:shd w:val="clear" w:color="auto" w:fill="66CCFF"/>
          </w:tcPr>
          <w:p w14:paraId="7886E5D7" w14:textId="77777777" w:rsidR="00DD3EFA" w:rsidRPr="005A0E7C" w:rsidRDefault="00DD3EFA" w:rsidP="00B15ECB">
            <w:pPr>
              <w:rPr>
                <w:b/>
              </w:rPr>
            </w:pPr>
          </w:p>
        </w:tc>
      </w:tr>
      <w:tr w:rsidR="00DD3EFA" w:rsidRPr="005A0E7C" w14:paraId="4D8942E2" w14:textId="77777777" w:rsidTr="00B15ECB">
        <w:trPr>
          <w:trHeight w:val="1968"/>
        </w:trPr>
        <w:tc>
          <w:tcPr>
            <w:tcW w:w="249" w:type="dxa"/>
            <w:tcBorders>
              <w:top w:val="nil"/>
              <w:bottom w:val="nil"/>
            </w:tcBorders>
            <w:shd w:val="clear" w:color="auto" w:fill="66CCFF"/>
          </w:tcPr>
          <w:p w14:paraId="44C54DF7" w14:textId="77777777" w:rsidR="00DD3EFA" w:rsidRPr="005A0E7C" w:rsidRDefault="00DD3EFA" w:rsidP="00B15ECB">
            <w:pPr>
              <w:rPr>
                <w:b/>
              </w:rPr>
            </w:pPr>
          </w:p>
        </w:tc>
        <w:tc>
          <w:tcPr>
            <w:tcW w:w="2548" w:type="dxa"/>
            <w:tcBorders>
              <w:top w:val="nil"/>
            </w:tcBorders>
            <w:shd w:val="clear" w:color="auto" w:fill="FFFFFF" w:themeFill="background1"/>
          </w:tcPr>
          <w:p w14:paraId="604CC735"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7C832B38" w14:textId="77777777" w:rsidR="00DD3EFA" w:rsidRPr="005A0E7C" w:rsidRDefault="00DD3EFA" w:rsidP="00B15ECB">
            <w:pPr>
              <w:spacing w:before="60" w:after="60"/>
              <w:rPr>
                <w:rFonts w:eastAsiaTheme="majorEastAsia"/>
                <w:i/>
              </w:rPr>
            </w:pPr>
            <w:r w:rsidRPr="005A0E7C">
              <w:t>Podoblast je obecně standardně financována z národních zdrojů, kde však naráží na své limity. Státní rozpočet v dostatečné míře neumožňuje rozvoj inovací ve veřejné správě a s tím spojenou aplikaci inovativních nástrojů, jako je např. pilotování, testování apod., které je z hlediska státního rozpočtu často považováno za rizikové. Díky ESIF se tyto inovativní nástroje podařilo využít v řadě projektů a otestovat tak funkčnost či nefunkčnost navržených řešení.  Státní rozpočet pak do velké míry omezuje také  dostatečnou aplikaci evidence-informed přístupu či realizaci aktivit, které by instituce rády realizovaly nad rámec svých povinností, např. za účelem zlepšení pro-klientského přístupu, zvýšení odborných kompetencí, usnadnění participace občanů apod.</w:t>
            </w:r>
          </w:p>
        </w:tc>
        <w:tc>
          <w:tcPr>
            <w:tcW w:w="249" w:type="dxa"/>
            <w:tcBorders>
              <w:top w:val="nil"/>
              <w:bottom w:val="nil"/>
            </w:tcBorders>
            <w:shd w:val="clear" w:color="auto" w:fill="66CCFF"/>
          </w:tcPr>
          <w:p w14:paraId="4F1E03EC" w14:textId="77777777" w:rsidR="00DD3EFA" w:rsidRPr="005A0E7C" w:rsidRDefault="00DD3EFA" w:rsidP="00B15ECB">
            <w:pPr>
              <w:rPr>
                <w:b/>
              </w:rPr>
            </w:pPr>
          </w:p>
        </w:tc>
      </w:tr>
      <w:tr w:rsidR="00DD3EFA" w:rsidRPr="005A0E7C" w14:paraId="17C6E1B1" w14:textId="77777777" w:rsidTr="00B15ECB">
        <w:trPr>
          <w:trHeight w:val="1968"/>
        </w:trPr>
        <w:tc>
          <w:tcPr>
            <w:tcW w:w="249" w:type="dxa"/>
            <w:tcBorders>
              <w:top w:val="nil"/>
              <w:bottom w:val="nil"/>
            </w:tcBorders>
            <w:shd w:val="clear" w:color="auto" w:fill="66CCFF"/>
          </w:tcPr>
          <w:p w14:paraId="25D7C340" w14:textId="77777777" w:rsidR="00DD3EFA" w:rsidRPr="005A0E7C" w:rsidRDefault="00DD3EFA" w:rsidP="00B15ECB">
            <w:pPr>
              <w:rPr>
                <w:b/>
              </w:rPr>
            </w:pPr>
          </w:p>
        </w:tc>
        <w:tc>
          <w:tcPr>
            <w:tcW w:w="2548" w:type="dxa"/>
            <w:tcBorders>
              <w:top w:val="nil"/>
            </w:tcBorders>
            <w:shd w:val="clear" w:color="auto" w:fill="FFFFFF" w:themeFill="background1"/>
          </w:tcPr>
          <w:p w14:paraId="616A3E59"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43E6BCD7" w14:textId="77777777" w:rsidR="00DD3EFA" w:rsidRPr="005A0E7C" w:rsidRDefault="00DD3EFA" w:rsidP="00B15ECB">
            <w:r w:rsidRPr="005A0E7C">
              <w:t xml:space="preserve">Vybraná témata podoblasti by bylo aktuálně možné financovat také prostřednictvím tzv. Norských fondů. Jejich čerpání v oblasti veřejné správy je však aktuálně podmíněno zpracováním Public Governance Review ČR ze strany OECD. Vybraná témata, která budou odpovídat budoucímu nastavení cílů programu a programové oblasti, by tak bylo možné financovat až po roce 2023, kdy bude PGC dokončeno. Jaké však bude budoucí nastavení programu není známo. Možnosti podpory veřejné správy z tzv. Norských fondů jsou tedy nyní významně omezeny. </w:t>
            </w:r>
          </w:p>
        </w:tc>
        <w:tc>
          <w:tcPr>
            <w:tcW w:w="249" w:type="dxa"/>
            <w:tcBorders>
              <w:top w:val="nil"/>
              <w:bottom w:val="nil"/>
            </w:tcBorders>
            <w:shd w:val="clear" w:color="auto" w:fill="66CCFF"/>
          </w:tcPr>
          <w:p w14:paraId="05E75C26" w14:textId="77777777" w:rsidR="00DD3EFA" w:rsidRPr="005A0E7C" w:rsidRDefault="00DD3EFA" w:rsidP="00B15ECB">
            <w:pPr>
              <w:rPr>
                <w:b/>
              </w:rPr>
            </w:pPr>
          </w:p>
        </w:tc>
      </w:tr>
      <w:tr w:rsidR="00DD3EFA" w:rsidRPr="005A0E7C" w14:paraId="5887D12C" w14:textId="77777777" w:rsidTr="00B15ECB">
        <w:trPr>
          <w:trHeight w:val="1968"/>
        </w:trPr>
        <w:tc>
          <w:tcPr>
            <w:tcW w:w="249" w:type="dxa"/>
            <w:tcBorders>
              <w:top w:val="nil"/>
              <w:bottom w:val="nil"/>
            </w:tcBorders>
            <w:shd w:val="clear" w:color="auto" w:fill="66CCFF"/>
          </w:tcPr>
          <w:p w14:paraId="43CD0C81" w14:textId="77777777" w:rsidR="00DD3EFA" w:rsidRPr="005A0E7C" w:rsidRDefault="00DD3EFA" w:rsidP="00B15ECB">
            <w:pPr>
              <w:rPr>
                <w:b/>
              </w:rPr>
            </w:pPr>
          </w:p>
        </w:tc>
        <w:tc>
          <w:tcPr>
            <w:tcW w:w="2548" w:type="dxa"/>
            <w:tcBorders>
              <w:top w:val="nil"/>
            </w:tcBorders>
            <w:shd w:val="clear" w:color="auto" w:fill="FFFFFF" w:themeFill="background1"/>
          </w:tcPr>
          <w:p w14:paraId="2C659C76"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51302E69" w14:textId="77777777" w:rsidR="00DD3EFA" w:rsidRPr="005A0E7C" w:rsidRDefault="00DD3EFA" w:rsidP="00B15ECB">
            <w:pPr>
              <w:spacing w:before="60" w:after="60"/>
              <w:rPr>
                <w:rFonts w:eastAsiaTheme="majorEastAsia"/>
                <w:i/>
              </w:rPr>
            </w:pPr>
            <w:r w:rsidRPr="005A0E7C">
              <w:t xml:space="preserve">Financování oblasti prostřednictvím finančních nástrojů lze vnímat jako nerelevantní. </w:t>
            </w:r>
          </w:p>
        </w:tc>
        <w:tc>
          <w:tcPr>
            <w:tcW w:w="249" w:type="dxa"/>
            <w:tcBorders>
              <w:top w:val="nil"/>
              <w:bottom w:val="nil"/>
            </w:tcBorders>
            <w:shd w:val="clear" w:color="auto" w:fill="66CCFF"/>
          </w:tcPr>
          <w:p w14:paraId="4071604A" w14:textId="77777777" w:rsidR="00DD3EFA" w:rsidRPr="005A0E7C" w:rsidRDefault="00DD3EFA" w:rsidP="00B15ECB">
            <w:pPr>
              <w:rPr>
                <w:b/>
              </w:rPr>
            </w:pPr>
          </w:p>
        </w:tc>
      </w:tr>
      <w:tr w:rsidR="00DD3EFA" w:rsidRPr="005A0E7C" w14:paraId="07CA07C2" w14:textId="77777777" w:rsidTr="00B15ECB">
        <w:trPr>
          <w:trHeight w:val="150"/>
        </w:trPr>
        <w:tc>
          <w:tcPr>
            <w:tcW w:w="249" w:type="dxa"/>
            <w:tcBorders>
              <w:top w:val="nil"/>
              <w:right w:val="nil"/>
            </w:tcBorders>
            <w:shd w:val="clear" w:color="auto" w:fill="66CCFF"/>
          </w:tcPr>
          <w:p w14:paraId="6D705A1A" w14:textId="77777777" w:rsidR="00DD3EFA" w:rsidRPr="005A0E7C" w:rsidRDefault="00DD3EFA" w:rsidP="00B15ECB">
            <w:pPr>
              <w:rPr>
                <w:b/>
              </w:rPr>
            </w:pPr>
          </w:p>
        </w:tc>
        <w:tc>
          <w:tcPr>
            <w:tcW w:w="2548" w:type="dxa"/>
            <w:tcBorders>
              <w:left w:val="nil"/>
              <w:right w:val="nil"/>
            </w:tcBorders>
            <w:shd w:val="clear" w:color="auto" w:fill="66CCFF"/>
          </w:tcPr>
          <w:p w14:paraId="0A3D7E7A" w14:textId="77777777" w:rsidR="00DD3EFA" w:rsidRPr="005A0E7C" w:rsidRDefault="00DD3EFA" w:rsidP="00B15ECB">
            <w:pPr>
              <w:rPr>
                <w:b/>
              </w:rPr>
            </w:pPr>
          </w:p>
        </w:tc>
        <w:tc>
          <w:tcPr>
            <w:tcW w:w="5978" w:type="dxa"/>
            <w:tcBorders>
              <w:left w:val="nil"/>
              <w:right w:val="nil"/>
            </w:tcBorders>
            <w:shd w:val="clear" w:color="auto" w:fill="66CCFF"/>
          </w:tcPr>
          <w:p w14:paraId="7429B881" w14:textId="77777777" w:rsidR="00DD3EFA" w:rsidRPr="005A0E7C" w:rsidRDefault="00DD3EFA" w:rsidP="00B15ECB">
            <w:pPr>
              <w:rPr>
                <w:b/>
              </w:rPr>
            </w:pPr>
          </w:p>
        </w:tc>
        <w:tc>
          <w:tcPr>
            <w:tcW w:w="249" w:type="dxa"/>
            <w:tcBorders>
              <w:top w:val="nil"/>
              <w:left w:val="nil"/>
            </w:tcBorders>
            <w:shd w:val="clear" w:color="auto" w:fill="66CCFF"/>
          </w:tcPr>
          <w:p w14:paraId="7F9810D0" w14:textId="77777777" w:rsidR="00DD3EFA" w:rsidRPr="005A0E7C" w:rsidRDefault="00DD3EFA" w:rsidP="00B15ECB">
            <w:pPr>
              <w:rPr>
                <w:b/>
              </w:rPr>
            </w:pPr>
          </w:p>
        </w:tc>
      </w:tr>
    </w:tbl>
    <w:p w14:paraId="298BFC25"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9044" w:type="dxa"/>
        <w:tblInd w:w="-5" w:type="dxa"/>
        <w:shd w:val="clear" w:color="auto" w:fill="C7ECF1"/>
        <w:tblLayout w:type="fixed"/>
        <w:tblLook w:val="04A0" w:firstRow="1" w:lastRow="0" w:firstColumn="1" w:lastColumn="0" w:noHBand="0" w:noVBand="1"/>
      </w:tblPr>
      <w:tblGrid>
        <w:gridCol w:w="249"/>
        <w:gridCol w:w="2548"/>
        <w:gridCol w:w="5963"/>
        <w:gridCol w:w="284"/>
      </w:tblGrid>
      <w:tr w:rsidR="00DD3EFA" w:rsidRPr="005A0E7C" w14:paraId="202DAD3A" w14:textId="77777777" w:rsidTr="00B15ECB">
        <w:trPr>
          <w:trHeight w:val="180"/>
        </w:trPr>
        <w:tc>
          <w:tcPr>
            <w:tcW w:w="249" w:type="dxa"/>
            <w:tcBorders>
              <w:bottom w:val="nil"/>
              <w:right w:val="nil"/>
            </w:tcBorders>
            <w:shd w:val="clear" w:color="auto" w:fill="66CCFF"/>
          </w:tcPr>
          <w:p w14:paraId="22DF60B3" w14:textId="77777777" w:rsidR="00DD3EFA" w:rsidRPr="005A0E7C" w:rsidRDefault="00DD3EFA" w:rsidP="00B15ECB">
            <w:pPr>
              <w:rPr>
                <w:b/>
              </w:rPr>
            </w:pPr>
          </w:p>
        </w:tc>
        <w:tc>
          <w:tcPr>
            <w:tcW w:w="2548" w:type="dxa"/>
            <w:tcBorders>
              <w:left w:val="nil"/>
              <w:right w:val="nil"/>
            </w:tcBorders>
            <w:shd w:val="clear" w:color="auto" w:fill="66CCFF"/>
          </w:tcPr>
          <w:p w14:paraId="6E8D75C9" w14:textId="77777777" w:rsidR="00DD3EFA" w:rsidRPr="005A0E7C" w:rsidRDefault="00DD3EFA" w:rsidP="00B15ECB">
            <w:pPr>
              <w:rPr>
                <w:b/>
              </w:rPr>
            </w:pPr>
          </w:p>
        </w:tc>
        <w:tc>
          <w:tcPr>
            <w:tcW w:w="5963" w:type="dxa"/>
            <w:tcBorders>
              <w:left w:val="nil"/>
              <w:right w:val="nil"/>
            </w:tcBorders>
            <w:shd w:val="clear" w:color="auto" w:fill="66CCFF"/>
          </w:tcPr>
          <w:p w14:paraId="43EC9A27" w14:textId="77777777" w:rsidR="00DD3EFA" w:rsidRPr="005A0E7C" w:rsidRDefault="00DD3EFA" w:rsidP="00B15ECB">
            <w:pPr>
              <w:rPr>
                <w:b/>
              </w:rPr>
            </w:pPr>
          </w:p>
        </w:tc>
        <w:tc>
          <w:tcPr>
            <w:tcW w:w="284" w:type="dxa"/>
            <w:tcBorders>
              <w:left w:val="nil"/>
              <w:bottom w:val="nil"/>
            </w:tcBorders>
            <w:shd w:val="clear" w:color="auto" w:fill="66CCFF"/>
          </w:tcPr>
          <w:p w14:paraId="66E2A701" w14:textId="77777777" w:rsidR="00DD3EFA" w:rsidRPr="005A0E7C" w:rsidRDefault="00DD3EFA" w:rsidP="00B15ECB">
            <w:pPr>
              <w:rPr>
                <w:b/>
              </w:rPr>
            </w:pPr>
          </w:p>
        </w:tc>
      </w:tr>
      <w:tr w:rsidR="00DD3EFA" w:rsidRPr="005A0E7C" w14:paraId="16178CAC" w14:textId="77777777" w:rsidTr="00B15ECB">
        <w:trPr>
          <w:trHeight w:val="561"/>
        </w:trPr>
        <w:tc>
          <w:tcPr>
            <w:tcW w:w="249" w:type="dxa"/>
            <w:tcBorders>
              <w:top w:val="nil"/>
              <w:bottom w:val="nil"/>
            </w:tcBorders>
            <w:shd w:val="clear" w:color="auto" w:fill="66CCFF"/>
          </w:tcPr>
          <w:p w14:paraId="135B5813" w14:textId="77777777" w:rsidR="00DD3EFA" w:rsidRPr="005A0E7C" w:rsidRDefault="00DD3EFA" w:rsidP="00B15ECB">
            <w:pPr>
              <w:rPr>
                <w:b/>
              </w:rPr>
            </w:pPr>
          </w:p>
        </w:tc>
        <w:tc>
          <w:tcPr>
            <w:tcW w:w="2548" w:type="dxa"/>
            <w:shd w:val="clear" w:color="auto" w:fill="0070C0"/>
          </w:tcPr>
          <w:p w14:paraId="324E87C0"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09BAA918"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Výzkumný a inovační systém zvyšující konkurenceschopnost společnosti v kontextu technologické změny</w:t>
            </w:r>
          </w:p>
        </w:tc>
        <w:tc>
          <w:tcPr>
            <w:tcW w:w="5963" w:type="dxa"/>
            <w:shd w:val="clear" w:color="auto" w:fill="0070C0"/>
          </w:tcPr>
          <w:p w14:paraId="58F5B71D"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25"/>
            </w:r>
            <w:r w:rsidRPr="005A0E7C">
              <w:rPr>
                <w:rFonts w:eastAsiaTheme="majorEastAsia"/>
                <w:b/>
                <w:color w:val="FFFFFF" w:themeColor="background1"/>
                <w:u w:val="single"/>
              </w:rPr>
              <w:t xml:space="preserve">: </w:t>
            </w:r>
          </w:p>
          <w:p w14:paraId="4897447E"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Elektronizace výkonu veřejné správy a zavedení související infrastruktury</w:t>
            </w:r>
          </w:p>
        </w:tc>
        <w:tc>
          <w:tcPr>
            <w:tcW w:w="284" w:type="dxa"/>
            <w:tcBorders>
              <w:top w:val="nil"/>
              <w:bottom w:val="nil"/>
            </w:tcBorders>
            <w:shd w:val="clear" w:color="auto" w:fill="66CCFF"/>
          </w:tcPr>
          <w:p w14:paraId="6E2B8198" w14:textId="77777777" w:rsidR="00DD3EFA" w:rsidRPr="005A0E7C" w:rsidRDefault="00DD3EFA" w:rsidP="00B15ECB">
            <w:pPr>
              <w:rPr>
                <w:b/>
              </w:rPr>
            </w:pPr>
          </w:p>
        </w:tc>
      </w:tr>
      <w:tr w:rsidR="00DD3EFA" w:rsidRPr="005A0E7C" w14:paraId="42075263" w14:textId="77777777" w:rsidTr="00B15ECB">
        <w:trPr>
          <w:trHeight w:val="180"/>
        </w:trPr>
        <w:tc>
          <w:tcPr>
            <w:tcW w:w="249" w:type="dxa"/>
            <w:tcBorders>
              <w:top w:val="nil"/>
              <w:bottom w:val="nil"/>
              <w:right w:val="nil"/>
            </w:tcBorders>
            <w:shd w:val="clear" w:color="auto" w:fill="66CCFF"/>
          </w:tcPr>
          <w:p w14:paraId="207C5E0E" w14:textId="77777777" w:rsidR="00DD3EFA" w:rsidRPr="005A0E7C" w:rsidRDefault="00DD3EFA" w:rsidP="00B15ECB">
            <w:pPr>
              <w:rPr>
                <w:b/>
              </w:rPr>
            </w:pPr>
          </w:p>
        </w:tc>
        <w:tc>
          <w:tcPr>
            <w:tcW w:w="2548" w:type="dxa"/>
            <w:tcBorders>
              <w:left w:val="nil"/>
              <w:right w:val="nil"/>
            </w:tcBorders>
            <w:shd w:val="clear" w:color="auto" w:fill="66CCFF"/>
          </w:tcPr>
          <w:p w14:paraId="5E310212" w14:textId="77777777" w:rsidR="00DD3EFA" w:rsidRPr="005A0E7C" w:rsidRDefault="00DD3EFA" w:rsidP="00B15ECB">
            <w:pPr>
              <w:rPr>
                <w:b/>
              </w:rPr>
            </w:pPr>
          </w:p>
        </w:tc>
        <w:tc>
          <w:tcPr>
            <w:tcW w:w="5963" w:type="dxa"/>
            <w:tcBorders>
              <w:left w:val="nil"/>
              <w:right w:val="nil"/>
            </w:tcBorders>
            <w:shd w:val="clear" w:color="auto" w:fill="66CCFF"/>
          </w:tcPr>
          <w:p w14:paraId="19295537" w14:textId="77777777" w:rsidR="00DD3EFA" w:rsidRPr="005A0E7C" w:rsidRDefault="00DD3EFA" w:rsidP="00B15ECB">
            <w:pPr>
              <w:rPr>
                <w:b/>
              </w:rPr>
            </w:pPr>
          </w:p>
        </w:tc>
        <w:tc>
          <w:tcPr>
            <w:tcW w:w="284" w:type="dxa"/>
            <w:tcBorders>
              <w:top w:val="nil"/>
              <w:left w:val="nil"/>
              <w:bottom w:val="nil"/>
            </w:tcBorders>
            <w:shd w:val="clear" w:color="auto" w:fill="66CCFF"/>
          </w:tcPr>
          <w:p w14:paraId="61B6EF4D" w14:textId="77777777" w:rsidR="00DD3EFA" w:rsidRPr="005A0E7C" w:rsidRDefault="00DD3EFA" w:rsidP="00B15ECB">
            <w:pPr>
              <w:rPr>
                <w:b/>
              </w:rPr>
            </w:pPr>
          </w:p>
        </w:tc>
      </w:tr>
      <w:tr w:rsidR="00DD3EFA" w:rsidRPr="005A0E7C" w14:paraId="520022C8" w14:textId="77777777" w:rsidTr="00B15ECB">
        <w:trPr>
          <w:trHeight w:val="892"/>
        </w:trPr>
        <w:tc>
          <w:tcPr>
            <w:tcW w:w="249" w:type="dxa"/>
            <w:tcBorders>
              <w:top w:val="nil"/>
              <w:bottom w:val="nil"/>
            </w:tcBorders>
            <w:shd w:val="clear" w:color="auto" w:fill="66CCFF"/>
          </w:tcPr>
          <w:p w14:paraId="2DF06BA5" w14:textId="77777777" w:rsidR="00DD3EFA" w:rsidRPr="005A0E7C" w:rsidRDefault="00DD3EFA" w:rsidP="00B15ECB">
            <w:pPr>
              <w:rPr>
                <w:b/>
              </w:rPr>
            </w:pPr>
          </w:p>
        </w:tc>
        <w:tc>
          <w:tcPr>
            <w:tcW w:w="2548" w:type="dxa"/>
            <w:shd w:val="clear" w:color="auto" w:fill="FFFFFF" w:themeFill="background1"/>
          </w:tcPr>
          <w:p w14:paraId="7B5E5DF2"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63" w:type="dxa"/>
            <w:shd w:val="clear" w:color="auto" w:fill="FFFFFF" w:themeFill="background1"/>
          </w:tcPr>
          <w:p w14:paraId="6E471847" w14:textId="77777777" w:rsidR="00DD3EFA" w:rsidRPr="005A0E7C" w:rsidRDefault="00DD3EFA" w:rsidP="00B15ECB">
            <w:r w:rsidRPr="005A0E7C">
              <w:t xml:space="preserve">V rámci zvyšování kvality, dostupnosti a transparentnosti veřejné správy je jedním z prioritních přístupů elektronizace veřejné správy (obecně rozvoj eGovernmentu). </w:t>
            </w:r>
          </w:p>
          <w:p w14:paraId="387B564D" w14:textId="77777777" w:rsidR="00DD3EFA" w:rsidRPr="005A0E7C" w:rsidRDefault="00DD3EFA" w:rsidP="00B15ECB">
            <w:r w:rsidRPr="005A0E7C">
              <w:t>V této podoblasti je nutné zajistit, aby klienti veřejné správy mohli čerpat kvalitní služby veřejné správy v podstatě kdykoli a odkudkoli (pomocí internetu). Žádoucí je postupně elektronizovat vybrané části veřejné správy, každé elektronizaci však musí předcházet analýzy (procesů, aktérů, legislativy, technologií atd.) a případně některé procesy současně s elektronizací optimalizovat tak, aby byly co nejlépe naplněny potřeby občanů. Cílem je také jednotlivé služby integrovat pomocí zaručené elektronické identity. Elektronické podání (vyřízení) by mělo být preferovaným a v řadě případů i nezbytným způsobem, jak má občan nebo podnikatel komunikovat se státem.</w:t>
            </w:r>
          </w:p>
          <w:p w14:paraId="6EAAA136" w14:textId="77777777" w:rsidR="00DD3EFA" w:rsidRPr="005A0E7C" w:rsidRDefault="00DD3EFA" w:rsidP="00B15ECB">
            <w:r w:rsidRPr="005A0E7C">
              <w:t>Dále je potřeba vybudovat univerzální kontaktní místa veřejné správy zajišťující komunikaci občanů s veřejnou správou bez ohledu na místní a věcnou příslušnost, neboť ne všichni mohou a chtějí čerpat svá práva a plnit své povinnosti vůči veřejné správě výhradně elektronicky. Pracovníci na těchto přepážkách za pomoci nástrojů eGovernmentu pomohou vyřídit jednotlivé potřeby občanů co nejrychleji a nejkvalitněji.</w:t>
            </w:r>
          </w:p>
          <w:p w14:paraId="22F77B45" w14:textId="77777777" w:rsidR="00DD3EFA" w:rsidRPr="005A0E7C" w:rsidRDefault="00DD3EFA" w:rsidP="00B15ECB">
            <w:r w:rsidRPr="005A0E7C">
              <w:t>Důležitým předpokladem je zajištění důvěryhodné, legálně průkazné a bezpečné komunikace občanů s veřejnou správou i uvnitř veřejné správy.</w:t>
            </w:r>
          </w:p>
        </w:tc>
        <w:tc>
          <w:tcPr>
            <w:tcW w:w="284" w:type="dxa"/>
            <w:tcBorders>
              <w:top w:val="nil"/>
              <w:bottom w:val="nil"/>
            </w:tcBorders>
            <w:shd w:val="clear" w:color="auto" w:fill="66CCFF"/>
          </w:tcPr>
          <w:p w14:paraId="0B40DA37" w14:textId="77777777" w:rsidR="00DD3EFA" w:rsidRPr="005A0E7C" w:rsidRDefault="00DD3EFA" w:rsidP="00B15ECB">
            <w:pPr>
              <w:rPr>
                <w:b/>
              </w:rPr>
            </w:pPr>
          </w:p>
        </w:tc>
      </w:tr>
      <w:tr w:rsidR="00DD3EFA" w:rsidRPr="005A0E7C" w14:paraId="24745A2A" w14:textId="77777777" w:rsidTr="00B15ECB">
        <w:trPr>
          <w:trHeight w:val="46"/>
        </w:trPr>
        <w:tc>
          <w:tcPr>
            <w:tcW w:w="249" w:type="dxa"/>
            <w:tcBorders>
              <w:top w:val="nil"/>
              <w:bottom w:val="nil"/>
              <w:right w:val="nil"/>
            </w:tcBorders>
            <w:shd w:val="clear" w:color="auto" w:fill="66CCFF"/>
          </w:tcPr>
          <w:p w14:paraId="6A433256"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2EEF0BB9" w14:textId="77777777" w:rsidR="00DD3EFA" w:rsidRPr="005A0E7C" w:rsidRDefault="00DD3EFA" w:rsidP="00B15ECB">
            <w:pPr>
              <w:rPr>
                <w:b/>
              </w:rPr>
            </w:pPr>
          </w:p>
        </w:tc>
        <w:tc>
          <w:tcPr>
            <w:tcW w:w="5963" w:type="dxa"/>
            <w:tcBorders>
              <w:left w:val="nil"/>
              <w:bottom w:val="single" w:sz="4" w:space="0" w:color="auto"/>
              <w:right w:val="nil"/>
            </w:tcBorders>
            <w:shd w:val="clear" w:color="auto" w:fill="66CCFF"/>
          </w:tcPr>
          <w:p w14:paraId="23A18310" w14:textId="77777777" w:rsidR="00DD3EFA" w:rsidRPr="005A0E7C" w:rsidRDefault="00DD3EFA" w:rsidP="00B15ECB">
            <w:pPr>
              <w:rPr>
                <w:b/>
              </w:rPr>
            </w:pPr>
          </w:p>
        </w:tc>
        <w:tc>
          <w:tcPr>
            <w:tcW w:w="284" w:type="dxa"/>
            <w:tcBorders>
              <w:top w:val="nil"/>
              <w:left w:val="nil"/>
              <w:bottom w:val="nil"/>
            </w:tcBorders>
            <w:shd w:val="clear" w:color="auto" w:fill="66CCFF"/>
          </w:tcPr>
          <w:p w14:paraId="062DC1E6" w14:textId="77777777" w:rsidR="00DD3EFA" w:rsidRPr="005A0E7C" w:rsidRDefault="00DD3EFA" w:rsidP="00B15ECB">
            <w:pPr>
              <w:rPr>
                <w:b/>
              </w:rPr>
            </w:pPr>
          </w:p>
        </w:tc>
      </w:tr>
      <w:tr w:rsidR="00DD3EFA" w:rsidRPr="005A0E7C" w14:paraId="70098382" w14:textId="77777777" w:rsidTr="00B15ECB">
        <w:trPr>
          <w:trHeight w:val="1274"/>
        </w:trPr>
        <w:tc>
          <w:tcPr>
            <w:tcW w:w="249" w:type="dxa"/>
            <w:tcBorders>
              <w:top w:val="nil"/>
              <w:bottom w:val="nil"/>
            </w:tcBorders>
            <w:shd w:val="clear" w:color="auto" w:fill="66CCFF"/>
          </w:tcPr>
          <w:p w14:paraId="1EB3CD4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2D71CB1"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63" w:type="dxa"/>
            <w:tcBorders>
              <w:bottom w:val="single" w:sz="4" w:space="0" w:color="auto"/>
            </w:tcBorders>
            <w:shd w:val="clear" w:color="auto" w:fill="FFFFFF" w:themeFill="background1"/>
          </w:tcPr>
          <w:p w14:paraId="4174B4D3" w14:textId="77777777" w:rsidR="00DD3EFA" w:rsidRPr="005A0E7C" w:rsidRDefault="00DD3EFA" w:rsidP="00B15ECB">
            <w:r w:rsidRPr="005A0E7C">
              <w:t>Rozvoj eGovernmentu je klíčovým prvkem pro zvýšení kvality, dostupnosti, transparentnosti a efektivity veřejné správy, jak z pohledu její organizace a řízení, tak z pohledu občana coby uživatele služeb veřejné správy.</w:t>
            </w:r>
          </w:p>
        </w:tc>
        <w:tc>
          <w:tcPr>
            <w:tcW w:w="284" w:type="dxa"/>
            <w:tcBorders>
              <w:top w:val="nil"/>
              <w:bottom w:val="nil"/>
            </w:tcBorders>
            <w:shd w:val="clear" w:color="auto" w:fill="66CCFF"/>
          </w:tcPr>
          <w:p w14:paraId="3549ECAD" w14:textId="77777777" w:rsidR="00DD3EFA" w:rsidRPr="005A0E7C" w:rsidRDefault="00DD3EFA" w:rsidP="00B15ECB">
            <w:pPr>
              <w:rPr>
                <w:b/>
              </w:rPr>
            </w:pPr>
          </w:p>
        </w:tc>
      </w:tr>
      <w:tr w:rsidR="00DD3EFA" w:rsidRPr="005A0E7C" w14:paraId="4AFC69AB" w14:textId="77777777" w:rsidTr="00B15ECB">
        <w:trPr>
          <w:trHeight w:val="833"/>
        </w:trPr>
        <w:tc>
          <w:tcPr>
            <w:tcW w:w="249" w:type="dxa"/>
            <w:tcBorders>
              <w:top w:val="nil"/>
              <w:bottom w:val="nil"/>
            </w:tcBorders>
            <w:shd w:val="clear" w:color="auto" w:fill="66CCFF"/>
          </w:tcPr>
          <w:p w14:paraId="38070A3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11EA5F0"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63" w:type="dxa"/>
            <w:tcBorders>
              <w:bottom w:val="single" w:sz="4" w:space="0" w:color="auto"/>
            </w:tcBorders>
            <w:shd w:val="clear" w:color="auto" w:fill="FFFFFF" w:themeFill="background1"/>
          </w:tcPr>
          <w:p w14:paraId="0FD09B24" w14:textId="77777777" w:rsidR="00DD3EFA" w:rsidRPr="005A0E7C" w:rsidRDefault="00DD3EFA" w:rsidP="00B15ECB">
            <w:r w:rsidRPr="005A0E7C">
              <w:t>Klíčovou oblastí pro rozvoj eGovernmentu bude budování tzv. propojeného datového fondu a integrace služeb, jejichž přínos lze definovat jednoduše tak, že obíhat by měla data, ne občané a že veřejné správě musí stačit, aby občan jakoukoli změnu životní situace nahlásil pouze jednou a mohl řešit na jednom místě (ať už online nebo offline). Tato problematika má samozřejmě několik možných perspektiv, tematických podoblastí.</w:t>
            </w:r>
          </w:p>
          <w:p w14:paraId="50DC7B56" w14:textId="77777777" w:rsidR="00DD3EFA" w:rsidRPr="005A0E7C" w:rsidRDefault="00DD3EFA" w:rsidP="00B15ECB">
            <w:r w:rsidRPr="005A0E7C">
              <w:t>V podstatě všechny procesy ve veřejné správě mají oporu v legislativě, sdílení údajů je úzce spjato s otázkou ochrany osobních údajů, proto je nutné přistupovat ke všem změnám s rozvahou a velmi opatrně.</w:t>
            </w:r>
          </w:p>
          <w:p w14:paraId="35746D9E" w14:textId="77777777" w:rsidR="00DD3EFA" w:rsidRPr="005A0E7C" w:rsidRDefault="00DD3EFA" w:rsidP="00B15ECB">
            <w:r w:rsidRPr="005A0E7C">
              <w:t xml:space="preserve">Propojený datový fond nemůže dobře fungovat bez podpory základních registrů, které je nutné neustále zkvalitňovat jak po obsahové stránce, tak i technické. Dalším důležitým předpokladem je rozvoj sběrnice eGBS. Je nutné aby postupně všichni poskytovatelé elektronických služeb od obcí a krajů až po jednotlivá ministerstva publikovali své služby právě zde. </w:t>
            </w:r>
          </w:p>
          <w:p w14:paraId="4E9E209D" w14:textId="77777777" w:rsidR="00DD3EFA" w:rsidRPr="005A0E7C" w:rsidRDefault="00DD3EFA" w:rsidP="00B15ECB">
            <w:r w:rsidRPr="005A0E7C">
              <w:t>Dále je nutné rozvíjet jednotlivé agendové informační systémy veřejné správy a zajistit digitalizaci jejich datových fondů. Údaje z jednotlivých agend je nutné propojit do datových fondů a umožnit tak vznik tzv. internetové samoobsluhy veřejné správy, jejíž součástí bude i úplné elektronické podání.</w:t>
            </w:r>
          </w:p>
          <w:p w14:paraId="2355F530" w14:textId="77777777" w:rsidR="00DD3EFA" w:rsidRPr="005A0E7C" w:rsidRDefault="00DD3EFA" w:rsidP="00B15ECB">
            <w:r w:rsidRPr="005A0E7C">
              <w:t>Tímto kontaktním místem občana s veřejnou správou by se měl stát primárně portál gov.cz jehož součástí je i tzv. transakční část známá jako Portál občana. Na portále gov.cz by měly být klientům veřejné správy k dispozici informace a návody, jak, kde, s kým, s jakými poplatky, lhůtami a případně sankcemi lze jednotlivé služby veřejné správy v různých životních situacích čerpat. Zároveň by Portál občana měl být centrálním místem, kde budou integrovány všechny elektronické služby veřejné správy ať už přímo skrze podání, zobrazení či stažení dat nebo pomocí zaručené elektronické identity prostřednictvím NIA umožnit občanům vyřídit podání i na jiných portálech veřejné správy.</w:t>
            </w:r>
          </w:p>
          <w:p w14:paraId="33ABF739" w14:textId="77777777" w:rsidR="00DD3EFA" w:rsidRPr="005A0E7C" w:rsidRDefault="00DD3EFA" w:rsidP="00B15ECB">
            <w:r w:rsidRPr="005A0E7C">
              <w:t>Další podoblastí je tedy zaručená elektronická identita, kterou je nutné dále rozvíjet, rozšiřovat okruh jak uživatelů, tak poskytovatelů.</w:t>
            </w:r>
          </w:p>
          <w:p w14:paraId="673815CE" w14:textId="77777777" w:rsidR="00DD3EFA" w:rsidRPr="005A0E7C" w:rsidRDefault="00DD3EFA" w:rsidP="00B15ECB">
            <w:r w:rsidRPr="005A0E7C">
              <w:t xml:space="preserve">Moderním trendem, který by chtěla veřejná správa také naplňovat je možnost publikovat data jako tzv. OpenData, což umožní komukoli provádět nad datovými sadami analýzy či vytvářet užitečné aplikace. Tento krok velmi pomůže zvýšit transparentnost veřejné správy. </w:t>
            </w:r>
          </w:p>
          <w:p w14:paraId="6DA96057" w14:textId="77777777" w:rsidR="00DD3EFA" w:rsidRPr="005A0E7C" w:rsidRDefault="00DD3EFA" w:rsidP="00B15ECB">
            <w:r w:rsidRPr="005A0E7C">
              <w:t>Česká republika má stále velký deficit v množství úkonů, které si občané mohou vyřídit po internetu, a proto je nutné postupně elektronizovat všechny oblasti veřejné správy, které je vhodné elektronizovat. Dnes se hovoří např. o oblastech eEducation, eCulture, eHealth, eInclusion, eCommerce, eBusiness, eJustice, eProcurement, eLegislativa, eSbírka či o elektronizaci územního plánování.</w:t>
            </w:r>
          </w:p>
          <w:p w14:paraId="15E1E803" w14:textId="77777777" w:rsidR="00DD3EFA" w:rsidRPr="005A0E7C" w:rsidRDefault="00DD3EFA" w:rsidP="00B15ECB">
            <w:r w:rsidRPr="005A0E7C">
              <w:t xml:space="preserve">Inovativní přístup k poskytování služeb eGovernmentu zajišťuje eGovernment cloud, který by v budoucnu měl konsolidovat datová centra jednotlivých institucí veřejné správy a přesunout jejich provoz do státních datových komplexů. Díky tomu se mimo jiné budou sdílet výpočetní zdroje a kapacity. </w:t>
            </w:r>
          </w:p>
          <w:p w14:paraId="168E7F0D" w14:textId="77777777" w:rsidR="00DD3EFA" w:rsidRPr="005A0E7C" w:rsidRDefault="00DD3EFA" w:rsidP="00B15ECB">
            <w:pPr>
              <w:rPr>
                <w:highlight w:val="yellow"/>
              </w:rPr>
            </w:pPr>
            <w:r w:rsidRPr="005A0E7C">
              <w:t>Kromě zvyšování dostupnosti digitální veřejné správy pro občany, je nutné také zvyšovat digitální gramotnost populace, včetně popularizace digitální veřejné správy a asistence občanům, kteří jsou v přístupu k digitální veřejné správě znevýhodněni.</w:t>
            </w:r>
          </w:p>
        </w:tc>
        <w:tc>
          <w:tcPr>
            <w:tcW w:w="284" w:type="dxa"/>
            <w:tcBorders>
              <w:top w:val="nil"/>
              <w:bottom w:val="nil"/>
            </w:tcBorders>
            <w:shd w:val="clear" w:color="auto" w:fill="66CCFF"/>
          </w:tcPr>
          <w:p w14:paraId="73ACE5E5" w14:textId="77777777" w:rsidR="00DD3EFA" w:rsidRPr="005A0E7C" w:rsidRDefault="00DD3EFA" w:rsidP="00B15ECB">
            <w:pPr>
              <w:rPr>
                <w:b/>
              </w:rPr>
            </w:pPr>
          </w:p>
        </w:tc>
      </w:tr>
      <w:tr w:rsidR="00DD3EFA" w:rsidRPr="005A0E7C" w14:paraId="73EE5CB0" w14:textId="77777777" w:rsidTr="00B15ECB">
        <w:trPr>
          <w:trHeight w:val="1274"/>
        </w:trPr>
        <w:tc>
          <w:tcPr>
            <w:tcW w:w="249" w:type="dxa"/>
            <w:tcBorders>
              <w:top w:val="nil"/>
              <w:bottom w:val="nil"/>
            </w:tcBorders>
            <w:shd w:val="clear" w:color="auto" w:fill="66CCFF"/>
          </w:tcPr>
          <w:p w14:paraId="506E991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DF4DF20" w14:textId="77777777" w:rsidR="00DD3EFA" w:rsidRPr="005A0E7C" w:rsidRDefault="00DD3EFA" w:rsidP="00B15ECB">
            <w:pPr>
              <w:spacing w:before="60" w:after="60"/>
              <w:rPr>
                <w:rFonts w:eastAsiaTheme="majorEastAsia"/>
                <w:b/>
              </w:rPr>
            </w:pPr>
            <w:r w:rsidRPr="005A0E7C">
              <w:rPr>
                <w:rFonts w:eastAsiaTheme="majorEastAsia"/>
                <w:b/>
              </w:rPr>
              <w:t>Definice cílů – změny, které chceme dosáhnout</w:t>
            </w:r>
          </w:p>
          <w:p w14:paraId="7620B68C"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60081696" w14:textId="77777777" w:rsidR="00DD3EFA" w:rsidRPr="005A0E7C" w:rsidRDefault="00DD3EFA" w:rsidP="00B15ECB">
            <w:pPr>
              <w:spacing w:before="60" w:after="60"/>
              <w:rPr>
                <w:rFonts w:eastAsiaTheme="majorEastAsia"/>
              </w:rPr>
            </w:pPr>
            <w:r w:rsidRPr="005A0E7C">
              <w:rPr>
                <w:rFonts w:eastAsiaTheme="majorEastAsia"/>
              </w:rPr>
              <w:t>specifický cíl NKR:</w:t>
            </w:r>
          </w:p>
          <w:p w14:paraId="315770E7" w14:textId="77777777" w:rsidR="00DD3EFA" w:rsidRPr="005A0E7C" w:rsidRDefault="00DD3EFA" w:rsidP="00391907">
            <w:pPr>
              <w:pStyle w:val="Odstavecseseznamem"/>
              <w:numPr>
                <w:ilvl w:val="0"/>
                <w:numId w:val="48"/>
              </w:numPr>
              <w:spacing w:before="60" w:after="60"/>
              <w:rPr>
                <w:rFonts w:eastAsiaTheme="majorEastAsia"/>
              </w:rPr>
            </w:pPr>
            <w:r w:rsidRPr="005A0E7C">
              <w:rPr>
                <w:rFonts w:eastAsiaTheme="majorEastAsia"/>
              </w:rPr>
              <w:t>elektronizace výkonu veřejné správy a zavedení související infrastruktury</w:t>
            </w:r>
          </w:p>
          <w:p w14:paraId="029323CA" w14:textId="77777777" w:rsidR="00DD3EFA" w:rsidRPr="005A0E7C" w:rsidRDefault="00DD3EFA" w:rsidP="00B15ECB">
            <w:pPr>
              <w:spacing w:before="60" w:after="60"/>
            </w:pPr>
            <w:r w:rsidRPr="005A0E7C">
              <w:t>základní cíle:</w:t>
            </w:r>
          </w:p>
          <w:p w14:paraId="61D0B600" w14:textId="77777777" w:rsidR="00DD3EFA" w:rsidRPr="005A0E7C" w:rsidRDefault="00DD3EFA" w:rsidP="00391907">
            <w:pPr>
              <w:pStyle w:val="Odstavecseseznamem"/>
              <w:numPr>
                <w:ilvl w:val="0"/>
                <w:numId w:val="47"/>
              </w:numPr>
              <w:spacing w:before="60" w:after="60"/>
            </w:pPr>
            <w:r w:rsidRPr="005A0E7C">
              <w:t>elektronizovat vybrané služby veřejné správy</w:t>
            </w:r>
          </w:p>
          <w:p w14:paraId="1EE311FE" w14:textId="77777777" w:rsidR="00DD3EFA" w:rsidRPr="005A0E7C" w:rsidRDefault="00DD3EFA" w:rsidP="00391907">
            <w:pPr>
              <w:pStyle w:val="Odstavecseseznamem"/>
              <w:numPr>
                <w:ilvl w:val="0"/>
                <w:numId w:val="47"/>
              </w:numPr>
              <w:spacing w:before="60" w:after="60"/>
            </w:pPr>
            <w:r w:rsidRPr="005A0E7C">
              <w:t>vytvořit propojený datový fond za pomoci kvalitně naplněných základních registrů a elektronizace datových fondů jednotlivých agendových informačních systémů (dobudování infrastruktury)</w:t>
            </w:r>
          </w:p>
          <w:p w14:paraId="08360EA6" w14:textId="77777777" w:rsidR="00DD3EFA" w:rsidRPr="005A0E7C" w:rsidRDefault="00DD3EFA" w:rsidP="00391907">
            <w:pPr>
              <w:pStyle w:val="Odstavecseseznamem"/>
              <w:numPr>
                <w:ilvl w:val="0"/>
                <w:numId w:val="47"/>
              </w:numPr>
              <w:spacing w:before="60" w:after="60"/>
            </w:pPr>
            <w:r w:rsidRPr="005A0E7C">
              <w:t>umožnit integraci elektronických služeb veřejné správy díky sběrnici eGSB (dobudování infrastruktury)</w:t>
            </w:r>
          </w:p>
          <w:p w14:paraId="1CDCB3D3" w14:textId="77777777" w:rsidR="00DD3EFA" w:rsidRPr="005A0E7C" w:rsidRDefault="00DD3EFA" w:rsidP="00391907">
            <w:pPr>
              <w:pStyle w:val="Odstavecseseznamem"/>
              <w:numPr>
                <w:ilvl w:val="0"/>
                <w:numId w:val="47"/>
              </w:numPr>
              <w:spacing w:before="60" w:after="60"/>
            </w:pPr>
            <w:r w:rsidRPr="005A0E7C">
              <w:t>integrovat veškeré elektronické služby veřejné správy a informace o veřejné správě na portál gov.cz</w:t>
            </w:r>
          </w:p>
          <w:p w14:paraId="59EB5DFF" w14:textId="77777777" w:rsidR="00DD3EFA" w:rsidRPr="005A0E7C" w:rsidRDefault="00DD3EFA" w:rsidP="00391907">
            <w:pPr>
              <w:pStyle w:val="Odstavecseseznamem"/>
              <w:numPr>
                <w:ilvl w:val="0"/>
                <w:numId w:val="47"/>
              </w:numPr>
              <w:spacing w:before="60" w:after="60"/>
            </w:pPr>
            <w:r w:rsidRPr="005A0E7C">
              <w:t>vytvářet univerzální kontaktní místa pro styk s veřejnou správou</w:t>
            </w:r>
          </w:p>
          <w:p w14:paraId="3581F041" w14:textId="77777777" w:rsidR="00DD3EFA" w:rsidRPr="005A0E7C" w:rsidRDefault="00DD3EFA" w:rsidP="00391907">
            <w:pPr>
              <w:pStyle w:val="Odstavecseseznamem"/>
              <w:numPr>
                <w:ilvl w:val="0"/>
                <w:numId w:val="47"/>
              </w:numPr>
              <w:spacing w:before="60" w:after="60"/>
            </w:pPr>
            <w:r w:rsidRPr="005A0E7C">
              <w:t>publikovat data veřejné správy jako tzv. OpenData</w:t>
            </w:r>
          </w:p>
          <w:p w14:paraId="54EAC7AD" w14:textId="77777777" w:rsidR="00DD3EFA" w:rsidRPr="005A0E7C" w:rsidRDefault="00DD3EFA" w:rsidP="00391907">
            <w:pPr>
              <w:pStyle w:val="Odstavecseseznamem"/>
              <w:numPr>
                <w:ilvl w:val="0"/>
                <w:numId w:val="47"/>
              </w:numPr>
              <w:spacing w:before="60" w:after="60"/>
            </w:pPr>
            <w:r w:rsidRPr="005A0E7C">
              <w:t>vytvořit tzv. eGovernment cloud</w:t>
            </w:r>
          </w:p>
          <w:p w14:paraId="4DFB1E6D" w14:textId="77777777" w:rsidR="00DD3EFA" w:rsidRPr="005A0E7C" w:rsidRDefault="00DD3EFA" w:rsidP="00B15ECB">
            <w:pPr>
              <w:spacing w:before="60" w:after="60"/>
            </w:pPr>
            <w:r w:rsidRPr="005A0E7C">
              <w:t>podpůrné cíle:</w:t>
            </w:r>
          </w:p>
          <w:p w14:paraId="35CB08A0" w14:textId="77777777" w:rsidR="00DD3EFA" w:rsidRPr="005A0E7C" w:rsidRDefault="00DD3EFA" w:rsidP="00391907">
            <w:pPr>
              <w:pStyle w:val="Odstavecseseznamem"/>
              <w:numPr>
                <w:ilvl w:val="0"/>
                <w:numId w:val="47"/>
              </w:numPr>
              <w:spacing w:before="60" w:after="60"/>
            </w:pPr>
            <w:r w:rsidRPr="005A0E7C">
              <w:t>vytvářet digitálně přívětivou legislativu</w:t>
            </w:r>
          </w:p>
          <w:p w14:paraId="4916B179" w14:textId="77777777" w:rsidR="00DD3EFA" w:rsidRPr="005A0E7C" w:rsidRDefault="00DD3EFA" w:rsidP="00391907">
            <w:pPr>
              <w:pStyle w:val="Odstavecseseznamem"/>
              <w:numPr>
                <w:ilvl w:val="0"/>
                <w:numId w:val="47"/>
              </w:numPr>
              <w:spacing w:before="60" w:after="60"/>
            </w:pPr>
            <w:r w:rsidRPr="005A0E7C">
              <w:t>rozvíjet elektronickou identitu</w:t>
            </w:r>
          </w:p>
          <w:p w14:paraId="06A35683" w14:textId="77777777" w:rsidR="00DD3EFA" w:rsidRPr="005A0E7C" w:rsidRDefault="00DD3EFA" w:rsidP="00391907">
            <w:pPr>
              <w:pStyle w:val="Odstavecseseznamem"/>
              <w:numPr>
                <w:ilvl w:val="0"/>
                <w:numId w:val="47"/>
              </w:numPr>
              <w:spacing w:before="60" w:after="60"/>
            </w:pPr>
            <w:r w:rsidRPr="005A0E7C">
              <w:t>ustavit standardy pro úplné elektronické podání</w:t>
            </w:r>
          </w:p>
          <w:p w14:paraId="433A941D" w14:textId="77777777" w:rsidR="00DD3EFA" w:rsidRPr="005A0E7C" w:rsidRDefault="00DD3EFA" w:rsidP="00391907">
            <w:pPr>
              <w:pStyle w:val="Odstavecseseznamem"/>
              <w:numPr>
                <w:ilvl w:val="0"/>
                <w:numId w:val="47"/>
              </w:numPr>
              <w:spacing w:before="60" w:after="60"/>
            </w:pPr>
            <w:r w:rsidRPr="005A0E7C">
              <w:t>zvyšovat digitální gramotnost úředníků i občanů České republiky</w:t>
            </w:r>
          </w:p>
        </w:tc>
        <w:tc>
          <w:tcPr>
            <w:tcW w:w="284" w:type="dxa"/>
            <w:tcBorders>
              <w:top w:val="nil"/>
              <w:bottom w:val="nil"/>
            </w:tcBorders>
            <w:shd w:val="clear" w:color="auto" w:fill="66CCFF"/>
          </w:tcPr>
          <w:p w14:paraId="3951030A" w14:textId="77777777" w:rsidR="00DD3EFA" w:rsidRPr="005A0E7C" w:rsidRDefault="00DD3EFA" w:rsidP="00B15ECB">
            <w:pPr>
              <w:rPr>
                <w:b/>
              </w:rPr>
            </w:pPr>
          </w:p>
        </w:tc>
      </w:tr>
      <w:tr w:rsidR="00DD3EFA" w:rsidRPr="005A0E7C" w14:paraId="2A94CCF2" w14:textId="77777777" w:rsidTr="00B15ECB">
        <w:trPr>
          <w:trHeight w:val="1274"/>
        </w:trPr>
        <w:tc>
          <w:tcPr>
            <w:tcW w:w="249" w:type="dxa"/>
            <w:tcBorders>
              <w:top w:val="nil"/>
              <w:bottom w:val="nil"/>
            </w:tcBorders>
            <w:shd w:val="clear" w:color="auto" w:fill="66CCFF"/>
          </w:tcPr>
          <w:p w14:paraId="1A66C5C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3BDFDE4"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5AC2002C"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63" w:type="dxa"/>
            <w:tcBorders>
              <w:bottom w:val="single" w:sz="4" w:space="0" w:color="auto"/>
            </w:tcBorders>
            <w:shd w:val="clear" w:color="auto" w:fill="FFFFFF" w:themeFill="background1"/>
          </w:tcPr>
          <w:p w14:paraId="5F8D8AFF" w14:textId="77777777" w:rsidR="00DD3EFA" w:rsidRPr="005A0E7C" w:rsidRDefault="00DD3EFA" w:rsidP="00B15ECB">
            <w:pPr>
              <w:spacing w:before="60" w:after="60"/>
              <w:rPr>
                <w:rFonts w:eastAsiaTheme="majorEastAsia"/>
              </w:rPr>
            </w:pPr>
            <w:r w:rsidRPr="005A0E7C">
              <w:rPr>
                <w:b/>
              </w:rPr>
              <w:t>výstupy</w:t>
            </w:r>
            <w:r w:rsidRPr="005A0E7C">
              <w:rPr>
                <w:rFonts w:eastAsiaTheme="majorEastAsia"/>
              </w:rPr>
              <w:t>: elektronizované služby veřejné správy</w:t>
            </w:r>
          </w:p>
          <w:p w14:paraId="541A51DF" w14:textId="77777777" w:rsidR="00DD3EFA" w:rsidRPr="005A0E7C" w:rsidRDefault="00DD3EFA" w:rsidP="00B15ECB">
            <w:pPr>
              <w:spacing w:before="60" w:after="60"/>
              <w:rPr>
                <w:rFonts w:eastAsiaTheme="majorEastAsia"/>
              </w:rPr>
            </w:pPr>
            <w:r w:rsidRPr="005A0E7C">
              <w:rPr>
                <w:b/>
              </w:rPr>
              <w:t>výsledky</w:t>
            </w:r>
            <w:r w:rsidRPr="005A0E7C">
              <w:rPr>
                <w:rFonts w:eastAsiaTheme="majorEastAsia"/>
              </w:rPr>
              <w:t xml:space="preserve">: klientsky přívětivé služby veřejné správy </w:t>
            </w:r>
          </w:p>
          <w:p w14:paraId="10C3ADCF" w14:textId="77777777" w:rsidR="00DD3EFA" w:rsidRPr="005A0E7C" w:rsidRDefault="00DD3EFA" w:rsidP="00B15ECB">
            <w:pPr>
              <w:spacing w:before="60" w:after="60"/>
            </w:pPr>
            <w:r w:rsidRPr="005A0E7C">
              <w:rPr>
                <w:b/>
              </w:rPr>
              <w:t>dopady</w:t>
            </w:r>
            <w:r w:rsidRPr="005A0E7C">
              <w:rPr>
                <w:rFonts w:eastAsiaTheme="majorEastAsia"/>
              </w:rPr>
              <w:t>: zvýšená kvalita, dostupnost a transparentnost veřejné správy jako základ pro konkurenceschopnost společnosti v kontextu technologické změny</w:t>
            </w:r>
          </w:p>
        </w:tc>
        <w:tc>
          <w:tcPr>
            <w:tcW w:w="284" w:type="dxa"/>
            <w:tcBorders>
              <w:top w:val="nil"/>
              <w:bottom w:val="nil"/>
            </w:tcBorders>
            <w:shd w:val="clear" w:color="auto" w:fill="66CCFF"/>
          </w:tcPr>
          <w:p w14:paraId="3DEF90DA" w14:textId="77777777" w:rsidR="00DD3EFA" w:rsidRPr="005A0E7C" w:rsidRDefault="00DD3EFA" w:rsidP="00B15ECB">
            <w:pPr>
              <w:rPr>
                <w:b/>
              </w:rPr>
            </w:pPr>
          </w:p>
        </w:tc>
      </w:tr>
      <w:tr w:rsidR="00DD3EFA" w:rsidRPr="005A0E7C" w14:paraId="1F919072" w14:textId="77777777" w:rsidTr="00B15ECB">
        <w:trPr>
          <w:trHeight w:val="1274"/>
        </w:trPr>
        <w:tc>
          <w:tcPr>
            <w:tcW w:w="249" w:type="dxa"/>
            <w:tcBorders>
              <w:top w:val="nil"/>
              <w:bottom w:val="nil"/>
            </w:tcBorders>
            <w:shd w:val="clear" w:color="auto" w:fill="66CCFF"/>
          </w:tcPr>
          <w:p w14:paraId="298719E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EF9C9C0" w14:textId="77777777" w:rsidR="00DD3EFA" w:rsidRPr="005A0E7C" w:rsidRDefault="00DD3EFA" w:rsidP="00B15ECB">
            <w:pPr>
              <w:spacing w:before="60" w:after="60"/>
              <w:rPr>
                <w:rFonts w:eastAsiaTheme="majorEastAsia"/>
                <w:b/>
              </w:rPr>
            </w:pPr>
            <w:bookmarkStart w:id="5" w:name="_Hlk535406352"/>
            <w:r w:rsidRPr="005A0E7C">
              <w:rPr>
                <w:rFonts w:eastAsiaTheme="majorEastAsia"/>
                <w:b/>
              </w:rPr>
              <w:t>Stanovení předpokládaného podílu ESIF na plnění specifického cíle NKR</w:t>
            </w:r>
            <w:bookmarkEnd w:id="5"/>
          </w:p>
        </w:tc>
        <w:tc>
          <w:tcPr>
            <w:tcW w:w="5963" w:type="dxa"/>
            <w:tcBorders>
              <w:bottom w:val="single" w:sz="4" w:space="0" w:color="auto"/>
            </w:tcBorders>
            <w:shd w:val="clear" w:color="auto" w:fill="FFFFFF" w:themeFill="background1"/>
          </w:tcPr>
          <w:p w14:paraId="0FBD96E1" w14:textId="77777777" w:rsidR="00DD3EFA" w:rsidRPr="005A0E7C" w:rsidRDefault="00DD3EFA" w:rsidP="00B15ECB">
            <w:pPr>
              <w:spacing w:before="60" w:after="60"/>
            </w:pPr>
            <w:r w:rsidRPr="005A0E7C">
              <w:rPr>
                <w:rFonts w:eastAsiaTheme="majorEastAsia"/>
              </w:rPr>
              <w:t>zhruba 80 %, stejně jako doposud</w:t>
            </w:r>
          </w:p>
        </w:tc>
        <w:tc>
          <w:tcPr>
            <w:tcW w:w="284" w:type="dxa"/>
            <w:tcBorders>
              <w:top w:val="nil"/>
              <w:bottom w:val="nil"/>
            </w:tcBorders>
            <w:shd w:val="clear" w:color="auto" w:fill="66CCFF"/>
          </w:tcPr>
          <w:p w14:paraId="7751FE31" w14:textId="77777777" w:rsidR="00DD3EFA" w:rsidRPr="005A0E7C" w:rsidRDefault="00DD3EFA" w:rsidP="00B15ECB">
            <w:pPr>
              <w:rPr>
                <w:b/>
              </w:rPr>
            </w:pPr>
          </w:p>
        </w:tc>
      </w:tr>
      <w:tr w:rsidR="00DD3EFA" w:rsidRPr="005A0E7C" w14:paraId="09D6589B" w14:textId="77777777" w:rsidTr="00B15ECB">
        <w:trPr>
          <w:trHeight w:val="1274"/>
        </w:trPr>
        <w:tc>
          <w:tcPr>
            <w:tcW w:w="249" w:type="dxa"/>
            <w:tcBorders>
              <w:top w:val="nil"/>
              <w:bottom w:val="nil"/>
            </w:tcBorders>
            <w:shd w:val="clear" w:color="auto" w:fill="66CCFF"/>
          </w:tcPr>
          <w:p w14:paraId="2E5F159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0CC3A32" w14:textId="77777777" w:rsidR="00DD3EFA" w:rsidRPr="005A0E7C" w:rsidRDefault="00DD3EFA" w:rsidP="00B15ECB">
            <w:pPr>
              <w:spacing w:before="60" w:after="60"/>
              <w:rPr>
                <w:rFonts w:eastAsiaTheme="majorEastAsia"/>
                <w:b/>
              </w:rPr>
            </w:pPr>
            <w:bookmarkStart w:id="6" w:name="_Hlk535406363"/>
            <w:r w:rsidRPr="005A0E7C">
              <w:rPr>
                <w:rFonts w:eastAsiaTheme="majorEastAsia"/>
                <w:b/>
              </w:rPr>
              <w:t>Posun intervencí oproti dosavadním obdobím</w:t>
            </w:r>
            <w:bookmarkEnd w:id="6"/>
          </w:p>
        </w:tc>
        <w:tc>
          <w:tcPr>
            <w:tcW w:w="5963" w:type="dxa"/>
            <w:tcBorders>
              <w:bottom w:val="single" w:sz="4" w:space="0" w:color="auto"/>
            </w:tcBorders>
            <w:shd w:val="clear" w:color="auto" w:fill="FFFFFF" w:themeFill="background1"/>
          </w:tcPr>
          <w:p w14:paraId="05E138B4" w14:textId="77777777" w:rsidR="00DD3EFA" w:rsidRPr="005A0E7C" w:rsidRDefault="00DD3EFA" w:rsidP="00B15ECB">
            <w:bookmarkStart w:id="7" w:name="_Hlk535568239"/>
            <w:r w:rsidRPr="005A0E7C">
              <w:rPr>
                <w:rFonts w:eastAsiaTheme="majorEastAsia"/>
              </w:rPr>
              <w:t xml:space="preserve">Aktivity budou navazovat na stávající období. Inovací bude </w:t>
            </w:r>
            <w:r w:rsidRPr="005A0E7C">
              <w:rPr>
                <w:rFonts w:eastAsia="ArialMT"/>
              </w:rPr>
              <w:t>přístup k poskytování služeb eGovernmentu prostřednictvím sdílených cloudových služeb, včetně zajištění potřebné bezpečnosti, jednotnosti, standardizace a spolehlivosti takto poskytovaných služeb. Dojde k zefektivnění a optimalizaci provozu ICT a podpory informačních systémů, které instituce veřejné správy využívají k výkonu svých agend či podpůrných a administrativních procesů, a to cestou sdílených služeb eGovernment cloudu. Dojde také k rozšíření využití vystavěné infrastruktury přímou implementací služeb pro občany, která bude sjednocovat dosud roztříštěné informační systémy a weby a naplňovat jedno místo pro kontakt občana s veřejnou správou službami a informacemi.</w:t>
            </w:r>
            <w:bookmarkEnd w:id="7"/>
          </w:p>
        </w:tc>
        <w:tc>
          <w:tcPr>
            <w:tcW w:w="284" w:type="dxa"/>
            <w:tcBorders>
              <w:top w:val="nil"/>
              <w:bottom w:val="nil"/>
            </w:tcBorders>
            <w:shd w:val="clear" w:color="auto" w:fill="66CCFF"/>
          </w:tcPr>
          <w:p w14:paraId="2C490F22" w14:textId="77777777" w:rsidR="00DD3EFA" w:rsidRPr="005A0E7C" w:rsidRDefault="00DD3EFA" w:rsidP="00B15ECB">
            <w:pPr>
              <w:rPr>
                <w:b/>
              </w:rPr>
            </w:pPr>
          </w:p>
        </w:tc>
      </w:tr>
      <w:tr w:rsidR="00DD3EFA" w:rsidRPr="005A0E7C" w14:paraId="0EA300DA" w14:textId="77777777" w:rsidTr="00B15ECB">
        <w:trPr>
          <w:trHeight w:val="272"/>
        </w:trPr>
        <w:tc>
          <w:tcPr>
            <w:tcW w:w="249" w:type="dxa"/>
            <w:tcBorders>
              <w:top w:val="nil"/>
              <w:bottom w:val="nil"/>
              <w:right w:val="nil"/>
            </w:tcBorders>
            <w:shd w:val="clear" w:color="auto" w:fill="66CCFF"/>
          </w:tcPr>
          <w:p w14:paraId="7F11F032"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E38AFB6" w14:textId="77777777" w:rsidR="00DD3EFA" w:rsidRPr="005A0E7C" w:rsidRDefault="00DD3EFA" w:rsidP="00B15ECB">
            <w:pPr>
              <w:spacing w:before="60" w:after="60"/>
              <w:rPr>
                <w:rFonts w:eastAsiaTheme="majorEastAsia"/>
                <w:b/>
              </w:rPr>
            </w:pPr>
          </w:p>
        </w:tc>
        <w:tc>
          <w:tcPr>
            <w:tcW w:w="5963" w:type="dxa"/>
            <w:tcBorders>
              <w:top w:val="single" w:sz="4" w:space="0" w:color="auto"/>
              <w:left w:val="nil"/>
              <w:bottom w:val="single" w:sz="4" w:space="0" w:color="auto"/>
              <w:right w:val="nil"/>
            </w:tcBorders>
            <w:shd w:val="clear" w:color="auto" w:fill="66CCFF"/>
          </w:tcPr>
          <w:p w14:paraId="0FB9DB92" w14:textId="77777777" w:rsidR="00DD3EFA" w:rsidRPr="005A0E7C" w:rsidRDefault="00DD3EFA" w:rsidP="00B15ECB">
            <w:pPr>
              <w:spacing w:before="60" w:after="60"/>
              <w:rPr>
                <w:rFonts w:eastAsiaTheme="majorEastAsia"/>
                <w:i/>
                <w:u w:val="single"/>
              </w:rPr>
            </w:pPr>
          </w:p>
        </w:tc>
        <w:tc>
          <w:tcPr>
            <w:tcW w:w="284" w:type="dxa"/>
            <w:tcBorders>
              <w:top w:val="nil"/>
              <w:left w:val="nil"/>
              <w:bottom w:val="nil"/>
            </w:tcBorders>
            <w:shd w:val="clear" w:color="auto" w:fill="66CCFF"/>
          </w:tcPr>
          <w:p w14:paraId="68292CA7" w14:textId="77777777" w:rsidR="00DD3EFA" w:rsidRPr="005A0E7C" w:rsidRDefault="00DD3EFA" w:rsidP="00B15ECB">
            <w:pPr>
              <w:rPr>
                <w:b/>
              </w:rPr>
            </w:pPr>
          </w:p>
        </w:tc>
      </w:tr>
      <w:tr w:rsidR="00DD3EFA" w:rsidRPr="005A0E7C" w14:paraId="431192BA" w14:textId="77777777" w:rsidTr="00B15ECB">
        <w:trPr>
          <w:trHeight w:val="835"/>
        </w:trPr>
        <w:tc>
          <w:tcPr>
            <w:tcW w:w="249" w:type="dxa"/>
            <w:tcBorders>
              <w:top w:val="nil"/>
              <w:bottom w:val="nil"/>
            </w:tcBorders>
            <w:shd w:val="clear" w:color="auto" w:fill="66CCFF"/>
          </w:tcPr>
          <w:p w14:paraId="1E645A2D"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AE445EB" w14:textId="77777777" w:rsidR="00DD3EFA" w:rsidRPr="005A0E7C" w:rsidRDefault="00DD3EFA" w:rsidP="00B15ECB">
            <w:pPr>
              <w:spacing w:before="60" w:after="60"/>
              <w:rPr>
                <w:rFonts w:eastAsiaTheme="majorEastAsia"/>
                <w:b/>
              </w:rPr>
            </w:pPr>
            <w:bookmarkStart w:id="8" w:name="_Hlk535406377"/>
            <w:r w:rsidRPr="005A0E7C">
              <w:rPr>
                <w:rFonts w:eastAsiaTheme="majorEastAsia"/>
                <w:b/>
              </w:rPr>
              <w:t>Dílčí cíle podpory</w:t>
            </w:r>
          </w:p>
          <w:p w14:paraId="725B0C7A" w14:textId="77777777" w:rsidR="00DD3EFA" w:rsidRPr="005A0E7C" w:rsidRDefault="00DD3EFA" w:rsidP="00B15ECB">
            <w:pPr>
              <w:spacing w:before="60" w:after="60"/>
              <w:rPr>
                <w:rFonts w:eastAsiaTheme="majorEastAsia"/>
                <w:b/>
              </w:rPr>
            </w:pPr>
          </w:p>
          <w:bookmarkEnd w:id="8"/>
          <w:p w14:paraId="29FAA8CC" w14:textId="77777777" w:rsidR="00DD3EFA" w:rsidRPr="005A0E7C" w:rsidRDefault="00DD3EFA" w:rsidP="00B15ECB">
            <w:pPr>
              <w:spacing w:before="60" w:after="60"/>
              <w:rPr>
                <w:rFonts w:eastAsiaTheme="majorEastAsia"/>
                <w:b/>
              </w:rPr>
            </w:pPr>
          </w:p>
        </w:tc>
        <w:tc>
          <w:tcPr>
            <w:tcW w:w="5963" w:type="dxa"/>
            <w:tcBorders>
              <w:top w:val="single" w:sz="4" w:space="0" w:color="auto"/>
              <w:bottom w:val="single" w:sz="4" w:space="0" w:color="auto"/>
            </w:tcBorders>
            <w:shd w:val="clear" w:color="auto" w:fill="auto"/>
          </w:tcPr>
          <w:p w14:paraId="102A52FC" w14:textId="77777777" w:rsidR="00DD3EFA" w:rsidRPr="005A0E7C" w:rsidRDefault="00DD3EFA" w:rsidP="00B15ECB">
            <w:pPr>
              <w:spacing w:before="60" w:after="60"/>
              <w:rPr>
                <w:u w:val="single"/>
              </w:rPr>
            </w:pPr>
            <w:bookmarkStart w:id="9" w:name="_Hlk535568289"/>
            <w:r w:rsidRPr="005A0E7C">
              <w:t>Strategický rámec rozvoje veřejné správy České republiky pro období 2014-2020:</w:t>
            </w:r>
          </w:p>
          <w:p w14:paraId="42BE3BDA" w14:textId="77777777" w:rsidR="00DD3EFA" w:rsidRPr="005A0E7C" w:rsidRDefault="00DD3EFA" w:rsidP="00B15ECB">
            <w:pPr>
              <w:spacing w:before="60" w:after="60"/>
            </w:pPr>
            <w:r w:rsidRPr="005A0E7C">
              <w:t>Strategický cíl 3: Zvýšení dostupnosti a transparentnosti veřejné správy prostřednictvím nástrojů eGovernmentu</w:t>
            </w:r>
          </w:p>
          <w:p w14:paraId="170AFDC7" w14:textId="77777777" w:rsidR="00DD3EFA" w:rsidRPr="005A0E7C" w:rsidRDefault="00DD3EFA" w:rsidP="00B15ECB">
            <w:pPr>
              <w:spacing w:before="60" w:after="60"/>
            </w:pPr>
            <w:r w:rsidRPr="005A0E7C">
              <w:t>Specifický cíl 3.1 – Dobudování funkčního rámce eGovernmentu</w:t>
            </w:r>
            <w:bookmarkEnd w:id="9"/>
          </w:p>
        </w:tc>
        <w:tc>
          <w:tcPr>
            <w:tcW w:w="284" w:type="dxa"/>
            <w:tcBorders>
              <w:top w:val="nil"/>
              <w:bottom w:val="nil"/>
            </w:tcBorders>
            <w:shd w:val="clear" w:color="auto" w:fill="66CCFF"/>
          </w:tcPr>
          <w:p w14:paraId="1BB67E22" w14:textId="77777777" w:rsidR="00DD3EFA" w:rsidRPr="005A0E7C" w:rsidRDefault="00DD3EFA" w:rsidP="00B15ECB">
            <w:pPr>
              <w:rPr>
                <w:b/>
              </w:rPr>
            </w:pPr>
          </w:p>
        </w:tc>
      </w:tr>
      <w:tr w:rsidR="00DD3EFA" w:rsidRPr="005A0E7C" w14:paraId="329AC926" w14:textId="77777777" w:rsidTr="00B15ECB">
        <w:trPr>
          <w:trHeight w:val="377"/>
        </w:trPr>
        <w:tc>
          <w:tcPr>
            <w:tcW w:w="249" w:type="dxa"/>
            <w:tcBorders>
              <w:top w:val="nil"/>
              <w:bottom w:val="nil"/>
              <w:right w:val="nil"/>
            </w:tcBorders>
            <w:shd w:val="clear" w:color="auto" w:fill="66CCFF"/>
          </w:tcPr>
          <w:p w14:paraId="1436C223"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3C28705" w14:textId="77777777" w:rsidR="00DD3EFA" w:rsidRPr="005A0E7C" w:rsidRDefault="00DD3EFA" w:rsidP="00B15ECB">
            <w:pPr>
              <w:spacing w:before="60" w:after="60"/>
              <w:rPr>
                <w:rFonts w:eastAsiaTheme="majorEastAsia"/>
                <w:b/>
              </w:rPr>
            </w:pPr>
          </w:p>
        </w:tc>
        <w:tc>
          <w:tcPr>
            <w:tcW w:w="5963" w:type="dxa"/>
            <w:tcBorders>
              <w:top w:val="single" w:sz="4" w:space="0" w:color="auto"/>
              <w:left w:val="nil"/>
              <w:bottom w:val="single" w:sz="4" w:space="0" w:color="auto"/>
              <w:right w:val="nil"/>
            </w:tcBorders>
            <w:shd w:val="clear" w:color="auto" w:fill="66CCFF"/>
          </w:tcPr>
          <w:p w14:paraId="28C2772D" w14:textId="77777777" w:rsidR="00DD3EFA" w:rsidRPr="005A0E7C" w:rsidRDefault="00DD3EFA" w:rsidP="00B15ECB">
            <w:pPr>
              <w:spacing w:before="60" w:after="60"/>
              <w:rPr>
                <w:rFonts w:eastAsiaTheme="majorEastAsia"/>
                <w:i/>
              </w:rPr>
            </w:pPr>
          </w:p>
        </w:tc>
        <w:tc>
          <w:tcPr>
            <w:tcW w:w="284" w:type="dxa"/>
            <w:tcBorders>
              <w:top w:val="nil"/>
              <w:left w:val="nil"/>
              <w:bottom w:val="nil"/>
            </w:tcBorders>
            <w:shd w:val="clear" w:color="auto" w:fill="66CCFF"/>
          </w:tcPr>
          <w:p w14:paraId="4762C134" w14:textId="77777777" w:rsidR="00DD3EFA" w:rsidRPr="005A0E7C" w:rsidRDefault="00DD3EFA" w:rsidP="00B15ECB">
            <w:pPr>
              <w:rPr>
                <w:b/>
              </w:rPr>
            </w:pPr>
          </w:p>
        </w:tc>
      </w:tr>
      <w:tr w:rsidR="00DD3EFA" w:rsidRPr="005A0E7C" w14:paraId="61B1FEE5" w14:textId="77777777" w:rsidTr="00B15ECB">
        <w:trPr>
          <w:trHeight w:val="1202"/>
        </w:trPr>
        <w:tc>
          <w:tcPr>
            <w:tcW w:w="249" w:type="dxa"/>
            <w:tcBorders>
              <w:top w:val="nil"/>
              <w:bottom w:val="nil"/>
            </w:tcBorders>
            <w:shd w:val="clear" w:color="auto" w:fill="66CCFF"/>
          </w:tcPr>
          <w:p w14:paraId="772387CD" w14:textId="77777777" w:rsidR="00DD3EFA" w:rsidRPr="005A0E7C" w:rsidRDefault="00DD3EFA" w:rsidP="00B15ECB">
            <w:pPr>
              <w:rPr>
                <w:b/>
              </w:rPr>
            </w:pPr>
          </w:p>
        </w:tc>
        <w:tc>
          <w:tcPr>
            <w:tcW w:w="8511" w:type="dxa"/>
            <w:gridSpan w:val="2"/>
            <w:tcBorders>
              <w:top w:val="single" w:sz="4" w:space="0" w:color="auto"/>
              <w:bottom w:val="single" w:sz="4" w:space="0" w:color="auto"/>
            </w:tcBorders>
            <w:shd w:val="clear" w:color="auto" w:fill="FFFFFF" w:themeFill="background1"/>
          </w:tcPr>
          <w:p w14:paraId="291DAAE0" w14:textId="77777777" w:rsidR="00DD3EFA" w:rsidRPr="005A0E7C" w:rsidRDefault="00DD3EFA" w:rsidP="00B15ECB">
            <w:pPr>
              <w:spacing w:before="60" w:after="60"/>
              <w:rPr>
                <w:b/>
              </w:rPr>
            </w:pPr>
            <w:bookmarkStart w:id="10" w:name="_Hlk535406390"/>
            <w:r w:rsidRPr="005A0E7C">
              <w:rPr>
                <w:rFonts w:eastAsiaTheme="majorEastAsia"/>
                <w:b/>
              </w:rPr>
              <w:t>Průřezová témata a souvislosti:</w:t>
            </w:r>
            <w:bookmarkEnd w:id="10"/>
          </w:p>
        </w:tc>
        <w:tc>
          <w:tcPr>
            <w:tcW w:w="284" w:type="dxa"/>
            <w:tcBorders>
              <w:top w:val="nil"/>
              <w:bottom w:val="nil"/>
            </w:tcBorders>
            <w:shd w:val="clear" w:color="auto" w:fill="66CCFF"/>
          </w:tcPr>
          <w:p w14:paraId="72312053" w14:textId="77777777" w:rsidR="00DD3EFA" w:rsidRPr="005A0E7C" w:rsidRDefault="00DD3EFA" w:rsidP="00B15ECB">
            <w:pPr>
              <w:rPr>
                <w:b/>
              </w:rPr>
            </w:pPr>
          </w:p>
        </w:tc>
      </w:tr>
      <w:tr w:rsidR="00DD3EFA" w:rsidRPr="005A0E7C" w14:paraId="3B0EC86C" w14:textId="77777777" w:rsidTr="00B15ECB">
        <w:trPr>
          <w:trHeight w:val="1202"/>
        </w:trPr>
        <w:tc>
          <w:tcPr>
            <w:tcW w:w="249" w:type="dxa"/>
            <w:tcBorders>
              <w:top w:val="nil"/>
              <w:bottom w:val="nil"/>
            </w:tcBorders>
            <w:shd w:val="clear" w:color="auto" w:fill="66CCFF"/>
          </w:tcPr>
          <w:p w14:paraId="048C830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D8AF28B" w14:textId="77777777" w:rsidR="00DD3EFA" w:rsidRPr="005A0E7C" w:rsidRDefault="00DD3EFA" w:rsidP="00391907">
            <w:pPr>
              <w:pStyle w:val="Odstavecseseznamem"/>
              <w:numPr>
                <w:ilvl w:val="0"/>
                <w:numId w:val="2"/>
              </w:numPr>
              <w:spacing w:before="60" w:after="60"/>
              <w:rPr>
                <w:rFonts w:eastAsiaTheme="majorEastAsia"/>
                <w:b/>
              </w:rPr>
            </w:pPr>
            <w:bookmarkStart w:id="11" w:name="_Hlk535406399"/>
            <w:r w:rsidRPr="005A0E7C">
              <w:rPr>
                <w:rFonts w:eastAsiaTheme="majorEastAsia"/>
                <w:b/>
              </w:rPr>
              <w:t>Územní dimenze</w:t>
            </w:r>
            <w:bookmarkEnd w:id="11"/>
          </w:p>
          <w:p w14:paraId="768779E9"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465CE16C"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noProof/>
              </w:rPr>
            </w:pPr>
            <w:r w:rsidRPr="005A0E7C">
              <w:rPr>
                <w:rFonts w:ascii="Times New Roman" w:eastAsiaTheme="minorHAnsi" w:hAnsi="Times New Roman"/>
                <w:noProof/>
              </w:rPr>
              <w:t>Na</w:t>
            </w:r>
            <w:r w:rsidRPr="005A0E7C">
              <w:rPr>
                <w:rFonts w:ascii="Times New Roman" w:hAnsi="Times New Roman"/>
              </w:rPr>
              <w:t xml:space="preserve"> územní dimenzi</w:t>
            </w:r>
            <w:r w:rsidRPr="005A0E7C">
              <w:rPr>
                <w:rFonts w:ascii="Times New Roman" w:eastAsiaTheme="minorHAnsi" w:hAnsi="Times New Roman"/>
                <w:noProof/>
              </w:rPr>
              <w:t xml:space="preserve"> lze ve vztahu k elektronizaci veřejné správy pohlížet z dvou různých úhlů pohledu. </w:t>
            </w:r>
          </w:p>
          <w:p w14:paraId="7440B6C9"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noProof/>
              </w:rPr>
            </w:pPr>
            <w:r w:rsidRPr="005A0E7C">
              <w:rPr>
                <w:rFonts w:ascii="Times New Roman" w:eastAsiaTheme="minorHAnsi" w:hAnsi="Times New Roman"/>
                <w:noProof/>
              </w:rPr>
              <w:t>V rámci rozvoje eGovernmentu je velice důležité, aby se mohli zapojit jednotlivé orgány veřejné moci, od ústředních správních úřadů, až po jednotlivé obce a kraje. Jak je uvedeno výše, cílem je integrovat všechny dostupné elektronické služby veřejné správy v České republice, ale proto je nutné dobudovat příslušnou infrastrukturu v územích.</w:t>
            </w:r>
          </w:p>
          <w:p w14:paraId="71B132F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eastAsiaTheme="minorHAnsi" w:hAnsi="Times New Roman"/>
                <w:noProof/>
              </w:rPr>
              <w:t>Z jiného úhlu pohledu</w:t>
            </w:r>
            <w:r w:rsidRPr="005A0E7C">
              <w:rPr>
                <w:rFonts w:ascii="Times New Roman" w:hAnsi="Times New Roman"/>
              </w:rPr>
              <w:t xml:space="preserve"> elektronizace </w:t>
            </w:r>
            <w:r w:rsidRPr="005A0E7C">
              <w:rPr>
                <w:rFonts w:ascii="Times New Roman" w:eastAsiaTheme="minorHAnsi" w:hAnsi="Times New Roman"/>
                <w:noProof/>
              </w:rPr>
              <w:t>veřejné správy zvýší</w:t>
            </w:r>
            <w:r w:rsidRPr="005A0E7C">
              <w:rPr>
                <w:rFonts w:ascii="Times New Roman" w:hAnsi="Times New Roman"/>
              </w:rPr>
              <w:t xml:space="preserve"> dostupnost </w:t>
            </w:r>
            <w:r w:rsidRPr="005A0E7C">
              <w:rPr>
                <w:rFonts w:ascii="Times New Roman" w:eastAsiaTheme="minorHAnsi" w:hAnsi="Times New Roman"/>
                <w:noProof/>
              </w:rPr>
              <w:t>veřejných službeb pro mnohá, zejména geograficky odlehlá, území České republiky.</w:t>
            </w:r>
            <w:r w:rsidRPr="005A0E7C">
              <w:rPr>
                <w:rFonts w:ascii="Times New Roman" w:hAnsi="Times New Roman"/>
              </w:rPr>
              <w:t xml:space="preserve"> </w:t>
            </w:r>
          </w:p>
        </w:tc>
        <w:tc>
          <w:tcPr>
            <w:tcW w:w="284" w:type="dxa"/>
            <w:tcBorders>
              <w:top w:val="nil"/>
              <w:bottom w:val="nil"/>
            </w:tcBorders>
            <w:shd w:val="clear" w:color="auto" w:fill="66CCFF"/>
          </w:tcPr>
          <w:p w14:paraId="35FCB73F" w14:textId="77777777" w:rsidR="00DD3EFA" w:rsidRPr="005A0E7C" w:rsidRDefault="00DD3EFA" w:rsidP="00B15ECB">
            <w:pPr>
              <w:rPr>
                <w:b/>
              </w:rPr>
            </w:pPr>
          </w:p>
        </w:tc>
      </w:tr>
      <w:tr w:rsidR="00DD3EFA" w:rsidRPr="005A0E7C" w14:paraId="31787CF9" w14:textId="77777777" w:rsidTr="00B15ECB">
        <w:trPr>
          <w:trHeight w:val="1202"/>
        </w:trPr>
        <w:tc>
          <w:tcPr>
            <w:tcW w:w="249" w:type="dxa"/>
            <w:tcBorders>
              <w:top w:val="nil"/>
              <w:bottom w:val="nil"/>
            </w:tcBorders>
            <w:shd w:val="clear" w:color="auto" w:fill="66CCFF"/>
          </w:tcPr>
          <w:p w14:paraId="412BBD9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61501FA" w14:textId="77777777" w:rsidR="00DD3EFA" w:rsidRPr="005A0E7C" w:rsidRDefault="00DD3EFA" w:rsidP="00391907">
            <w:pPr>
              <w:pStyle w:val="Odstavecseseznamem"/>
              <w:numPr>
                <w:ilvl w:val="0"/>
                <w:numId w:val="2"/>
              </w:numPr>
              <w:spacing w:before="60" w:after="60"/>
              <w:rPr>
                <w:rFonts w:eastAsiaTheme="majorEastAsia"/>
                <w:b/>
              </w:rPr>
            </w:pPr>
            <w:bookmarkStart w:id="12" w:name="_Hlk535406408"/>
            <w:r w:rsidRPr="005A0E7C">
              <w:rPr>
                <w:rFonts w:eastAsiaTheme="majorEastAsia"/>
                <w:b/>
              </w:rPr>
              <w:t>Adaptace na změnu</w:t>
            </w:r>
            <w:bookmarkEnd w:id="12"/>
            <w:r w:rsidRPr="005A0E7C">
              <w:rPr>
                <w:rFonts w:eastAsiaTheme="majorEastAsia"/>
                <w:b/>
              </w:rPr>
              <w:t xml:space="preserve"> klimatu</w:t>
            </w:r>
          </w:p>
          <w:p w14:paraId="2EF9AF89"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3BCFDAD5" w14:textId="77777777" w:rsidR="00DD3EFA" w:rsidRPr="005A0E7C" w:rsidRDefault="00DD3EFA" w:rsidP="00B15ECB">
            <w:pPr>
              <w:spacing w:before="60" w:after="60"/>
              <w:rPr>
                <w:rFonts w:eastAsiaTheme="majorEastAsia"/>
              </w:rPr>
            </w:pPr>
            <w:r w:rsidRPr="005A0E7C">
              <w:rPr>
                <w:rFonts w:eastAsiaTheme="majorEastAsia"/>
              </w:rPr>
              <w:t xml:space="preserve">- - - </w:t>
            </w:r>
          </w:p>
        </w:tc>
        <w:tc>
          <w:tcPr>
            <w:tcW w:w="284" w:type="dxa"/>
            <w:tcBorders>
              <w:top w:val="nil"/>
              <w:bottom w:val="nil"/>
            </w:tcBorders>
            <w:shd w:val="clear" w:color="auto" w:fill="66CCFF"/>
          </w:tcPr>
          <w:p w14:paraId="300B02D5" w14:textId="77777777" w:rsidR="00DD3EFA" w:rsidRPr="005A0E7C" w:rsidRDefault="00DD3EFA" w:rsidP="00B15ECB">
            <w:pPr>
              <w:rPr>
                <w:b/>
              </w:rPr>
            </w:pPr>
          </w:p>
        </w:tc>
      </w:tr>
      <w:tr w:rsidR="00DD3EFA" w:rsidRPr="005A0E7C" w14:paraId="36EAC05C" w14:textId="77777777" w:rsidTr="00B15ECB">
        <w:trPr>
          <w:trHeight w:val="1202"/>
        </w:trPr>
        <w:tc>
          <w:tcPr>
            <w:tcW w:w="249" w:type="dxa"/>
            <w:tcBorders>
              <w:top w:val="nil"/>
              <w:bottom w:val="nil"/>
            </w:tcBorders>
            <w:shd w:val="clear" w:color="auto" w:fill="66CCFF"/>
          </w:tcPr>
          <w:p w14:paraId="765F1CE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9E45F20" w14:textId="77777777" w:rsidR="00DD3EFA" w:rsidRPr="005A0E7C" w:rsidRDefault="00DD3EFA" w:rsidP="00391907">
            <w:pPr>
              <w:pStyle w:val="Odstavecseseznamem"/>
              <w:numPr>
                <w:ilvl w:val="0"/>
                <w:numId w:val="2"/>
              </w:numPr>
              <w:spacing w:before="60" w:after="60"/>
              <w:rPr>
                <w:rFonts w:eastAsiaTheme="majorEastAsia"/>
                <w:b/>
              </w:rPr>
            </w:pPr>
            <w:bookmarkStart w:id="13" w:name="_Hlk535406418"/>
            <w:r w:rsidRPr="005A0E7C">
              <w:rPr>
                <w:rFonts w:eastAsiaTheme="majorEastAsia"/>
                <w:b/>
              </w:rPr>
              <w:t>Společnost 4.0.</w:t>
            </w:r>
            <w:bookmarkEnd w:id="13"/>
          </w:p>
          <w:p w14:paraId="092211B1"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7B0D5637" w14:textId="77777777" w:rsidR="00DD3EFA" w:rsidRPr="005A0E7C" w:rsidRDefault="00DD3EFA" w:rsidP="00B15ECB">
            <w:r w:rsidRPr="005A0E7C">
              <w:t>Tato podoblast se naprosto prolíná agendou Společnosti 4.0, která dle příslušného akčního plánu předpokládá jednak celkový rozvoj (digitálního) komunikačního prostředí veřejné správy, podporu a další budování technické infrastruktury, rozvoj elektronických služeb veřejného sektoru a jejich vstřícnosti vůči veřejnosti, včetně potřebného legislativního rámce, standardizaci agend a jejich hodnocení a měření jejich výkonu, rozvoj jednotného digitálního prostředí (Portál občana, jednotné elektronické podání, elektronická identita) a v neposlední řadě zajištění otevřenosti a transparentnosti. Kromě obecné úrovně veřejné správy je součástí elektronizace řady dílčích oblastí, jako je například justice (e-Justice), zdravotnictví (e-Health), územní plánování nebo správa daní.</w:t>
            </w:r>
          </w:p>
        </w:tc>
        <w:tc>
          <w:tcPr>
            <w:tcW w:w="284" w:type="dxa"/>
            <w:tcBorders>
              <w:top w:val="nil"/>
              <w:bottom w:val="nil"/>
            </w:tcBorders>
            <w:shd w:val="clear" w:color="auto" w:fill="66CCFF"/>
          </w:tcPr>
          <w:p w14:paraId="49B16E8C" w14:textId="77777777" w:rsidR="00DD3EFA" w:rsidRPr="005A0E7C" w:rsidRDefault="00DD3EFA" w:rsidP="00B15ECB">
            <w:pPr>
              <w:rPr>
                <w:b/>
              </w:rPr>
            </w:pPr>
          </w:p>
        </w:tc>
      </w:tr>
      <w:tr w:rsidR="00DD3EFA" w:rsidRPr="005A0E7C" w14:paraId="6741AE69" w14:textId="77777777" w:rsidTr="00B15ECB">
        <w:trPr>
          <w:trHeight w:val="1202"/>
        </w:trPr>
        <w:tc>
          <w:tcPr>
            <w:tcW w:w="249" w:type="dxa"/>
            <w:tcBorders>
              <w:top w:val="nil"/>
              <w:bottom w:val="nil"/>
            </w:tcBorders>
            <w:shd w:val="clear" w:color="auto" w:fill="66CCFF"/>
          </w:tcPr>
          <w:p w14:paraId="66E2588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46BC582" w14:textId="77777777" w:rsidR="00DD3EFA" w:rsidRPr="005A0E7C" w:rsidRDefault="00DD3EFA" w:rsidP="00391907">
            <w:pPr>
              <w:pStyle w:val="Odstavecseseznamem"/>
              <w:numPr>
                <w:ilvl w:val="0"/>
                <w:numId w:val="2"/>
              </w:numPr>
              <w:spacing w:before="60" w:after="60"/>
              <w:rPr>
                <w:rFonts w:eastAsiaTheme="majorEastAsia"/>
                <w:b/>
              </w:rPr>
            </w:pPr>
            <w:bookmarkStart w:id="14" w:name="_Hlk535406426"/>
            <w:r w:rsidRPr="005A0E7C">
              <w:rPr>
                <w:rFonts w:eastAsiaTheme="majorEastAsia"/>
                <w:b/>
              </w:rPr>
              <w:t>Vazba na megatrendy</w:t>
            </w:r>
            <w:bookmarkEnd w:id="14"/>
          </w:p>
          <w:p w14:paraId="0584CD1E"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52BDB6EA" w14:textId="77777777" w:rsidR="00DD3EFA" w:rsidRPr="005A0E7C" w:rsidRDefault="00DD3EFA" w:rsidP="00B15ECB">
            <w:pPr>
              <w:spacing w:before="60" w:after="60"/>
            </w:pPr>
            <w:r w:rsidRPr="005A0E7C">
              <w:rPr>
                <w:rFonts w:eastAsiaTheme="majorEastAsia"/>
              </w:rPr>
              <w:t>Podoblast řeší minimálně 3 megatrendy: rostoucí přístup k informacím, zvyšující se dostupnost technologií a zvyšující se rychlost technologické změny. Ohledně rostoucího přístupu k informacím se snaží eGovernment zajistit jednotné informace z důvěryhodného zdroje a sjednocení platforem, na nichž je možné se dozvědět věci o veřejné správě a způsoby, jak s ní komunikovat. Ohledně zvyšující se dostupnosti technologií je eGovernment stavěn tak, aby technologie neovlivňovala uživatelský zážitek, a tím pádem bylo možné za využití nejnovějších technologií stále udržet srozumitelnost služeb. Podobný popis platí i pro zvyšující se rychlost technologické změny.</w:t>
            </w:r>
          </w:p>
        </w:tc>
        <w:tc>
          <w:tcPr>
            <w:tcW w:w="284" w:type="dxa"/>
            <w:tcBorders>
              <w:top w:val="nil"/>
              <w:bottom w:val="nil"/>
            </w:tcBorders>
            <w:shd w:val="clear" w:color="auto" w:fill="66CCFF"/>
          </w:tcPr>
          <w:p w14:paraId="531EFFA1" w14:textId="77777777" w:rsidR="00DD3EFA" w:rsidRPr="005A0E7C" w:rsidRDefault="00DD3EFA" w:rsidP="00B15ECB">
            <w:pPr>
              <w:rPr>
                <w:b/>
              </w:rPr>
            </w:pPr>
          </w:p>
        </w:tc>
      </w:tr>
      <w:tr w:rsidR="00DD3EFA" w:rsidRPr="005A0E7C" w14:paraId="62CFE270" w14:textId="77777777" w:rsidTr="00B15ECB">
        <w:trPr>
          <w:trHeight w:val="1202"/>
        </w:trPr>
        <w:tc>
          <w:tcPr>
            <w:tcW w:w="249" w:type="dxa"/>
            <w:tcBorders>
              <w:top w:val="nil"/>
              <w:bottom w:val="nil"/>
            </w:tcBorders>
            <w:shd w:val="clear" w:color="auto" w:fill="66CCFF"/>
          </w:tcPr>
          <w:p w14:paraId="5DCCD3B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5E266E7" w14:textId="77777777" w:rsidR="00DD3EFA" w:rsidRPr="005A0E7C" w:rsidRDefault="00DD3EFA" w:rsidP="00391907">
            <w:pPr>
              <w:pStyle w:val="Odstavecseseznamem"/>
              <w:numPr>
                <w:ilvl w:val="0"/>
                <w:numId w:val="5"/>
              </w:numPr>
              <w:spacing w:before="60" w:after="60"/>
              <w:rPr>
                <w:rFonts w:eastAsiaTheme="majorEastAsia"/>
                <w:b/>
              </w:rPr>
            </w:pPr>
            <w:bookmarkStart w:id="15" w:name="_Hlk535406437"/>
            <w:r w:rsidRPr="005A0E7C">
              <w:rPr>
                <w:rFonts w:eastAsiaTheme="majorEastAsia"/>
                <w:b/>
              </w:rPr>
              <w:t>Politické cíle ON, specifické cíle nařízení k jednotlivým relevantním fondům</w:t>
            </w:r>
            <w:bookmarkEnd w:id="15"/>
          </w:p>
        </w:tc>
        <w:tc>
          <w:tcPr>
            <w:tcW w:w="5963" w:type="dxa"/>
            <w:tcBorders>
              <w:bottom w:val="single" w:sz="4" w:space="0" w:color="auto"/>
            </w:tcBorders>
            <w:shd w:val="clear" w:color="auto" w:fill="FFFFFF" w:themeFill="background1"/>
          </w:tcPr>
          <w:p w14:paraId="29925C79" w14:textId="77777777" w:rsidR="00DD3EFA" w:rsidRPr="005A0E7C" w:rsidRDefault="00DD3EFA" w:rsidP="00B15ECB">
            <w:pPr>
              <w:spacing w:before="60" w:after="60"/>
            </w:pPr>
            <w:r w:rsidRPr="005A0E7C">
              <w:t>Cíl „Elektronizace výkonu veřejné správy a zavedení související infrastruktury“ se řešenými tématy nejvíce dotýká třech cílů politiky EU formulovaných v návrhu nařízení pro politiku soudržnosti v programovém období 2021 – 2027: CP1 – Inteligentnější Evropa, CP3 – Propojenější Evropa a CP5 – Evropa blíže občanům. Jako specifické cíle nařízení lze uvést např. „</w:t>
            </w:r>
            <w:r w:rsidRPr="005A0E7C">
              <w:rPr>
                <w:color w:val="222222"/>
              </w:rPr>
              <w:t>využívání výhod digitalizace pro občany, společnosti a vlády“ nebo „zlepšení digitální konektivity“ uvedené pod EFRR / FS.</w:t>
            </w:r>
          </w:p>
        </w:tc>
        <w:tc>
          <w:tcPr>
            <w:tcW w:w="284" w:type="dxa"/>
            <w:tcBorders>
              <w:top w:val="nil"/>
              <w:bottom w:val="nil"/>
            </w:tcBorders>
            <w:shd w:val="clear" w:color="auto" w:fill="66CCFF"/>
          </w:tcPr>
          <w:p w14:paraId="6EF25C68" w14:textId="77777777" w:rsidR="00DD3EFA" w:rsidRPr="005A0E7C" w:rsidRDefault="00DD3EFA" w:rsidP="00B15ECB">
            <w:pPr>
              <w:rPr>
                <w:b/>
              </w:rPr>
            </w:pPr>
          </w:p>
        </w:tc>
      </w:tr>
      <w:tr w:rsidR="00DD3EFA" w:rsidRPr="005A0E7C" w14:paraId="53587EB7" w14:textId="77777777" w:rsidTr="00B15ECB">
        <w:trPr>
          <w:trHeight w:val="1202"/>
        </w:trPr>
        <w:tc>
          <w:tcPr>
            <w:tcW w:w="249" w:type="dxa"/>
            <w:tcBorders>
              <w:top w:val="nil"/>
              <w:bottom w:val="nil"/>
            </w:tcBorders>
            <w:shd w:val="clear" w:color="auto" w:fill="66CCFF"/>
          </w:tcPr>
          <w:p w14:paraId="5C2EC8D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9DAC382" w14:textId="77777777" w:rsidR="00DD3EFA" w:rsidRPr="005A0E7C" w:rsidRDefault="00DD3EFA" w:rsidP="00391907">
            <w:pPr>
              <w:pStyle w:val="Odstavecseseznamem"/>
              <w:numPr>
                <w:ilvl w:val="0"/>
                <w:numId w:val="5"/>
              </w:numPr>
              <w:spacing w:before="60" w:after="60"/>
              <w:rPr>
                <w:rFonts w:eastAsiaTheme="majorEastAsia"/>
                <w:b/>
              </w:rPr>
            </w:pPr>
            <w:bookmarkStart w:id="16" w:name="_Hlk535406452"/>
            <w:r w:rsidRPr="005A0E7C">
              <w:rPr>
                <w:rFonts w:eastAsiaTheme="majorEastAsia"/>
                <w:b/>
              </w:rPr>
              <w:t>SDR</w:t>
            </w:r>
            <w:bookmarkEnd w:id="16"/>
          </w:p>
        </w:tc>
        <w:tc>
          <w:tcPr>
            <w:tcW w:w="5963" w:type="dxa"/>
            <w:tcBorders>
              <w:bottom w:val="single" w:sz="4" w:space="0" w:color="auto"/>
            </w:tcBorders>
            <w:shd w:val="clear" w:color="auto" w:fill="FFFFFF" w:themeFill="background1"/>
          </w:tcPr>
          <w:p w14:paraId="288B13F1" w14:textId="77777777" w:rsidR="00DD3EFA" w:rsidRPr="005A0E7C" w:rsidRDefault="00DD3EFA" w:rsidP="00B15ECB">
            <w:pPr>
              <w:spacing w:before="60" w:after="60"/>
            </w:pPr>
            <w:r w:rsidRPr="005A0E7C">
              <w:rPr>
                <w:rFonts w:eastAsiaTheme="majorEastAsia"/>
              </w:rPr>
              <w:t>Rada pro rok 2017 explicitně doporučila České republice:</w:t>
            </w:r>
            <w:r w:rsidRPr="005A0E7C">
              <w:t xml:space="preserve"> „zavedení klíčových služeb elektronické veřejné správy“. </w:t>
            </w:r>
          </w:p>
          <w:p w14:paraId="7A88C37D" w14:textId="77777777" w:rsidR="00DD3EFA" w:rsidRPr="005A0E7C" w:rsidRDefault="00DD3EFA" w:rsidP="00B15ECB">
            <w:pPr>
              <w:spacing w:before="60" w:after="60"/>
            </w:pPr>
            <w:r w:rsidRPr="005A0E7C">
              <w:t>A pro rok 2018 Rada k této oblasti žádná konkrétní doporučení nedala, ale hodnotila výkonnost elektronické veřejné správy nadále jako podprůměrnou vůči zbytku Evropské unie.</w:t>
            </w:r>
          </w:p>
        </w:tc>
        <w:tc>
          <w:tcPr>
            <w:tcW w:w="284" w:type="dxa"/>
            <w:tcBorders>
              <w:top w:val="nil"/>
              <w:bottom w:val="nil"/>
            </w:tcBorders>
            <w:shd w:val="clear" w:color="auto" w:fill="66CCFF"/>
          </w:tcPr>
          <w:p w14:paraId="6BC0826D" w14:textId="77777777" w:rsidR="00DD3EFA" w:rsidRPr="005A0E7C" w:rsidRDefault="00DD3EFA" w:rsidP="00B15ECB">
            <w:pPr>
              <w:rPr>
                <w:b/>
              </w:rPr>
            </w:pPr>
          </w:p>
        </w:tc>
      </w:tr>
      <w:tr w:rsidR="00DD3EFA" w:rsidRPr="005A0E7C" w14:paraId="65D6E27D" w14:textId="77777777" w:rsidTr="00B15ECB">
        <w:trPr>
          <w:trHeight w:val="180"/>
        </w:trPr>
        <w:tc>
          <w:tcPr>
            <w:tcW w:w="249" w:type="dxa"/>
            <w:tcBorders>
              <w:top w:val="nil"/>
              <w:bottom w:val="nil"/>
              <w:right w:val="nil"/>
            </w:tcBorders>
            <w:shd w:val="clear" w:color="auto" w:fill="66CCFF"/>
          </w:tcPr>
          <w:p w14:paraId="05021AB6" w14:textId="77777777" w:rsidR="00DD3EFA" w:rsidRPr="005A0E7C" w:rsidRDefault="00DD3EFA" w:rsidP="00B15ECB">
            <w:pPr>
              <w:rPr>
                <w:b/>
              </w:rPr>
            </w:pPr>
          </w:p>
        </w:tc>
        <w:tc>
          <w:tcPr>
            <w:tcW w:w="2548" w:type="dxa"/>
            <w:tcBorders>
              <w:left w:val="nil"/>
              <w:right w:val="nil"/>
            </w:tcBorders>
            <w:shd w:val="clear" w:color="auto" w:fill="66CCFF"/>
          </w:tcPr>
          <w:p w14:paraId="3CC75EA1" w14:textId="77777777" w:rsidR="00DD3EFA" w:rsidRPr="005A0E7C" w:rsidRDefault="00DD3EFA" w:rsidP="00B15ECB">
            <w:pPr>
              <w:rPr>
                <w:b/>
              </w:rPr>
            </w:pPr>
          </w:p>
        </w:tc>
        <w:tc>
          <w:tcPr>
            <w:tcW w:w="5963" w:type="dxa"/>
            <w:tcBorders>
              <w:left w:val="nil"/>
              <w:right w:val="nil"/>
            </w:tcBorders>
            <w:shd w:val="clear" w:color="auto" w:fill="66CCFF"/>
          </w:tcPr>
          <w:p w14:paraId="47862E44" w14:textId="77777777" w:rsidR="00DD3EFA" w:rsidRPr="005A0E7C" w:rsidRDefault="00DD3EFA" w:rsidP="00B15ECB">
            <w:pPr>
              <w:rPr>
                <w:b/>
              </w:rPr>
            </w:pPr>
          </w:p>
        </w:tc>
        <w:tc>
          <w:tcPr>
            <w:tcW w:w="284" w:type="dxa"/>
            <w:tcBorders>
              <w:top w:val="nil"/>
              <w:left w:val="nil"/>
              <w:bottom w:val="nil"/>
            </w:tcBorders>
            <w:shd w:val="clear" w:color="auto" w:fill="66CCFF"/>
          </w:tcPr>
          <w:p w14:paraId="01A9B023" w14:textId="77777777" w:rsidR="00DD3EFA" w:rsidRPr="005A0E7C" w:rsidRDefault="00DD3EFA" w:rsidP="00B15ECB">
            <w:pPr>
              <w:rPr>
                <w:b/>
              </w:rPr>
            </w:pPr>
          </w:p>
        </w:tc>
      </w:tr>
      <w:tr w:rsidR="00DD3EFA" w:rsidRPr="005A0E7C" w14:paraId="51090D52" w14:textId="77777777" w:rsidTr="00B15ECB">
        <w:trPr>
          <w:trHeight w:val="938"/>
        </w:trPr>
        <w:tc>
          <w:tcPr>
            <w:tcW w:w="2797" w:type="dxa"/>
            <w:gridSpan w:val="2"/>
            <w:tcBorders>
              <w:top w:val="nil"/>
              <w:bottom w:val="nil"/>
            </w:tcBorders>
            <w:shd w:val="clear" w:color="auto" w:fill="66CCFF"/>
          </w:tcPr>
          <w:p w14:paraId="7FBBC2F4" w14:textId="77777777" w:rsidR="00DD3EFA" w:rsidRPr="005A0E7C" w:rsidRDefault="00DD3EFA" w:rsidP="00B15ECB">
            <w:pPr>
              <w:rPr>
                <w:b/>
              </w:rPr>
            </w:pPr>
          </w:p>
        </w:tc>
        <w:tc>
          <w:tcPr>
            <w:tcW w:w="5963" w:type="dxa"/>
            <w:tcBorders>
              <w:bottom w:val="single" w:sz="4" w:space="0" w:color="auto"/>
            </w:tcBorders>
            <w:shd w:val="clear" w:color="auto" w:fill="FFFFFF" w:themeFill="background1"/>
          </w:tcPr>
          <w:p w14:paraId="6133055F" w14:textId="77777777" w:rsidR="00DD3EFA" w:rsidRPr="005A0E7C" w:rsidRDefault="00DD3EFA" w:rsidP="00B15ECB">
            <w:pPr>
              <w:spacing w:before="60" w:after="60"/>
              <w:rPr>
                <w:b/>
              </w:rPr>
            </w:pPr>
            <w:bookmarkStart w:id="17" w:name="_Hlk535406478"/>
            <w:r w:rsidRPr="005A0E7C">
              <w:rPr>
                <w:rFonts w:eastAsiaTheme="majorEastAsia"/>
                <w:b/>
              </w:rPr>
              <w:t>Strategický</w:t>
            </w:r>
            <w:r w:rsidRPr="005A0E7C">
              <w:rPr>
                <w:rFonts w:eastAsia="Calibri"/>
                <w:b/>
              </w:rPr>
              <w:t xml:space="preserve"> dokument </w:t>
            </w:r>
            <w:r w:rsidRPr="005A0E7C">
              <w:rPr>
                <w:rFonts w:eastAsiaTheme="majorEastAsia"/>
                <w:b/>
              </w:rPr>
              <w:t>pro daný cíl</w:t>
            </w:r>
            <w:r w:rsidRPr="005A0E7C">
              <w:rPr>
                <w:rFonts w:eastAsia="Calibri"/>
                <w:b/>
              </w:rPr>
              <w:t xml:space="preserve"> pro období </w:t>
            </w:r>
            <w:r w:rsidRPr="005A0E7C">
              <w:rPr>
                <w:rFonts w:eastAsiaTheme="majorEastAsia"/>
                <w:b/>
              </w:rPr>
              <w:t>2020+; v případě více dokumentů identifikujte</w:t>
            </w:r>
            <w:r w:rsidRPr="005A0E7C">
              <w:rPr>
                <w:rFonts w:eastAsia="Calibri"/>
                <w:b/>
              </w:rPr>
              <w:t xml:space="preserve"> strategii </w:t>
            </w:r>
            <w:r w:rsidRPr="005A0E7C">
              <w:rPr>
                <w:b/>
              </w:rPr>
              <w:t xml:space="preserve">dominantní </w:t>
            </w:r>
            <w:r w:rsidRPr="005A0E7C">
              <w:rPr>
                <w:rFonts w:eastAsiaTheme="majorEastAsia"/>
                <w:b/>
              </w:rPr>
              <w:t>ve vztahu k cíli.</w:t>
            </w:r>
            <w:bookmarkEnd w:id="17"/>
          </w:p>
          <w:p w14:paraId="7D61FBBA" w14:textId="77777777" w:rsidR="00DD3EFA" w:rsidRPr="005A0E7C" w:rsidRDefault="00DD3EFA" w:rsidP="00B15ECB">
            <w:r w:rsidRPr="005A0E7C">
              <w:t>základní strategické dokumenty:</w:t>
            </w:r>
          </w:p>
          <w:p w14:paraId="33031631" w14:textId="77777777" w:rsidR="00DD3EFA" w:rsidRPr="005A0E7C" w:rsidRDefault="00DD3EFA" w:rsidP="00391907">
            <w:pPr>
              <w:pStyle w:val="Odstavecseseznamem"/>
              <w:numPr>
                <w:ilvl w:val="0"/>
                <w:numId w:val="46"/>
              </w:numPr>
              <w:jc w:val="both"/>
              <w:rPr>
                <w:rFonts w:eastAsia="ArialMT"/>
              </w:rPr>
            </w:pPr>
            <w:r w:rsidRPr="005A0E7C">
              <w:rPr>
                <w:rFonts w:eastAsia="ArialMT"/>
                <w:b/>
              </w:rPr>
              <w:t>Digitální Česko</w:t>
            </w:r>
            <w:r w:rsidRPr="005A0E7C">
              <w:rPr>
                <w:rFonts w:eastAsia="ArialMT"/>
              </w:rPr>
              <w:t xml:space="preserve"> – vládou schválený program pro digitalizaci ČR 2018+, respektive jeden z jeho hlavních pilířů známý jako </w:t>
            </w:r>
            <w:r w:rsidRPr="005A0E7C">
              <w:rPr>
                <w:rFonts w:eastAsia="ArialMT"/>
                <w:b/>
              </w:rPr>
              <w:t xml:space="preserve">Informační koncepce ČR </w:t>
            </w:r>
            <w:r w:rsidRPr="005A0E7C">
              <w:rPr>
                <w:rFonts w:eastAsia="ArialMT"/>
              </w:rPr>
              <w:t>(</w:t>
            </w:r>
            <w:r w:rsidRPr="005A0E7C">
              <w:rPr>
                <w:b/>
              </w:rPr>
              <w:t>Digitální veřejná správa</w:t>
            </w:r>
            <w:r w:rsidRPr="005A0E7C">
              <w:t>)</w:t>
            </w:r>
          </w:p>
          <w:p w14:paraId="187726F3" w14:textId="77777777" w:rsidR="00DD3EFA" w:rsidRPr="005A0E7C" w:rsidRDefault="00DD3EFA" w:rsidP="00391907">
            <w:pPr>
              <w:pStyle w:val="Odstavecseseznamem"/>
              <w:numPr>
                <w:ilvl w:val="0"/>
                <w:numId w:val="46"/>
              </w:numPr>
              <w:jc w:val="both"/>
              <w:rPr>
                <w:b/>
                <w:i/>
              </w:rPr>
            </w:pPr>
            <w:r w:rsidRPr="005A0E7C">
              <w:rPr>
                <w:rFonts w:eastAsia="ArialMT"/>
                <w:b/>
              </w:rPr>
              <w:t xml:space="preserve">Klientsky orientovaná veřejná správa 2030 </w:t>
            </w:r>
            <w:r w:rsidRPr="005A0E7C">
              <w:rPr>
                <w:rFonts w:eastAsia="ArialMT"/>
              </w:rPr>
              <w:t>– Tato nová strategie rozvoje veřejné správy vzniká na základě rozsáhlé analytické práce. V tuto chvíli se připravuje konkrétní znění strategie, která by měla být schválena v roce 2019. Tato strategie obsahuje i specifický cíl: Zlepšit kvalitu služeb poskytovaných veřejnou správou, který pomohou z velké části naplnit právě projekty eGovernmentu. Jelikož je tato strategie stále v přípravné fázi, níže bude hodnocena Informační koncepce ČR, která je součástí programu Digitální Česko.</w:t>
            </w:r>
          </w:p>
        </w:tc>
        <w:tc>
          <w:tcPr>
            <w:tcW w:w="284" w:type="dxa"/>
            <w:tcBorders>
              <w:top w:val="nil"/>
              <w:bottom w:val="nil"/>
            </w:tcBorders>
            <w:shd w:val="clear" w:color="auto" w:fill="66CCFF"/>
          </w:tcPr>
          <w:p w14:paraId="2E1E0741" w14:textId="77777777" w:rsidR="00DD3EFA" w:rsidRPr="005A0E7C" w:rsidRDefault="00DD3EFA" w:rsidP="00B15ECB">
            <w:pPr>
              <w:rPr>
                <w:b/>
              </w:rPr>
            </w:pPr>
          </w:p>
        </w:tc>
      </w:tr>
      <w:tr w:rsidR="00DD3EFA" w:rsidRPr="005A0E7C" w14:paraId="431DFA04" w14:textId="77777777" w:rsidTr="00B15ECB">
        <w:trPr>
          <w:trHeight w:val="938"/>
        </w:trPr>
        <w:tc>
          <w:tcPr>
            <w:tcW w:w="249" w:type="dxa"/>
            <w:tcBorders>
              <w:top w:val="nil"/>
              <w:bottom w:val="nil"/>
            </w:tcBorders>
            <w:shd w:val="clear" w:color="auto" w:fill="66CCFF"/>
          </w:tcPr>
          <w:p w14:paraId="6350F24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36B98C9" w14:textId="77777777" w:rsidR="00DD3EFA" w:rsidRPr="005A0E7C" w:rsidRDefault="00DD3EFA" w:rsidP="00391907">
            <w:pPr>
              <w:pStyle w:val="Odstavecseseznamem"/>
              <w:numPr>
                <w:ilvl w:val="0"/>
                <w:numId w:val="3"/>
              </w:numPr>
              <w:spacing w:before="60" w:after="60"/>
              <w:rPr>
                <w:rFonts w:eastAsiaTheme="majorEastAsia"/>
                <w:b/>
              </w:rPr>
            </w:pPr>
            <w:bookmarkStart w:id="18" w:name="_Hlk535406496"/>
            <w:r w:rsidRPr="005A0E7C">
              <w:rPr>
                <w:rFonts w:eastAsiaTheme="majorEastAsia"/>
                <w:b/>
              </w:rPr>
              <w:t>Analýza problémů a potřeb</w:t>
            </w:r>
            <w:bookmarkEnd w:id="18"/>
          </w:p>
          <w:p w14:paraId="41D12EB0"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10F8DD59" w14:textId="77777777" w:rsidR="00DD3EFA" w:rsidRPr="005A0E7C" w:rsidRDefault="00DD3EFA" w:rsidP="00B15ECB">
            <w:pPr>
              <w:autoSpaceDE w:val="0"/>
              <w:autoSpaceDN w:val="0"/>
              <w:adjustRightInd w:val="0"/>
            </w:pPr>
            <w:r w:rsidRPr="005A0E7C">
              <w:t>Strategie vznikla na základě mnoha analytických podkladů, jako jeden příklad za všechny uvedu velké benchmarkingové šetření, které proběhlo ve dnech 16. 7. 2018 – 28. 8. 2018 na 14 ministerstvech a 20 dalších ústředních správních úřadech. Tato analytická studie sloužila k identifikaci tzv. výchozího bodu v řízení ICT a stavu připravenosti zahrnutých subjektů na realizaci změn v rámci postupu směrem k implementaci „plného “eGovernmentu.</w:t>
            </w:r>
          </w:p>
        </w:tc>
        <w:tc>
          <w:tcPr>
            <w:tcW w:w="284" w:type="dxa"/>
            <w:tcBorders>
              <w:top w:val="nil"/>
              <w:bottom w:val="nil"/>
            </w:tcBorders>
            <w:shd w:val="clear" w:color="auto" w:fill="66CCFF"/>
          </w:tcPr>
          <w:p w14:paraId="365056C8" w14:textId="77777777" w:rsidR="00DD3EFA" w:rsidRPr="005A0E7C" w:rsidRDefault="00DD3EFA" w:rsidP="00B15ECB">
            <w:pPr>
              <w:rPr>
                <w:b/>
              </w:rPr>
            </w:pPr>
          </w:p>
        </w:tc>
      </w:tr>
      <w:tr w:rsidR="00DD3EFA" w:rsidRPr="005A0E7C" w14:paraId="4EFCFBBA" w14:textId="77777777" w:rsidTr="00B15ECB">
        <w:trPr>
          <w:trHeight w:val="938"/>
        </w:trPr>
        <w:tc>
          <w:tcPr>
            <w:tcW w:w="249" w:type="dxa"/>
            <w:tcBorders>
              <w:top w:val="nil"/>
              <w:bottom w:val="nil"/>
            </w:tcBorders>
            <w:shd w:val="clear" w:color="auto" w:fill="66CCFF"/>
          </w:tcPr>
          <w:p w14:paraId="700D509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9DA2C64" w14:textId="77777777" w:rsidR="00DD3EFA" w:rsidRPr="005A0E7C" w:rsidRDefault="00DD3EFA" w:rsidP="00391907">
            <w:pPr>
              <w:pStyle w:val="Odstavecseseznamem"/>
              <w:numPr>
                <w:ilvl w:val="0"/>
                <w:numId w:val="3"/>
              </w:numPr>
              <w:spacing w:before="60" w:after="60"/>
              <w:rPr>
                <w:rFonts w:eastAsiaTheme="majorEastAsia"/>
                <w:b/>
              </w:rPr>
            </w:pPr>
            <w:bookmarkStart w:id="19" w:name="_Hlk535406522"/>
            <w:r w:rsidRPr="005A0E7C">
              <w:rPr>
                <w:rFonts w:eastAsiaTheme="majorEastAsia"/>
                <w:b/>
              </w:rPr>
              <w:t>Jasně definované cíle a opatření</w:t>
            </w:r>
            <w:bookmarkEnd w:id="19"/>
          </w:p>
          <w:p w14:paraId="51E5C953"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77695C8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IK ČR obsahuje jasně definované cíle:</w:t>
            </w:r>
          </w:p>
          <w:p w14:paraId="2010808A" w14:textId="190BD485" w:rsidR="00DD3EFA" w:rsidRPr="005A0E7C" w:rsidRDefault="00203AE0" w:rsidP="00B15ECB">
            <w:pPr>
              <w:autoSpaceDE w:val="0"/>
              <w:autoSpaceDN w:val="0"/>
              <w:adjustRightInd w:val="0"/>
              <w:rPr>
                <w:bCs/>
              </w:rPr>
            </w:pPr>
            <w:r w:rsidRPr="005A0E7C">
              <w:rPr>
                <w:bCs/>
              </w:rPr>
              <w:t>1. Uživatelsky přívětivé a efektivní on-line služby pro občany a firmy</w:t>
            </w:r>
          </w:p>
          <w:p w14:paraId="341FF697" w14:textId="383E8EAC" w:rsidR="00DD3EFA" w:rsidRPr="005A0E7C" w:rsidRDefault="00203AE0" w:rsidP="00B15ECB">
            <w:pPr>
              <w:autoSpaceDE w:val="0"/>
              <w:autoSpaceDN w:val="0"/>
              <w:adjustRightInd w:val="0"/>
              <w:rPr>
                <w:bCs/>
              </w:rPr>
            </w:pPr>
            <w:r w:rsidRPr="005A0E7C">
              <w:rPr>
                <w:bCs/>
              </w:rPr>
              <w:t>2. Digitálně přívětivá legislativa</w:t>
            </w:r>
          </w:p>
          <w:p w14:paraId="4943CB22" w14:textId="1B230429" w:rsidR="00DD3EFA" w:rsidRPr="005A0E7C" w:rsidRDefault="00203AE0" w:rsidP="00B15ECB">
            <w:pPr>
              <w:autoSpaceDE w:val="0"/>
              <w:autoSpaceDN w:val="0"/>
              <w:adjustRightInd w:val="0"/>
              <w:rPr>
                <w:bCs/>
              </w:rPr>
            </w:pPr>
            <w:r w:rsidRPr="005A0E7C">
              <w:rPr>
                <w:bCs/>
              </w:rPr>
              <w:t>3. Rozvoj celkového prostředí podporujícího digitální technologie</w:t>
            </w:r>
          </w:p>
          <w:p w14:paraId="48D4ADBE" w14:textId="3A657344" w:rsidR="00DD3EFA" w:rsidRPr="005A0E7C" w:rsidRDefault="00203AE0" w:rsidP="00B15ECB">
            <w:pPr>
              <w:autoSpaceDE w:val="0"/>
              <w:autoSpaceDN w:val="0"/>
              <w:adjustRightInd w:val="0"/>
              <w:rPr>
                <w:bCs/>
              </w:rPr>
            </w:pPr>
            <w:r w:rsidRPr="005A0E7C">
              <w:rPr>
                <w:bCs/>
              </w:rPr>
              <w:t>4. Zvýšení kapacit a kompetencí zaměstnanců ve veřejné správě</w:t>
            </w:r>
          </w:p>
          <w:p w14:paraId="221A3C6C" w14:textId="0819839E" w:rsidR="00DD3EFA" w:rsidRPr="005A0E7C" w:rsidRDefault="00203AE0" w:rsidP="00B15ECB">
            <w:pPr>
              <w:pStyle w:val="slovanodstavec"/>
              <w:tabs>
                <w:tab w:val="clear" w:pos="567"/>
                <w:tab w:val="left" w:pos="284"/>
              </w:tabs>
              <w:suppressAutoHyphens/>
              <w:spacing w:line="240" w:lineRule="auto"/>
              <w:jc w:val="left"/>
              <w:rPr>
                <w:rFonts w:ascii="Times New Roman" w:hAnsi="Times New Roman"/>
                <w:bCs/>
              </w:rPr>
            </w:pPr>
            <w:r w:rsidRPr="005A0E7C">
              <w:rPr>
                <w:rFonts w:ascii="Times New Roman" w:hAnsi="Times New Roman"/>
                <w:bCs/>
              </w:rPr>
              <w:t>5. Efektivní a centrálně koordinované ICT veřejné správy</w:t>
            </w:r>
          </w:p>
          <w:p w14:paraId="638CD26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bCs/>
              </w:rPr>
              <w:t xml:space="preserve">Celý dokument včetně podrobně rozepsaných podcílů je možné stáhnout zde: </w:t>
            </w:r>
            <w:hyperlink r:id="rId39" w:history="1">
              <w:r w:rsidRPr="005A0E7C">
                <w:rPr>
                  <w:rStyle w:val="Hypertextovodkaz"/>
                  <w:rFonts w:ascii="Times New Roman" w:hAnsi="Times New Roman"/>
                  <w:bCs/>
                </w:rPr>
                <w:t>https://www.mvcr.cz/clanek/rada-vlady-pro-informacni-spolecnost.aspx</w:t>
              </w:r>
            </w:hyperlink>
            <w:r w:rsidRPr="005A0E7C">
              <w:rPr>
                <w:rFonts w:ascii="Times New Roman" w:hAnsi="Times New Roman"/>
                <w:bCs/>
              </w:rPr>
              <w:t xml:space="preserve"> </w:t>
            </w:r>
          </w:p>
        </w:tc>
        <w:tc>
          <w:tcPr>
            <w:tcW w:w="284" w:type="dxa"/>
            <w:tcBorders>
              <w:top w:val="nil"/>
              <w:bottom w:val="nil"/>
            </w:tcBorders>
            <w:shd w:val="clear" w:color="auto" w:fill="66CCFF"/>
          </w:tcPr>
          <w:p w14:paraId="2C6F903B" w14:textId="77777777" w:rsidR="00DD3EFA" w:rsidRPr="005A0E7C" w:rsidRDefault="00DD3EFA" w:rsidP="00B15ECB">
            <w:pPr>
              <w:rPr>
                <w:b/>
              </w:rPr>
            </w:pPr>
          </w:p>
        </w:tc>
      </w:tr>
      <w:tr w:rsidR="00DD3EFA" w:rsidRPr="005A0E7C" w14:paraId="50EF7CA7" w14:textId="77777777" w:rsidTr="00B15ECB">
        <w:trPr>
          <w:trHeight w:val="938"/>
        </w:trPr>
        <w:tc>
          <w:tcPr>
            <w:tcW w:w="249" w:type="dxa"/>
            <w:tcBorders>
              <w:top w:val="nil"/>
              <w:bottom w:val="nil"/>
            </w:tcBorders>
            <w:shd w:val="clear" w:color="auto" w:fill="66CCFF"/>
          </w:tcPr>
          <w:p w14:paraId="5A51F5A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54A9EEE" w14:textId="77777777" w:rsidR="00DD3EFA" w:rsidRPr="005A0E7C" w:rsidRDefault="00DD3EFA" w:rsidP="00391907">
            <w:pPr>
              <w:pStyle w:val="Odstavecseseznamem"/>
              <w:numPr>
                <w:ilvl w:val="0"/>
                <w:numId w:val="3"/>
              </w:numPr>
              <w:spacing w:before="60" w:after="60"/>
              <w:rPr>
                <w:rFonts w:eastAsiaTheme="majorEastAsia"/>
                <w:b/>
              </w:rPr>
            </w:pPr>
            <w:bookmarkStart w:id="20" w:name="_Hlk535406535"/>
            <w:r w:rsidRPr="005A0E7C">
              <w:rPr>
                <w:rFonts w:eastAsiaTheme="majorEastAsia"/>
                <w:b/>
              </w:rPr>
              <w:t>Implementační mechanismus</w:t>
            </w:r>
            <w:bookmarkEnd w:id="20"/>
          </w:p>
          <w:p w14:paraId="6ABFC2F6" w14:textId="77777777" w:rsidR="00DD3EFA" w:rsidRPr="005A0E7C" w:rsidRDefault="00DD3EFA" w:rsidP="00B15ECB">
            <w:pPr>
              <w:spacing w:before="60" w:after="60"/>
              <w:rPr>
                <w:rFonts w:eastAsiaTheme="majorEastAsia"/>
                <w:b/>
              </w:rPr>
            </w:pPr>
          </w:p>
        </w:tc>
        <w:tc>
          <w:tcPr>
            <w:tcW w:w="5963" w:type="dxa"/>
            <w:tcBorders>
              <w:bottom w:val="single" w:sz="4" w:space="0" w:color="auto"/>
            </w:tcBorders>
            <w:shd w:val="clear" w:color="auto" w:fill="FFFFFF" w:themeFill="background1"/>
          </w:tcPr>
          <w:p w14:paraId="59A7418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těchto dnech se intenzivně pracuje na přesné formulaci implementačních plánů.</w:t>
            </w:r>
          </w:p>
        </w:tc>
        <w:tc>
          <w:tcPr>
            <w:tcW w:w="284" w:type="dxa"/>
            <w:tcBorders>
              <w:top w:val="nil"/>
              <w:bottom w:val="nil"/>
            </w:tcBorders>
            <w:shd w:val="clear" w:color="auto" w:fill="66CCFF"/>
          </w:tcPr>
          <w:p w14:paraId="008A33BD" w14:textId="77777777" w:rsidR="00DD3EFA" w:rsidRPr="005A0E7C" w:rsidRDefault="00DD3EFA" w:rsidP="00B15ECB">
            <w:pPr>
              <w:rPr>
                <w:b/>
              </w:rPr>
            </w:pPr>
          </w:p>
        </w:tc>
      </w:tr>
      <w:tr w:rsidR="00DD3EFA" w:rsidRPr="005A0E7C" w14:paraId="484EA1E2" w14:textId="77777777" w:rsidTr="00B15ECB">
        <w:trPr>
          <w:trHeight w:val="938"/>
        </w:trPr>
        <w:tc>
          <w:tcPr>
            <w:tcW w:w="249" w:type="dxa"/>
            <w:tcBorders>
              <w:top w:val="nil"/>
              <w:bottom w:val="nil"/>
            </w:tcBorders>
            <w:shd w:val="clear" w:color="auto" w:fill="66CCFF"/>
          </w:tcPr>
          <w:p w14:paraId="0E8DE5D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4B73FDF" w14:textId="77777777" w:rsidR="00DD3EFA" w:rsidRPr="005A0E7C" w:rsidRDefault="00DD3EFA" w:rsidP="00391907">
            <w:pPr>
              <w:pStyle w:val="Odstavecseseznamem"/>
              <w:numPr>
                <w:ilvl w:val="0"/>
                <w:numId w:val="5"/>
              </w:numPr>
              <w:spacing w:before="60" w:after="60"/>
              <w:rPr>
                <w:rFonts w:eastAsiaTheme="majorEastAsia"/>
                <w:b/>
              </w:rPr>
            </w:pPr>
            <w:bookmarkStart w:id="21" w:name="_Hlk535406546"/>
            <w:r w:rsidRPr="005A0E7C">
              <w:rPr>
                <w:rFonts w:eastAsiaTheme="majorEastAsia"/>
                <w:b/>
              </w:rPr>
              <w:t>Monitoring a evaluace</w:t>
            </w:r>
            <w:bookmarkEnd w:id="21"/>
          </w:p>
        </w:tc>
        <w:tc>
          <w:tcPr>
            <w:tcW w:w="5963" w:type="dxa"/>
            <w:tcBorders>
              <w:bottom w:val="single" w:sz="4" w:space="0" w:color="auto"/>
            </w:tcBorders>
            <w:shd w:val="clear" w:color="auto" w:fill="FFFFFF" w:themeFill="background1"/>
          </w:tcPr>
          <w:p w14:paraId="351A34E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Na schválení implementačních plánů naváže i návrh evaluace, měřitelných indikátorů pro jednotlivé záměry. </w:t>
            </w:r>
          </w:p>
        </w:tc>
        <w:tc>
          <w:tcPr>
            <w:tcW w:w="284" w:type="dxa"/>
            <w:tcBorders>
              <w:top w:val="nil"/>
              <w:bottom w:val="nil"/>
            </w:tcBorders>
            <w:shd w:val="clear" w:color="auto" w:fill="66CCFF"/>
          </w:tcPr>
          <w:p w14:paraId="496BD170" w14:textId="77777777" w:rsidR="00DD3EFA" w:rsidRPr="005A0E7C" w:rsidRDefault="00DD3EFA" w:rsidP="00B15ECB">
            <w:pPr>
              <w:rPr>
                <w:b/>
              </w:rPr>
            </w:pPr>
          </w:p>
        </w:tc>
      </w:tr>
      <w:tr w:rsidR="00DD3EFA" w:rsidRPr="005A0E7C" w14:paraId="1E1E0111" w14:textId="77777777" w:rsidTr="00B15ECB">
        <w:trPr>
          <w:trHeight w:val="130"/>
        </w:trPr>
        <w:tc>
          <w:tcPr>
            <w:tcW w:w="249" w:type="dxa"/>
            <w:tcBorders>
              <w:top w:val="nil"/>
              <w:bottom w:val="nil"/>
              <w:right w:val="nil"/>
            </w:tcBorders>
            <w:shd w:val="clear" w:color="auto" w:fill="66CCFF"/>
          </w:tcPr>
          <w:p w14:paraId="0BA54009" w14:textId="77777777" w:rsidR="00DD3EFA" w:rsidRPr="005A0E7C" w:rsidRDefault="00DD3EFA" w:rsidP="00B15ECB">
            <w:pPr>
              <w:rPr>
                <w:b/>
              </w:rPr>
            </w:pPr>
          </w:p>
        </w:tc>
        <w:tc>
          <w:tcPr>
            <w:tcW w:w="2548" w:type="dxa"/>
            <w:tcBorders>
              <w:left w:val="nil"/>
              <w:right w:val="nil"/>
            </w:tcBorders>
            <w:shd w:val="clear" w:color="auto" w:fill="66CCFF"/>
          </w:tcPr>
          <w:p w14:paraId="5D964015" w14:textId="77777777" w:rsidR="00DD3EFA" w:rsidRPr="005A0E7C" w:rsidRDefault="00DD3EFA" w:rsidP="00B15ECB">
            <w:pPr>
              <w:rPr>
                <w:b/>
              </w:rPr>
            </w:pPr>
          </w:p>
        </w:tc>
        <w:tc>
          <w:tcPr>
            <w:tcW w:w="5963" w:type="dxa"/>
            <w:tcBorders>
              <w:left w:val="nil"/>
              <w:right w:val="nil"/>
            </w:tcBorders>
            <w:shd w:val="clear" w:color="auto" w:fill="66CCFF"/>
          </w:tcPr>
          <w:p w14:paraId="682542E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84" w:type="dxa"/>
            <w:tcBorders>
              <w:top w:val="nil"/>
              <w:left w:val="nil"/>
              <w:bottom w:val="nil"/>
            </w:tcBorders>
            <w:shd w:val="clear" w:color="auto" w:fill="66CCFF"/>
          </w:tcPr>
          <w:p w14:paraId="7884EA50" w14:textId="77777777" w:rsidR="00DD3EFA" w:rsidRPr="005A0E7C" w:rsidRDefault="00DD3EFA" w:rsidP="00B15ECB">
            <w:pPr>
              <w:rPr>
                <w:b/>
              </w:rPr>
            </w:pPr>
          </w:p>
        </w:tc>
      </w:tr>
      <w:tr w:rsidR="00DD3EFA" w:rsidRPr="005A0E7C" w14:paraId="7CDACC01" w14:textId="77777777" w:rsidTr="00B15ECB">
        <w:trPr>
          <w:trHeight w:val="1258"/>
        </w:trPr>
        <w:tc>
          <w:tcPr>
            <w:tcW w:w="249" w:type="dxa"/>
            <w:tcBorders>
              <w:top w:val="nil"/>
              <w:bottom w:val="nil"/>
              <w:right w:val="nil"/>
            </w:tcBorders>
            <w:shd w:val="clear" w:color="auto" w:fill="66CCFF"/>
          </w:tcPr>
          <w:p w14:paraId="001BA25A" w14:textId="77777777" w:rsidR="00DD3EFA" w:rsidRPr="005A0E7C" w:rsidRDefault="00DD3EFA" w:rsidP="00B15ECB">
            <w:pPr>
              <w:rPr>
                <w:b/>
              </w:rPr>
            </w:pPr>
          </w:p>
        </w:tc>
        <w:tc>
          <w:tcPr>
            <w:tcW w:w="8511" w:type="dxa"/>
            <w:gridSpan w:val="2"/>
            <w:shd w:val="clear" w:color="auto" w:fill="FFFFFF" w:themeFill="background1"/>
          </w:tcPr>
          <w:p w14:paraId="3F2FFA83" w14:textId="77777777" w:rsidR="00DD3EFA" w:rsidRPr="005A0E7C" w:rsidRDefault="00DD3EFA" w:rsidP="00B15ECB">
            <w:pPr>
              <w:rPr>
                <w:rFonts w:eastAsiaTheme="majorEastAsia"/>
                <w:b/>
              </w:rPr>
            </w:pPr>
            <w:bookmarkStart w:id="22" w:name="_Hlk535406558"/>
            <w:r w:rsidRPr="005A0E7C">
              <w:rPr>
                <w:rFonts w:eastAsiaTheme="majorEastAsia"/>
                <w:b/>
              </w:rPr>
              <w:t xml:space="preserve">Zhodnocení dosavadního využití podpory tematické oblasti z ESIF (tj. v období 2014 – 2020, příp. 2007 – 2013). </w:t>
            </w:r>
            <w:bookmarkEnd w:id="22"/>
          </w:p>
          <w:p w14:paraId="2EAA46B0" w14:textId="77777777" w:rsidR="00DD3EFA" w:rsidRPr="005A0E7C" w:rsidRDefault="00DD3EFA" w:rsidP="00B15ECB">
            <w:pPr>
              <w:rPr>
                <w:rFonts w:eastAsiaTheme="majorEastAsia"/>
                <w:b/>
              </w:rPr>
            </w:pPr>
          </w:p>
          <w:p w14:paraId="5566A0A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Problematika elektronizace veřejné správy a rozvoje eGovernmentu je v nynějším období podporována z IROP a částečně z OPZ. V roce 2017 došlo k významnému pokroku v naplnění výzev, předběžné vyhodnocení je pozitivní a předpokládá naplnění stanovených indikátorů. </w:t>
            </w:r>
          </w:p>
          <w:p w14:paraId="5D2E3B4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IROP bylo před plánovaným ukončením příjmu žádostí o podporu podáno velké množství projektů, přičemž zájem byl především o výzvy na kybernetickou bezpečnost, eGovernment, specifické ICT systémy pro územně samosprávné celky a jimi zřizované a zakládané organizace, kde objem žádostí převýšil stanovenou alokaci. Uvedené výzvy byly navýšeny o nevyužité finanční prostředky z výzev na úplné elektronické podání, eLegislativu a specifické ICT systémy pro OSS, PO OSS a státní organizace, u kterých nedošlo k vyčerpání alokace.</w:t>
            </w:r>
          </w:p>
          <w:p w14:paraId="51A3E78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Podpora v IROP je zaměřena na posílení výkonosti a transparentnosti orgánů veřejné správy prostřednictvím systémů informačních a komunikačních technologií. Dochází k realizaci centrálních resortních projektů, ale i menších projektů územně samosprávných celků.</w:t>
            </w:r>
          </w:p>
          <w:p w14:paraId="35546D1C" w14:textId="77777777" w:rsidR="00DD3EFA" w:rsidRPr="005A0E7C" w:rsidRDefault="00DD3EFA" w:rsidP="00B15ECB">
            <w:pPr>
              <w:rPr>
                <w:rFonts w:eastAsiaTheme="majorEastAsia"/>
                <w:b/>
              </w:rPr>
            </w:pPr>
            <w:r w:rsidRPr="005A0E7C">
              <w:t>Podpora v rámci OPZ je zaměřena na zvýšení efektivity, odbornosti a transparentnosti veřejné správy, a to na úrovni státní správy i územních samospráv. Alokované zdroje jednotlivých výzev jsou kontinuálně čerpány na strategicky ukotvené systémové projekty Ministerstva vnitra, jako je např. implementační jednotka SRR VS či projektová kancelář, velký zájem ze strany ostatních centrálních orgánů i územní samosprávy je zejména o projekty vzdělávací či projekty zaměřené na tvorbu analytických a strategických dokumentů.</w:t>
            </w:r>
          </w:p>
        </w:tc>
        <w:tc>
          <w:tcPr>
            <w:tcW w:w="284" w:type="dxa"/>
            <w:tcBorders>
              <w:top w:val="nil"/>
              <w:left w:val="nil"/>
              <w:bottom w:val="nil"/>
            </w:tcBorders>
            <w:shd w:val="clear" w:color="auto" w:fill="66CCFF"/>
          </w:tcPr>
          <w:p w14:paraId="02EA9821" w14:textId="77777777" w:rsidR="00DD3EFA" w:rsidRPr="005A0E7C" w:rsidRDefault="00DD3EFA" w:rsidP="00B15ECB">
            <w:pPr>
              <w:rPr>
                <w:b/>
              </w:rPr>
            </w:pPr>
          </w:p>
        </w:tc>
      </w:tr>
      <w:tr w:rsidR="00DD3EFA" w:rsidRPr="005A0E7C" w14:paraId="74BAC1BA" w14:textId="77777777" w:rsidTr="00B15ECB">
        <w:trPr>
          <w:trHeight w:val="1258"/>
        </w:trPr>
        <w:tc>
          <w:tcPr>
            <w:tcW w:w="249" w:type="dxa"/>
            <w:tcBorders>
              <w:top w:val="nil"/>
              <w:bottom w:val="nil"/>
              <w:right w:val="nil"/>
            </w:tcBorders>
            <w:shd w:val="clear" w:color="auto" w:fill="66CCFF"/>
          </w:tcPr>
          <w:p w14:paraId="70D12E09" w14:textId="77777777" w:rsidR="00DD3EFA" w:rsidRPr="005A0E7C" w:rsidRDefault="00DD3EFA" w:rsidP="00B15ECB">
            <w:pPr>
              <w:rPr>
                <w:b/>
              </w:rPr>
            </w:pPr>
          </w:p>
        </w:tc>
        <w:tc>
          <w:tcPr>
            <w:tcW w:w="2548" w:type="dxa"/>
            <w:shd w:val="clear" w:color="auto" w:fill="FFFFFF" w:themeFill="background1"/>
          </w:tcPr>
          <w:p w14:paraId="23E000CA" w14:textId="77777777" w:rsidR="00DD3EFA" w:rsidRPr="005A0E7C" w:rsidRDefault="00DD3EFA" w:rsidP="00B15ECB">
            <w:pPr>
              <w:rPr>
                <w:rFonts w:eastAsiaTheme="majorEastAsia"/>
                <w:b/>
              </w:rPr>
            </w:pPr>
            <w:bookmarkStart w:id="23" w:name="_Hlk535406580"/>
            <w:r w:rsidRPr="005A0E7C">
              <w:rPr>
                <w:rFonts w:eastAsiaTheme="majorEastAsia"/>
                <w:b/>
              </w:rPr>
              <w:t>Věcný posun oblasti</w:t>
            </w:r>
          </w:p>
          <w:p w14:paraId="638B000D" w14:textId="77777777" w:rsidR="00DD3EFA" w:rsidRPr="005A0E7C" w:rsidRDefault="00DD3EFA" w:rsidP="00B15ECB">
            <w:pPr>
              <w:rPr>
                <w:rFonts w:eastAsiaTheme="majorEastAsia"/>
                <w:b/>
              </w:rPr>
            </w:pPr>
            <w:r w:rsidRPr="005A0E7C">
              <w:rPr>
                <w:rFonts w:eastAsiaTheme="majorEastAsia"/>
                <w:b/>
              </w:rPr>
              <w:t>(tj. v období 2014 – 2020, příp. 2007 – 2013)</w:t>
            </w:r>
            <w:bookmarkEnd w:id="23"/>
          </w:p>
        </w:tc>
        <w:tc>
          <w:tcPr>
            <w:tcW w:w="5963" w:type="dxa"/>
            <w:shd w:val="clear" w:color="auto" w:fill="FFFFFF" w:themeFill="background1"/>
          </w:tcPr>
          <w:p w14:paraId="668DD52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letech 2007–2013 ESIF zásadně přispěly k vybudování základních registrů jako klíčového stavebního kamene pro rozvoj eGovernmentu. Druhým zásadním projektem v té době bylo vybudování datových schránek jako zaručeného a bezpečného kanálu pro elektronickou komunikaci s veřejnou správou. Jednalo se o skutečně zlomové kroky ve vývoji modernizace (elektronizace) veřejné správy, tyto intervence byly velmi účelné i účinné, i když někdy nebývají dostatečně doceňovány. Příčinou častého negativního hodnocení českého eGovernmentu byla potřeba prvotního vybudování základní infrastruktury, která stojí v pozadí. Až následně je možné začít na těchto základech vytvářet konkrétní elektronické služby.</w:t>
            </w:r>
          </w:p>
          <w:p w14:paraId="6A38131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těchto souvislostech byl v období 2014–2020 zásadním projektem Portál občana, který je považován za transakční část portálu gov.cz. Portál gov.cz se postupně stává pro občany jednotnou bránou pro (elektronický) styk s veřejnou správou. Služby, které je možné vyřídit elektronicky, přibývají každý měsíc. </w:t>
            </w:r>
          </w:p>
        </w:tc>
        <w:tc>
          <w:tcPr>
            <w:tcW w:w="284" w:type="dxa"/>
            <w:tcBorders>
              <w:top w:val="nil"/>
              <w:left w:val="nil"/>
              <w:bottom w:val="nil"/>
            </w:tcBorders>
            <w:shd w:val="clear" w:color="auto" w:fill="66CCFF"/>
          </w:tcPr>
          <w:p w14:paraId="04420B5E" w14:textId="77777777" w:rsidR="00DD3EFA" w:rsidRPr="005A0E7C" w:rsidRDefault="00DD3EFA" w:rsidP="00B15ECB">
            <w:pPr>
              <w:rPr>
                <w:b/>
              </w:rPr>
            </w:pPr>
          </w:p>
        </w:tc>
      </w:tr>
      <w:tr w:rsidR="00DD3EFA" w:rsidRPr="005A0E7C" w14:paraId="61FF4066" w14:textId="77777777" w:rsidTr="00B15ECB">
        <w:trPr>
          <w:trHeight w:val="1258"/>
        </w:trPr>
        <w:tc>
          <w:tcPr>
            <w:tcW w:w="249" w:type="dxa"/>
            <w:tcBorders>
              <w:top w:val="nil"/>
              <w:bottom w:val="nil"/>
              <w:right w:val="nil"/>
            </w:tcBorders>
            <w:shd w:val="clear" w:color="auto" w:fill="66CCFF"/>
          </w:tcPr>
          <w:p w14:paraId="3BA6FFB2" w14:textId="77777777" w:rsidR="00DD3EFA" w:rsidRPr="005A0E7C" w:rsidRDefault="00DD3EFA" w:rsidP="00B15ECB">
            <w:pPr>
              <w:rPr>
                <w:b/>
              </w:rPr>
            </w:pPr>
          </w:p>
        </w:tc>
        <w:tc>
          <w:tcPr>
            <w:tcW w:w="2548" w:type="dxa"/>
            <w:shd w:val="clear" w:color="auto" w:fill="FFFFFF" w:themeFill="background1"/>
          </w:tcPr>
          <w:p w14:paraId="10AC24B6" w14:textId="77777777" w:rsidR="00DD3EFA" w:rsidRPr="005A0E7C" w:rsidRDefault="00DD3EFA" w:rsidP="00B15ECB">
            <w:pPr>
              <w:rPr>
                <w:rFonts w:eastAsiaTheme="majorEastAsia"/>
                <w:b/>
              </w:rPr>
            </w:pPr>
            <w:bookmarkStart w:id="24" w:name="_Hlk535406595"/>
            <w:r w:rsidRPr="005A0E7C">
              <w:rPr>
                <w:rFonts w:eastAsiaTheme="majorEastAsia"/>
                <w:b/>
              </w:rPr>
              <w:t>Synergické a multiplikační efekty</w:t>
            </w:r>
          </w:p>
          <w:p w14:paraId="370913D0" w14:textId="77777777" w:rsidR="00DD3EFA" w:rsidRPr="005A0E7C" w:rsidRDefault="00DD3EFA" w:rsidP="00B15ECB">
            <w:pPr>
              <w:rPr>
                <w:rFonts w:eastAsiaTheme="majorEastAsia"/>
                <w:b/>
              </w:rPr>
            </w:pPr>
            <w:r w:rsidRPr="005A0E7C">
              <w:rPr>
                <w:rFonts w:eastAsiaTheme="majorEastAsia"/>
                <w:b/>
              </w:rPr>
              <w:t>(tj. v období 2014 – 2020, příp. 2007 – 2013)</w:t>
            </w:r>
            <w:bookmarkEnd w:id="24"/>
          </w:p>
        </w:tc>
        <w:tc>
          <w:tcPr>
            <w:tcW w:w="5963" w:type="dxa"/>
            <w:shd w:val="clear" w:color="auto" w:fill="FFFFFF" w:themeFill="background1"/>
          </w:tcPr>
          <w:p w14:paraId="7249E72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 xml:space="preserve">Rozvoj eGovernmentu měl a má jistě synergický a multiplikační efekt, neboť dobře fungující veřejná správa a kvalitní služby ovlivňují mnoho dalších oblastí společnosti, např. trh práce a sociální problematiku, životní prostředí, podnikání atd. </w:t>
            </w:r>
          </w:p>
        </w:tc>
        <w:tc>
          <w:tcPr>
            <w:tcW w:w="284" w:type="dxa"/>
            <w:tcBorders>
              <w:top w:val="nil"/>
              <w:left w:val="nil"/>
              <w:bottom w:val="nil"/>
            </w:tcBorders>
            <w:shd w:val="clear" w:color="auto" w:fill="66CCFF"/>
          </w:tcPr>
          <w:p w14:paraId="1835C625" w14:textId="77777777" w:rsidR="00DD3EFA" w:rsidRPr="005A0E7C" w:rsidRDefault="00DD3EFA" w:rsidP="00B15ECB">
            <w:pPr>
              <w:rPr>
                <w:b/>
              </w:rPr>
            </w:pPr>
          </w:p>
        </w:tc>
      </w:tr>
      <w:tr w:rsidR="00DD3EFA" w:rsidRPr="005A0E7C" w14:paraId="362B1250" w14:textId="77777777" w:rsidTr="00B15ECB">
        <w:trPr>
          <w:trHeight w:val="180"/>
        </w:trPr>
        <w:tc>
          <w:tcPr>
            <w:tcW w:w="249" w:type="dxa"/>
            <w:tcBorders>
              <w:top w:val="nil"/>
              <w:bottom w:val="nil"/>
              <w:right w:val="nil"/>
            </w:tcBorders>
            <w:shd w:val="clear" w:color="auto" w:fill="66CCFF"/>
          </w:tcPr>
          <w:p w14:paraId="1856636C"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4530DBF5" w14:textId="77777777" w:rsidR="00DD3EFA" w:rsidRPr="005A0E7C" w:rsidRDefault="00DD3EFA" w:rsidP="00B15ECB">
            <w:pPr>
              <w:rPr>
                <w:b/>
              </w:rPr>
            </w:pPr>
          </w:p>
        </w:tc>
        <w:tc>
          <w:tcPr>
            <w:tcW w:w="5963" w:type="dxa"/>
            <w:tcBorders>
              <w:left w:val="nil"/>
              <w:bottom w:val="single" w:sz="4" w:space="0" w:color="auto"/>
              <w:right w:val="nil"/>
            </w:tcBorders>
            <w:shd w:val="clear" w:color="auto" w:fill="66CCFF"/>
          </w:tcPr>
          <w:p w14:paraId="7E7328E8" w14:textId="77777777" w:rsidR="00DD3EFA" w:rsidRPr="005A0E7C" w:rsidRDefault="00DD3EFA" w:rsidP="00B15ECB">
            <w:pPr>
              <w:rPr>
                <w:b/>
              </w:rPr>
            </w:pPr>
          </w:p>
        </w:tc>
        <w:tc>
          <w:tcPr>
            <w:tcW w:w="284" w:type="dxa"/>
            <w:tcBorders>
              <w:top w:val="nil"/>
              <w:left w:val="nil"/>
              <w:bottom w:val="nil"/>
            </w:tcBorders>
            <w:shd w:val="clear" w:color="auto" w:fill="66CCFF"/>
          </w:tcPr>
          <w:p w14:paraId="22F5437F" w14:textId="77777777" w:rsidR="00DD3EFA" w:rsidRPr="005A0E7C" w:rsidRDefault="00DD3EFA" w:rsidP="00B15ECB">
            <w:pPr>
              <w:rPr>
                <w:b/>
              </w:rPr>
            </w:pPr>
          </w:p>
        </w:tc>
      </w:tr>
      <w:tr w:rsidR="00DD3EFA" w:rsidRPr="005A0E7C" w14:paraId="070470BB" w14:textId="77777777" w:rsidTr="00B15ECB">
        <w:trPr>
          <w:trHeight w:val="990"/>
        </w:trPr>
        <w:tc>
          <w:tcPr>
            <w:tcW w:w="249" w:type="dxa"/>
            <w:tcBorders>
              <w:top w:val="nil"/>
              <w:bottom w:val="nil"/>
            </w:tcBorders>
            <w:shd w:val="clear" w:color="auto" w:fill="66CCFF"/>
          </w:tcPr>
          <w:p w14:paraId="2D6A633A" w14:textId="77777777" w:rsidR="00DD3EFA" w:rsidRPr="005A0E7C" w:rsidRDefault="00DD3EFA" w:rsidP="00B15ECB">
            <w:pPr>
              <w:rPr>
                <w:b/>
              </w:rPr>
            </w:pPr>
          </w:p>
        </w:tc>
        <w:tc>
          <w:tcPr>
            <w:tcW w:w="8511" w:type="dxa"/>
            <w:gridSpan w:val="2"/>
            <w:tcBorders>
              <w:bottom w:val="single" w:sz="4" w:space="0" w:color="auto"/>
            </w:tcBorders>
            <w:shd w:val="clear" w:color="auto" w:fill="FFFFFF" w:themeFill="background1"/>
          </w:tcPr>
          <w:p w14:paraId="656D6B94" w14:textId="77777777" w:rsidR="00DD3EFA" w:rsidRPr="005A0E7C" w:rsidRDefault="00DD3EFA" w:rsidP="00B15ECB">
            <w:pPr>
              <w:spacing w:before="60" w:after="60"/>
              <w:rPr>
                <w:rFonts w:eastAsiaTheme="majorEastAsia"/>
                <w:i/>
                <w:u w:val="single"/>
              </w:rPr>
            </w:pPr>
            <w:bookmarkStart w:id="25" w:name="_Hlk535406618"/>
            <w:r w:rsidRPr="005A0E7C">
              <w:rPr>
                <w:rFonts w:eastAsiaTheme="majorEastAsia"/>
                <w:b/>
              </w:rPr>
              <w:t>Absorpční kapacita</w:t>
            </w:r>
            <w:bookmarkEnd w:id="25"/>
            <w:r w:rsidRPr="005A0E7C">
              <w:rPr>
                <w:rFonts w:eastAsiaTheme="majorEastAsia"/>
                <w:i/>
                <w:u w:val="single"/>
              </w:rPr>
              <w:t xml:space="preserve"> </w:t>
            </w:r>
          </w:p>
          <w:p w14:paraId="31C4FFDB" w14:textId="77777777" w:rsidR="00DD3EFA" w:rsidRPr="005A0E7C" w:rsidRDefault="00DD3EFA" w:rsidP="00B15ECB">
            <w:pPr>
              <w:spacing w:before="60" w:after="60"/>
              <w:rPr>
                <w:rFonts w:eastAsiaTheme="majorEastAsia"/>
              </w:rPr>
            </w:pPr>
          </w:p>
        </w:tc>
        <w:tc>
          <w:tcPr>
            <w:tcW w:w="284" w:type="dxa"/>
            <w:tcBorders>
              <w:top w:val="nil"/>
              <w:bottom w:val="nil"/>
            </w:tcBorders>
            <w:shd w:val="clear" w:color="auto" w:fill="66CCFF"/>
          </w:tcPr>
          <w:p w14:paraId="6D984E65" w14:textId="77777777" w:rsidR="00DD3EFA" w:rsidRPr="005A0E7C" w:rsidRDefault="00DD3EFA" w:rsidP="00B15ECB">
            <w:pPr>
              <w:rPr>
                <w:b/>
              </w:rPr>
            </w:pPr>
          </w:p>
        </w:tc>
      </w:tr>
      <w:tr w:rsidR="00DD3EFA" w:rsidRPr="005A0E7C" w14:paraId="2FA53EF2" w14:textId="77777777" w:rsidTr="00B15ECB">
        <w:trPr>
          <w:trHeight w:val="1260"/>
        </w:trPr>
        <w:tc>
          <w:tcPr>
            <w:tcW w:w="249" w:type="dxa"/>
            <w:tcBorders>
              <w:top w:val="nil"/>
              <w:bottom w:val="nil"/>
            </w:tcBorders>
            <w:shd w:val="clear" w:color="auto" w:fill="66CCFF"/>
          </w:tcPr>
          <w:p w14:paraId="5065691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D7E335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63" w:type="dxa"/>
            <w:tcBorders>
              <w:bottom w:val="single" w:sz="4" w:space="0" w:color="auto"/>
            </w:tcBorders>
            <w:shd w:val="clear" w:color="auto" w:fill="FFFFFF" w:themeFill="background1"/>
          </w:tcPr>
          <w:p w14:paraId="4D842DC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posledních letech vysoce vzrostl zájem o výzvy spojené s rozvojem eGovernmentu, zejména z IROP a dá se očekávat do budoucna velké zvýšení zájmu jak z řad jednotlivých ministerstev, tak také od obcí a krajů, neboť centrální infrastruktura je v základu připravena a nyní je nutné, aby jednotlivé orgány veřejné moci začaly budovat vlastní infrastrukturu, která jim umožní se připojit.</w:t>
            </w:r>
          </w:p>
        </w:tc>
        <w:tc>
          <w:tcPr>
            <w:tcW w:w="284" w:type="dxa"/>
            <w:tcBorders>
              <w:top w:val="nil"/>
              <w:bottom w:val="nil"/>
            </w:tcBorders>
            <w:shd w:val="clear" w:color="auto" w:fill="66CCFF"/>
          </w:tcPr>
          <w:p w14:paraId="62DC11D7" w14:textId="77777777" w:rsidR="00DD3EFA" w:rsidRPr="005A0E7C" w:rsidRDefault="00DD3EFA" w:rsidP="00B15ECB">
            <w:pPr>
              <w:rPr>
                <w:b/>
              </w:rPr>
            </w:pPr>
          </w:p>
        </w:tc>
      </w:tr>
      <w:tr w:rsidR="00DD3EFA" w:rsidRPr="005A0E7C" w14:paraId="6693D6D7" w14:textId="77777777" w:rsidTr="00B15ECB">
        <w:trPr>
          <w:trHeight w:val="850"/>
        </w:trPr>
        <w:tc>
          <w:tcPr>
            <w:tcW w:w="249" w:type="dxa"/>
            <w:tcBorders>
              <w:top w:val="nil"/>
              <w:bottom w:val="nil"/>
            </w:tcBorders>
            <w:shd w:val="clear" w:color="auto" w:fill="66CCFF"/>
          </w:tcPr>
          <w:p w14:paraId="716C9B9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E99A2E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63" w:type="dxa"/>
            <w:tcBorders>
              <w:bottom w:val="single" w:sz="4" w:space="0" w:color="auto"/>
            </w:tcBorders>
            <w:shd w:val="clear" w:color="auto" w:fill="FFFFFF" w:themeFill="background1"/>
          </w:tcPr>
          <w:p w14:paraId="170A8668" w14:textId="77777777" w:rsidR="00DD3EFA" w:rsidRPr="005A0E7C" w:rsidRDefault="00DD3EFA" w:rsidP="00B15ECB">
            <w:pPr>
              <w:spacing w:before="60" w:after="60"/>
              <w:rPr>
                <w:rFonts w:eastAsiaTheme="majorEastAsia"/>
              </w:rPr>
            </w:pPr>
            <w:r w:rsidRPr="005A0E7C">
              <w:rPr>
                <w:rFonts w:eastAsiaTheme="majorEastAsia"/>
              </w:rPr>
              <w:t>Velký převis u výzev týkajících se zejména rozvoje informačních systémů v rámci územních samosprávných celků ukazuje připravenost regionů na další projekty. Ale i jednotlivá ministerstva mají připravené strategie na elektronizaci dané oblasti a předpokládají spolufinancování ze strukturálních fondů. Jako příklad lze zmínit např. iniciativy:</w:t>
            </w:r>
          </w:p>
          <w:p w14:paraId="09D2F038" w14:textId="77777777" w:rsidR="00DD3EFA" w:rsidRPr="005A0E7C" w:rsidRDefault="00DD3EFA" w:rsidP="00B15ECB">
            <w:pPr>
              <w:autoSpaceDE w:val="0"/>
              <w:autoSpaceDN w:val="0"/>
              <w:adjustRightInd w:val="0"/>
            </w:pPr>
            <w:r w:rsidRPr="005A0E7C">
              <w:t>• Elektronické zdravotnictví (eHealth, Health 4.0)</w:t>
            </w:r>
          </w:p>
          <w:p w14:paraId="7C563CCD" w14:textId="77777777" w:rsidR="00DD3EFA" w:rsidRPr="005A0E7C" w:rsidRDefault="00DD3EFA" w:rsidP="00B15ECB">
            <w:pPr>
              <w:autoSpaceDE w:val="0"/>
              <w:autoSpaceDN w:val="0"/>
              <w:adjustRightInd w:val="0"/>
            </w:pPr>
            <w:r w:rsidRPr="005A0E7C">
              <w:t>• Elektronické vzdělávání</w:t>
            </w:r>
          </w:p>
          <w:p w14:paraId="136787FA" w14:textId="77777777" w:rsidR="00DD3EFA" w:rsidRPr="005A0E7C" w:rsidRDefault="00DD3EFA" w:rsidP="00B15ECB">
            <w:pPr>
              <w:autoSpaceDE w:val="0"/>
              <w:autoSpaceDN w:val="0"/>
              <w:adjustRightInd w:val="0"/>
            </w:pPr>
            <w:r w:rsidRPr="005A0E7C">
              <w:t>• Elektronická kultura (eCulture)</w:t>
            </w:r>
          </w:p>
          <w:p w14:paraId="05D82CE8" w14:textId="77777777" w:rsidR="00DD3EFA" w:rsidRPr="005A0E7C" w:rsidRDefault="00DD3EFA" w:rsidP="00B15ECB">
            <w:pPr>
              <w:autoSpaceDE w:val="0"/>
              <w:autoSpaceDN w:val="0"/>
              <w:adjustRightInd w:val="0"/>
            </w:pPr>
            <w:r w:rsidRPr="005A0E7C">
              <w:t>• Inovace, výzkum a vývoj 4.0</w:t>
            </w:r>
          </w:p>
          <w:p w14:paraId="513F84C4" w14:textId="77777777" w:rsidR="00DD3EFA" w:rsidRPr="005A0E7C" w:rsidRDefault="00DD3EFA" w:rsidP="00B15ECB">
            <w:pPr>
              <w:autoSpaceDE w:val="0"/>
              <w:autoSpaceDN w:val="0"/>
              <w:adjustRightInd w:val="0"/>
            </w:pPr>
            <w:r w:rsidRPr="005A0E7C">
              <w:t>• Průmysl 4.0</w:t>
            </w:r>
          </w:p>
          <w:p w14:paraId="0CD52DCB" w14:textId="77777777" w:rsidR="00DD3EFA" w:rsidRPr="005A0E7C" w:rsidRDefault="00DD3EFA" w:rsidP="00B15ECB">
            <w:pPr>
              <w:autoSpaceDE w:val="0"/>
              <w:autoSpaceDN w:val="0"/>
              <w:adjustRightInd w:val="0"/>
            </w:pPr>
            <w:r w:rsidRPr="005A0E7C">
              <w:t>• Stavebnictví 4.0</w:t>
            </w:r>
          </w:p>
          <w:p w14:paraId="694A8F5F" w14:textId="77777777" w:rsidR="00DD3EFA" w:rsidRPr="005A0E7C" w:rsidRDefault="00DD3EFA" w:rsidP="00B15ECB">
            <w:pPr>
              <w:autoSpaceDE w:val="0"/>
              <w:autoSpaceDN w:val="0"/>
              <w:adjustRightInd w:val="0"/>
            </w:pPr>
            <w:r w:rsidRPr="005A0E7C">
              <w:t>• Koncept SMART Region/City/Village</w:t>
            </w:r>
          </w:p>
        </w:tc>
        <w:tc>
          <w:tcPr>
            <w:tcW w:w="284" w:type="dxa"/>
            <w:tcBorders>
              <w:top w:val="nil"/>
              <w:bottom w:val="nil"/>
            </w:tcBorders>
            <w:shd w:val="clear" w:color="auto" w:fill="66CCFF"/>
          </w:tcPr>
          <w:p w14:paraId="6C6B2C6A" w14:textId="77777777" w:rsidR="00DD3EFA" w:rsidRPr="005A0E7C" w:rsidRDefault="00DD3EFA" w:rsidP="00B15ECB">
            <w:pPr>
              <w:rPr>
                <w:b/>
              </w:rPr>
            </w:pPr>
          </w:p>
        </w:tc>
      </w:tr>
      <w:tr w:rsidR="00DD3EFA" w:rsidRPr="005A0E7C" w14:paraId="5CD3090F" w14:textId="77777777" w:rsidTr="00B15ECB">
        <w:trPr>
          <w:trHeight w:val="925"/>
        </w:trPr>
        <w:tc>
          <w:tcPr>
            <w:tcW w:w="249" w:type="dxa"/>
            <w:tcBorders>
              <w:top w:val="nil"/>
              <w:bottom w:val="nil"/>
            </w:tcBorders>
            <w:shd w:val="clear" w:color="auto" w:fill="66CCFF"/>
          </w:tcPr>
          <w:p w14:paraId="50A5EB8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84918F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63" w:type="dxa"/>
            <w:tcBorders>
              <w:bottom w:val="single" w:sz="4" w:space="0" w:color="auto"/>
            </w:tcBorders>
            <w:shd w:val="clear" w:color="auto" w:fill="FFFFFF" w:themeFill="background1"/>
          </w:tcPr>
          <w:p w14:paraId="7750B3A5" w14:textId="77777777" w:rsidR="00DD3EFA" w:rsidRPr="005A0E7C" w:rsidRDefault="00DD3EFA" w:rsidP="00B15ECB">
            <w:pPr>
              <w:spacing w:before="60" w:after="60"/>
              <w:rPr>
                <w:i/>
                <w:color w:val="FF0000"/>
              </w:rPr>
            </w:pPr>
            <w:r w:rsidRPr="005A0E7C">
              <w:rPr>
                <w:rFonts w:eastAsiaTheme="majorEastAsia"/>
              </w:rPr>
              <w:t>Plánování budoucího celorepublikového rozvoje eGovernmentu, včetně konkrétních projektových záměrů, je koordinovaně připravováno pod taktovkou Digitálního Česka.</w:t>
            </w:r>
          </w:p>
        </w:tc>
        <w:tc>
          <w:tcPr>
            <w:tcW w:w="284" w:type="dxa"/>
            <w:tcBorders>
              <w:top w:val="nil"/>
              <w:bottom w:val="nil"/>
            </w:tcBorders>
            <w:shd w:val="clear" w:color="auto" w:fill="66CCFF"/>
          </w:tcPr>
          <w:p w14:paraId="6E08A5F1" w14:textId="77777777" w:rsidR="00DD3EFA" w:rsidRPr="005A0E7C" w:rsidRDefault="00DD3EFA" w:rsidP="00B15ECB">
            <w:pPr>
              <w:rPr>
                <w:b/>
              </w:rPr>
            </w:pPr>
          </w:p>
        </w:tc>
      </w:tr>
      <w:tr w:rsidR="00DD3EFA" w:rsidRPr="005A0E7C" w14:paraId="5C095429" w14:textId="77777777" w:rsidTr="00B15ECB">
        <w:trPr>
          <w:trHeight w:val="1001"/>
        </w:trPr>
        <w:tc>
          <w:tcPr>
            <w:tcW w:w="249" w:type="dxa"/>
            <w:tcBorders>
              <w:top w:val="nil"/>
              <w:bottom w:val="nil"/>
            </w:tcBorders>
            <w:shd w:val="clear" w:color="auto" w:fill="66CCFF"/>
          </w:tcPr>
          <w:p w14:paraId="270F5DB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38A0F98"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63" w:type="dxa"/>
            <w:tcBorders>
              <w:bottom w:val="single" w:sz="4" w:space="0" w:color="auto"/>
            </w:tcBorders>
            <w:shd w:val="clear" w:color="auto" w:fill="FFFFFF" w:themeFill="background1"/>
          </w:tcPr>
          <w:p w14:paraId="3284E7DA" w14:textId="77777777" w:rsidR="00DD3EFA" w:rsidRPr="005A0E7C" w:rsidRDefault="00DD3EFA" w:rsidP="00B15ECB">
            <w:pPr>
              <w:spacing w:before="60" w:after="60"/>
              <w:rPr>
                <w:color w:val="FF0000"/>
              </w:rPr>
            </w:pPr>
            <w:r w:rsidRPr="005A0E7C">
              <w:rPr>
                <w:rFonts w:eastAsiaTheme="majorEastAsia"/>
              </w:rPr>
              <w:t xml:space="preserve">Existují dílčí bariéry čerpání, na které jsou dlouhodobě řídící orgány upozorňovány. Největší překážkou je velká administrativní náročnost a stále ještě výrazná vstupní investice do přípravy projektů. V tomto programovém období ale lze sledovat výrazný pokrok v některých oblastech komunikace řídících orgánů s příjemci dotace. Další bariérou je nedostatek expertů na pozicích, které zodpovídají za přípravy projektových záměrů, ale i zde se v případě eGovernmentu nalezl způsob, jak tyto služby buď outsourcovat nebo jednoduše získat zaměstnance jiného zaměření a přeškolit je. </w:t>
            </w:r>
          </w:p>
        </w:tc>
        <w:tc>
          <w:tcPr>
            <w:tcW w:w="284" w:type="dxa"/>
            <w:tcBorders>
              <w:top w:val="nil"/>
              <w:bottom w:val="nil"/>
            </w:tcBorders>
            <w:shd w:val="clear" w:color="auto" w:fill="66CCFF"/>
          </w:tcPr>
          <w:p w14:paraId="2FBF616D" w14:textId="77777777" w:rsidR="00DD3EFA" w:rsidRPr="005A0E7C" w:rsidRDefault="00DD3EFA" w:rsidP="00B15ECB">
            <w:pPr>
              <w:rPr>
                <w:b/>
              </w:rPr>
            </w:pPr>
          </w:p>
        </w:tc>
      </w:tr>
      <w:tr w:rsidR="00DD3EFA" w:rsidRPr="005A0E7C" w14:paraId="6EB154E5"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6CEE8042"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4BB5C3D" w14:textId="77777777" w:rsidR="00DD3EFA" w:rsidRPr="005A0E7C" w:rsidRDefault="00DD3EFA" w:rsidP="00B15ECB">
            <w:pPr>
              <w:spacing w:before="60" w:after="60"/>
              <w:rPr>
                <w:rFonts w:eastAsiaTheme="majorEastAsia"/>
                <w:b/>
              </w:rPr>
            </w:pPr>
          </w:p>
        </w:tc>
        <w:tc>
          <w:tcPr>
            <w:tcW w:w="5963" w:type="dxa"/>
            <w:tcBorders>
              <w:top w:val="single" w:sz="4" w:space="0" w:color="auto"/>
              <w:left w:val="nil"/>
              <w:bottom w:val="single" w:sz="4" w:space="0" w:color="auto"/>
              <w:right w:val="nil"/>
            </w:tcBorders>
            <w:shd w:val="clear" w:color="auto" w:fill="66CCFF"/>
          </w:tcPr>
          <w:p w14:paraId="72CE582A" w14:textId="77777777" w:rsidR="00DD3EFA" w:rsidRPr="005A0E7C" w:rsidRDefault="00DD3EFA" w:rsidP="00B15ECB">
            <w:pPr>
              <w:spacing w:before="60" w:after="60"/>
              <w:rPr>
                <w:rFonts w:eastAsiaTheme="majorEastAsia"/>
                <w:i/>
              </w:rPr>
            </w:pPr>
          </w:p>
        </w:tc>
        <w:tc>
          <w:tcPr>
            <w:tcW w:w="284" w:type="dxa"/>
            <w:tcBorders>
              <w:top w:val="nil"/>
              <w:left w:val="nil"/>
              <w:bottom w:val="single" w:sz="4" w:space="0" w:color="auto"/>
              <w:right w:val="single" w:sz="4" w:space="0" w:color="auto"/>
            </w:tcBorders>
            <w:shd w:val="clear" w:color="auto" w:fill="66CCFF"/>
          </w:tcPr>
          <w:p w14:paraId="71193273" w14:textId="77777777" w:rsidR="00DD3EFA" w:rsidRPr="005A0E7C" w:rsidRDefault="00DD3EFA" w:rsidP="00B15ECB">
            <w:pPr>
              <w:rPr>
                <w:b/>
              </w:rPr>
            </w:pPr>
          </w:p>
        </w:tc>
      </w:tr>
      <w:tr w:rsidR="00DD3EFA" w:rsidRPr="005A0E7C" w14:paraId="38F50305" w14:textId="77777777" w:rsidTr="00B15ECB">
        <w:trPr>
          <w:trHeight w:val="1559"/>
        </w:trPr>
        <w:tc>
          <w:tcPr>
            <w:tcW w:w="249" w:type="dxa"/>
            <w:tcBorders>
              <w:top w:val="single" w:sz="4" w:space="0" w:color="auto"/>
              <w:bottom w:val="nil"/>
            </w:tcBorders>
            <w:shd w:val="clear" w:color="auto" w:fill="66CCFF"/>
          </w:tcPr>
          <w:p w14:paraId="2412BD6B" w14:textId="77777777" w:rsidR="00DD3EFA" w:rsidRPr="005A0E7C" w:rsidRDefault="00DD3EFA" w:rsidP="00B15ECB">
            <w:pPr>
              <w:rPr>
                <w:b/>
              </w:rPr>
            </w:pPr>
          </w:p>
        </w:tc>
        <w:tc>
          <w:tcPr>
            <w:tcW w:w="8511" w:type="dxa"/>
            <w:gridSpan w:val="2"/>
            <w:tcBorders>
              <w:top w:val="single" w:sz="4" w:space="0" w:color="auto"/>
            </w:tcBorders>
            <w:shd w:val="clear" w:color="auto" w:fill="FFFFFF" w:themeFill="background1"/>
          </w:tcPr>
          <w:p w14:paraId="7DF97ED2" w14:textId="77777777" w:rsidR="00DD3EFA" w:rsidRPr="005A0E7C" w:rsidRDefault="00DD3EFA" w:rsidP="00B15ECB">
            <w:pPr>
              <w:spacing w:before="60" w:after="60"/>
              <w:rPr>
                <w:rFonts w:eastAsiaTheme="majorEastAsia"/>
                <w:b/>
              </w:rPr>
            </w:pPr>
            <w:bookmarkStart w:id="26" w:name="_Hlk535406651"/>
            <w:r w:rsidRPr="005A0E7C">
              <w:rPr>
                <w:rFonts w:eastAsiaTheme="majorEastAsia"/>
                <w:b/>
              </w:rPr>
              <w:t>Alternativní zdroje</w:t>
            </w:r>
            <w:bookmarkEnd w:id="26"/>
          </w:p>
          <w:p w14:paraId="67832D08" w14:textId="77777777" w:rsidR="00DD3EFA" w:rsidRPr="005A0E7C" w:rsidRDefault="00DD3EFA" w:rsidP="00B15ECB">
            <w:pPr>
              <w:spacing w:before="60" w:after="60"/>
              <w:rPr>
                <w:rFonts w:eastAsiaTheme="majorEastAsia"/>
                <w:i/>
              </w:rPr>
            </w:pPr>
          </w:p>
        </w:tc>
        <w:tc>
          <w:tcPr>
            <w:tcW w:w="284" w:type="dxa"/>
            <w:tcBorders>
              <w:top w:val="single" w:sz="4" w:space="0" w:color="auto"/>
              <w:bottom w:val="nil"/>
            </w:tcBorders>
            <w:shd w:val="clear" w:color="auto" w:fill="66CCFF"/>
          </w:tcPr>
          <w:p w14:paraId="2E6377BB" w14:textId="77777777" w:rsidR="00DD3EFA" w:rsidRPr="005A0E7C" w:rsidRDefault="00DD3EFA" w:rsidP="00B15ECB">
            <w:pPr>
              <w:rPr>
                <w:b/>
              </w:rPr>
            </w:pPr>
          </w:p>
        </w:tc>
      </w:tr>
      <w:tr w:rsidR="00DD3EFA" w:rsidRPr="005A0E7C" w14:paraId="69E24CF7" w14:textId="77777777" w:rsidTr="00B15ECB">
        <w:trPr>
          <w:trHeight w:val="1968"/>
        </w:trPr>
        <w:tc>
          <w:tcPr>
            <w:tcW w:w="249" w:type="dxa"/>
            <w:tcBorders>
              <w:top w:val="nil"/>
              <w:bottom w:val="nil"/>
            </w:tcBorders>
            <w:shd w:val="clear" w:color="auto" w:fill="66CCFF"/>
          </w:tcPr>
          <w:p w14:paraId="2A81B899" w14:textId="77777777" w:rsidR="00DD3EFA" w:rsidRPr="005A0E7C" w:rsidRDefault="00DD3EFA" w:rsidP="00B15ECB">
            <w:pPr>
              <w:rPr>
                <w:b/>
              </w:rPr>
            </w:pPr>
          </w:p>
        </w:tc>
        <w:tc>
          <w:tcPr>
            <w:tcW w:w="2548" w:type="dxa"/>
            <w:tcBorders>
              <w:top w:val="nil"/>
            </w:tcBorders>
            <w:shd w:val="clear" w:color="auto" w:fill="FFFFFF" w:themeFill="background1"/>
          </w:tcPr>
          <w:p w14:paraId="4D93A0FE"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63" w:type="dxa"/>
            <w:tcBorders>
              <w:top w:val="nil"/>
            </w:tcBorders>
            <w:shd w:val="clear" w:color="auto" w:fill="FFFFFF" w:themeFill="background1"/>
          </w:tcPr>
          <w:p w14:paraId="33942131" w14:textId="77777777" w:rsidR="00DD3EFA" w:rsidRPr="005A0E7C" w:rsidRDefault="00DD3EFA" w:rsidP="00B15ECB">
            <w:pPr>
              <w:spacing w:before="60" w:after="60"/>
            </w:pPr>
            <w:r w:rsidRPr="005A0E7C">
              <w:rPr>
                <w:rFonts w:eastAsiaTheme="majorEastAsia"/>
              </w:rPr>
              <w:t>Žádný ze stávajících unijních programů nepodporuje rozvoj eGovernmentu.</w:t>
            </w:r>
          </w:p>
        </w:tc>
        <w:tc>
          <w:tcPr>
            <w:tcW w:w="284" w:type="dxa"/>
            <w:tcBorders>
              <w:top w:val="nil"/>
              <w:bottom w:val="nil"/>
            </w:tcBorders>
            <w:shd w:val="clear" w:color="auto" w:fill="66CCFF"/>
          </w:tcPr>
          <w:p w14:paraId="54CA2460" w14:textId="77777777" w:rsidR="00DD3EFA" w:rsidRPr="005A0E7C" w:rsidRDefault="00DD3EFA" w:rsidP="00B15ECB">
            <w:pPr>
              <w:rPr>
                <w:b/>
              </w:rPr>
            </w:pPr>
          </w:p>
        </w:tc>
      </w:tr>
      <w:tr w:rsidR="00DD3EFA" w:rsidRPr="005A0E7C" w14:paraId="4690011A" w14:textId="77777777" w:rsidTr="00B15ECB">
        <w:trPr>
          <w:trHeight w:val="1968"/>
        </w:trPr>
        <w:tc>
          <w:tcPr>
            <w:tcW w:w="249" w:type="dxa"/>
            <w:tcBorders>
              <w:top w:val="nil"/>
              <w:bottom w:val="nil"/>
            </w:tcBorders>
            <w:shd w:val="clear" w:color="auto" w:fill="66CCFF"/>
          </w:tcPr>
          <w:p w14:paraId="29AF949F" w14:textId="77777777" w:rsidR="00DD3EFA" w:rsidRPr="005A0E7C" w:rsidRDefault="00DD3EFA" w:rsidP="00B15ECB">
            <w:pPr>
              <w:rPr>
                <w:b/>
              </w:rPr>
            </w:pPr>
          </w:p>
        </w:tc>
        <w:tc>
          <w:tcPr>
            <w:tcW w:w="2548" w:type="dxa"/>
            <w:tcBorders>
              <w:top w:val="nil"/>
            </w:tcBorders>
            <w:shd w:val="clear" w:color="auto" w:fill="FFFFFF" w:themeFill="background1"/>
          </w:tcPr>
          <w:p w14:paraId="4FE55906"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63" w:type="dxa"/>
            <w:tcBorders>
              <w:top w:val="nil"/>
            </w:tcBorders>
            <w:shd w:val="clear" w:color="auto" w:fill="FFFFFF" w:themeFill="background1"/>
          </w:tcPr>
          <w:p w14:paraId="2C951D0A" w14:textId="77777777" w:rsidR="00DD3EFA" w:rsidRPr="005A0E7C" w:rsidRDefault="00DD3EFA" w:rsidP="00B15ECB">
            <w:pPr>
              <w:spacing w:before="60" w:after="60"/>
            </w:pPr>
            <w:r w:rsidRPr="005A0E7C">
              <w:rPr>
                <w:rFonts w:eastAsiaTheme="majorEastAsia"/>
              </w:rPr>
              <w:t>Tato oblast je standardně podporována ze státních zdrojů, ale ve většině případů se jedná hlavně o provozní náklady, které jsou velmi složitě využitelné i na rozvoj systémů nebo stavbu nových systémů pro elektronizaci.</w:t>
            </w:r>
          </w:p>
        </w:tc>
        <w:tc>
          <w:tcPr>
            <w:tcW w:w="284" w:type="dxa"/>
            <w:tcBorders>
              <w:top w:val="nil"/>
              <w:bottom w:val="nil"/>
            </w:tcBorders>
            <w:shd w:val="clear" w:color="auto" w:fill="66CCFF"/>
          </w:tcPr>
          <w:p w14:paraId="6F87C4A6" w14:textId="77777777" w:rsidR="00DD3EFA" w:rsidRPr="005A0E7C" w:rsidRDefault="00DD3EFA" w:rsidP="00B15ECB">
            <w:pPr>
              <w:rPr>
                <w:b/>
              </w:rPr>
            </w:pPr>
          </w:p>
        </w:tc>
      </w:tr>
      <w:tr w:rsidR="00DD3EFA" w:rsidRPr="005A0E7C" w14:paraId="32B4B897" w14:textId="77777777" w:rsidTr="00B15ECB">
        <w:trPr>
          <w:trHeight w:val="1968"/>
        </w:trPr>
        <w:tc>
          <w:tcPr>
            <w:tcW w:w="249" w:type="dxa"/>
            <w:tcBorders>
              <w:top w:val="nil"/>
              <w:bottom w:val="nil"/>
            </w:tcBorders>
            <w:shd w:val="clear" w:color="auto" w:fill="66CCFF"/>
          </w:tcPr>
          <w:p w14:paraId="1D871265" w14:textId="77777777" w:rsidR="00DD3EFA" w:rsidRPr="005A0E7C" w:rsidRDefault="00DD3EFA" w:rsidP="00B15ECB">
            <w:pPr>
              <w:rPr>
                <w:b/>
              </w:rPr>
            </w:pPr>
          </w:p>
        </w:tc>
        <w:tc>
          <w:tcPr>
            <w:tcW w:w="2548" w:type="dxa"/>
            <w:tcBorders>
              <w:top w:val="nil"/>
            </w:tcBorders>
            <w:shd w:val="clear" w:color="auto" w:fill="FFFFFF" w:themeFill="background1"/>
          </w:tcPr>
          <w:p w14:paraId="61D97F43"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63" w:type="dxa"/>
            <w:tcBorders>
              <w:top w:val="nil"/>
            </w:tcBorders>
            <w:shd w:val="clear" w:color="auto" w:fill="FFFFFF" w:themeFill="background1"/>
          </w:tcPr>
          <w:p w14:paraId="6FF40D9F" w14:textId="77777777" w:rsidR="00DD3EFA" w:rsidRPr="005A0E7C" w:rsidRDefault="00DD3EFA" w:rsidP="00B15ECB">
            <w:pPr>
              <w:spacing w:before="60" w:after="60"/>
            </w:pPr>
            <w:r w:rsidRPr="005A0E7C">
              <w:rPr>
                <w:rFonts w:eastAsiaTheme="majorEastAsia"/>
              </w:rPr>
              <w:t>Jedná se o rozvoj veřejné správy, tudíž nelze využít prakticky žádných soukromých zdrojů, protože by to znamenalo přílišné zasahování do veřejného sektoru a vytvářelo obrovský potenciál pro korupci.</w:t>
            </w:r>
          </w:p>
        </w:tc>
        <w:tc>
          <w:tcPr>
            <w:tcW w:w="284" w:type="dxa"/>
            <w:tcBorders>
              <w:top w:val="nil"/>
              <w:bottom w:val="nil"/>
            </w:tcBorders>
            <w:shd w:val="clear" w:color="auto" w:fill="66CCFF"/>
          </w:tcPr>
          <w:p w14:paraId="00BB7644" w14:textId="77777777" w:rsidR="00DD3EFA" w:rsidRPr="005A0E7C" w:rsidRDefault="00DD3EFA" w:rsidP="00B15ECB">
            <w:pPr>
              <w:rPr>
                <w:b/>
              </w:rPr>
            </w:pPr>
          </w:p>
        </w:tc>
      </w:tr>
      <w:tr w:rsidR="00DD3EFA" w:rsidRPr="005A0E7C" w14:paraId="74D559A2" w14:textId="77777777" w:rsidTr="00B15ECB">
        <w:trPr>
          <w:trHeight w:val="1968"/>
        </w:trPr>
        <w:tc>
          <w:tcPr>
            <w:tcW w:w="249" w:type="dxa"/>
            <w:tcBorders>
              <w:top w:val="nil"/>
              <w:bottom w:val="nil"/>
            </w:tcBorders>
            <w:shd w:val="clear" w:color="auto" w:fill="66CCFF"/>
          </w:tcPr>
          <w:p w14:paraId="5A1A40F0" w14:textId="77777777" w:rsidR="00DD3EFA" w:rsidRPr="005A0E7C" w:rsidRDefault="00DD3EFA" w:rsidP="00B15ECB">
            <w:pPr>
              <w:rPr>
                <w:b/>
              </w:rPr>
            </w:pPr>
          </w:p>
        </w:tc>
        <w:tc>
          <w:tcPr>
            <w:tcW w:w="2548" w:type="dxa"/>
            <w:tcBorders>
              <w:top w:val="nil"/>
            </w:tcBorders>
            <w:shd w:val="clear" w:color="auto" w:fill="FFFFFF" w:themeFill="background1"/>
          </w:tcPr>
          <w:p w14:paraId="3C3A127D"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63" w:type="dxa"/>
            <w:tcBorders>
              <w:top w:val="nil"/>
            </w:tcBorders>
            <w:shd w:val="clear" w:color="auto" w:fill="FFFFFF" w:themeFill="background1"/>
          </w:tcPr>
          <w:p w14:paraId="1AE418BC" w14:textId="77777777" w:rsidR="00DD3EFA" w:rsidRPr="005A0E7C" w:rsidRDefault="00DD3EFA" w:rsidP="00B15ECB">
            <w:pPr>
              <w:spacing w:before="60" w:after="60"/>
            </w:pPr>
            <w:r w:rsidRPr="005A0E7C">
              <w:rPr>
                <w:rFonts w:eastAsiaTheme="majorEastAsia"/>
              </w:rPr>
              <w:t>Tato podoblast je velmi vhodná pro financování prostřednictvím FN EU, jelikož se jedná o velké jednorázové investice s obrovským dopadem na základní pilíře a megatrendy v rámci politik EU. Podporuje interoperabilitu jednotlivých zemí, jednotný trh a možnost přístupu občanů ze zahraničí ke službám národního státu.</w:t>
            </w:r>
          </w:p>
        </w:tc>
        <w:tc>
          <w:tcPr>
            <w:tcW w:w="284" w:type="dxa"/>
            <w:tcBorders>
              <w:top w:val="nil"/>
              <w:bottom w:val="nil"/>
            </w:tcBorders>
            <w:shd w:val="clear" w:color="auto" w:fill="66CCFF"/>
          </w:tcPr>
          <w:p w14:paraId="3B95972C" w14:textId="77777777" w:rsidR="00DD3EFA" w:rsidRPr="005A0E7C" w:rsidRDefault="00DD3EFA" w:rsidP="00B15ECB">
            <w:pPr>
              <w:rPr>
                <w:b/>
              </w:rPr>
            </w:pPr>
          </w:p>
        </w:tc>
      </w:tr>
      <w:tr w:rsidR="00DD3EFA" w:rsidRPr="005A0E7C" w14:paraId="5544098C" w14:textId="77777777" w:rsidTr="00B15ECB">
        <w:trPr>
          <w:trHeight w:val="150"/>
        </w:trPr>
        <w:tc>
          <w:tcPr>
            <w:tcW w:w="249" w:type="dxa"/>
            <w:tcBorders>
              <w:top w:val="nil"/>
              <w:right w:val="nil"/>
            </w:tcBorders>
            <w:shd w:val="clear" w:color="auto" w:fill="66CCFF"/>
          </w:tcPr>
          <w:p w14:paraId="37DC9636" w14:textId="77777777" w:rsidR="00DD3EFA" w:rsidRPr="005A0E7C" w:rsidRDefault="00DD3EFA" w:rsidP="00B15ECB">
            <w:pPr>
              <w:rPr>
                <w:b/>
              </w:rPr>
            </w:pPr>
          </w:p>
        </w:tc>
        <w:tc>
          <w:tcPr>
            <w:tcW w:w="2548" w:type="dxa"/>
            <w:tcBorders>
              <w:left w:val="nil"/>
              <w:right w:val="nil"/>
            </w:tcBorders>
            <w:shd w:val="clear" w:color="auto" w:fill="66CCFF"/>
          </w:tcPr>
          <w:p w14:paraId="247B60EC" w14:textId="77777777" w:rsidR="00DD3EFA" w:rsidRPr="005A0E7C" w:rsidRDefault="00DD3EFA" w:rsidP="00B15ECB">
            <w:pPr>
              <w:rPr>
                <w:b/>
              </w:rPr>
            </w:pPr>
          </w:p>
        </w:tc>
        <w:tc>
          <w:tcPr>
            <w:tcW w:w="5963" w:type="dxa"/>
            <w:tcBorders>
              <w:left w:val="nil"/>
              <w:right w:val="nil"/>
            </w:tcBorders>
            <w:shd w:val="clear" w:color="auto" w:fill="66CCFF"/>
          </w:tcPr>
          <w:p w14:paraId="2C420644" w14:textId="77777777" w:rsidR="00DD3EFA" w:rsidRPr="005A0E7C" w:rsidRDefault="00DD3EFA" w:rsidP="00B15ECB">
            <w:pPr>
              <w:rPr>
                <w:b/>
              </w:rPr>
            </w:pPr>
          </w:p>
        </w:tc>
        <w:tc>
          <w:tcPr>
            <w:tcW w:w="284" w:type="dxa"/>
            <w:tcBorders>
              <w:top w:val="nil"/>
              <w:left w:val="nil"/>
            </w:tcBorders>
            <w:shd w:val="clear" w:color="auto" w:fill="66CCFF"/>
          </w:tcPr>
          <w:p w14:paraId="7BF731F2" w14:textId="77777777" w:rsidR="00DD3EFA" w:rsidRPr="005A0E7C" w:rsidRDefault="00DD3EFA" w:rsidP="00B15ECB">
            <w:pPr>
              <w:rPr>
                <w:b/>
              </w:rPr>
            </w:pPr>
          </w:p>
        </w:tc>
      </w:tr>
    </w:tbl>
    <w:p w14:paraId="2E2F2AC9" w14:textId="77777777" w:rsidR="00DD3EFA" w:rsidRPr="005A0E7C" w:rsidRDefault="00DD3EFA" w:rsidP="00B15ECB">
      <w:pPr>
        <w:rPr>
          <w:rFonts w:ascii="Times New Roman" w:hAnsi="Times New Roman" w:cs="Times New Roman"/>
          <w:b/>
          <w:sz w:val="20"/>
          <w:szCs w:val="20"/>
        </w:rPr>
      </w:pPr>
    </w:p>
    <w:p w14:paraId="62891C36" w14:textId="77777777" w:rsidR="00DD3EFA" w:rsidRPr="005A0E7C" w:rsidRDefault="00DD3EFA" w:rsidP="00B15ECB">
      <w:pPr>
        <w:rPr>
          <w:rFonts w:ascii="Times New Roman" w:hAnsi="Times New Roman" w:cs="Times New Roman"/>
          <w:sz w:val="20"/>
          <w:szCs w:val="20"/>
        </w:rPr>
      </w:pPr>
    </w:p>
    <w:p w14:paraId="410C307D"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0B31888F" w14:textId="77777777" w:rsidTr="00B15ECB">
        <w:trPr>
          <w:trHeight w:val="180"/>
        </w:trPr>
        <w:tc>
          <w:tcPr>
            <w:tcW w:w="249" w:type="dxa"/>
            <w:tcBorders>
              <w:bottom w:val="nil"/>
              <w:right w:val="nil"/>
            </w:tcBorders>
            <w:shd w:val="clear" w:color="auto" w:fill="66CCFF"/>
          </w:tcPr>
          <w:p w14:paraId="0BAD0255" w14:textId="77777777" w:rsidR="00DD3EFA" w:rsidRPr="005A0E7C" w:rsidRDefault="00DD3EFA" w:rsidP="00B15ECB">
            <w:pPr>
              <w:rPr>
                <w:b/>
              </w:rPr>
            </w:pPr>
          </w:p>
        </w:tc>
        <w:tc>
          <w:tcPr>
            <w:tcW w:w="2548" w:type="dxa"/>
            <w:tcBorders>
              <w:left w:val="nil"/>
              <w:right w:val="nil"/>
            </w:tcBorders>
            <w:shd w:val="clear" w:color="auto" w:fill="66CCFF"/>
          </w:tcPr>
          <w:p w14:paraId="073F1EF8" w14:textId="77777777" w:rsidR="00DD3EFA" w:rsidRPr="005A0E7C" w:rsidRDefault="00DD3EFA" w:rsidP="00B15ECB">
            <w:pPr>
              <w:rPr>
                <w:b/>
              </w:rPr>
            </w:pPr>
          </w:p>
        </w:tc>
        <w:tc>
          <w:tcPr>
            <w:tcW w:w="5978" w:type="dxa"/>
            <w:tcBorders>
              <w:left w:val="nil"/>
              <w:right w:val="nil"/>
            </w:tcBorders>
            <w:shd w:val="clear" w:color="auto" w:fill="66CCFF"/>
          </w:tcPr>
          <w:p w14:paraId="1B93CA64" w14:textId="77777777" w:rsidR="00DD3EFA" w:rsidRPr="005A0E7C" w:rsidRDefault="00DD3EFA" w:rsidP="00B15ECB">
            <w:pPr>
              <w:rPr>
                <w:b/>
              </w:rPr>
            </w:pPr>
          </w:p>
        </w:tc>
        <w:tc>
          <w:tcPr>
            <w:tcW w:w="249" w:type="dxa"/>
            <w:tcBorders>
              <w:left w:val="nil"/>
              <w:bottom w:val="nil"/>
            </w:tcBorders>
            <w:shd w:val="clear" w:color="auto" w:fill="66CCFF"/>
          </w:tcPr>
          <w:p w14:paraId="0FC81DF2" w14:textId="77777777" w:rsidR="00DD3EFA" w:rsidRPr="005A0E7C" w:rsidRDefault="00DD3EFA" w:rsidP="00B15ECB">
            <w:pPr>
              <w:rPr>
                <w:b/>
              </w:rPr>
            </w:pPr>
          </w:p>
        </w:tc>
      </w:tr>
      <w:tr w:rsidR="00DD3EFA" w:rsidRPr="005A0E7C" w14:paraId="5AD2BB47" w14:textId="77777777" w:rsidTr="00B15ECB">
        <w:trPr>
          <w:trHeight w:val="561"/>
        </w:trPr>
        <w:tc>
          <w:tcPr>
            <w:tcW w:w="249" w:type="dxa"/>
            <w:tcBorders>
              <w:top w:val="nil"/>
              <w:bottom w:val="nil"/>
            </w:tcBorders>
            <w:shd w:val="clear" w:color="auto" w:fill="66CCFF"/>
          </w:tcPr>
          <w:p w14:paraId="06509FE8" w14:textId="77777777" w:rsidR="00DD3EFA" w:rsidRPr="005A0E7C" w:rsidRDefault="00DD3EFA" w:rsidP="00B15ECB">
            <w:pPr>
              <w:rPr>
                <w:b/>
              </w:rPr>
            </w:pPr>
          </w:p>
        </w:tc>
        <w:tc>
          <w:tcPr>
            <w:tcW w:w="2548" w:type="dxa"/>
            <w:shd w:val="clear" w:color="auto" w:fill="0070C0"/>
          </w:tcPr>
          <w:p w14:paraId="5E134578" w14:textId="77777777" w:rsidR="00DD3EFA" w:rsidRPr="005A0E7C" w:rsidRDefault="00DD3EFA" w:rsidP="00B15ECB">
            <w:pPr>
              <w:spacing w:before="60" w:after="60"/>
              <w:rPr>
                <w:b/>
              </w:rPr>
            </w:pPr>
            <w:r w:rsidRPr="005A0E7C">
              <w:rPr>
                <w:b/>
              </w:rPr>
              <w:t xml:space="preserve">Strategický cíl NKR: </w:t>
            </w:r>
          </w:p>
          <w:p w14:paraId="245D03A8" w14:textId="77777777" w:rsidR="00DD3EFA" w:rsidRPr="005A0E7C" w:rsidRDefault="00DD3EFA" w:rsidP="00B15ECB">
            <w:pPr>
              <w:spacing w:before="60" w:after="60"/>
              <w:rPr>
                <w:b/>
              </w:rPr>
            </w:pPr>
            <w:r w:rsidRPr="005A0E7C">
              <w:rPr>
                <w:b/>
              </w:rPr>
              <w:t>Výzkumný a inovační systém zvyšující konkurenceschopnost společnosti v kontextu technologické změny</w:t>
            </w:r>
          </w:p>
        </w:tc>
        <w:tc>
          <w:tcPr>
            <w:tcW w:w="5978" w:type="dxa"/>
            <w:shd w:val="clear" w:color="auto" w:fill="0070C0"/>
          </w:tcPr>
          <w:p w14:paraId="1F620F90" w14:textId="77777777" w:rsidR="00DD3EFA" w:rsidRPr="005A0E7C" w:rsidRDefault="00DD3EFA" w:rsidP="00B15ECB">
            <w:pPr>
              <w:spacing w:before="60" w:after="60"/>
              <w:rPr>
                <w:b/>
                <w:u w:val="single"/>
              </w:rPr>
            </w:pPr>
            <w:r w:rsidRPr="005A0E7C">
              <w:rPr>
                <w:b/>
                <w:u w:val="single"/>
              </w:rPr>
              <w:t>Specifický cíl NKR</w:t>
            </w:r>
            <w:r w:rsidRPr="005A0E7C">
              <w:rPr>
                <w:rStyle w:val="Znakapoznpodarou"/>
                <w:u w:val="single"/>
              </w:rPr>
              <w:footnoteReference w:id="26"/>
            </w:r>
            <w:r w:rsidRPr="005A0E7C">
              <w:rPr>
                <w:b/>
                <w:u w:val="single"/>
              </w:rPr>
              <w:t xml:space="preserve">: </w:t>
            </w:r>
          </w:p>
          <w:p w14:paraId="47C3A2D9" w14:textId="77777777" w:rsidR="00DD3EFA" w:rsidRPr="005A0E7C" w:rsidRDefault="00DD3EFA" w:rsidP="00B15ECB">
            <w:pPr>
              <w:spacing w:before="60" w:after="60"/>
              <w:rPr>
                <w:b/>
                <w:u w:val="single"/>
              </w:rPr>
            </w:pPr>
            <w:r w:rsidRPr="005A0E7C">
              <w:rPr>
                <w:b/>
                <w:u w:val="single"/>
              </w:rPr>
              <w:t xml:space="preserve">Účinné zabezpečení informačních </w:t>
            </w:r>
            <w:r w:rsidRPr="005A0E7C">
              <w:rPr>
                <w:rFonts w:eastAsiaTheme="majorEastAsia"/>
                <w:b/>
                <w:u w:val="single"/>
              </w:rPr>
              <w:t xml:space="preserve">a komunikačních </w:t>
            </w:r>
            <w:r w:rsidRPr="005A0E7C">
              <w:rPr>
                <w:b/>
                <w:u w:val="single"/>
              </w:rPr>
              <w:t xml:space="preserve">systémů veřejné správy </w:t>
            </w:r>
            <w:r w:rsidRPr="005A0E7C">
              <w:rPr>
                <w:rFonts w:eastAsiaTheme="majorEastAsia"/>
                <w:b/>
                <w:u w:val="single"/>
              </w:rPr>
              <w:t xml:space="preserve">včetně složek IZS </w:t>
            </w:r>
            <w:r w:rsidRPr="005A0E7C">
              <w:rPr>
                <w:b/>
                <w:u w:val="single"/>
              </w:rPr>
              <w:t>a adekvátní reakce na rostoucí kybernetické hrozby</w:t>
            </w:r>
          </w:p>
        </w:tc>
        <w:tc>
          <w:tcPr>
            <w:tcW w:w="249" w:type="dxa"/>
            <w:tcBorders>
              <w:top w:val="nil"/>
              <w:bottom w:val="nil"/>
            </w:tcBorders>
            <w:shd w:val="clear" w:color="auto" w:fill="66CCFF"/>
          </w:tcPr>
          <w:p w14:paraId="374B323A" w14:textId="77777777" w:rsidR="00DD3EFA" w:rsidRPr="005A0E7C" w:rsidRDefault="00DD3EFA" w:rsidP="00B15ECB">
            <w:pPr>
              <w:rPr>
                <w:b/>
              </w:rPr>
            </w:pPr>
          </w:p>
        </w:tc>
      </w:tr>
      <w:tr w:rsidR="00DD3EFA" w:rsidRPr="005A0E7C" w14:paraId="589AC3C2" w14:textId="77777777" w:rsidTr="00B15ECB">
        <w:trPr>
          <w:trHeight w:val="180"/>
        </w:trPr>
        <w:tc>
          <w:tcPr>
            <w:tcW w:w="249" w:type="dxa"/>
            <w:tcBorders>
              <w:top w:val="nil"/>
              <w:bottom w:val="nil"/>
              <w:right w:val="nil"/>
            </w:tcBorders>
            <w:shd w:val="clear" w:color="auto" w:fill="66CCFF"/>
          </w:tcPr>
          <w:p w14:paraId="61677552" w14:textId="77777777" w:rsidR="00DD3EFA" w:rsidRPr="005A0E7C" w:rsidRDefault="00DD3EFA" w:rsidP="00B15ECB">
            <w:pPr>
              <w:rPr>
                <w:b/>
              </w:rPr>
            </w:pPr>
          </w:p>
        </w:tc>
        <w:tc>
          <w:tcPr>
            <w:tcW w:w="2548" w:type="dxa"/>
            <w:tcBorders>
              <w:left w:val="nil"/>
              <w:right w:val="nil"/>
            </w:tcBorders>
            <w:shd w:val="clear" w:color="auto" w:fill="66CCFF"/>
          </w:tcPr>
          <w:p w14:paraId="590CC585" w14:textId="77777777" w:rsidR="00DD3EFA" w:rsidRPr="005A0E7C" w:rsidRDefault="00DD3EFA" w:rsidP="00B15ECB">
            <w:pPr>
              <w:rPr>
                <w:b/>
              </w:rPr>
            </w:pPr>
          </w:p>
        </w:tc>
        <w:tc>
          <w:tcPr>
            <w:tcW w:w="5978" w:type="dxa"/>
            <w:tcBorders>
              <w:left w:val="nil"/>
              <w:right w:val="nil"/>
            </w:tcBorders>
            <w:shd w:val="clear" w:color="auto" w:fill="66CCFF"/>
          </w:tcPr>
          <w:p w14:paraId="5A026D63" w14:textId="77777777" w:rsidR="00DD3EFA" w:rsidRPr="005A0E7C" w:rsidRDefault="00DD3EFA" w:rsidP="00B15ECB">
            <w:pPr>
              <w:rPr>
                <w:b/>
              </w:rPr>
            </w:pPr>
          </w:p>
        </w:tc>
        <w:tc>
          <w:tcPr>
            <w:tcW w:w="249" w:type="dxa"/>
            <w:tcBorders>
              <w:top w:val="nil"/>
              <w:left w:val="nil"/>
              <w:bottom w:val="nil"/>
            </w:tcBorders>
            <w:shd w:val="clear" w:color="auto" w:fill="66CCFF"/>
          </w:tcPr>
          <w:p w14:paraId="2A2B4249" w14:textId="77777777" w:rsidR="00DD3EFA" w:rsidRPr="005A0E7C" w:rsidRDefault="00DD3EFA" w:rsidP="00B15ECB">
            <w:pPr>
              <w:rPr>
                <w:b/>
              </w:rPr>
            </w:pPr>
          </w:p>
        </w:tc>
      </w:tr>
      <w:tr w:rsidR="00DD3EFA" w:rsidRPr="005A0E7C" w14:paraId="0DA0F3FF" w14:textId="77777777" w:rsidTr="00B15ECB">
        <w:trPr>
          <w:trHeight w:val="892"/>
        </w:trPr>
        <w:tc>
          <w:tcPr>
            <w:tcW w:w="249" w:type="dxa"/>
            <w:tcBorders>
              <w:top w:val="nil"/>
              <w:bottom w:val="nil"/>
            </w:tcBorders>
            <w:shd w:val="clear" w:color="auto" w:fill="66CCFF"/>
          </w:tcPr>
          <w:p w14:paraId="4454D021" w14:textId="77777777" w:rsidR="00DD3EFA" w:rsidRPr="005A0E7C" w:rsidRDefault="00DD3EFA" w:rsidP="00B15ECB">
            <w:pPr>
              <w:rPr>
                <w:b/>
              </w:rPr>
            </w:pPr>
          </w:p>
        </w:tc>
        <w:tc>
          <w:tcPr>
            <w:tcW w:w="2548" w:type="dxa"/>
            <w:shd w:val="clear" w:color="auto" w:fill="FFFFFF" w:themeFill="background1"/>
          </w:tcPr>
          <w:p w14:paraId="04C155FD"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080C6FC7" w14:textId="77777777" w:rsidR="00DD3EFA" w:rsidRPr="005A0E7C" w:rsidRDefault="00DD3EFA" w:rsidP="00B15ECB">
            <w:r w:rsidRPr="005A0E7C">
              <w:t>V současném světě čelí instituce a jejich informační a komunikační systémy hrozbě kybernetických útoků. Nároky na zabezpečení systémů se stále zvyšují a je nutné soustředit se na bezpečnost informačních a komunikačních systémů strategického významu, které spravují klíčové a citlivé informace. Jedná se o závažnou hrozbu, která může mít výrazné hospodářsko-společenské důsledky. Zároveň roste potřeba reagovat na nové formy kybernetické kriminality, neboť moderní informační a komunikační technologie dnes využívá běžná veřejnost, která je stále častěji terčem útoků právě v kyberprostoru. I vzhledem k dynamickému rozvoji technologií budou kladeny stále vyšší nároky na schopnosti adekvátní reakce jedinců i institucí. Veškerá technická opatření musí být doprovázena i osvětou a vzděláváním.</w:t>
            </w:r>
          </w:p>
          <w:p w14:paraId="6028E6DB" w14:textId="77777777" w:rsidR="00DD3EFA" w:rsidRPr="005A0E7C" w:rsidRDefault="00DD3EFA" w:rsidP="00B15ECB">
            <w:pPr>
              <w:pStyle w:val="slovanodstavec"/>
              <w:tabs>
                <w:tab w:val="left" w:pos="284"/>
              </w:tabs>
              <w:suppressAutoHyphens/>
              <w:spacing w:after="0" w:line="240" w:lineRule="auto"/>
              <w:rPr>
                <w:rFonts w:ascii="Times New Roman" w:hAnsi="Times New Roman"/>
              </w:rPr>
            </w:pPr>
          </w:p>
        </w:tc>
        <w:tc>
          <w:tcPr>
            <w:tcW w:w="249" w:type="dxa"/>
            <w:tcBorders>
              <w:top w:val="nil"/>
              <w:bottom w:val="nil"/>
            </w:tcBorders>
            <w:shd w:val="clear" w:color="auto" w:fill="66CCFF"/>
          </w:tcPr>
          <w:p w14:paraId="1C2D36ED" w14:textId="77777777" w:rsidR="00DD3EFA" w:rsidRPr="005A0E7C" w:rsidRDefault="00DD3EFA" w:rsidP="00B15ECB">
            <w:pPr>
              <w:rPr>
                <w:b/>
              </w:rPr>
            </w:pPr>
          </w:p>
        </w:tc>
      </w:tr>
      <w:tr w:rsidR="00DD3EFA" w:rsidRPr="005A0E7C" w14:paraId="55782800" w14:textId="77777777" w:rsidTr="00B15ECB">
        <w:trPr>
          <w:trHeight w:val="46"/>
        </w:trPr>
        <w:tc>
          <w:tcPr>
            <w:tcW w:w="249" w:type="dxa"/>
            <w:tcBorders>
              <w:top w:val="nil"/>
              <w:bottom w:val="nil"/>
              <w:right w:val="nil"/>
            </w:tcBorders>
            <w:shd w:val="clear" w:color="auto" w:fill="66CCFF"/>
          </w:tcPr>
          <w:p w14:paraId="72BD4591"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6222B3E6"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685C71DE" w14:textId="77777777" w:rsidR="00DD3EFA" w:rsidRPr="005A0E7C" w:rsidRDefault="00DD3EFA" w:rsidP="00B15ECB">
            <w:pPr>
              <w:rPr>
                <w:b/>
              </w:rPr>
            </w:pPr>
          </w:p>
        </w:tc>
        <w:tc>
          <w:tcPr>
            <w:tcW w:w="249" w:type="dxa"/>
            <w:tcBorders>
              <w:top w:val="nil"/>
              <w:left w:val="nil"/>
              <w:bottom w:val="nil"/>
            </w:tcBorders>
            <w:shd w:val="clear" w:color="auto" w:fill="66CCFF"/>
          </w:tcPr>
          <w:p w14:paraId="3D894065" w14:textId="77777777" w:rsidR="00DD3EFA" w:rsidRPr="005A0E7C" w:rsidRDefault="00DD3EFA" w:rsidP="00B15ECB">
            <w:pPr>
              <w:rPr>
                <w:b/>
              </w:rPr>
            </w:pPr>
          </w:p>
        </w:tc>
      </w:tr>
      <w:tr w:rsidR="00DD3EFA" w:rsidRPr="005A0E7C" w14:paraId="03F730D6" w14:textId="77777777" w:rsidTr="00B15ECB">
        <w:trPr>
          <w:trHeight w:val="1274"/>
        </w:trPr>
        <w:tc>
          <w:tcPr>
            <w:tcW w:w="249" w:type="dxa"/>
            <w:tcBorders>
              <w:top w:val="nil"/>
              <w:bottom w:val="nil"/>
            </w:tcBorders>
            <w:shd w:val="clear" w:color="auto" w:fill="66CCFF"/>
          </w:tcPr>
          <w:p w14:paraId="7DA3628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007259E"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D3AD2C6" w14:textId="77777777" w:rsidR="00DD3EFA" w:rsidRPr="005A0E7C" w:rsidRDefault="00DD3EFA" w:rsidP="00B15ECB">
            <w:r w:rsidRPr="005A0E7C">
              <w:t xml:space="preserve">Kybernetické hrozby se v posledních letech zintenzivnily a diverzifikovaly. Svou povahou jsou čím dál více přeshraniční, takže členské státy jim již nedokážou čelit samy. Zajišťování kybernetické bezpečnosti proto zůstane pro ČR a EU stěžejním tématem i v nadcházejících letech. Zajištění bezpečnosti obyvatelstva, veřejného prostoru, ochrana informačních systémů kritické infrastruktury (výroba a distribuce elektřiny, řízení leteckého provozu, chemický průmysl a produktovody atd.) a informačních systémů nakládajících s citlivými informacemi občanů jsou nezbytnými součástmi zajištění bezpečnosti jako podmínky pro trvale udržitelný rozvoj. Specifický cíl </w:t>
            </w:r>
            <w:r w:rsidRPr="005A0E7C">
              <w:rPr>
                <w:i/>
              </w:rPr>
              <w:t>Účinné zabezpečení informačních a komunikačních systémů veřejné správy včetně složek IZS a adekvátní reakce na rostoucí kybernetické hrozby</w:t>
            </w:r>
            <w:r w:rsidRPr="005A0E7C">
              <w:t xml:space="preserve"> tematicky bezprostředně reaguje právě na výše uvedené parametry.</w:t>
            </w:r>
          </w:p>
          <w:p w14:paraId="44B4CE7F" w14:textId="77777777" w:rsidR="00DD3EFA" w:rsidRPr="005A0E7C" w:rsidRDefault="00DD3EFA" w:rsidP="00B15ECB">
            <w:r w:rsidRPr="005A0E7C">
              <w:t>V ČR jsou systémy důležité pro bezpečnost státu, zajištění základních životních potřeb obyvatel, zdraví občanů a ekonomiku určovány jako kritická informační infrastruktura a systémy mající vliv na výkon veřejné správy pak jako významné informační systémy. Problematika kybernetické bezpečnosti tak má klíčový význam i pro související podoblasti.</w:t>
            </w:r>
          </w:p>
          <w:p w14:paraId="6762BA12" w14:textId="77777777" w:rsidR="00DD3EFA" w:rsidRPr="005A0E7C" w:rsidRDefault="00DD3EFA" w:rsidP="00B15ECB">
            <w:r w:rsidRPr="005A0E7C">
              <w:t xml:space="preserve">Stát musí být schopen účinně reagovat na všechny současné i budoucí výzvy v prostředí neustále se měnících kybernetických hrozeb, a garantovat tak zabezpečený a důvěryhodný kyberprostor. Stát soustavně buduje a navyšuje národní kapacity v této oblasti, avšak neobejde se bez spolupráce se soukromým sektorem, akademickou sférou, zahraničními partnery i bez zapojení samotných uživatelů. </w:t>
            </w:r>
          </w:p>
          <w:p w14:paraId="51893FDF" w14:textId="77777777" w:rsidR="00DD3EFA" w:rsidRPr="005A0E7C" w:rsidRDefault="00DD3EFA" w:rsidP="00B15ECB"/>
          <w:p w14:paraId="1964271B" w14:textId="77777777" w:rsidR="00DD3EFA" w:rsidRPr="005A0E7C" w:rsidRDefault="00DD3EFA" w:rsidP="00B15ECB">
            <w:r w:rsidRPr="005A0E7C">
              <w:t>Oblast kybernetické bezpečnosti je také jedním z témat, která se intenzivně diskutují na evropské úrovni. Dokladem tomu je například schválení evropské směrnice o bezpečnosti sítí a informačních systémů, které povede k rozšíření působnosti zákona o kybernetické bezpečnosti na další subjekty s celospolečenským významem. Zároveň jsou v současnosti na úrovni EU projednávána dvě nová nařízení týkající se kybernetické bezpečnosti – nařízení o změně mandátu agentury ENISA a bezpečnostní certifikaci a nařízení o evropském výzkumném a kompetenčním centru a síti koordinačních center, které se týká výzkumu, vývoje a průmyslu. Lze očekávat, že účinností těchto nařízení dojde ke zvýšení požadavku na kapacity veřejné správy včetně složek IZS v oblasti kybernetické bezpečnosti.</w:t>
            </w:r>
          </w:p>
          <w:p w14:paraId="323CE929" w14:textId="77777777" w:rsidR="00DD3EFA" w:rsidRPr="005A0E7C" w:rsidRDefault="00DD3EFA" w:rsidP="00B15ECB"/>
        </w:tc>
        <w:tc>
          <w:tcPr>
            <w:tcW w:w="249" w:type="dxa"/>
            <w:tcBorders>
              <w:top w:val="nil"/>
              <w:bottom w:val="nil"/>
            </w:tcBorders>
            <w:shd w:val="clear" w:color="auto" w:fill="66CCFF"/>
          </w:tcPr>
          <w:p w14:paraId="65C9A621" w14:textId="77777777" w:rsidR="00DD3EFA" w:rsidRPr="005A0E7C" w:rsidRDefault="00DD3EFA" w:rsidP="00B15ECB">
            <w:pPr>
              <w:rPr>
                <w:b/>
              </w:rPr>
            </w:pPr>
          </w:p>
        </w:tc>
      </w:tr>
      <w:tr w:rsidR="00DD3EFA" w:rsidRPr="005A0E7C" w14:paraId="6EF4DBAC" w14:textId="77777777" w:rsidTr="00B15ECB">
        <w:trPr>
          <w:trHeight w:val="1274"/>
        </w:trPr>
        <w:tc>
          <w:tcPr>
            <w:tcW w:w="249" w:type="dxa"/>
            <w:tcBorders>
              <w:top w:val="nil"/>
              <w:bottom w:val="nil"/>
            </w:tcBorders>
            <w:shd w:val="clear" w:color="auto" w:fill="66CCFF"/>
          </w:tcPr>
          <w:p w14:paraId="3D1923F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88654C4"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246E8AFE" w14:textId="77777777" w:rsidR="00DD3EFA" w:rsidRPr="005A0E7C" w:rsidRDefault="00DD3EFA" w:rsidP="00B15ECB">
            <w:r w:rsidRPr="005A0E7C">
              <w:t>Zajištění kybernetické bezpečnosti je jednou z klíčových výzev současné doby a závislost veřejného a soukromého sektoru na informačních a komunikačních technologiích je stále vyšší. Dobré fungování IT systémů veřejné správy včetně složek IZS má přímý dopad na hladké fungování služeb občanům a jejich důvěru ve veřejné instituce.</w:t>
            </w:r>
          </w:p>
          <w:p w14:paraId="3FD6F70F" w14:textId="38ED7033" w:rsidR="00DD3EFA" w:rsidRPr="005A0E7C" w:rsidRDefault="00DD3EFA" w:rsidP="00B15ECB">
            <w:r w:rsidRPr="005A0E7C">
              <w:t xml:space="preserve">Významnými riziky jsou útok a následná nefunkčnost některého ze strategicky </w:t>
            </w:r>
            <w:r w:rsidR="00203AE0" w:rsidRPr="005A0E7C">
              <w:t>významných</w:t>
            </w:r>
            <w:r w:rsidRPr="005A0E7C">
              <w:t xml:space="preserve"> informačních systémů státu, kybernetická špionáž (ať průmyslová, vojenská, politická či jiná), za kterou stále častěji stojí přímo vlády, potažmo bezpečnostní struktury konkrétního státu, působení organizovaného zločinu v kyberprostoru, hacktivismus, záměrné šíření dezinformací za účelem dosažení politických a vojenských cílů, či v budoucnu i kyberterorismus. Riziko představují i případy narušení bezpečnosti a integrity sítí způsobené nezáměrně, např. selháním lidského faktoru, živelnou pohromou apod. </w:t>
            </w:r>
          </w:p>
          <w:p w14:paraId="34D0CA8C" w14:textId="7843AAA9" w:rsidR="00DD3EFA" w:rsidRPr="005A0E7C" w:rsidRDefault="00DD3EFA" w:rsidP="00B15ECB">
            <w:r w:rsidRPr="005A0E7C">
              <w:t xml:space="preserve">Dnešní společnost čelí v kyberprostoru stále </w:t>
            </w:r>
            <w:r w:rsidR="00203AE0" w:rsidRPr="005A0E7C">
              <w:t>sofistikovanějším</w:t>
            </w:r>
            <w:r w:rsidRPr="005A0E7C">
              <w:t xml:space="preserve"> hrozbám a útokům. Narůstá počet úspěšných kybernetických útoků, které po sobě nezanechávají žádné stopy v systému, rozvíjí se trh se škodlivým kódem (malwarem) a zcizenými údaji. Další rozvoj zažívají i hrozby cílící na konkrétní uživatele, zejména sofistikované formy phishingu, ransomwaru apod. Získané informace mohou být využity různými způsoby, například k zacílení reklamy, ale také zneužity ke kriminálním účelům. </w:t>
            </w:r>
          </w:p>
          <w:p w14:paraId="48F73D5E" w14:textId="77777777" w:rsidR="00DD3EFA" w:rsidRPr="005A0E7C" w:rsidRDefault="00DD3EFA" w:rsidP="00B15ECB">
            <w:r w:rsidRPr="005A0E7C">
              <w:t>V této souislosti je nutné naplnit opatření obsažená ve Směrnici Evropského parlamentu a Rady (EU) 2016/1148 ze dne 6. července 2016 o opatřeních k zajištění vysoké společné úrovně bezpečnosti sítí a informačních systémů v Unii (tzv. NIS směrnice) zrcadlící se v českém zákoně č. 181/2014 Sb., o kybernetické bezpečnosti. Český zákon o kybernetické bezpečnosti a nařízení vlády č. 315/2014 Sb., kterým se mění nařízení vlády č. 432/2010 Sb., o kritériích pro určení prvku kritické infrastruktury, uvádí řadu konkrétních technických standardů, které mají být – a často nejsou – aplikovány napříč strategickými sítěmi státu. ČR také musí zajistit vysokou bezpečnost citlivých interních systémů nakládajících s utajovanými informacemi podle zákona č. 412/2005 Sb., o ochraně utajovaných informací.</w:t>
            </w:r>
          </w:p>
          <w:p w14:paraId="4FFA1730" w14:textId="77777777" w:rsidR="00DD3EFA" w:rsidRPr="005A0E7C" w:rsidRDefault="00DD3EFA" w:rsidP="00B15ECB">
            <w:pPr>
              <w:rPr>
                <w:i/>
              </w:rPr>
            </w:pPr>
            <w:r w:rsidRPr="005A0E7C">
              <w:t>Dále je nutné identifikovat a následně zmenšit rizika spojená s ochranou osobních dat jednotlivých občanů ČR i EU a to v souladu s podmínkami stanovenými v nařízení Evropského parlamentu a Rady (EU) č. 2016/679 (obecné nařízení o ochraně osobních údajů). Technická opatření v realizaci ochrany osobních údajů jsou v souladu s realizací širší informační bezpečnosti v jednotlivých institucích veřejné správy včetně složek IZS a jsou její nedílnou součástí. Riziko ztráty, změny nebo zneužití kriminálními živly může vést k dopadům nejen na samotné osoby nebo cílové skupiny, ale i informační a komunikační systémy i procesy s nimi souvisejícími.</w:t>
            </w:r>
          </w:p>
          <w:p w14:paraId="485876B0" w14:textId="77777777" w:rsidR="00DD3EFA" w:rsidRPr="005A0E7C" w:rsidRDefault="00DD3EFA" w:rsidP="00B15ECB">
            <w:pPr>
              <w:rPr>
                <w:i/>
              </w:rPr>
            </w:pPr>
          </w:p>
        </w:tc>
        <w:tc>
          <w:tcPr>
            <w:tcW w:w="249" w:type="dxa"/>
            <w:tcBorders>
              <w:top w:val="nil"/>
              <w:bottom w:val="nil"/>
            </w:tcBorders>
            <w:shd w:val="clear" w:color="auto" w:fill="66CCFF"/>
          </w:tcPr>
          <w:p w14:paraId="04CE0725" w14:textId="77777777" w:rsidR="00DD3EFA" w:rsidRPr="005A0E7C" w:rsidRDefault="00DD3EFA" w:rsidP="00B15ECB">
            <w:pPr>
              <w:rPr>
                <w:b/>
              </w:rPr>
            </w:pPr>
          </w:p>
        </w:tc>
      </w:tr>
      <w:tr w:rsidR="00DD3EFA" w:rsidRPr="005A0E7C" w14:paraId="44D5C582" w14:textId="77777777" w:rsidTr="00B15ECB">
        <w:trPr>
          <w:trHeight w:val="1274"/>
        </w:trPr>
        <w:tc>
          <w:tcPr>
            <w:tcW w:w="249" w:type="dxa"/>
            <w:tcBorders>
              <w:top w:val="nil"/>
              <w:bottom w:val="nil"/>
            </w:tcBorders>
            <w:shd w:val="clear" w:color="auto" w:fill="66CCFF"/>
          </w:tcPr>
          <w:p w14:paraId="429C4F6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19E9D8D"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3D0EE51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F7880E5" w14:textId="77777777" w:rsidR="00DD3EFA" w:rsidRPr="005A0E7C" w:rsidRDefault="00DD3EFA" w:rsidP="00B15ECB">
            <w:pPr>
              <w:spacing w:before="60" w:after="60"/>
            </w:pPr>
            <w:r w:rsidRPr="005A0E7C">
              <w:t>Očekávané změny v oblasti kybernetické bezpečnosti po roce 2020 budou předmětem Národní strategie kybernetické bezpečnosti České republiky na období let 2020 až 2025 a návazného Akčního plánu, které nahradí aktuálně platné dokumenty na rozmezí let 2015 až 2020.</w:t>
            </w:r>
          </w:p>
          <w:p w14:paraId="4CF5C40E" w14:textId="77777777" w:rsidR="00DD3EFA" w:rsidRPr="005A0E7C" w:rsidRDefault="00DD3EFA" w:rsidP="00B15ECB">
            <w:pPr>
              <w:spacing w:before="60" w:after="60"/>
              <w:rPr>
                <w:rFonts w:eastAsiaTheme="majorEastAsia"/>
                <w:i/>
                <w:u w:val="single"/>
              </w:rPr>
            </w:pPr>
            <w:r w:rsidRPr="005A0E7C">
              <w:t xml:space="preserve">Změny budou také rámcově zakotveny v dokumentu Digitální Česko, vládní program digitalizace ČR 2018+ a v Implementačním plánu ke Strategickému rámci Česká republika 2030, zejména Strategický cíl 10 </w:t>
            </w:r>
            <w:r w:rsidRPr="005A0E7C">
              <w:rPr>
                <w:i/>
              </w:rPr>
              <w:t>Ekonomické aktivity podporuje stabilní a funkční infrastruktura</w:t>
            </w:r>
            <w:r w:rsidRPr="005A0E7C">
              <w:t xml:space="preserve"> v části 10.1 </w:t>
            </w:r>
            <w:r w:rsidRPr="005A0E7C">
              <w:rPr>
                <w:i/>
              </w:rPr>
              <w:t>Zachování trvalé státní kontroly nad systémem kritické infrastruktury a rozvíjení systému ochrany kritické infrastruktury</w:t>
            </w:r>
            <w:r w:rsidRPr="005A0E7C">
              <w:t>, kde je uvedeno, že cílem je zachování kontroly nad systémy kritické informační infrastruktury (KII) nejen pomocí prováděné kontroly subjektů KII, ale také pomocí stanovení konkrétních požadavků ochrany KII formou technických norem či prováděcích právních předpisů. Pro období po roce 2020 nejsou v současné době všechny koncepční dokumenty dokončeny, nicméně v nově připravovaných dokumentech jsou očekávané výstup, výsledky a dopady již vždy obsaženy.</w:t>
            </w:r>
          </w:p>
        </w:tc>
        <w:tc>
          <w:tcPr>
            <w:tcW w:w="249" w:type="dxa"/>
            <w:tcBorders>
              <w:top w:val="nil"/>
              <w:bottom w:val="nil"/>
            </w:tcBorders>
            <w:shd w:val="clear" w:color="auto" w:fill="66CCFF"/>
          </w:tcPr>
          <w:p w14:paraId="0B6F3876" w14:textId="77777777" w:rsidR="00DD3EFA" w:rsidRPr="005A0E7C" w:rsidRDefault="00DD3EFA" w:rsidP="00B15ECB">
            <w:pPr>
              <w:rPr>
                <w:b/>
              </w:rPr>
            </w:pPr>
          </w:p>
        </w:tc>
      </w:tr>
      <w:tr w:rsidR="00DD3EFA" w:rsidRPr="005A0E7C" w14:paraId="55510ED8" w14:textId="77777777" w:rsidTr="00B15ECB">
        <w:trPr>
          <w:trHeight w:val="1274"/>
        </w:trPr>
        <w:tc>
          <w:tcPr>
            <w:tcW w:w="249" w:type="dxa"/>
            <w:tcBorders>
              <w:top w:val="nil"/>
              <w:bottom w:val="nil"/>
            </w:tcBorders>
            <w:shd w:val="clear" w:color="auto" w:fill="66CCFF"/>
          </w:tcPr>
          <w:p w14:paraId="5806E05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ADA75AE"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w:t>
            </w:r>
          </w:p>
          <w:p w14:paraId="49E14D88" w14:textId="77777777" w:rsidR="00DD3EFA" w:rsidRPr="005A0E7C" w:rsidRDefault="00DD3EFA" w:rsidP="00B15ECB">
            <w:pPr>
              <w:spacing w:before="60" w:after="60"/>
              <w:rPr>
                <w:rFonts w:eastAsiaTheme="majorEastAsia"/>
                <w:b/>
              </w:rPr>
            </w:pPr>
            <w:r w:rsidRPr="005A0E7C">
              <w:rPr>
                <w:rFonts w:eastAsiaTheme="majorEastAsia"/>
                <w:b/>
              </w:rPr>
              <w:t>dopadů</w:t>
            </w:r>
          </w:p>
        </w:tc>
        <w:tc>
          <w:tcPr>
            <w:tcW w:w="5978" w:type="dxa"/>
            <w:tcBorders>
              <w:bottom w:val="single" w:sz="4" w:space="0" w:color="auto"/>
            </w:tcBorders>
            <w:shd w:val="clear" w:color="auto" w:fill="FFFFFF" w:themeFill="background1"/>
          </w:tcPr>
          <w:p w14:paraId="63683285" w14:textId="77777777" w:rsidR="00DD3EFA" w:rsidRPr="005A0E7C" w:rsidRDefault="00DD3EFA" w:rsidP="00B15ECB">
            <w:pPr>
              <w:spacing w:before="60" w:after="60"/>
            </w:pPr>
            <w:r w:rsidRPr="005A0E7C">
              <w:t>Výstupem jednotlivých projektů budou realizovaná technická opatření podle § 5 odst. 3 zákona č. 181/2014 Sb. o kybernetické bezpečnosti, například v podobě nově pořízených</w:t>
            </w:r>
          </w:p>
          <w:p w14:paraId="2F670989" w14:textId="77777777" w:rsidR="00DD3EFA" w:rsidRPr="005A0E7C" w:rsidRDefault="00DD3EFA" w:rsidP="00391907">
            <w:pPr>
              <w:pStyle w:val="Odstavecseseznamem"/>
              <w:numPr>
                <w:ilvl w:val="0"/>
                <w:numId w:val="51"/>
              </w:numPr>
              <w:spacing w:before="60" w:after="60"/>
              <w:jc w:val="both"/>
            </w:pPr>
            <w:r w:rsidRPr="005A0E7C">
              <w:t>HW nebo SW komponent pro zvýšení odolnosti systémů: pokročilá antivirová řešení, firewally, systémy sledování a vyhodnocování sítě v reálném čase (SIEM), systémy centrální správy hesel, systémy řízení uživatelských oprávnění, skenery zranitelností (vulnerability management), log management systémy, VPN řešení atd.,</w:t>
            </w:r>
          </w:p>
          <w:p w14:paraId="1EE591DB" w14:textId="77777777" w:rsidR="00DD3EFA" w:rsidRPr="005A0E7C" w:rsidRDefault="00DD3EFA" w:rsidP="00391907">
            <w:pPr>
              <w:pStyle w:val="Odstavecseseznamem"/>
              <w:numPr>
                <w:ilvl w:val="0"/>
                <w:numId w:val="51"/>
              </w:numPr>
              <w:spacing w:before="60" w:after="60"/>
              <w:jc w:val="both"/>
            </w:pPr>
            <w:r w:rsidRPr="005A0E7C">
              <w:t>bezpečnostních prvků pro zvýšení fyzické bezpečnosti serveroven a datových vedení: kamerové systémy dohledující serverovny, zabezpečení fyzického přístupu do serveroven (keypady) a k datovému vedení atd.,</w:t>
            </w:r>
          </w:p>
          <w:p w14:paraId="6819442A" w14:textId="77777777" w:rsidR="00DD3EFA" w:rsidRPr="005A0E7C" w:rsidRDefault="00DD3EFA" w:rsidP="00391907">
            <w:pPr>
              <w:pStyle w:val="Odstavecseseznamem"/>
              <w:numPr>
                <w:ilvl w:val="0"/>
                <w:numId w:val="51"/>
              </w:numPr>
              <w:spacing w:before="60" w:after="60"/>
              <w:jc w:val="both"/>
            </w:pPr>
            <w:r w:rsidRPr="005A0E7C">
              <w:t>systémů zálohování dat v jiné lokalitě, systémů záložních zdrojů nepřerušovaného napájení (UPS) atd.</w:t>
            </w:r>
          </w:p>
          <w:p w14:paraId="2C58F5A5" w14:textId="77777777" w:rsidR="00DD3EFA" w:rsidRPr="005A0E7C" w:rsidRDefault="00DD3EFA" w:rsidP="00B15ECB">
            <w:pPr>
              <w:spacing w:before="60" w:after="60"/>
            </w:pPr>
            <w:r w:rsidRPr="005A0E7C">
              <w:t xml:space="preserve">Monitorovacím indikátorem je počet nových nebo modernizovaných technických prvků k zajištění standardů kybernetické bezpečnosti. Podpůrným měřitelným cílem je počet provedených analýz hodnocení aktiv a rizik, které jsou prováděny na základě Varování NÚKIB ze dne 17. prosince 2018, s odvoláním na usnesení vlády č. 18 ze dne 7. ledna 2019. </w:t>
            </w:r>
          </w:p>
        </w:tc>
        <w:tc>
          <w:tcPr>
            <w:tcW w:w="249" w:type="dxa"/>
            <w:tcBorders>
              <w:top w:val="nil"/>
              <w:bottom w:val="nil"/>
            </w:tcBorders>
            <w:shd w:val="clear" w:color="auto" w:fill="66CCFF"/>
          </w:tcPr>
          <w:p w14:paraId="6BD4947A" w14:textId="77777777" w:rsidR="00DD3EFA" w:rsidRPr="005A0E7C" w:rsidRDefault="00DD3EFA" w:rsidP="00B15ECB">
            <w:pPr>
              <w:rPr>
                <w:b/>
              </w:rPr>
            </w:pPr>
          </w:p>
        </w:tc>
      </w:tr>
      <w:tr w:rsidR="00DD3EFA" w:rsidRPr="005A0E7C" w14:paraId="39519DC5" w14:textId="77777777" w:rsidTr="00B15ECB">
        <w:trPr>
          <w:trHeight w:val="1274"/>
        </w:trPr>
        <w:tc>
          <w:tcPr>
            <w:tcW w:w="249" w:type="dxa"/>
            <w:tcBorders>
              <w:top w:val="nil"/>
              <w:bottom w:val="nil"/>
            </w:tcBorders>
            <w:shd w:val="clear" w:color="auto" w:fill="66CCFF"/>
          </w:tcPr>
          <w:p w14:paraId="21B35E7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93CE26F"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2FC7B449" w14:textId="77777777" w:rsidR="00DD3EFA" w:rsidRPr="005A0E7C" w:rsidRDefault="00DD3EFA" w:rsidP="00B15ECB">
            <w:pPr>
              <w:spacing w:before="60" w:after="60"/>
            </w:pPr>
            <w:r w:rsidRPr="005A0E7C">
              <w:rPr>
                <w:rFonts w:eastAsiaTheme="majorEastAsia"/>
              </w:rPr>
              <w:t>Ve stávajícím programovém období byla z výzvy č. 10 IROP (SC 3.2) poskytována finanční podpora na realizaci technických opatření kybernetické bezpečnosti v souladu se zákonem o kybernetické bezpečnosti. Podpořeny byly projekty ústředních orgánů státní správy, krajů, obcí a jimi zřizovaných organizací. Zájem o výzvu č. 10 IROP „Kybernetická bezpečnost“ vysoce převýšil její alokaci (celková alokace 1,2 mld. Kč, žádosti 3,7mld. Kč, tedy 310%). NÚKIB jako národní gestor kybernetické bezpečnosti, MV i MMR podporují pokračování identické výzvy i v následujícím období. Výzva musí mít stejné nebo velmi podobné parametry, tak aby v ní byly využitelné již připravené projekty „v zásobníku“ 10. výzvy IROP. V otázce výše příspěvku z ESIF se přikláníme k hodnotě 80%.</w:t>
            </w:r>
          </w:p>
        </w:tc>
        <w:tc>
          <w:tcPr>
            <w:tcW w:w="249" w:type="dxa"/>
            <w:tcBorders>
              <w:top w:val="nil"/>
              <w:bottom w:val="nil"/>
            </w:tcBorders>
            <w:shd w:val="clear" w:color="auto" w:fill="66CCFF"/>
          </w:tcPr>
          <w:p w14:paraId="1B5C2705" w14:textId="77777777" w:rsidR="00DD3EFA" w:rsidRPr="005A0E7C" w:rsidRDefault="00DD3EFA" w:rsidP="00B15ECB">
            <w:pPr>
              <w:rPr>
                <w:b/>
              </w:rPr>
            </w:pPr>
          </w:p>
        </w:tc>
      </w:tr>
      <w:tr w:rsidR="00DD3EFA" w:rsidRPr="005A0E7C" w14:paraId="4A775102" w14:textId="77777777" w:rsidTr="00B15ECB">
        <w:trPr>
          <w:trHeight w:val="1274"/>
        </w:trPr>
        <w:tc>
          <w:tcPr>
            <w:tcW w:w="249" w:type="dxa"/>
            <w:tcBorders>
              <w:top w:val="nil"/>
              <w:bottom w:val="nil"/>
            </w:tcBorders>
            <w:shd w:val="clear" w:color="auto" w:fill="66CCFF"/>
          </w:tcPr>
          <w:p w14:paraId="0B1E55D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5CF4F87"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1D2AB9A6" w14:textId="77777777" w:rsidR="00DD3EFA" w:rsidRPr="005A0E7C" w:rsidRDefault="00DD3EFA" w:rsidP="00B15ECB">
            <w:pPr>
              <w:spacing w:before="60" w:after="60"/>
              <w:rPr>
                <w:rFonts w:eastAsia="Calibri"/>
              </w:rPr>
            </w:pPr>
            <w:r w:rsidRPr="005A0E7C">
              <w:rPr>
                <w:rFonts w:eastAsia="Calibri"/>
              </w:rPr>
              <w:t>V oblasti kybernetické bezpečnosti NÚKIB a jeho partneři realizují konkrétní úkoly z vládou schváleného Akčního plánu k Národní strategii kybernetické bezpečnosti České republiky na období let 2015 až 2020. Dále jsou implement</w:t>
            </w:r>
            <w:r w:rsidRPr="005A0E7C">
              <w:t xml:space="preserve">ována opatření uvedená v zákoně o kybernetické bezpečnosti a návazné legislativě a navržená v dalších </w:t>
            </w:r>
            <w:r w:rsidRPr="005A0E7C">
              <w:rPr>
                <w:rFonts w:eastAsia="Calibri"/>
              </w:rPr>
              <w:t>strategických dokumentech a k nim příslušejících akčních plánech.</w:t>
            </w:r>
          </w:p>
          <w:p w14:paraId="0B20D359" w14:textId="77777777" w:rsidR="00DD3EFA" w:rsidRPr="005A0E7C" w:rsidRDefault="00DD3EFA" w:rsidP="00B15ECB">
            <w:pPr>
              <w:spacing w:before="60" w:after="60"/>
              <w:rPr>
                <w:rFonts w:eastAsiaTheme="majorEastAsia"/>
              </w:rPr>
            </w:pPr>
            <w:r w:rsidRPr="005A0E7C">
              <w:rPr>
                <w:rFonts w:eastAsia="Calibri"/>
              </w:rPr>
              <w:t xml:space="preserve">V </w:t>
            </w:r>
            <w:r w:rsidRPr="005A0E7C">
              <w:t>p</w:t>
            </w:r>
            <w:r w:rsidRPr="005A0E7C">
              <w:rPr>
                <w:rFonts w:eastAsia="Calibri"/>
              </w:rPr>
              <w:t xml:space="preserve">rogramovém období </w:t>
            </w:r>
            <w:r w:rsidRPr="005A0E7C">
              <w:t xml:space="preserve">2021+ </w:t>
            </w:r>
            <w:r w:rsidRPr="005A0E7C">
              <w:rPr>
                <w:rFonts w:eastAsia="Calibri"/>
              </w:rPr>
              <w:t>bude pokračovat zabezpečování systémů kritické informační infrastruktury</w:t>
            </w:r>
            <w:r w:rsidRPr="005A0E7C">
              <w:t>, významných informačních systémů, případně dalších informačních a komunikačních systémů</w:t>
            </w:r>
            <w:r w:rsidRPr="005A0E7C">
              <w:rPr>
                <w:rFonts w:eastAsia="Calibri"/>
              </w:rPr>
              <w:t>, aby byla veřejná správa</w:t>
            </w:r>
            <w:r w:rsidRPr="005A0E7C">
              <w:t xml:space="preserve"> včetně složek IZS</w:t>
            </w:r>
            <w:r w:rsidRPr="005A0E7C">
              <w:rPr>
                <w:rFonts w:eastAsia="Calibri"/>
              </w:rPr>
              <w:t xml:space="preserve"> schopna adekvátně reagovat na nové kybernetické hrozby. Jednotlivé projekty v oblasti kybernetické bezpečnosti realizované s finanční spoluúčastí EU byly vždy vyhodnoceny dle platné metodiky (konkrétně se jednalo o cca 60 projektů realizovaných z výzvy č. 10 IROP), nicméně vyhodnocení všech projektů jako celku neexistuje.</w:t>
            </w:r>
          </w:p>
          <w:p w14:paraId="0558C019" w14:textId="77777777" w:rsidR="00DD3EFA" w:rsidRPr="005A0E7C" w:rsidRDefault="00DD3EFA" w:rsidP="00B15ECB">
            <w:pPr>
              <w:spacing w:before="60" w:after="60"/>
              <w:rPr>
                <w:rFonts w:eastAsiaTheme="majorEastAsia"/>
              </w:rPr>
            </w:pPr>
            <w:r w:rsidRPr="005A0E7C">
              <w:rPr>
                <w:rFonts w:eastAsiaTheme="majorEastAsia"/>
              </w:rPr>
              <w:t>V následujícím programovém období bude zabezpečení informačních a komunikačních systémů dále rozvíjeno, aby byla veřejná správa včetně složek IZS schopna adekvátně reagovat na nové kybernetické hrozby.</w:t>
            </w:r>
          </w:p>
          <w:p w14:paraId="38CE2C7D" w14:textId="77777777" w:rsidR="00DD3EFA" w:rsidRPr="005A0E7C" w:rsidRDefault="00DD3EFA" w:rsidP="00B15ECB">
            <w:pPr>
              <w:spacing w:before="60" w:after="60"/>
              <w:rPr>
                <w:rFonts w:eastAsiaTheme="majorEastAsia"/>
              </w:rPr>
            </w:pPr>
            <w:r w:rsidRPr="005A0E7C">
              <w:rPr>
                <w:rFonts w:eastAsiaTheme="majorEastAsia"/>
              </w:rPr>
              <w:t>Konkrétně se jedná především o</w:t>
            </w:r>
            <w:r w:rsidRPr="005A0E7C">
              <w:t xml:space="preserve"> zvýšení bezpečnosti a dostupnosti informačních a komunikačních systémů IZS, a to zejména prostřednictvím vysoké míry ochrany datových zdrojů ICT systémů složek IZS, zabezpečení možnosti rychlé a spolehlivé detekce a eliminace potenciálních bezpečnostních hrozeb, zvýšení spolehlivosti jejich komunikační infrastruktury, kvalitní ochranu důvěrnosti a integrity veškerých dat přenášených prostřednictvím intranetové infrastruktury složek IZS a lepší podmínky pro vytvoření operativně nasaditelných pracovišť intranetové sítě složek IZS. Z hlediska kybernetické bezpečnosti tak tyto aktivity přispějí k výraznému zvýšení bezpečnosti komunikace spočívající zejména v pokročilém šifrování veškeré komunikace, s čímž souvisí minimalizace hrozby kybernetického útoku i ochrana osobních a citlivých dat.</w:t>
            </w:r>
          </w:p>
        </w:tc>
        <w:tc>
          <w:tcPr>
            <w:tcW w:w="249" w:type="dxa"/>
            <w:tcBorders>
              <w:top w:val="nil"/>
              <w:bottom w:val="nil"/>
            </w:tcBorders>
            <w:shd w:val="clear" w:color="auto" w:fill="66CCFF"/>
          </w:tcPr>
          <w:p w14:paraId="588D9418" w14:textId="77777777" w:rsidR="00DD3EFA" w:rsidRPr="005A0E7C" w:rsidRDefault="00DD3EFA" w:rsidP="00B15ECB">
            <w:pPr>
              <w:rPr>
                <w:b/>
              </w:rPr>
            </w:pPr>
          </w:p>
        </w:tc>
      </w:tr>
      <w:tr w:rsidR="00DD3EFA" w:rsidRPr="005A0E7C" w14:paraId="12FEBD5E" w14:textId="77777777" w:rsidTr="00B15ECB">
        <w:trPr>
          <w:trHeight w:val="272"/>
        </w:trPr>
        <w:tc>
          <w:tcPr>
            <w:tcW w:w="249" w:type="dxa"/>
            <w:tcBorders>
              <w:top w:val="nil"/>
              <w:bottom w:val="nil"/>
              <w:right w:val="nil"/>
            </w:tcBorders>
            <w:shd w:val="clear" w:color="auto" w:fill="66CCFF"/>
          </w:tcPr>
          <w:p w14:paraId="5E6B8FF8"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F7EF98E"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5389BF9"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07C45BB4" w14:textId="77777777" w:rsidR="00DD3EFA" w:rsidRPr="005A0E7C" w:rsidRDefault="00DD3EFA" w:rsidP="00B15ECB">
            <w:pPr>
              <w:rPr>
                <w:b/>
              </w:rPr>
            </w:pPr>
          </w:p>
        </w:tc>
      </w:tr>
      <w:tr w:rsidR="00DD3EFA" w:rsidRPr="005A0E7C" w14:paraId="102AEEC9" w14:textId="77777777" w:rsidTr="00B15ECB">
        <w:trPr>
          <w:trHeight w:val="835"/>
        </w:trPr>
        <w:tc>
          <w:tcPr>
            <w:tcW w:w="249" w:type="dxa"/>
            <w:tcBorders>
              <w:top w:val="nil"/>
              <w:bottom w:val="nil"/>
            </w:tcBorders>
            <w:shd w:val="clear" w:color="auto" w:fill="66CCFF"/>
          </w:tcPr>
          <w:p w14:paraId="51B382BC"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6EAB39FD"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39DC9AFE"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5F32D451" w14:textId="77777777" w:rsidR="00DD3EFA" w:rsidRPr="005A0E7C" w:rsidRDefault="00DD3EFA" w:rsidP="00B15ECB">
            <w:r w:rsidRPr="005A0E7C">
              <w:t>Strategie ČR v oblasti kybernetické bezpečnosti je obsažena v Národní strategii kybernetické bezpečnosti na období let 2015 až 2020 a v navazujícím Akčním plánu. V současné době je připravováno pokračování této strategie a akčního plánu v oblasti kybernetické bezpečnosti pro rozmezí let 2020 až 2025.</w:t>
            </w:r>
          </w:p>
          <w:p w14:paraId="3C0823A8" w14:textId="77777777" w:rsidR="00DD3EFA" w:rsidRPr="005A0E7C" w:rsidRDefault="00DD3EFA" w:rsidP="00B15ECB">
            <w:r w:rsidRPr="005A0E7C">
              <w:t>Bezpečná infrastruktura tvoří nezbytnou podmínku i pro rozvoj digitální společnosti definované v projektu Digitální Evropa, což je nový program, který vychází ze strategie pro jednotný digitální trh. Cílem programu je usměrnit digitální transformaci v EU tak, aby z ní měli co největší užitek občané i podniky. V ČR je tento program transformován do projektu Digitální Česko 2018+. Mezi hlavní principy relevantní pro rozvoj digitální ekonomiky patří:</w:t>
            </w:r>
          </w:p>
          <w:p w14:paraId="1F4CC404" w14:textId="77777777" w:rsidR="00DD3EFA" w:rsidRPr="005A0E7C" w:rsidRDefault="00DD3EFA" w:rsidP="00391907">
            <w:pPr>
              <w:pStyle w:val="Odstavecseseznamem"/>
              <w:numPr>
                <w:ilvl w:val="0"/>
                <w:numId w:val="2"/>
              </w:numPr>
              <w:jc w:val="both"/>
            </w:pPr>
            <w:r w:rsidRPr="005A0E7C">
              <w:t>efektivní zajišťování kybernetické bezpečnosti prvků kritické informační infrastruktury,</w:t>
            </w:r>
          </w:p>
          <w:p w14:paraId="5F089B14" w14:textId="77777777" w:rsidR="00DD3EFA" w:rsidRPr="005A0E7C" w:rsidRDefault="00DD3EFA" w:rsidP="00391907">
            <w:pPr>
              <w:pStyle w:val="Odstavecseseznamem"/>
              <w:numPr>
                <w:ilvl w:val="0"/>
                <w:numId w:val="2"/>
              </w:numPr>
              <w:jc w:val="both"/>
            </w:pPr>
            <w:r w:rsidRPr="005A0E7C">
              <w:t xml:space="preserve">rozšiřování expertní základny, </w:t>
            </w:r>
          </w:p>
          <w:p w14:paraId="68322EFF" w14:textId="77777777" w:rsidR="00DD3EFA" w:rsidRPr="005A0E7C" w:rsidRDefault="00DD3EFA" w:rsidP="00391907">
            <w:pPr>
              <w:pStyle w:val="Odstavecseseznamem"/>
              <w:numPr>
                <w:ilvl w:val="0"/>
                <w:numId w:val="2"/>
              </w:numPr>
              <w:jc w:val="both"/>
            </w:pPr>
            <w:r w:rsidRPr="005A0E7C">
              <w:t xml:space="preserve">spolupráce státu se soukromou a akademickou sférou, </w:t>
            </w:r>
          </w:p>
          <w:p w14:paraId="6841D995" w14:textId="77777777" w:rsidR="00DD3EFA" w:rsidRPr="005A0E7C" w:rsidRDefault="00DD3EFA" w:rsidP="00391907">
            <w:pPr>
              <w:pStyle w:val="Odstavecseseznamem"/>
              <w:numPr>
                <w:ilvl w:val="0"/>
                <w:numId w:val="2"/>
              </w:numPr>
              <w:spacing w:before="60" w:after="60"/>
              <w:rPr>
                <w:rFonts w:eastAsiaTheme="majorEastAsia"/>
                <w:i/>
              </w:rPr>
            </w:pPr>
            <w:r w:rsidRPr="005A0E7C">
              <w:t>podpora výroby, výzkumu, vývoje a implementace technologií s cílem zvýšit konkurenceschopnost ČR a ochránit její digitální ekonomiku.</w:t>
            </w:r>
          </w:p>
        </w:tc>
        <w:tc>
          <w:tcPr>
            <w:tcW w:w="249" w:type="dxa"/>
            <w:tcBorders>
              <w:top w:val="nil"/>
              <w:bottom w:val="nil"/>
            </w:tcBorders>
            <w:shd w:val="clear" w:color="auto" w:fill="66CCFF"/>
          </w:tcPr>
          <w:p w14:paraId="41450704" w14:textId="77777777" w:rsidR="00DD3EFA" w:rsidRPr="005A0E7C" w:rsidRDefault="00DD3EFA" w:rsidP="00B15ECB">
            <w:pPr>
              <w:rPr>
                <w:b/>
              </w:rPr>
            </w:pPr>
          </w:p>
        </w:tc>
      </w:tr>
      <w:tr w:rsidR="00DD3EFA" w:rsidRPr="005A0E7C" w14:paraId="3F325ACE" w14:textId="77777777" w:rsidTr="00B15ECB">
        <w:trPr>
          <w:trHeight w:val="377"/>
        </w:trPr>
        <w:tc>
          <w:tcPr>
            <w:tcW w:w="249" w:type="dxa"/>
            <w:tcBorders>
              <w:top w:val="nil"/>
              <w:bottom w:val="nil"/>
              <w:right w:val="nil"/>
            </w:tcBorders>
            <w:shd w:val="clear" w:color="auto" w:fill="66CCFF"/>
          </w:tcPr>
          <w:p w14:paraId="5A174FB0"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B58F565"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ECAF118"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3A8FF18C" w14:textId="77777777" w:rsidR="00DD3EFA" w:rsidRPr="005A0E7C" w:rsidRDefault="00DD3EFA" w:rsidP="00B15ECB">
            <w:pPr>
              <w:rPr>
                <w:b/>
              </w:rPr>
            </w:pPr>
          </w:p>
        </w:tc>
      </w:tr>
      <w:tr w:rsidR="00DD3EFA" w:rsidRPr="005A0E7C" w14:paraId="34A9D054" w14:textId="77777777" w:rsidTr="00B15ECB">
        <w:trPr>
          <w:trHeight w:val="1202"/>
        </w:trPr>
        <w:tc>
          <w:tcPr>
            <w:tcW w:w="249" w:type="dxa"/>
            <w:tcBorders>
              <w:top w:val="nil"/>
              <w:bottom w:val="nil"/>
            </w:tcBorders>
            <w:shd w:val="clear" w:color="auto" w:fill="66CCFF"/>
          </w:tcPr>
          <w:p w14:paraId="09D26D9A"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68C35B79"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29992972" w14:textId="77777777" w:rsidR="00DD3EFA" w:rsidRPr="005A0E7C" w:rsidRDefault="00DD3EFA" w:rsidP="00B15ECB">
            <w:pPr>
              <w:spacing w:before="60" w:after="60"/>
              <w:rPr>
                <w:rFonts w:eastAsiaTheme="majorEastAsia"/>
                <w:i/>
              </w:rPr>
            </w:pPr>
            <w:r w:rsidRPr="005A0E7C">
              <w:rPr>
                <w:rFonts w:eastAsiaTheme="majorEastAsia"/>
                <w:i/>
              </w:rPr>
              <w:t>Popsat konkrétně souvislost cíle s uvedenými tématy.</w:t>
            </w:r>
          </w:p>
        </w:tc>
        <w:tc>
          <w:tcPr>
            <w:tcW w:w="249" w:type="dxa"/>
            <w:tcBorders>
              <w:top w:val="nil"/>
              <w:bottom w:val="nil"/>
            </w:tcBorders>
            <w:shd w:val="clear" w:color="auto" w:fill="66CCFF"/>
          </w:tcPr>
          <w:p w14:paraId="73D7B0E2" w14:textId="77777777" w:rsidR="00DD3EFA" w:rsidRPr="005A0E7C" w:rsidRDefault="00DD3EFA" w:rsidP="00B15ECB">
            <w:pPr>
              <w:rPr>
                <w:b/>
              </w:rPr>
            </w:pPr>
          </w:p>
        </w:tc>
      </w:tr>
      <w:tr w:rsidR="00DD3EFA" w:rsidRPr="005A0E7C" w14:paraId="3128B812" w14:textId="77777777" w:rsidTr="00B15ECB">
        <w:trPr>
          <w:trHeight w:val="1202"/>
        </w:trPr>
        <w:tc>
          <w:tcPr>
            <w:tcW w:w="249" w:type="dxa"/>
            <w:tcBorders>
              <w:top w:val="nil"/>
              <w:bottom w:val="nil"/>
            </w:tcBorders>
            <w:shd w:val="clear" w:color="auto" w:fill="66CCFF"/>
          </w:tcPr>
          <w:p w14:paraId="71A9F4A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01C08E8"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6E8E7C8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B4C357C" w14:textId="3FA1EF32" w:rsidR="00DD3EFA" w:rsidRPr="005A0E7C" w:rsidRDefault="00DD3EFA" w:rsidP="00B15ECB">
            <w:r w:rsidRPr="005A0E7C">
              <w:t xml:space="preserve">Obecně nelze kybernetickou bezpečnost chápat v různých teritoriích odlišně, protože kybernetická bezpečnost je dána zákonem č. 181/2014 Sb., o kybernetické bezpečnosti, ve znění novel, doplňků a prováděcích vyhlášek. Zákon o kybernetické bezpečnosti stanovil parametry, pravidla a principy, které je potřeba zajistit a dodržovat. Z tohoto hlediska lze konstatovat, že kybernetická bezpečnost má celostátní dimenzi. Nicméně z hlediska koncentrace prvků kritické informační infrastruktury je míra jejich umístění silně závislá na územní dimenzi, více je koncentrována ve velkých městech, v místě jaderných elektráren, letišť, významných komunikačních uzlech a v lokalitách se systémy pro zdravotnictví (poskytovatelé zdravotnické záchranné služby a nemocnice), Integrovaného záchranného systému a celé řady dalších </w:t>
            </w:r>
            <w:r w:rsidR="00203AE0" w:rsidRPr="005A0E7C">
              <w:t>oblastí</w:t>
            </w:r>
            <w:r w:rsidRPr="005A0E7C">
              <w:t xml:space="preserve"> spadající pod Nařízení vlády č. 315/2014 Sb., kterým se mění nařízení vlády č. 432/2010 Sb., o kritériích pro určení prvku kritické infrastruktury. Důvěru a bezpečnost je nutné stejnou měrou zajistit napříč celou společností. K tomu je potřebné zejména teritoriální porozumění a koordinovaný vývoj všech systémů digitální společnosti včetně odpovídajících opatření, obvykle kombinací právní regulace, technických opatření a vzdělávání a výchovy.</w:t>
            </w:r>
          </w:p>
        </w:tc>
        <w:tc>
          <w:tcPr>
            <w:tcW w:w="249" w:type="dxa"/>
            <w:tcBorders>
              <w:top w:val="nil"/>
              <w:bottom w:val="nil"/>
            </w:tcBorders>
            <w:shd w:val="clear" w:color="auto" w:fill="66CCFF"/>
          </w:tcPr>
          <w:p w14:paraId="65ACCC5B" w14:textId="77777777" w:rsidR="00DD3EFA" w:rsidRPr="005A0E7C" w:rsidRDefault="00DD3EFA" w:rsidP="00B15ECB">
            <w:pPr>
              <w:rPr>
                <w:b/>
              </w:rPr>
            </w:pPr>
          </w:p>
        </w:tc>
      </w:tr>
      <w:tr w:rsidR="00DD3EFA" w:rsidRPr="005A0E7C" w14:paraId="6CAC1377" w14:textId="77777777" w:rsidTr="00B15ECB">
        <w:trPr>
          <w:trHeight w:val="1202"/>
        </w:trPr>
        <w:tc>
          <w:tcPr>
            <w:tcW w:w="249" w:type="dxa"/>
            <w:tcBorders>
              <w:top w:val="nil"/>
              <w:bottom w:val="nil"/>
            </w:tcBorders>
            <w:shd w:val="clear" w:color="auto" w:fill="66CCFF"/>
          </w:tcPr>
          <w:p w14:paraId="022A4B6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B9C79FA"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2D003C7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D1BBCF9" w14:textId="77777777" w:rsidR="00DD3EFA" w:rsidRPr="005A0E7C" w:rsidRDefault="00DD3EFA" w:rsidP="00B15ECB">
            <w:pPr>
              <w:spacing w:before="60" w:after="60"/>
              <w:rPr>
                <w:rFonts w:eastAsiaTheme="majorEastAsia"/>
              </w:rPr>
            </w:pPr>
            <w:r w:rsidRPr="005A0E7C">
              <w:rPr>
                <w:rFonts w:eastAsiaTheme="majorEastAsia"/>
              </w:rPr>
              <w:t xml:space="preserve">Digitalizace a rozvoj relevantních informačních a komunikačních systémů hraje důležitou roli v připravenosti složek IZS, veřejné správy a obyvatelstva na události související s novými bezpečnostními hrozbami. Posílení vazby územního plánování, ochrany obyvatelstva a krizového řízení s ohledem na negativní dopady změny klimatu zajistí kvalitnější ochranu lidí, majetku a infrastruktury před přírodními pohromami (dlouhodobým suchem, extrémně vysokými teplotami, povodněmi a vydatnými srážkami, extrémním větrem). </w:t>
            </w:r>
          </w:p>
        </w:tc>
        <w:tc>
          <w:tcPr>
            <w:tcW w:w="249" w:type="dxa"/>
            <w:tcBorders>
              <w:top w:val="nil"/>
              <w:bottom w:val="nil"/>
            </w:tcBorders>
            <w:shd w:val="clear" w:color="auto" w:fill="66CCFF"/>
          </w:tcPr>
          <w:p w14:paraId="2C2D9B50" w14:textId="77777777" w:rsidR="00DD3EFA" w:rsidRPr="005A0E7C" w:rsidRDefault="00DD3EFA" w:rsidP="00B15ECB">
            <w:pPr>
              <w:rPr>
                <w:b/>
              </w:rPr>
            </w:pPr>
          </w:p>
        </w:tc>
      </w:tr>
      <w:tr w:rsidR="00DD3EFA" w:rsidRPr="005A0E7C" w14:paraId="2680C5CF" w14:textId="77777777" w:rsidTr="00B15ECB">
        <w:trPr>
          <w:trHeight w:val="1202"/>
        </w:trPr>
        <w:tc>
          <w:tcPr>
            <w:tcW w:w="249" w:type="dxa"/>
            <w:tcBorders>
              <w:top w:val="nil"/>
              <w:bottom w:val="nil"/>
            </w:tcBorders>
            <w:shd w:val="clear" w:color="auto" w:fill="66CCFF"/>
          </w:tcPr>
          <w:p w14:paraId="2073C06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3A91925"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59365F3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5F03C8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Akčním plánu pro Společnost 4.0 je souběžně s opatřeními k digitalizaci veřejné správy obsažen i soubor opatření k zajištění kybernetické bezpečnosti ČR, včetně navyšování integrity sítí kritické informační infrastruktury, rozvoje standardu a spolupráce mezi subjekty na národní úrovni, zajištění školení ve veřejné správě i informovanosti široké veřejnosti.</w:t>
            </w:r>
          </w:p>
        </w:tc>
        <w:tc>
          <w:tcPr>
            <w:tcW w:w="249" w:type="dxa"/>
            <w:tcBorders>
              <w:top w:val="nil"/>
              <w:bottom w:val="nil"/>
            </w:tcBorders>
            <w:shd w:val="clear" w:color="auto" w:fill="66CCFF"/>
          </w:tcPr>
          <w:p w14:paraId="3C4E64E0" w14:textId="77777777" w:rsidR="00DD3EFA" w:rsidRPr="005A0E7C" w:rsidRDefault="00DD3EFA" w:rsidP="00B15ECB">
            <w:pPr>
              <w:rPr>
                <w:b/>
              </w:rPr>
            </w:pPr>
          </w:p>
        </w:tc>
      </w:tr>
      <w:tr w:rsidR="00DD3EFA" w:rsidRPr="005A0E7C" w14:paraId="047A5215" w14:textId="77777777" w:rsidTr="00B15ECB">
        <w:trPr>
          <w:trHeight w:val="1202"/>
        </w:trPr>
        <w:tc>
          <w:tcPr>
            <w:tcW w:w="249" w:type="dxa"/>
            <w:tcBorders>
              <w:top w:val="nil"/>
              <w:bottom w:val="nil"/>
            </w:tcBorders>
            <w:shd w:val="clear" w:color="auto" w:fill="66CCFF"/>
          </w:tcPr>
          <w:p w14:paraId="3531674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353B070"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7CA4818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E099412" w14:textId="77777777" w:rsidR="00DD3EFA" w:rsidRPr="005A0E7C" w:rsidRDefault="00DD3EFA" w:rsidP="00B15ECB">
            <w:r w:rsidRPr="005A0E7C">
              <w:t xml:space="preserve">Kybernetická bezpečnost se průřezově týká celé řady megatrendů, zejména z technologické oblasti. Např. vazba na megatrendy </w:t>
            </w:r>
            <w:r w:rsidRPr="005A0E7C">
              <w:rPr>
                <w:i/>
              </w:rPr>
              <w:t>rostoucí přístup k informacím, virtualizace světa, zvyšující se dostupnost technologií a zvyšující se rychlost technologické změny</w:t>
            </w:r>
            <w:r w:rsidRPr="005A0E7C">
              <w:t xml:space="preserve"> lze považovat za důležité jak z hlediska dalšího vývoje EU tak ČR. Výše uvedené megatrendy však významně posilují i ostatní megatrendy, (např. </w:t>
            </w:r>
            <w:r w:rsidRPr="005A0E7C">
              <w:rPr>
                <w:i/>
              </w:rPr>
              <w:t>demokratizace společnosti</w:t>
            </w:r>
            <w:r w:rsidRPr="005A0E7C">
              <w:t>) tím, že umožňují rychlejší technologický vývoj a dávají jednotlivcům silnější vyjednávací pozici vůči úřadům, skupinám či korporacím.</w:t>
            </w:r>
          </w:p>
        </w:tc>
        <w:tc>
          <w:tcPr>
            <w:tcW w:w="249" w:type="dxa"/>
            <w:tcBorders>
              <w:top w:val="nil"/>
              <w:bottom w:val="nil"/>
            </w:tcBorders>
            <w:shd w:val="clear" w:color="auto" w:fill="66CCFF"/>
          </w:tcPr>
          <w:p w14:paraId="60825EC3" w14:textId="77777777" w:rsidR="00DD3EFA" w:rsidRPr="005A0E7C" w:rsidRDefault="00DD3EFA" w:rsidP="00B15ECB">
            <w:pPr>
              <w:rPr>
                <w:b/>
              </w:rPr>
            </w:pPr>
          </w:p>
        </w:tc>
      </w:tr>
      <w:tr w:rsidR="00DD3EFA" w:rsidRPr="005A0E7C" w14:paraId="1EC97282" w14:textId="77777777" w:rsidTr="00B15ECB">
        <w:trPr>
          <w:trHeight w:val="1202"/>
        </w:trPr>
        <w:tc>
          <w:tcPr>
            <w:tcW w:w="249" w:type="dxa"/>
            <w:tcBorders>
              <w:top w:val="nil"/>
              <w:bottom w:val="nil"/>
            </w:tcBorders>
            <w:shd w:val="clear" w:color="auto" w:fill="66CCFF"/>
          </w:tcPr>
          <w:p w14:paraId="63ABB10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CB3BC6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6507BBD" w14:textId="77777777" w:rsidR="00DD3EFA" w:rsidRPr="005A0E7C" w:rsidRDefault="00DD3EFA" w:rsidP="00B15ECB">
            <w:pPr>
              <w:spacing w:after="160" w:line="259" w:lineRule="auto"/>
            </w:pPr>
            <w:r w:rsidRPr="005A0E7C">
              <w:t>Problematika kybernetické bezpečnosti naplňuje:</w:t>
            </w:r>
          </w:p>
          <w:p w14:paraId="78A7C8D7" w14:textId="77777777" w:rsidR="00DD3EFA" w:rsidRPr="005A0E7C" w:rsidRDefault="00DD3EFA" w:rsidP="00B15ECB">
            <w:pPr>
              <w:spacing w:after="160" w:line="259" w:lineRule="auto"/>
            </w:pPr>
            <w:r w:rsidRPr="005A0E7C">
              <w:t xml:space="preserve">CP1 – Inteligentnější Evropa díky inovacím, digitalizaci, ekonomické transformaci a podpoře malých a středních podniků; </w:t>
            </w:r>
          </w:p>
          <w:p w14:paraId="57D0CF5F" w14:textId="77777777" w:rsidR="00DD3EFA" w:rsidRPr="005A0E7C" w:rsidRDefault="00DD3EFA" w:rsidP="00B15ECB">
            <w:pPr>
              <w:spacing w:after="160" w:line="259" w:lineRule="auto"/>
            </w:pPr>
            <w:r w:rsidRPr="005A0E7C">
              <w:t>CP2 – Zelenější, bezuhlíková Evropa díky provádění Pařížské dohody a investicím do transformace energetiky, obnovitelných zdrojů a boje proti změně klimatu;</w:t>
            </w:r>
          </w:p>
          <w:p w14:paraId="00B065AE" w14:textId="77777777" w:rsidR="00DD3EFA" w:rsidRPr="005A0E7C" w:rsidRDefault="00DD3EFA" w:rsidP="00B15ECB">
            <w:pPr>
              <w:spacing w:after="160" w:line="259" w:lineRule="auto"/>
            </w:pPr>
            <w:r w:rsidRPr="005A0E7C">
              <w:t>CP3 – Propojenější Evropa díky strategickým dopravním a digitálním sítím.</w:t>
            </w:r>
          </w:p>
          <w:p w14:paraId="0A39627C" w14:textId="77777777" w:rsidR="00DD3EFA" w:rsidRPr="005A0E7C" w:rsidRDefault="00DD3EFA" w:rsidP="00B15ECB">
            <w:pPr>
              <w:spacing w:before="60" w:after="60"/>
              <w:rPr>
                <w:rFonts w:eastAsiaTheme="majorEastAsia"/>
                <w:i/>
              </w:rPr>
            </w:pPr>
            <w:r w:rsidRPr="005A0E7C">
              <w:rPr>
                <w:rFonts w:eastAsiaTheme="majorEastAsia"/>
              </w:rPr>
              <w:t xml:space="preserve">Specifický cíl </w:t>
            </w:r>
            <w:r w:rsidRPr="005A0E7C">
              <w:rPr>
                <w:rFonts w:eastAsiaTheme="majorEastAsia"/>
                <w:i/>
              </w:rPr>
              <w:t>Účinné zabezpečení informačních a komunikačních systémů veřejné správy včetně složek IZS a adekvátní reakce na rostoucí kybernetické hrozby</w:t>
            </w:r>
            <w:r w:rsidRPr="005A0E7C" w:rsidDel="00D10B5F">
              <w:t xml:space="preserve"> </w:t>
            </w:r>
            <w:r w:rsidRPr="005A0E7C">
              <w:t>přispěje k naplnění těchto cílů prostřednictvím realizace aktivit při zavádění digitálních ICT technologií pro předcházení kybernetických bezpečnostních hrozeb, ochranu kritické informační infrastruktury, zajištění a předávání informací v rámci IZS a to i na mezinárodní úrovni (CP1). Svoji nezastupitelnou roli má i v posílení územního plánování, ochrany obyvatelstva a krizového řízení s ohledem na negativní dopady změny klimatu (dlouhodobé sucho, extrémně vysoké teploty, povodně a vydatné srážky, kde digitalizace a rozvoj relevantních informačních a komunikačních systémů hraje důležitou roli, např. v oblasti řešení důsledků mimořádných událostí ze změny klimatu, tak i v úrovni systému varování a vyrozumění směrem k obyvatelstvu i v rámci složek IZS (CP2). Digitální technologie výrazně přispívají rovněž ke zvýšení mobility obyvatel a konektivitě k pevným i mobilním komunikačním sítím (CP3).</w:t>
            </w:r>
          </w:p>
        </w:tc>
        <w:tc>
          <w:tcPr>
            <w:tcW w:w="249" w:type="dxa"/>
            <w:tcBorders>
              <w:top w:val="nil"/>
              <w:bottom w:val="nil"/>
            </w:tcBorders>
            <w:shd w:val="clear" w:color="auto" w:fill="66CCFF"/>
          </w:tcPr>
          <w:p w14:paraId="5683F135" w14:textId="77777777" w:rsidR="00DD3EFA" w:rsidRPr="005A0E7C" w:rsidRDefault="00DD3EFA" w:rsidP="00B15ECB">
            <w:pPr>
              <w:rPr>
                <w:b/>
              </w:rPr>
            </w:pPr>
          </w:p>
        </w:tc>
      </w:tr>
      <w:tr w:rsidR="00DD3EFA" w:rsidRPr="005A0E7C" w14:paraId="16EA30E4" w14:textId="77777777" w:rsidTr="00B15ECB">
        <w:trPr>
          <w:trHeight w:val="1202"/>
        </w:trPr>
        <w:tc>
          <w:tcPr>
            <w:tcW w:w="249" w:type="dxa"/>
            <w:tcBorders>
              <w:top w:val="nil"/>
              <w:bottom w:val="nil"/>
            </w:tcBorders>
            <w:shd w:val="clear" w:color="auto" w:fill="66CCFF"/>
          </w:tcPr>
          <w:p w14:paraId="313AA4C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1CFCE3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0C27EE9A" w14:textId="77777777" w:rsidR="00DD3EFA" w:rsidRPr="005A0E7C" w:rsidRDefault="00DD3EFA" w:rsidP="00B15ECB">
            <w:pPr>
              <w:spacing w:before="60" w:after="60"/>
              <w:rPr>
                <w:rFonts w:eastAsiaTheme="majorEastAsia"/>
              </w:rPr>
            </w:pPr>
            <w:r w:rsidRPr="005A0E7C">
              <w:rPr>
                <w:rFonts w:eastAsiaTheme="majorEastAsia"/>
              </w:rPr>
              <w:t>SDR se kybernetické bezpečnosti přímo netýkají.</w:t>
            </w:r>
          </w:p>
          <w:p w14:paraId="72F947C2" w14:textId="77777777" w:rsidR="00DD3EFA" w:rsidRPr="005A0E7C" w:rsidRDefault="00DD3EFA" w:rsidP="00B15ECB">
            <w:pPr>
              <w:spacing w:before="60" w:after="60"/>
              <w:rPr>
                <w:rFonts w:eastAsiaTheme="majorEastAsia"/>
              </w:rPr>
            </w:pPr>
          </w:p>
          <w:p w14:paraId="6042D80F" w14:textId="77777777" w:rsidR="00DD3EFA" w:rsidRPr="005A0E7C" w:rsidRDefault="00DD3EFA" w:rsidP="00B15ECB">
            <w:pPr>
              <w:spacing w:after="160" w:line="259" w:lineRule="auto"/>
            </w:pPr>
            <w:r w:rsidRPr="005A0E7C">
              <w:t xml:space="preserve">Z hlediska legislativy EU se oblasti kybernetické bezpečnosti týkají zejména následující předpisy: </w:t>
            </w:r>
          </w:p>
          <w:p w14:paraId="7F679794" w14:textId="77777777" w:rsidR="00DD3EFA" w:rsidRPr="005A0E7C" w:rsidRDefault="00DD3EFA" w:rsidP="00391907">
            <w:pPr>
              <w:pStyle w:val="Odstavecseseznamem"/>
              <w:numPr>
                <w:ilvl w:val="0"/>
                <w:numId w:val="2"/>
              </w:numPr>
              <w:jc w:val="both"/>
            </w:pPr>
            <w:r w:rsidRPr="005A0E7C">
              <w:t>Směrnici Evropského parlamentu a Rady (EU) 2016/1148 ze dne 6. 7. 2016 o opatřeních k zajištění vysoké společné úrovně bezpečnosti sítí a informačních systémů v Unii (směrnice NIS), která má harmonizovat právní úpravu členských států v oblasti bezpečnosti sítí a informačních systémů a zavést jednotný standard úrovně kybernetické bezpečnosti s cílem zlepšení fungování vnitřního trhu;</w:t>
            </w:r>
          </w:p>
          <w:p w14:paraId="442F0AB1" w14:textId="77777777" w:rsidR="00DD3EFA" w:rsidRPr="005A0E7C" w:rsidRDefault="00DD3EFA" w:rsidP="00391907">
            <w:pPr>
              <w:pStyle w:val="Odstavecseseznamem"/>
              <w:numPr>
                <w:ilvl w:val="0"/>
                <w:numId w:val="2"/>
              </w:numPr>
              <w:jc w:val="both"/>
            </w:pPr>
            <w:r w:rsidRPr="005A0E7C">
              <w:t>Prováděcí nařízení komise (EU) 2018/151, kterým se stanoví pravidla pro uplatňování směrnice Evropského parlamentu a Rady (EU) 2016/1148 (Směrnice NIS); toto prováděcí nařízení obsahuje bližší upřesnění bezpečnostních opatření, které musí poskytovatelé digitálních služeb zohledňovat při řízení bezpečnostních rizik, jimž jsou vystaveny sítě a informační systémy;</w:t>
            </w:r>
          </w:p>
          <w:p w14:paraId="5BBA00F1" w14:textId="77777777" w:rsidR="00DD3EFA" w:rsidRPr="005A0E7C" w:rsidRDefault="00DD3EFA" w:rsidP="00391907">
            <w:pPr>
              <w:pStyle w:val="Odstavecseseznamem"/>
              <w:numPr>
                <w:ilvl w:val="0"/>
                <w:numId w:val="2"/>
              </w:numPr>
              <w:spacing w:before="60" w:after="60"/>
              <w:jc w:val="both"/>
              <w:rPr>
                <w:rFonts w:eastAsiaTheme="majorEastAsia"/>
                <w:i/>
              </w:rPr>
            </w:pPr>
            <w:r w:rsidRPr="005A0E7C">
              <w:t>Ochrana osobních dat jednotlivých občanů ČR i EU a to v souladu s podmínkami stanovenými v Nařízení Evropského parlamentu a Rady (EU) č. 2016/679 (obecné nařízení o ochraně osobních údajů).</w:t>
            </w:r>
          </w:p>
        </w:tc>
        <w:tc>
          <w:tcPr>
            <w:tcW w:w="249" w:type="dxa"/>
            <w:tcBorders>
              <w:top w:val="nil"/>
              <w:bottom w:val="nil"/>
            </w:tcBorders>
            <w:shd w:val="clear" w:color="auto" w:fill="66CCFF"/>
          </w:tcPr>
          <w:p w14:paraId="09C2F2D3" w14:textId="77777777" w:rsidR="00DD3EFA" w:rsidRPr="005A0E7C" w:rsidRDefault="00DD3EFA" w:rsidP="00B15ECB">
            <w:pPr>
              <w:rPr>
                <w:b/>
              </w:rPr>
            </w:pPr>
          </w:p>
        </w:tc>
      </w:tr>
      <w:tr w:rsidR="00DD3EFA" w:rsidRPr="005A0E7C" w14:paraId="6BE0A7A9" w14:textId="77777777" w:rsidTr="00B15ECB">
        <w:trPr>
          <w:trHeight w:val="180"/>
        </w:trPr>
        <w:tc>
          <w:tcPr>
            <w:tcW w:w="249" w:type="dxa"/>
            <w:tcBorders>
              <w:top w:val="nil"/>
              <w:bottom w:val="nil"/>
              <w:right w:val="nil"/>
            </w:tcBorders>
            <w:shd w:val="clear" w:color="auto" w:fill="66CCFF"/>
          </w:tcPr>
          <w:p w14:paraId="3162630F" w14:textId="77777777" w:rsidR="00DD3EFA" w:rsidRPr="005A0E7C" w:rsidRDefault="00DD3EFA" w:rsidP="00B15ECB">
            <w:pPr>
              <w:rPr>
                <w:b/>
              </w:rPr>
            </w:pPr>
          </w:p>
        </w:tc>
        <w:tc>
          <w:tcPr>
            <w:tcW w:w="2548" w:type="dxa"/>
            <w:tcBorders>
              <w:left w:val="nil"/>
              <w:right w:val="nil"/>
            </w:tcBorders>
            <w:shd w:val="clear" w:color="auto" w:fill="66CCFF"/>
          </w:tcPr>
          <w:p w14:paraId="267F1430" w14:textId="77777777" w:rsidR="00DD3EFA" w:rsidRPr="005A0E7C" w:rsidRDefault="00DD3EFA" w:rsidP="00B15ECB">
            <w:pPr>
              <w:rPr>
                <w:b/>
              </w:rPr>
            </w:pPr>
          </w:p>
        </w:tc>
        <w:tc>
          <w:tcPr>
            <w:tcW w:w="5978" w:type="dxa"/>
            <w:tcBorders>
              <w:left w:val="nil"/>
              <w:right w:val="nil"/>
            </w:tcBorders>
            <w:shd w:val="clear" w:color="auto" w:fill="66CCFF"/>
          </w:tcPr>
          <w:p w14:paraId="743631D4" w14:textId="77777777" w:rsidR="00DD3EFA" w:rsidRPr="005A0E7C" w:rsidRDefault="00DD3EFA" w:rsidP="00B15ECB">
            <w:pPr>
              <w:rPr>
                <w:b/>
              </w:rPr>
            </w:pPr>
          </w:p>
        </w:tc>
        <w:tc>
          <w:tcPr>
            <w:tcW w:w="249" w:type="dxa"/>
            <w:tcBorders>
              <w:top w:val="nil"/>
              <w:left w:val="nil"/>
              <w:bottom w:val="nil"/>
            </w:tcBorders>
            <w:shd w:val="clear" w:color="auto" w:fill="66CCFF"/>
          </w:tcPr>
          <w:p w14:paraId="5E227B4A" w14:textId="77777777" w:rsidR="00DD3EFA" w:rsidRPr="005A0E7C" w:rsidRDefault="00DD3EFA" w:rsidP="00B15ECB">
            <w:pPr>
              <w:rPr>
                <w:b/>
              </w:rPr>
            </w:pPr>
          </w:p>
        </w:tc>
      </w:tr>
      <w:tr w:rsidR="00DD3EFA" w:rsidRPr="005A0E7C" w14:paraId="56363541" w14:textId="77777777" w:rsidTr="00B15ECB">
        <w:trPr>
          <w:trHeight w:val="938"/>
        </w:trPr>
        <w:tc>
          <w:tcPr>
            <w:tcW w:w="249" w:type="dxa"/>
            <w:tcBorders>
              <w:top w:val="nil"/>
              <w:bottom w:val="nil"/>
            </w:tcBorders>
            <w:shd w:val="clear" w:color="auto" w:fill="66CCFF"/>
          </w:tcPr>
          <w:p w14:paraId="248D002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04C628A"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1D6D17B6"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7D3350D8" w14:textId="77777777" w:rsidR="00DD3EFA" w:rsidRPr="005A0E7C" w:rsidRDefault="00DD3EFA" w:rsidP="00B15ECB">
            <w:pPr>
              <w:spacing w:after="160" w:line="259" w:lineRule="auto"/>
            </w:pPr>
            <w:r w:rsidRPr="005A0E7C">
              <w:t>Strategické cíle v této oblasti jsou obsaženy v následujících materiálech:</w:t>
            </w:r>
          </w:p>
          <w:p w14:paraId="34B1635C" w14:textId="77777777" w:rsidR="00DD3EFA" w:rsidRPr="005A0E7C" w:rsidRDefault="00DD3EFA" w:rsidP="00B15ECB">
            <w:pPr>
              <w:spacing w:after="160" w:line="259" w:lineRule="auto"/>
            </w:pPr>
            <w:r w:rsidRPr="005A0E7C">
              <w:t>Národní strategie kybernetické bezpečnosti ČR na období let 2015 až 2020 a navazující Akční plán k Národní strategii kybernetické bezpečnosti České republiky na období let 2015 až 2020. Aktuálně národní gestor kybernetické bezpečnosti NÚKIB spolu s partnery připravuje aktualizaci těchto dokumentů pro roky 2020 až 2025. Zejména u Akčního plánu se osvědčil formát konkrétních úkolů přiřazených konkrétním rezortům i s termínem splnění, tento formát bude zachován i do budoucna. NÚKIB Vládě ČR každoročně předkládá stav plnění Akčního plánu.</w:t>
            </w:r>
          </w:p>
          <w:p w14:paraId="143D81B0" w14:textId="77777777" w:rsidR="00DD3EFA" w:rsidRPr="005A0E7C" w:rsidRDefault="00DD3EFA" w:rsidP="00B15ECB">
            <w:pPr>
              <w:spacing w:after="160" w:line="259" w:lineRule="auto"/>
            </w:pPr>
            <w:r w:rsidRPr="005A0E7C">
              <w:t>Digitální Česko, vládní program digitalizace ČR 2018+</w:t>
            </w:r>
          </w:p>
          <w:p w14:paraId="16A4F86F" w14:textId="77777777" w:rsidR="00DD3EFA" w:rsidRPr="005A0E7C" w:rsidRDefault="00DD3EFA" w:rsidP="00391907">
            <w:pPr>
              <w:pStyle w:val="Odstavecseseznamem"/>
              <w:numPr>
                <w:ilvl w:val="0"/>
                <w:numId w:val="50"/>
              </w:numPr>
              <w:jc w:val="both"/>
            </w:pPr>
            <w:r w:rsidRPr="005A0E7C">
              <w:t>Česko v digitální Evropě</w:t>
            </w:r>
          </w:p>
          <w:p w14:paraId="51DB7657" w14:textId="77777777" w:rsidR="00DD3EFA" w:rsidRPr="005A0E7C" w:rsidRDefault="00DD3EFA" w:rsidP="00391907">
            <w:pPr>
              <w:pStyle w:val="Odstavecseseznamem"/>
              <w:numPr>
                <w:ilvl w:val="0"/>
                <w:numId w:val="50"/>
              </w:numPr>
              <w:jc w:val="both"/>
            </w:pPr>
            <w:r w:rsidRPr="005A0E7C">
              <w:t>Informační koncepce České republiky, (Digitální veřejná správa)</w:t>
            </w:r>
          </w:p>
          <w:p w14:paraId="6B57D466" w14:textId="77777777" w:rsidR="00DD3EFA" w:rsidRPr="005A0E7C" w:rsidRDefault="00DD3EFA" w:rsidP="00391907">
            <w:pPr>
              <w:pStyle w:val="Odstavecseseznamem"/>
              <w:numPr>
                <w:ilvl w:val="0"/>
                <w:numId w:val="50"/>
              </w:numPr>
              <w:jc w:val="both"/>
            </w:pPr>
            <w:r w:rsidRPr="005A0E7C">
              <w:t>Koncepce Digitální ekonomika a společnost</w:t>
            </w:r>
          </w:p>
          <w:p w14:paraId="237C435E" w14:textId="77777777" w:rsidR="00DD3EFA" w:rsidRPr="005A0E7C" w:rsidRDefault="00DD3EFA" w:rsidP="00B15ECB">
            <w:pPr>
              <w:spacing w:after="160" w:line="259" w:lineRule="auto"/>
            </w:pPr>
          </w:p>
          <w:p w14:paraId="71313FCB" w14:textId="77777777" w:rsidR="00DD3EFA" w:rsidRPr="005A0E7C" w:rsidRDefault="00DD3EFA" w:rsidP="00B15ECB">
            <w:pPr>
              <w:spacing w:after="160" w:line="259" w:lineRule="auto"/>
            </w:pPr>
            <w:r w:rsidRPr="005A0E7C">
              <w:t xml:space="preserve">Bezpečnostní strategie České republiky </w:t>
            </w:r>
          </w:p>
          <w:p w14:paraId="09693600" w14:textId="77777777" w:rsidR="00DD3EFA" w:rsidRPr="005A0E7C" w:rsidRDefault="00DD3EFA" w:rsidP="00B15ECB">
            <w:pPr>
              <w:spacing w:after="160" w:line="259" w:lineRule="auto"/>
            </w:pPr>
            <w:r w:rsidRPr="005A0E7C">
              <w:t>Strategický rámec České republiky 2030</w:t>
            </w:r>
          </w:p>
          <w:p w14:paraId="24495D2B" w14:textId="77777777" w:rsidR="00DD3EFA" w:rsidRPr="005A0E7C" w:rsidRDefault="00DD3EFA" w:rsidP="00B15ECB">
            <w:pPr>
              <w:spacing w:after="160" w:line="259" w:lineRule="auto"/>
            </w:pPr>
            <w:r w:rsidRPr="005A0E7C">
              <w:t>Strategický rámec rozvoje veřejné správy ČR pro období 2014 až 2020</w:t>
            </w:r>
          </w:p>
          <w:p w14:paraId="2D87F2D2" w14:textId="77777777" w:rsidR="00DD3EFA" w:rsidRPr="005A0E7C" w:rsidRDefault="00DD3EFA" w:rsidP="00B15ECB">
            <w:pPr>
              <w:spacing w:after="160" w:line="259" w:lineRule="auto"/>
            </w:pPr>
            <w:r w:rsidRPr="005A0E7C">
              <w:t>Audit národní bezpečnosti 2016</w:t>
            </w:r>
          </w:p>
          <w:p w14:paraId="537B1E9B" w14:textId="77777777" w:rsidR="00DD3EFA" w:rsidRPr="005A0E7C" w:rsidRDefault="00DD3EFA" w:rsidP="00B15ECB">
            <w:pPr>
              <w:spacing w:after="160" w:line="259" w:lineRule="auto"/>
            </w:pPr>
            <w:r w:rsidRPr="005A0E7C">
              <w:t>Strategie kybernetické obrany ČR pro období 2018 až 2022</w:t>
            </w:r>
          </w:p>
          <w:p w14:paraId="3552029E" w14:textId="77777777" w:rsidR="00DD3EFA" w:rsidRPr="005A0E7C" w:rsidRDefault="00DD3EFA" w:rsidP="00B15ECB">
            <w:pPr>
              <w:autoSpaceDE w:val="0"/>
              <w:autoSpaceDN w:val="0"/>
              <w:adjustRightInd w:val="0"/>
            </w:pPr>
            <w:r w:rsidRPr="005A0E7C">
              <w:t>U dokumentů ohraničených rokem 2020 dojde k jejich aktualizaci na další časové období dle příslušných nařízení vlády.</w:t>
            </w:r>
          </w:p>
          <w:p w14:paraId="263B26DD" w14:textId="77777777" w:rsidR="00DD3EFA" w:rsidRPr="005A0E7C" w:rsidRDefault="00DD3EFA" w:rsidP="00B15ECB">
            <w:pPr>
              <w:autoSpaceDE w:val="0"/>
              <w:autoSpaceDN w:val="0"/>
              <w:adjustRightInd w:val="0"/>
              <w:spacing w:after="160" w:line="259" w:lineRule="auto"/>
              <w:rPr>
                <w:i/>
                <w:u w:val="single"/>
              </w:rPr>
            </w:pPr>
          </w:p>
        </w:tc>
        <w:tc>
          <w:tcPr>
            <w:tcW w:w="249" w:type="dxa"/>
            <w:tcBorders>
              <w:top w:val="nil"/>
              <w:bottom w:val="nil"/>
            </w:tcBorders>
            <w:shd w:val="clear" w:color="auto" w:fill="66CCFF"/>
          </w:tcPr>
          <w:p w14:paraId="464EC05B" w14:textId="77777777" w:rsidR="00DD3EFA" w:rsidRPr="005A0E7C" w:rsidRDefault="00DD3EFA" w:rsidP="00B15ECB">
            <w:pPr>
              <w:rPr>
                <w:b/>
              </w:rPr>
            </w:pPr>
          </w:p>
        </w:tc>
      </w:tr>
      <w:tr w:rsidR="00DD3EFA" w:rsidRPr="005A0E7C" w14:paraId="2C096909" w14:textId="77777777" w:rsidTr="00B15ECB">
        <w:trPr>
          <w:trHeight w:val="938"/>
        </w:trPr>
        <w:tc>
          <w:tcPr>
            <w:tcW w:w="249" w:type="dxa"/>
            <w:tcBorders>
              <w:top w:val="nil"/>
              <w:bottom w:val="nil"/>
            </w:tcBorders>
            <w:shd w:val="clear" w:color="auto" w:fill="66CCFF"/>
          </w:tcPr>
          <w:p w14:paraId="78A5E26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EEBFA9E"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0DFA277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0C9A0B4" w14:textId="77777777" w:rsidR="00DD3EFA" w:rsidRPr="005A0E7C" w:rsidRDefault="00DD3EFA" w:rsidP="00B15ECB">
            <w:pPr>
              <w:spacing w:after="160" w:line="259" w:lineRule="auto"/>
            </w:pPr>
            <w:r w:rsidRPr="005A0E7C">
              <w:t xml:space="preserve">Analytické podklady pro specifický cíl </w:t>
            </w:r>
            <w:r w:rsidRPr="005A0E7C">
              <w:rPr>
                <w:i/>
              </w:rPr>
              <w:t>Účinné zabezpečení informačních a komunikačních systémů veřejné správy včetně složek IZS a adekvátní reakce na rostoucí kybernetické hrozby</w:t>
            </w:r>
            <w:r w:rsidRPr="005A0E7C">
              <w:t xml:space="preserve"> jsou jednak obsaženy ve výše uvedených strategických materiálech a dále v následujících materiálech:</w:t>
            </w:r>
          </w:p>
          <w:p w14:paraId="6226FF5E" w14:textId="77777777" w:rsidR="00DD3EFA" w:rsidRPr="005A0E7C" w:rsidRDefault="00DD3EFA" w:rsidP="00391907">
            <w:pPr>
              <w:pStyle w:val="Odstavecseseznamem"/>
              <w:numPr>
                <w:ilvl w:val="0"/>
                <w:numId w:val="3"/>
              </w:numPr>
              <w:jc w:val="both"/>
            </w:pPr>
            <w:r w:rsidRPr="005A0E7C">
              <w:t>Zpráva o stavu kybernetické bezpečnosti za rok 2017</w:t>
            </w:r>
          </w:p>
          <w:p w14:paraId="0D1F9B28" w14:textId="77777777" w:rsidR="00DD3EFA" w:rsidRPr="005A0E7C" w:rsidRDefault="00DD3EFA" w:rsidP="00391907">
            <w:pPr>
              <w:pStyle w:val="Odstavecseseznamem"/>
              <w:numPr>
                <w:ilvl w:val="0"/>
                <w:numId w:val="3"/>
              </w:numPr>
              <w:jc w:val="both"/>
            </w:pPr>
            <w:r w:rsidRPr="005A0E7C">
              <w:t>Zpráva o situaci v oblasti vnitřní bezpečnosti a veřejného pořádku na území ČR v roce 2017</w:t>
            </w:r>
          </w:p>
          <w:p w14:paraId="1090177D" w14:textId="77777777" w:rsidR="00DD3EFA" w:rsidRPr="005A0E7C" w:rsidRDefault="00DD3EFA" w:rsidP="00391907">
            <w:pPr>
              <w:pStyle w:val="Odstavecseseznamem"/>
              <w:numPr>
                <w:ilvl w:val="0"/>
                <w:numId w:val="3"/>
              </w:numPr>
              <w:jc w:val="both"/>
            </w:pPr>
            <w:r w:rsidRPr="005A0E7C">
              <w:t>Implementace Agendy 2030 pro udržitelný rozvoj (Cílů udržitelného rozvoje) v České republice</w:t>
            </w:r>
          </w:p>
          <w:p w14:paraId="02E1D49B" w14:textId="77777777" w:rsidR="00DD3EFA" w:rsidRPr="005A0E7C" w:rsidRDefault="00DD3EFA" w:rsidP="00391907">
            <w:pPr>
              <w:pStyle w:val="Odstavecseseznamem"/>
              <w:numPr>
                <w:ilvl w:val="0"/>
                <w:numId w:val="3"/>
              </w:numPr>
              <w:jc w:val="both"/>
            </w:pPr>
            <w:r w:rsidRPr="005A0E7C">
              <w:t>Národní koncepce realizace politiky soudržnosti v ČR po roce 2020</w:t>
            </w:r>
          </w:p>
          <w:p w14:paraId="2CA5E8A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Opět u dokumentů zpracovávaných před rokem 2020 dojde k jejich aktualizaci na další časové období dle příslušných nařízení vlády.</w:t>
            </w:r>
          </w:p>
        </w:tc>
        <w:tc>
          <w:tcPr>
            <w:tcW w:w="249" w:type="dxa"/>
            <w:tcBorders>
              <w:top w:val="nil"/>
              <w:bottom w:val="nil"/>
            </w:tcBorders>
            <w:shd w:val="clear" w:color="auto" w:fill="66CCFF"/>
          </w:tcPr>
          <w:p w14:paraId="73DACD78" w14:textId="77777777" w:rsidR="00DD3EFA" w:rsidRPr="005A0E7C" w:rsidRDefault="00DD3EFA" w:rsidP="00B15ECB">
            <w:pPr>
              <w:rPr>
                <w:b/>
              </w:rPr>
            </w:pPr>
          </w:p>
        </w:tc>
      </w:tr>
      <w:tr w:rsidR="00DD3EFA" w:rsidRPr="005A0E7C" w14:paraId="60C325E8" w14:textId="77777777" w:rsidTr="00B15ECB">
        <w:trPr>
          <w:trHeight w:val="938"/>
        </w:trPr>
        <w:tc>
          <w:tcPr>
            <w:tcW w:w="249" w:type="dxa"/>
            <w:tcBorders>
              <w:top w:val="nil"/>
              <w:bottom w:val="nil"/>
            </w:tcBorders>
            <w:shd w:val="clear" w:color="auto" w:fill="66CCFF"/>
          </w:tcPr>
          <w:p w14:paraId="000F3C3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386ABF3"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407F878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77F565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 xml:space="preserve">Cíle specifického cíle </w:t>
            </w:r>
            <w:r w:rsidRPr="005A0E7C">
              <w:rPr>
                <w:rFonts w:ascii="Times New Roman" w:hAnsi="Times New Roman"/>
                <w:i/>
              </w:rPr>
              <w:t>Účinné zabezpečení informačních a komunikačních systémů veřejné správy včetně složek IZS a adekvátní reakce na rostoucí kybernetické hrozby</w:t>
            </w:r>
            <w:r w:rsidRPr="005A0E7C">
              <w:rPr>
                <w:rFonts w:ascii="Times New Roman" w:hAnsi="Times New Roman"/>
              </w:rPr>
              <w:t xml:space="preserve"> jsou komplexně vytyčeny ve strategických a analytických dokumentech, zejména v dokumentu Národní strategie kybernetické bezpečnosti České republiky na období let 2015 až 2020 a v navazujícím Akčním plánu, který je každoročně vyhodnocován. Další cíle jsou uvedeny v dokumentu Digitální Česko, vládní program digitalizace ČR 2018+ v rámci všech 3 pilířů (1. Česko v digitální Evropě, 2. Informační koncepce České republiky, (Digitální veřejná správa) a 3. Koncepce Digitální ekonomika a společnost). Na tyto cíle navazují jednotlivá opatření, která vycházejí z analýzy aktuální situace a slouží k řešení vymezených problémů.</w:t>
            </w:r>
          </w:p>
        </w:tc>
        <w:tc>
          <w:tcPr>
            <w:tcW w:w="249" w:type="dxa"/>
            <w:tcBorders>
              <w:top w:val="nil"/>
              <w:bottom w:val="nil"/>
            </w:tcBorders>
            <w:shd w:val="clear" w:color="auto" w:fill="66CCFF"/>
          </w:tcPr>
          <w:p w14:paraId="6B20B4C0" w14:textId="77777777" w:rsidR="00DD3EFA" w:rsidRPr="005A0E7C" w:rsidRDefault="00DD3EFA" w:rsidP="00B15ECB">
            <w:pPr>
              <w:rPr>
                <w:b/>
              </w:rPr>
            </w:pPr>
          </w:p>
        </w:tc>
      </w:tr>
      <w:tr w:rsidR="00DD3EFA" w:rsidRPr="005A0E7C" w14:paraId="3EC7DB62" w14:textId="77777777" w:rsidTr="00B15ECB">
        <w:trPr>
          <w:trHeight w:val="938"/>
        </w:trPr>
        <w:tc>
          <w:tcPr>
            <w:tcW w:w="249" w:type="dxa"/>
            <w:tcBorders>
              <w:top w:val="nil"/>
              <w:bottom w:val="nil"/>
            </w:tcBorders>
            <w:shd w:val="clear" w:color="auto" w:fill="66CCFF"/>
          </w:tcPr>
          <w:p w14:paraId="39920E5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33E2B3A"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730D2C4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B699D2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K úspěšnému naplnění a dosažení hlavních cílů Národní strategie kybernetické bezpečnosti pro období let 2015 až 2020 jsou dle stanoveného časového rámce realizována opatření uvedená v Akčním plánu k Národní strategii kybernetické bezpečnosti pro období let 2015 až 2020. U stanovených úkolů je vyžadována aktivní součinnost a spolupráce povinných subjektů ve smyslu zákona č. 181/2014 Sb., o kybernetické bezpečnosti, a dalších subjektů veřejné správy včetně složek IZS v koordinaci a dle potřeb uvedeného odpovědného subjektu. Cíle a opatření uvedená v dokumentu Digitální Česko, vládní program digitalizace ČR 2018+ budou k příslušným termínům (milníkům) vyhodnocovány z hlediska naplnění konkrétních cílů a splnění předpokládaných opatření. Lze předpokládat, že toto hodnocení bude součástí samostatného dokumentu (například roční zpráva o implementaci).</w:t>
            </w:r>
          </w:p>
        </w:tc>
        <w:tc>
          <w:tcPr>
            <w:tcW w:w="249" w:type="dxa"/>
            <w:tcBorders>
              <w:top w:val="nil"/>
              <w:bottom w:val="nil"/>
            </w:tcBorders>
            <w:shd w:val="clear" w:color="auto" w:fill="66CCFF"/>
          </w:tcPr>
          <w:p w14:paraId="7DBFB676" w14:textId="77777777" w:rsidR="00DD3EFA" w:rsidRPr="005A0E7C" w:rsidRDefault="00DD3EFA" w:rsidP="00B15ECB">
            <w:pPr>
              <w:rPr>
                <w:b/>
              </w:rPr>
            </w:pPr>
          </w:p>
        </w:tc>
      </w:tr>
      <w:tr w:rsidR="00DD3EFA" w:rsidRPr="005A0E7C" w14:paraId="5A3BE83C" w14:textId="77777777" w:rsidTr="00B15ECB">
        <w:trPr>
          <w:trHeight w:val="938"/>
        </w:trPr>
        <w:tc>
          <w:tcPr>
            <w:tcW w:w="249" w:type="dxa"/>
            <w:tcBorders>
              <w:top w:val="nil"/>
              <w:bottom w:val="nil"/>
            </w:tcBorders>
            <w:shd w:val="clear" w:color="auto" w:fill="66CCFF"/>
          </w:tcPr>
          <w:p w14:paraId="143804A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4179AD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589CF77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Z hlediska kybernetické bezpečnosti bude kontinuálně prováděna analýza a monitoring hrozeb a rizik v České republice. </w:t>
            </w:r>
          </w:p>
          <w:p w14:paraId="18CE484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 hlediska monitoringu a administrace jednotlivých projektů bude po celou dobu realizační fáze projektu projektový tým provádět pravidelný monitoring a administraci projektu. V rámci této aktivity bude probíhat:</w:t>
            </w:r>
          </w:p>
          <w:p w14:paraId="3CB7A08A" w14:textId="77777777" w:rsidR="00DD3EFA" w:rsidRPr="005A0E7C" w:rsidRDefault="00DD3EFA" w:rsidP="00391907">
            <w:pPr>
              <w:pStyle w:val="slovanodstavec"/>
              <w:numPr>
                <w:ilvl w:val="0"/>
                <w:numId w:val="3"/>
              </w:numPr>
              <w:tabs>
                <w:tab w:val="left" w:pos="284"/>
              </w:tabs>
              <w:suppressAutoHyphens/>
              <w:spacing w:after="120" w:line="240" w:lineRule="auto"/>
              <w:ind w:left="357" w:hanging="357"/>
              <w:rPr>
                <w:rFonts w:ascii="Times New Roman" w:hAnsi="Times New Roman"/>
              </w:rPr>
            </w:pPr>
            <w:r w:rsidRPr="005A0E7C">
              <w:rPr>
                <w:rFonts w:ascii="Times New Roman" w:hAnsi="Times New Roman"/>
              </w:rPr>
              <w:t>zpracovávání a předkládání monitorovacích zpráv, hlášení o pokroku a žádostí o platbu,</w:t>
            </w:r>
          </w:p>
          <w:p w14:paraId="6B969251" w14:textId="77777777" w:rsidR="00DD3EFA" w:rsidRPr="005A0E7C" w:rsidRDefault="00DD3EFA" w:rsidP="00391907">
            <w:pPr>
              <w:pStyle w:val="slovanodstavec"/>
              <w:numPr>
                <w:ilvl w:val="0"/>
                <w:numId w:val="3"/>
              </w:numPr>
              <w:tabs>
                <w:tab w:val="left" w:pos="284"/>
              </w:tabs>
              <w:suppressAutoHyphens/>
              <w:spacing w:after="120" w:line="240" w:lineRule="auto"/>
              <w:ind w:left="357" w:hanging="357"/>
              <w:rPr>
                <w:rFonts w:ascii="Times New Roman" w:hAnsi="Times New Roman"/>
              </w:rPr>
            </w:pPr>
            <w:r w:rsidRPr="005A0E7C">
              <w:rPr>
                <w:rFonts w:ascii="Times New Roman" w:hAnsi="Times New Roman"/>
              </w:rPr>
              <w:t>kontrolní dny, během kterých bude sledován postup prací a koordinován další postup projektu dle harmonogramu,</w:t>
            </w:r>
          </w:p>
          <w:p w14:paraId="0A781282" w14:textId="77777777" w:rsidR="00DD3EFA" w:rsidRPr="005A0E7C" w:rsidRDefault="00DD3EFA" w:rsidP="00391907">
            <w:pPr>
              <w:pStyle w:val="slovanodstavec"/>
              <w:numPr>
                <w:ilvl w:val="0"/>
                <w:numId w:val="3"/>
              </w:numPr>
              <w:tabs>
                <w:tab w:val="left" w:pos="284"/>
              </w:tabs>
              <w:suppressAutoHyphens/>
              <w:spacing w:after="120" w:line="240" w:lineRule="auto"/>
              <w:ind w:left="357" w:hanging="357"/>
              <w:rPr>
                <w:rFonts w:ascii="Times New Roman" w:hAnsi="Times New Roman"/>
              </w:rPr>
            </w:pPr>
            <w:r w:rsidRPr="005A0E7C">
              <w:rPr>
                <w:rFonts w:ascii="Times New Roman" w:hAnsi="Times New Roman"/>
              </w:rPr>
              <w:t>vnitřní monitoring žadatele bude probíhat v organizační struktuře projektového týmu realizační fáze. Na pravidelných schůzkách bude kontrolován dosavadní postup jednotlivých činností a bude přijímán plán aktivit, které by měly být v následném období (do další schůzky týmu) provedeny,</w:t>
            </w:r>
          </w:p>
          <w:p w14:paraId="3B6ABA0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na závěr projektu proběhne evaluace.</w:t>
            </w:r>
          </w:p>
        </w:tc>
        <w:tc>
          <w:tcPr>
            <w:tcW w:w="249" w:type="dxa"/>
            <w:tcBorders>
              <w:top w:val="nil"/>
              <w:bottom w:val="nil"/>
            </w:tcBorders>
            <w:shd w:val="clear" w:color="auto" w:fill="66CCFF"/>
          </w:tcPr>
          <w:p w14:paraId="087060BD" w14:textId="77777777" w:rsidR="00DD3EFA" w:rsidRPr="005A0E7C" w:rsidRDefault="00DD3EFA" w:rsidP="00B15ECB">
            <w:pPr>
              <w:rPr>
                <w:b/>
              </w:rPr>
            </w:pPr>
          </w:p>
        </w:tc>
      </w:tr>
      <w:tr w:rsidR="00DD3EFA" w:rsidRPr="005A0E7C" w14:paraId="1DCB08CA" w14:textId="77777777" w:rsidTr="00B15ECB">
        <w:trPr>
          <w:trHeight w:val="130"/>
        </w:trPr>
        <w:tc>
          <w:tcPr>
            <w:tcW w:w="249" w:type="dxa"/>
            <w:tcBorders>
              <w:top w:val="nil"/>
              <w:bottom w:val="nil"/>
              <w:right w:val="nil"/>
            </w:tcBorders>
            <w:shd w:val="clear" w:color="auto" w:fill="66CCFF"/>
          </w:tcPr>
          <w:p w14:paraId="47491AC4" w14:textId="77777777" w:rsidR="00DD3EFA" w:rsidRPr="005A0E7C" w:rsidRDefault="00DD3EFA" w:rsidP="00B15ECB">
            <w:pPr>
              <w:rPr>
                <w:b/>
              </w:rPr>
            </w:pPr>
          </w:p>
        </w:tc>
        <w:tc>
          <w:tcPr>
            <w:tcW w:w="2548" w:type="dxa"/>
            <w:tcBorders>
              <w:left w:val="nil"/>
              <w:right w:val="nil"/>
            </w:tcBorders>
            <w:shd w:val="clear" w:color="auto" w:fill="66CCFF"/>
          </w:tcPr>
          <w:p w14:paraId="5A94AA4B" w14:textId="77777777" w:rsidR="00DD3EFA" w:rsidRPr="005A0E7C" w:rsidRDefault="00DD3EFA" w:rsidP="00B15ECB">
            <w:pPr>
              <w:rPr>
                <w:b/>
              </w:rPr>
            </w:pPr>
          </w:p>
        </w:tc>
        <w:tc>
          <w:tcPr>
            <w:tcW w:w="5978" w:type="dxa"/>
            <w:tcBorders>
              <w:left w:val="nil"/>
              <w:right w:val="nil"/>
            </w:tcBorders>
            <w:shd w:val="clear" w:color="auto" w:fill="66CCFF"/>
          </w:tcPr>
          <w:p w14:paraId="1455D7F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3C4AD49B" w14:textId="77777777" w:rsidR="00DD3EFA" w:rsidRPr="005A0E7C" w:rsidRDefault="00DD3EFA" w:rsidP="00B15ECB">
            <w:pPr>
              <w:rPr>
                <w:b/>
              </w:rPr>
            </w:pPr>
          </w:p>
        </w:tc>
      </w:tr>
      <w:tr w:rsidR="00DD3EFA" w:rsidRPr="005A0E7C" w14:paraId="02CDD915" w14:textId="77777777" w:rsidTr="00B15ECB">
        <w:trPr>
          <w:trHeight w:val="1258"/>
        </w:trPr>
        <w:tc>
          <w:tcPr>
            <w:tcW w:w="249" w:type="dxa"/>
            <w:tcBorders>
              <w:top w:val="nil"/>
              <w:bottom w:val="nil"/>
              <w:right w:val="nil"/>
            </w:tcBorders>
            <w:shd w:val="clear" w:color="auto" w:fill="66CCFF"/>
          </w:tcPr>
          <w:p w14:paraId="111CF5FE" w14:textId="77777777" w:rsidR="00DD3EFA" w:rsidRPr="005A0E7C" w:rsidRDefault="00DD3EFA" w:rsidP="00B15ECB">
            <w:pPr>
              <w:rPr>
                <w:b/>
              </w:rPr>
            </w:pPr>
          </w:p>
        </w:tc>
        <w:tc>
          <w:tcPr>
            <w:tcW w:w="8526" w:type="dxa"/>
            <w:gridSpan w:val="2"/>
            <w:shd w:val="clear" w:color="auto" w:fill="FFFFFF" w:themeFill="background1"/>
          </w:tcPr>
          <w:p w14:paraId="1F15C520"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tc>
        <w:tc>
          <w:tcPr>
            <w:tcW w:w="249" w:type="dxa"/>
            <w:tcBorders>
              <w:top w:val="nil"/>
              <w:left w:val="nil"/>
              <w:bottom w:val="nil"/>
            </w:tcBorders>
            <w:shd w:val="clear" w:color="auto" w:fill="66CCFF"/>
          </w:tcPr>
          <w:p w14:paraId="21382AC7" w14:textId="77777777" w:rsidR="00DD3EFA" w:rsidRPr="005A0E7C" w:rsidRDefault="00DD3EFA" w:rsidP="00B15ECB">
            <w:pPr>
              <w:rPr>
                <w:b/>
              </w:rPr>
            </w:pPr>
          </w:p>
        </w:tc>
      </w:tr>
      <w:tr w:rsidR="00DD3EFA" w:rsidRPr="005A0E7C" w14:paraId="42D29D5C" w14:textId="77777777" w:rsidTr="00B15ECB">
        <w:trPr>
          <w:trHeight w:val="1258"/>
        </w:trPr>
        <w:tc>
          <w:tcPr>
            <w:tcW w:w="249" w:type="dxa"/>
            <w:tcBorders>
              <w:top w:val="nil"/>
              <w:bottom w:val="nil"/>
              <w:right w:val="nil"/>
            </w:tcBorders>
            <w:shd w:val="clear" w:color="auto" w:fill="66CCFF"/>
          </w:tcPr>
          <w:p w14:paraId="2E0DA45E" w14:textId="77777777" w:rsidR="00DD3EFA" w:rsidRPr="005A0E7C" w:rsidRDefault="00DD3EFA" w:rsidP="00B15ECB">
            <w:pPr>
              <w:rPr>
                <w:b/>
              </w:rPr>
            </w:pPr>
          </w:p>
        </w:tc>
        <w:tc>
          <w:tcPr>
            <w:tcW w:w="2548" w:type="dxa"/>
            <w:shd w:val="clear" w:color="auto" w:fill="FFFFFF" w:themeFill="background1"/>
          </w:tcPr>
          <w:p w14:paraId="5C67644B" w14:textId="77777777" w:rsidR="00DD3EFA" w:rsidRPr="005A0E7C" w:rsidRDefault="00DD3EFA" w:rsidP="00B15ECB">
            <w:pPr>
              <w:rPr>
                <w:rFonts w:eastAsiaTheme="majorEastAsia"/>
                <w:b/>
              </w:rPr>
            </w:pPr>
            <w:r w:rsidRPr="005A0E7C">
              <w:rPr>
                <w:rFonts w:eastAsiaTheme="majorEastAsia"/>
                <w:b/>
              </w:rPr>
              <w:t>Věcný posun oblasti</w:t>
            </w:r>
          </w:p>
          <w:p w14:paraId="057F804B"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07697812" w14:textId="77777777" w:rsidR="00DD3EFA" w:rsidRPr="005A0E7C" w:rsidRDefault="00DD3EFA" w:rsidP="00B15ECB">
            <w:pPr>
              <w:spacing w:before="60" w:after="60"/>
            </w:pPr>
            <w:r w:rsidRPr="005A0E7C">
              <w:t xml:space="preserve">Problematika zajištění kybernetické bezpečnosti je v současném programovém období podporována z IROP. V roce 2017 došlo k významnému pokroku v naplnění výzvy č. 10, kdy bylo před plánovaným ukončením příjmu žádostí o podporu podáno velké množství projektů. Tyto projekty byly realizovány od úrovně ústředních orgánů, např. Ministerstva obrany (projekt Zajištění provozní bezpečnosti vybraných významných informačních systémů resortu obrany z hlediska zákona 181/2014 Sb., o kybernetické bezpečnosti), Ministerstva práce a sociálních věcí České republiky (projekt Kybernetická bezpečnost MPSV), Ministerstva školství, mládeže a tělovýchovy (projekt Bezpečnostní infrastruktura MŠMT) až po projekty územně samosprávných celků, např. Krajského úřadu Pardubického kraje (projekt Bezpečnost komunikační infrastruktury), městského úřadu Chotěboř (projekt Zajištění kybernetické bezpečnosti městského úřadu Chotěboř) a další. Velká pozornost byla zaměřena i na oblast zdravotnictví, kde byly podpořeny projekty zvyšující kybernetickou bezpečnost např. FN v Brně, Hradci Králové, Olomouci, Ostravě a Plzni. </w:t>
            </w:r>
          </w:p>
          <w:p w14:paraId="742FEE34" w14:textId="77777777" w:rsidR="00DD3EFA" w:rsidRPr="005A0E7C" w:rsidRDefault="00DD3EFA" w:rsidP="00B15ECB">
            <w:r w:rsidRPr="005A0E7C">
              <w:t>V letech 2014 – 2020 byl prostřednictvím výzvy č. 10 – kybernetická bezpečnost IROP podpořen projekt Systém detekce kybernetických bezpečnostních incidentů ve vybraných informačních systémech veřejné správy, který přispěl ke zvýšení bezpečnosti strategických sítí státu sledováním a analýzou síťového provozu.</w:t>
            </w:r>
          </w:p>
          <w:p w14:paraId="6DD22C69" w14:textId="77777777" w:rsidR="00DD3EFA" w:rsidRPr="005A0E7C" w:rsidRDefault="00DD3EFA" w:rsidP="00B15ECB">
            <w:pPr>
              <w:spacing w:before="60" w:after="60"/>
            </w:pPr>
            <w:r w:rsidRPr="005A0E7C">
              <w:t>Podpora v IROP byla zaměřena na posílení výkonosti a transparentnosti orgánů veřejné správy prostřednictvím systémů informačních a komunikačních technologií. Dochází k realizaci centrálních resortních projektů, ale i menších projektů územně samosprávných celků.</w:t>
            </w:r>
          </w:p>
          <w:p w14:paraId="32FEAB29" w14:textId="77777777" w:rsidR="00DD3EFA" w:rsidRPr="005A0E7C" w:rsidRDefault="00DD3EFA" w:rsidP="00B15ECB">
            <w:r w:rsidRPr="005A0E7C">
              <w:t>V programovém období 2007 – 2013, v rámci výzvy č. 17 IOP – Projekty e-Governmentu byl podpořen další zásadní projekt Realizace technologického centra pro provoz Národního centra kybernetické bezpečnosti. V podmínkách Národního bezpečnostního úřadu se jednalo o zajištění činnosti Národního centra kybernetické bezpečnosti (NCKB) prostřednictvím vybudování technologického centra a nákupu další nezbytné infrastruktury pro činnost této instituce. NCKB mimo jiné zajišťuje činnost vládního CERT České republiky, zajišťuje prevenci před kybernetickými hrozbami proti prvkům kritické informační infrastruktury, řeší a koordinuje řešení kybernetických bezpečnostních incidentů u subjektů kritické infrastruktury, provádí výzkum a vývoj v oblasti kybernetické bezpečnosti, provádí vzdělávací činnost, apod.</w:t>
            </w:r>
          </w:p>
          <w:p w14:paraId="6EF916D6" w14:textId="77777777" w:rsidR="00DD3EFA" w:rsidRPr="005A0E7C" w:rsidRDefault="00DD3EFA" w:rsidP="00B15ECB">
            <w:r w:rsidRPr="005A0E7C">
              <w:t>Národní bezpečnostní úřad byl také příjemcem dotace ze Strukturálních fondů v rámci výzvy č. 17 IOP – Napojení needitačních agendových informačních systémů na informační systém základních registrů. V podmínkách Národního bezpečnostního úřadu se jednalo o Napojení agendového informačního systému CEFEUS na informační systém základních registrů.</w:t>
            </w:r>
          </w:p>
          <w:p w14:paraId="64EE12DD" w14:textId="77777777" w:rsidR="00DD3EFA" w:rsidRPr="005A0E7C" w:rsidRDefault="00DD3EFA" w:rsidP="00B15ECB">
            <w:pPr>
              <w:rPr>
                <w:i/>
              </w:rPr>
            </w:pPr>
          </w:p>
        </w:tc>
        <w:tc>
          <w:tcPr>
            <w:tcW w:w="249" w:type="dxa"/>
            <w:tcBorders>
              <w:top w:val="nil"/>
              <w:left w:val="nil"/>
              <w:bottom w:val="nil"/>
            </w:tcBorders>
            <w:shd w:val="clear" w:color="auto" w:fill="66CCFF"/>
          </w:tcPr>
          <w:p w14:paraId="1C56A3B2" w14:textId="77777777" w:rsidR="00DD3EFA" w:rsidRPr="005A0E7C" w:rsidRDefault="00DD3EFA" w:rsidP="00B15ECB">
            <w:pPr>
              <w:rPr>
                <w:b/>
              </w:rPr>
            </w:pPr>
          </w:p>
        </w:tc>
      </w:tr>
      <w:tr w:rsidR="00DD3EFA" w:rsidRPr="005A0E7C" w14:paraId="6F827A11" w14:textId="77777777" w:rsidTr="00B15ECB">
        <w:trPr>
          <w:trHeight w:val="1258"/>
        </w:trPr>
        <w:tc>
          <w:tcPr>
            <w:tcW w:w="249" w:type="dxa"/>
            <w:tcBorders>
              <w:top w:val="nil"/>
              <w:bottom w:val="nil"/>
              <w:right w:val="nil"/>
            </w:tcBorders>
            <w:shd w:val="clear" w:color="auto" w:fill="66CCFF"/>
          </w:tcPr>
          <w:p w14:paraId="24EBA705" w14:textId="77777777" w:rsidR="00DD3EFA" w:rsidRPr="005A0E7C" w:rsidRDefault="00DD3EFA" w:rsidP="00B15ECB">
            <w:pPr>
              <w:rPr>
                <w:b/>
              </w:rPr>
            </w:pPr>
          </w:p>
        </w:tc>
        <w:tc>
          <w:tcPr>
            <w:tcW w:w="2548" w:type="dxa"/>
            <w:shd w:val="clear" w:color="auto" w:fill="FFFFFF" w:themeFill="background1"/>
          </w:tcPr>
          <w:p w14:paraId="7F732110" w14:textId="77777777" w:rsidR="00DD3EFA" w:rsidRPr="005A0E7C" w:rsidRDefault="00DD3EFA" w:rsidP="00B15ECB">
            <w:pPr>
              <w:rPr>
                <w:rFonts w:eastAsiaTheme="majorEastAsia"/>
                <w:b/>
              </w:rPr>
            </w:pPr>
            <w:r w:rsidRPr="005A0E7C">
              <w:rPr>
                <w:rFonts w:eastAsiaTheme="majorEastAsia"/>
                <w:b/>
              </w:rPr>
              <w:t>Synergické a multiplikační efekty</w:t>
            </w:r>
          </w:p>
          <w:p w14:paraId="7EC85021"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65B702C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Vzhledem k tomu, že hrozby jsou stále komplexnější a mají stále častěji mezinárodní charakter je koordinace v oblasti kybernetické bezpečnosti klíčová jak při financovaných projektů z národních, tak i evropských zdrojů. Problematika kybernetické bezpečnosti je v současné době nedílnou součástí převážné většiny informačních a komunikačních systémů realizovaných v rámci digitální společnosti. Nezbytným prvkem je i zajištění synergie, tj. jednotnosti a sdílení služeb napříč všemi projekty. Konkrétním příkladem z NÚKIB je např. projekt </w:t>
            </w:r>
            <w:r w:rsidRPr="005A0E7C">
              <w:rPr>
                <w:rFonts w:ascii="Times New Roman" w:hAnsi="Times New Roman"/>
                <w:i/>
              </w:rPr>
              <w:t>Systém detekce kybernetických bezpečnostních událostí</w:t>
            </w:r>
            <w:r w:rsidRPr="005A0E7C">
              <w:rPr>
                <w:rFonts w:ascii="Times New Roman" w:hAnsi="Times New Roman"/>
              </w:rPr>
              <w:t xml:space="preserve">, financovaný z 10. výzvy IROP, který NÚKIB realizoval spolu s MF, MPSV a MSp, a který je aktuálně otevřený dalším rezortům a v roce 2019 se rozroste o další nové členy – instituce z řad státní správy. Příkladem z MV je např. </w:t>
            </w:r>
            <w:r w:rsidRPr="005A0E7C">
              <w:rPr>
                <w:rFonts w:ascii="Times New Roman" w:hAnsi="Times New Roman"/>
                <w:i/>
              </w:rPr>
              <w:t>provoz CMS 2.0</w:t>
            </w:r>
            <w:r w:rsidRPr="005A0E7C">
              <w:rPr>
                <w:rFonts w:ascii="Times New Roman" w:hAnsi="Times New Roman"/>
              </w:rPr>
              <w:t xml:space="preserve"> (Centrální místo služeb), které zajišťuje jednotné a bezpečné služby pro celou státní správu, projekt </w:t>
            </w:r>
            <w:r w:rsidRPr="005A0E7C">
              <w:rPr>
                <w:rFonts w:ascii="Times New Roman" w:hAnsi="Times New Roman"/>
                <w:i/>
              </w:rPr>
              <w:t>Dohledové centrum pro systémy eGovernmentu</w:t>
            </w:r>
            <w:r w:rsidRPr="005A0E7C">
              <w:rPr>
                <w:rFonts w:ascii="Times New Roman" w:hAnsi="Times New Roman"/>
              </w:rPr>
              <w:t xml:space="preserve"> nebo v současné době připravovaný projekt </w:t>
            </w:r>
            <w:r w:rsidRPr="005A0E7C">
              <w:rPr>
                <w:rFonts w:ascii="Times New Roman" w:hAnsi="Times New Roman"/>
                <w:i/>
              </w:rPr>
              <w:t>Národního cloud computingu – eGovernment cloud ČR</w:t>
            </w:r>
            <w:r w:rsidRPr="005A0E7C">
              <w:rPr>
                <w:rFonts w:ascii="Times New Roman" w:hAnsi="Times New Roman"/>
              </w:rPr>
              <w:t>.</w:t>
            </w:r>
          </w:p>
          <w:p w14:paraId="38F2E28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Podpora dosavadních projektů v oblasti kybernetické bezpečnosti přinášela pozitivní dopady vedle oblasti bezpečnosti i do oblastí zaměstnanosti, sociálního začleňování, efektivní a kvalifikované veřejné správy, komunitní spolupráce a dalších. Důvěru a bezpečnost je nutné stejnou měrou zajistit napříč celou společností. K tomu je zapotřebí zejména koordinovaný vývoj všech systémů digitální společnosti a odpovídající opatření podporující multiplikační a synergické efekty.</w:t>
            </w:r>
          </w:p>
        </w:tc>
        <w:tc>
          <w:tcPr>
            <w:tcW w:w="249" w:type="dxa"/>
            <w:tcBorders>
              <w:top w:val="nil"/>
              <w:left w:val="nil"/>
              <w:bottom w:val="nil"/>
            </w:tcBorders>
            <w:shd w:val="clear" w:color="auto" w:fill="66CCFF"/>
          </w:tcPr>
          <w:p w14:paraId="58E8A157" w14:textId="77777777" w:rsidR="00DD3EFA" w:rsidRPr="005A0E7C" w:rsidRDefault="00DD3EFA" w:rsidP="00B15ECB">
            <w:pPr>
              <w:rPr>
                <w:b/>
              </w:rPr>
            </w:pPr>
          </w:p>
        </w:tc>
      </w:tr>
      <w:tr w:rsidR="00DD3EFA" w:rsidRPr="005A0E7C" w14:paraId="7E42C26F" w14:textId="77777777" w:rsidTr="00B15ECB">
        <w:trPr>
          <w:trHeight w:val="180"/>
        </w:trPr>
        <w:tc>
          <w:tcPr>
            <w:tcW w:w="249" w:type="dxa"/>
            <w:tcBorders>
              <w:top w:val="nil"/>
              <w:bottom w:val="nil"/>
              <w:right w:val="nil"/>
            </w:tcBorders>
            <w:shd w:val="clear" w:color="auto" w:fill="66CCFF"/>
          </w:tcPr>
          <w:p w14:paraId="7B91DADA"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2585E6FE"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CFB5340" w14:textId="77777777" w:rsidR="00DD3EFA" w:rsidRPr="005A0E7C" w:rsidRDefault="00DD3EFA" w:rsidP="00B15ECB">
            <w:pPr>
              <w:rPr>
                <w:b/>
              </w:rPr>
            </w:pPr>
          </w:p>
        </w:tc>
        <w:tc>
          <w:tcPr>
            <w:tcW w:w="249" w:type="dxa"/>
            <w:tcBorders>
              <w:top w:val="nil"/>
              <w:left w:val="nil"/>
              <w:bottom w:val="nil"/>
            </w:tcBorders>
            <w:shd w:val="clear" w:color="auto" w:fill="66CCFF"/>
          </w:tcPr>
          <w:p w14:paraId="70B581D5" w14:textId="77777777" w:rsidR="00DD3EFA" w:rsidRPr="005A0E7C" w:rsidRDefault="00DD3EFA" w:rsidP="00B15ECB">
            <w:pPr>
              <w:rPr>
                <w:b/>
              </w:rPr>
            </w:pPr>
          </w:p>
        </w:tc>
      </w:tr>
      <w:tr w:rsidR="00DD3EFA" w:rsidRPr="005A0E7C" w14:paraId="4FEECC30" w14:textId="77777777" w:rsidTr="00B15ECB">
        <w:trPr>
          <w:trHeight w:val="990"/>
        </w:trPr>
        <w:tc>
          <w:tcPr>
            <w:tcW w:w="249" w:type="dxa"/>
            <w:tcBorders>
              <w:top w:val="nil"/>
              <w:bottom w:val="nil"/>
            </w:tcBorders>
            <w:shd w:val="clear" w:color="auto" w:fill="66CCFF"/>
          </w:tcPr>
          <w:p w14:paraId="622A187B"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03F9FFC7"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28D627A6"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3ABBC12E" w14:textId="77777777" w:rsidR="00DD3EFA" w:rsidRPr="005A0E7C" w:rsidRDefault="00DD3EFA" w:rsidP="00B15ECB">
            <w:pPr>
              <w:rPr>
                <w:b/>
              </w:rPr>
            </w:pPr>
          </w:p>
        </w:tc>
      </w:tr>
      <w:tr w:rsidR="00DD3EFA" w:rsidRPr="005A0E7C" w14:paraId="53AB2EDE" w14:textId="77777777" w:rsidTr="00B15ECB">
        <w:trPr>
          <w:trHeight w:val="1260"/>
        </w:trPr>
        <w:tc>
          <w:tcPr>
            <w:tcW w:w="249" w:type="dxa"/>
            <w:tcBorders>
              <w:top w:val="nil"/>
              <w:bottom w:val="nil"/>
            </w:tcBorders>
            <w:shd w:val="clear" w:color="auto" w:fill="66CCFF"/>
          </w:tcPr>
          <w:p w14:paraId="171C3C6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1463BF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6E7873C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Ve stávajícím programovém období byla poskytována finanční podpora na zavádění standardů kybernetické bezpečnosti v souladu se zákonem o kybernetické bezpečnosti (IROP – SC 3.2) Podpořeny byly projekty ústředních orgánů státní správy, krajů, obcí a jimi zřizovaných organizací. V otázce výše příspěvku z ESIF se přikláníme k hodnotě 80%.</w:t>
            </w:r>
          </w:p>
        </w:tc>
        <w:tc>
          <w:tcPr>
            <w:tcW w:w="249" w:type="dxa"/>
            <w:tcBorders>
              <w:top w:val="nil"/>
              <w:bottom w:val="nil"/>
            </w:tcBorders>
            <w:shd w:val="clear" w:color="auto" w:fill="66CCFF"/>
          </w:tcPr>
          <w:p w14:paraId="1DFED12B" w14:textId="77777777" w:rsidR="00DD3EFA" w:rsidRPr="005A0E7C" w:rsidRDefault="00DD3EFA" w:rsidP="00B15ECB">
            <w:pPr>
              <w:rPr>
                <w:b/>
              </w:rPr>
            </w:pPr>
          </w:p>
        </w:tc>
      </w:tr>
      <w:tr w:rsidR="00DD3EFA" w:rsidRPr="005A0E7C" w14:paraId="33686E39" w14:textId="77777777" w:rsidTr="00B15ECB">
        <w:trPr>
          <w:trHeight w:val="850"/>
        </w:trPr>
        <w:tc>
          <w:tcPr>
            <w:tcW w:w="249" w:type="dxa"/>
            <w:tcBorders>
              <w:top w:val="nil"/>
              <w:bottom w:val="nil"/>
            </w:tcBorders>
            <w:shd w:val="clear" w:color="auto" w:fill="66CCFF"/>
          </w:tcPr>
          <w:p w14:paraId="6931E91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AC80D8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27BB6BF4" w14:textId="77777777" w:rsidR="00DD3EFA" w:rsidRPr="005A0E7C" w:rsidRDefault="00DD3EFA" w:rsidP="00B15ECB">
            <w:pPr>
              <w:spacing w:before="60" w:after="60"/>
              <w:rPr>
                <w:rFonts w:eastAsiaTheme="majorEastAsia"/>
                <w:i/>
              </w:rPr>
            </w:pPr>
            <w:r w:rsidRPr="005A0E7C">
              <w:t>IROP zaznamenal ve výzvě „Kybernetická bezpečnost“ vysokou poptávku žadatelů a převis žádostí nad určenou alokací ve výši 310% (žádosti přes 3,7 mld. Kč, alokace jen 1,2 mld. Kč). To ukazuje na vysokou poptávku příjemců a velký potenciál tématu kybernetické bezpečnosti. Zvýšený tlak na zvyšování kybernetické bezpečnosti bude pokračovat i v budoucnu. Na základě zkušeností z projektů realizovaných ve stávajícím programovém období lze odhadnou, že i v budoucnu bude pokračovat enormní zájem o podporu projektů pro veřejnou správu včetně složek IZS. Jednoznačně lze konstatovat, že poptávka v této oblasti nebyla v programovém období 2014 až 2020 uspokojena a tuto oblast je třeba s ohledem na prognózy dále rozvíjet.</w:t>
            </w:r>
          </w:p>
        </w:tc>
        <w:tc>
          <w:tcPr>
            <w:tcW w:w="249" w:type="dxa"/>
            <w:tcBorders>
              <w:top w:val="nil"/>
              <w:bottom w:val="nil"/>
            </w:tcBorders>
            <w:shd w:val="clear" w:color="auto" w:fill="66CCFF"/>
          </w:tcPr>
          <w:p w14:paraId="5C2931CD" w14:textId="77777777" w:rsidR="00DD3EFA" w:rsidRPr="005A0E7C" w:rsidRDefault="00DD3EFA" w:rsidP="00B15ECB">
            <w:pPr>
              <w:rPr>
                <w:b/>
              </w:rPr>
            </w:pPr>
          </w:p>
        </w:tc>
      </w:tr>
      <w:tr w:rsidR="00DD3EFA" w:rsidRPr="005A0E7C" w14:paraId="1620D795" w14:textId="77777777" w:rsidTr="00B15ECB">
        <w:trPr>
          <w:trHeight w:val="925"/>
        </w:trPr>
        <w:tc>
          <w:tcPr>
            <w:tcW w:w="249" w:type="dxa"/>
            <w:tcBorders>
              <w:top w:val="nil"/>
              <w:bottom w:val="nil"/>
            </w:tcBorders>
            <w:shd w:val="clear" w:color="auto" w:fill="66CCFF"/>
          </w:tcPr>
          <w:p w14:paraId="4859580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691C2E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40EFF083" w14:textId="77777777" w:rsidR="00DD3EFA" w:rsidRPr="005A0E7C" w:rsidRDefault="00DD3EFA" w:rsidP="00B15ECB">
            <w:pPr>
              <w:spacing w:before="60" w:after="60"/>
            </w:pPr>
            <w:r w:rsidRPr="005A0E7C">
              <w:t>Požadavky na realizaci projektů v resortu NÚKIB jsou připravovány v souladu se schváleným Akčním plánem ke Strategii kybernetické bezpečnosti 2015 až 2020.</w:t>
            </w:r>
          </w:p>
          <w:p w14:paraId="4FEAB971" w14:textId="77777777" w:rsidR="00DD3EFA" w:rsidRPr="005A0E7C" w:rsidRDefault="00DD3EFA" w:rsidP="00B15ECB">
            <w:pPr>
              <w:spacing w:before="60" w:after="60"/>
            </w:pPr>
            <w:r w:rsidRPr="005A0E7C">
              <w:t>Požadavky na realizaci projektů v resortu MV jsou obsaženy ve schváleném plánu zvládání rizik v oblasti kybernetické bezpečnosti resortu MV, který je připravován pro každý rok. V těchto plánech jsou uvedeny schválené prioritní projekty, které minimalizují rizika z hlediska narušení důvěrnosti, integrity a dostupnosti dat v rámci systémů kritické informační infrastruktury a významných informačních systémů.</w:t>
            </w:r>
          </w:p>
          <w:p w14:paraId="7AD8F472" w14:textId="77777777" w:rsidR="00DD3EFA" w:rsidRPr="005A0E7C" w:rsidRDefault="00DD3EFA" w:rsidP="00B15ECB">
            <w:pPr>
              <w:spacing w:before="60" w:after="60"/>
            </w:pPr>
            <w:r w:rsidRPr="005A0E7C">
              <w:t>Celá řada projektů kybernetické bezpečnosti byla připravena pro 10. výzvu IROP „Kybernetická bezpečnost“, ale vzhledem k převisu poptávky nad alokací nemohla být realizována. Velkou část těchto projektů bude možné využít i v rámci budoucích výzev kybernetické bezpečnosti.</w:t>
            </w:r>
          </w:p>
          <w:p w14:paraId="7026B5CB" w14:textId="77777777" w:rsidR="00DD3EFA" w:rsidRPr="005A0E7C" w:rsidRDefault="00DD3EFA" w:rsidP="00B15ECB">
            <w:pPr>
              <w:spacing w:before="60" w:after="60"/>
              <w:rPr>
                <w:rFonts w:eastAsiaTheme="majorEastAsia"/>
                <w:i/>
              </w:rPr>
            </w:pPr>
            <w:r w:rsidRPr="005A0E7C">
              <w:t xml:space="preserve">Všechny projektové záměry v oblasti kybernetické bezpečnosti musí reagovat na příslušné cíle a opatření připravované v Národní strategii kybernetické bezpečnosti České republiky 2020+ (v současné době je v přípravě), která zároveň představuje základní rozvojový rámec pro specifický cíl </w:t>
            </w:r>
            <w:r w:rsidRPr="005A0E7C">
              <w:rPr>
                <w:i/>
              </w:rPr>
              <w:t>Účinné zabezpečení informačních a komunikačních systémů veřejné správy včetně složek IZS a adekvátní reakce na rostoucí kybernetické hrozby</w:t>
            </w:r>
            <w:r w:rsidRPr="005A0E7C">
              <w:t xml:space="preserve">. </w:t>
            </w:r>
          </w:p>
        </w:tc>
        <w:tc>
          <w:tcPr>
            <w:tcW w:w="249" w:type="dxa"/>
            <w:tcBorders>
              <w:top w:val="nil"/>
              <w:bottom w:val="nil"/>
            </w:tcBorders>
            <w:shd w:val="clear" w:color="auto" w:fill="66CCFF"/>
          </w:tcPr>
          <w:p w14:paraId="18191AAB" w14:textId="77777777" w:rsidR="00DD3EFA" w:rsidRPr="005A0E7C" w:rsidRDefault="00DD3EFA" w:rsidP="00B15ECB">
            <w:pPr>
              <w:rPr>
                <w:b/>
              </w:rPr>
            </w:pPr>
          </w:p>
        </w:tc>
      </w:tr>
      <w:tr w:rsidR="00DD3EFA" w:rsidRPr="005A0E7C" w14:paraId="6D86A933" w14:textId="77777777" w:rsidTr="00B15ECB">
        <w:trPr>
          <w:trHeight w:val="1001"/>
        </w:trPr>
        <w:tc>
          <w:tcPr>
            <w:tcW w:w="249" w:type="dxa"/>
            <w:tcBorders>
              <w:top w:val="nil"/>
              <w:bottom w:val="nil"/>
            </w:tcBorders>
            <w:shd w:val="clear" w:color="auto" w:fill="66CCFF"/>
          </w:tcPr>
          <w:p w14:paraId="04FB313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39BECC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7FD6D040" w14:textId="77777777" w:rsidR="00DD3EFA" w:rsidRPr="005A0E7C" w:rsidRDefault="00DD3EFA" w:rsidP="00B15ECB">
            <w:pPr>
              <w:spacing w:before="60" w:after="60"/>
            </w:pPr>
            <w:r w:rsidRPr="005A0E7C">
              <w:t>K hlavním bariérám přípravy projektů kybernetické bezpečnosti ve veřejné správě včetně složek IZS můžeme zařadit nedostatečnou personální kapacitu pro zajištění jejich návrhu a realizace. Zejména se jedná o získání a následné finanční odměňování odborně vyškolených expertů na kybernetickou bezpečnost. Negativními faktory jsou nízká nezaměstnanost v ČR (a v Praze zvlášť), nízké finanční ohodnocení těchto expertů a vysoké předpoklady a požadavky na žadatele o přijetí do služebního poměru podle zákona č. 234/2014 Sb., o státní službě (vztahuje se jen na některé rezorty). Dále se jedná o bariéry v podobě přílišné administrativní náročnosti při realizaci projektů hrazených z unijních programů.</w:t>
            </w:r>
          </w:p>
          <w:p w14:paraId="6F00182A" w14:textId="77777777" w:rsidR="00DD3EFA" w:rsidRPr="005A0E7C" w:rsidRDefault="00DD3EFA" w:rsidP="00B15ECB">
            <w:pPr>
              <w:spacing w:before="60" w:after="60"/>
              <w:rPr>
                <w:rFonts w:eastAsiaTheme="majorEastAsia"/>
                <w:i/>
              </w:rPr>
            </w:pPr>
            <w:r w:rsidRPr="005A0E7C">
              <w:t>Některé bariéry lze jen velmi obtížně eliminovat (např. nedostek odborníků na kybernetickou bezpečnost) na jiné se lze připravit v rámci systémových opatření ještě před konkrétním projektem a jiné se řeší až v rámci termínovaných opatření v již realizovaném projektu.</w:t>
            </w:r>
          </w:p>
        </w:tc>
        <w:tc>
          <w:tcPr>
            <w:tcW w:w="249" w:type="dxa"/>
            <w:tcBorders>
              <w:top w:val="nil"/>
              <w:bottom w:val="nil"/>
            </w:tcBorders>
            <w:shd w:val="clear" w:color="auto" w:fill="66CCFF"/>
          </w:tcPr>
          <w:p w14:paraId="71ABF944" w14:textId="77777777" w:rsidR="00DD3EFA" w:rsidRPr="005A0E7C" w:rsidRDefault="00DD3EFA" w:rsidP="00B15ECB">
            <w:pPr>
              <w:rPr>
                <w:b/>
              </w:rPr>
            </w:pPr>
          </w:p>
        </w:tc>
      </w:tr>
      <w:tr w:rsidR="00DD3EFA" w:rsidRPr="005A0E7C" w14:paraId="4C0A9FB4"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62160156"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13E2B2B"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90ACBD0"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E39D76F" w14:textId="77777777" w:rsidR="00DD3EFA" w:rsidRPr="005A0E7C" w:rsidRDefault="00DD3EFA" w:rsidP="00B15ECB">
            <w:pPr>
              <w:rPr>
                <w:b/>
              </w:rPr>
            </w:pPr>
          </w:p>
        </w:tc>
      </w:tr>
      <w:tr w:rsidR="00DD3EFA" w:rsidRPr="005A0E7C" w14:paraId="30428A39" w14:textId="77777777" w:rsidTr="00B15ECB">
        <w:trPr>
          <w:trHeight w:val="1559"/>
        </w:trPr>
        <w:tc>
          <w:tcPr>
            <w:tcW w:w="249" w:type="dxa"/>
            <w:tcBorders>
              <w:top w:val="single" w:sz="4" w:space="0" w:color="auto"/>
              <w:bottom w:val="nil"/>
            </w:tcBorders>
            <w:shd w:val="clear" w:color="auto" w:fill="66CCFF"/>
          </w:tcPr>
          <w:p w14:paraId="4E9DA930"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11706664"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2014B68A" w14:textId="77777777" w:rsidR="00DD3EFA" w:rsidRPr="005A0E7C" w:rsidRDefault="00DD3EFA" w:rsidP="00B15ECB">
            <w:pPr>
              <w:spacing w:before="60" w:after="60"/>
              <w:rPr>
                <w:rFonts w:eastAsiaTheme="majorEastAsia"/>
                <w:i/>
              </w:rPr>
            </w:pPr>
            <w:r w:rsidRPr="005A0E7C">
              <w:rPr>
                <w:rFonts w:eastAsiaTheme="majorEastAsia"/>
                <w:i/>
              </w:rPr>
              <w:t>Popsat další možné zdroje pro financování cíle v budoucím období, a zhodnotit reálnou možnost jejich využití.</w:t>
            </w:r>
          </w:p>
        </w:tc>
        <w:tc>
          <w:tcPr>
            <w:tcW w:w="249" w:type="dxa"/>
            <w:tcBorders>
              <w:top w:val="single" w:sz="4" w:space="0" w:color="auto"/>
              <w:bottom w:val="nil"/>
            </w:tcBorders>
            <w:shd w:val="clear" w:color="auto" w:fill="66CCFF"/>
          </w:tcPr>
          <w:p w14:paraId="55AB860D" w14:textId="77777777" w:rsidR="00DD3EFA" w:rsidRPr="005A0E7C" w:rsidRDefault="00DD3EFA" w:rsidP="00B15ECB">
            <w:pPr>
              <w:rPr>
                <w:b/>
              </w:rPr>
            </w:pPr>
          </w:p>
        </w:tc>
      </w:tr>
      <w:tr w:rsidR="00DD3EFA" w:rsidRPr="005A0E7C" w14:paraId="2989DD79" w14:textId="77777777" w:rsidTr="00B15ECB">
        <w:trPr>
          <w:trHeight w:val="1968"/>
        </w:trPr>
        <w:tc>
          <w:tcPr>
            <w:tcW w:w="249" w:type="dxa"/>
            <w:tcBorders>
              <w:top w:val="nil"/>
              <w:bottom w:val="nil"/>
            </w:tcBorders>
            <w:shd w:val="clear" w:color="auto" w:fill="66CCFF"/>
          </w:tcPr>
          <w:p w14:paraId="03BD7CF6" w14:textId="77777777" w:rsidR="00DD3EFA" w:rsidRPr="005A0E7C" w:rsidRDefault="00DD3EFA" w:rsidP="00B15ECB">
            <w:pPr>
              <w:rPr>
                <w:b/>
              </w:rPr>
            </w:pPr>
          </w:p>
        </w:tc>
        <w:tc>
          <w:tcPr>
            <w:tcW w:w="2548" w:type="dxa"/>
            <w:tcBorders>
              <w:top w:val="nil"/>
            </w:tcBorders>
            <w:shd w:val="clear" w:color="auto" w:fill="FFFFFF" w:themeFill="background1"/>
          </w:tcPr>
          <w:p w14:paraId="176F8B16"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2D379ACB" w14:textId="77777777" w:rsidR="00DD3EFA" w:rsidRPr="005A0E7C" w:rsidRDefault="00DD3EFA" w:rsidP="00B15ECB">
            <w:r w:rsidRPr="005A0E7C">
              <w:t>Projekty z oblasti kybernetické bezpečnosti, lze do určité míry podporovat i z dalších unijních programů. Zejména se jedná o Fond pro vnitřní bezpečnost (ISF) a Fond pro integrovanou správu hranic. V této souvislosti je však nutné konstatovat, že z těchto programů lze jen obtížně financovat aktivity investičního charakteru pro plošné zajištění kybernetické bezpečnosti ve veřejné správě včetně složek IZS. Výše uvedené programy zejména podporují Policii ČR a jsou primárně zaměřeny na:</w:t>
            </w:r>
          </w:p>
          <w:p w14:paraId="493A2261" w14:textId="77777777" w:rsidR="00DD3EFA" w:rsidRPr="005A0E7C" w:rsidRDefault="00DD3EFA" w:rsidP="00391907">
            <w:pPr>
              <w:pStyle w:val="Odstavecseseznamem"/>
              <w:numPr>
                <w:ilvl w:val="0"/>
                <w:numId w:val="49"/>
              </w:numPr>
              <w:jc w:val="both"/>
            </w:pPr>
            <w:r w:rsidRPr="005A0E7C">
              <w:t>výměnu informací mezi donucovacími orgány EU;</w:t>
            </w:r>
          </w:p>
          <w:p w14:paraId="5645CBC3" w14:textId="77777777" w:rsidR="00DD3EFA" w:rsidRPr="005A0E7C" w:rsidRDefault="00DD3EFA" w:rsidP="00391907">
            <w:pPr>
              <w:pStyle w:val="Odstavecseseznamem"/>
              <w:numPr>
                <w:ilvl w:val="0"/>
                <w:numId w:val="49"/>
              </w:numPr>
              <w:jc w:val="both"/>
            </w:pPr>
            <w:r w:rsidRPr="005A0E7C">
              <w:t>společné přeshraniční operace;</w:t>
            </w:r>
          </w:p>
          <w:p w14:paraId="4EA6E097" w14:textId="77777777" w:rsidR="00DD3EFA" w:rsidRPr="005A0E7C" w:rsidRDefault="00DD3EFA" w:rsidP="00391907">
            <w:pPr>
              <w:pStyle w:val="Odstavecseseznamem"/>
              <w:numPr>
                <w:ilvl w:val="0"/>
                <w:numId w:val="49"/>
              </w:numPr>
              <w:jc w:val="both"/>
            </w:pPr>
            <w:r w:rsidRPr="005A0E7C">
              <w:t>prevenci trestné činnosti a boj proti ní;</w:t>
            </w:r>
          </w:p>
          <w:p w14:paraId="7302D825" w14:textId="77777777" w:rsidR="00DD3EFA" w:rsidRPr="005A0E7C" w:rsidRDefault="00DD3EFA" w:rsidP="00391907">
            <w:pPr>
              <w:pStyle w:val="Odstavecseseznamem"/>
              <w:numPr>
                <w:ilvl w:val="0"/>
                <w:numId w:val="49"/>
              </w:numPr>
              <w:jc w:val="both"/>
            </w:pPr>
            <w:r w:rsidRPr="005A0E7C">
              <w:t>boj proti terorismu a radikalizaci;</w:t>
            </w:r>
          </w:p>
          <w:p w14:paraId="4F2AF4BB" w14:textId="77777777" w:rsidR="00DD3EFA" w:rsidRPr="005A0E7C" w:rsidRDefault="00DD3EFA" w:rsidP="00391907">
            <w:pPr>
              <w:pStyle w:val="Odstavecseseznamem"/>
              <w:numPr>
                <w:ilvl w:val="0"/>
                <w:numId w:val="49"/>
              </w:numPr>
              <w:jc w:val="both"/>
            </w:pPr>
            <w:r w:rsidRPr="005A0E7C">
              <w:t>závažnou a organizovanou trestnou činnost, kyberkriminalitu a další.</w:t>
            </w:r>
          </w:p>
          <w:p w14:paraId="3DFB9C59" w14:textId="77777777" w:rsidR="00DD3EFA" w:rsidRPr="005A0E7C" w:rsidRDefault="00DD3EFA" w:rsidP="00B15ECB">
            <w:pPr>
              <w:spacing w:before="60" w:after="60"/>
              <w:rPr>
                <w:rFonts w:eastAsiaTheme="majorEastAsia"/>
                <w:i/>
              </w:rPr>
            </w:pPr>
            <w:r w:rsidRPr="005A0E7C">
              <w:t>Z výše uvedeného vyplývá, že z hlediska tematického zaměření oblasti zajištění kybernetické bezpečnosti lze sice připustit částečnou podporu z unijních programů, ale existuje nízká pravděpodobnost výběru projektu pro poskytnutí podpory.</w:t>
            </w:r>
          </w:p>
        </w:tc>
        <w:tc>
          <w:tcPr>
            <w:tcW w:w="249" w:type="dxa"/>
            <w:tcBorders>
              <w:top w:val="nil"/>
              <w:bottom w:val="nil"/>
            </w:tcBorders>
            <w:shd w:val="clear" w:color="auto" w:fill="66CCFF"/>
          </w:tcPr>
          <w:p w14:paraId="78A9EA2E" w14:textId="77777777" w:rsidR="00DD3EFA" w:rsidRPr="005A0E7C" w:rsidRDefault="00DD3EFA" w:rsidP="00B15ECB">
            <w:pPr>
              <w:rPr>
                <w:b/>
              </w:rPr>
            </w:pPr>
          </w:p>
        </w:tc>
      </w:tr>
      <w:tr w:rsidR="00DD3EFA" w:rsidRPr="005A0E7C" w14:paraId="58F27CF2" w14:textId="77777777" w:rsidTr="00B15ECB">
        <w:trPr>
          <w:trHeight w:val="1968"/>
        </w:trPr>
        <w:tc>
          <w:tcPr>
            <w:tcW w:w="249" w:type="dxa"/>
            <w:tcBorders>
              <w:top w:val="nil"/>
              <w:bottom w:val="nil"/>
            </w:tcBorders>
            <w:shd w:val="clear" w:color="auto" w:fill="66CCFF"/>
          </w:tcPr>
          <w:p w14:paraId="2902410D" w14:textId="77777777" w:rsidR="00DD3EFA" w:rsidRPr="005A0E7C" w:rsidRDefault="00DD3EFA" w:rsidP="00B15ECB">
            <w:pPr>
              <w:rPr>
                <w:b/>
              </w:rPr>
            </w:pPr>
          </w:p>
        </w:tc>
        <w:tc>
          <w:tcPr>
            <w:tcW w:w="2548" w:type="dxa"/>
            <w:tcBorders>
              <w:top w:val="nil"/>
            </w:tcBorders>
            <w:shd w:val="clear" w:color="auto" w:fill="FFFFFF" w:themeFill="background1"/>
          </w:tcPr>
          <w:p w14:paraId="56865E3F"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7BDA7E82" w14:textId="77777777" w:rsidR="00DD3EFA" w:rsidRPr="005A0E7C" w:rsidRDefault="00DD3EFA" w:rsidP="00B15ECB">
            <w:pPr>
              <w:spacing w:before="60" w:after="60"/>
              <w:rPr>
                <w:rFonts w:eastAsiaTheme="majorEastAsia"/>
                <w:i/>
              </w:rPr>
            </w:pPr>
            <w:r w:rsidRPr="005A0E7C">
              <w:t xml:space="preserve">Vzhledem ke stále se zpřísňující legislativě (ČR i EU) v oblasti kybernetické bezpečnosti bylo nutné vybrané aktivity realizovat z veřejných rozpočtů ČR. Jednalo se však jen o malé procento a spíše o menší projekty. Specifický cíl </w:t>
            </w:r>
            <w:r w:rsidRPr="005A0E7C">
              <w:rPr>
                <w:i/>
              </w:rPr>
              <w:t>Účinné zabezpečení informačních a komunikačních systémů veřejné správy včetně složek IZS a adekvátní reakce na rostoucí kybernetické hrozby</w:t>
            </w:r>
            <w:r w:rsidRPr="005A0E7C">
              <w:t xml:space="preserve"> může být i nadále částečně podporován z národních zdrojů, nicméně vzhledem k omezeným financím rozpočtu ČR se jedná pouze o zajišťování dílčích aktivit pro vymezené skupiny příjemců. Veřejné rozpočty ČR prostě neumožňují plošné řešení problematiky kybernetické bezpečnosti podporující nosná témata oblasti při zajišťování efektivně fungující veřejné správy včetně složek IZS, která je jedním z předpokladů ekonomického rozvoje a růstu kvality života ve společnost, posilování hospodářské, sociální a územní soudržnosti a tedy i elementárním cílem politiky koheze.</w:t>
            </w:r>
          </w:p>
        </w:tc>
        <w:tc>
          <w:tcPr>
            <w:tcW w:w="249" w:type="dxa"/>
            <w:tcBorders>
              <w:top w:val="nil"/>
              <w:bottom w:val="nil"/>
            </w:tcBorders>
            <w:shd w:val="clear" w:color="auto" w:fill="66CCFF"/>
          </w:tcPr>
          <w:p w14:paraId="08344973" w14:textId="77777777" w:rsidR="00DD3EFA" w:rsidRPr="005A0E7C" w:rsidRDefault="00DD3EFA" w:rsidP="00B15ECB">
            <w:pPr>
              <w:rPr>
                <w:b/>
              </w:rPr>
            </w:pPr>
          </w:p>
        </w:tc>
      </w:tr>
      <w:tr w:rsidR="00DD3EFA" w:rsidRPr="005A0E7C" w14:paraId="16B5A255" w14:textId="77777777" w:rsidTr="00B15ECB">
        <w:trPr>
          <w:trHeight w:val="1968"/>
        </w:trPr>
        <w:tc>
          <w:tcPr>
            <w:tcW w:w="249" w:type="dxa"/>
            <w:tcBorders>
              <w:top w:val="nil"/>
              <w:bottom w:val="nil"/>
            </w:tcBorders>
            <w:shd w:val="clear" w:color="auto" w:fill="66CCFF"/>
          </w:tcPr>
          <w:p w14:paraId="69B02448" w14:textId="77777777" w:rsidR="00DD3EFA" w:rsidRPr="005A0E7C" w:rsidRDefault="00DD3EFA" w:rsidP="00B15ECB">
            <w:pPr>
              <w:rPr>
                <w:b/>
              </w:rPr>
            </w:pPr>
          </w:p>
        </w:tc>
        <w:tc>
          <w:tcPr>
            <w:tcW w:w="2548" w:type="dxa"/>
            <w:tcBorders>
              <w:top w:val="nil"/>
            </w:tcBorders>
            <w:shd w:val="clear" w:color="auto" w:fill="FFFFFF" w:themeFill="background1"/>
          </w:tcPr>
          <w:p w14:paraId="256CCC3A"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59E3A064" w14:textId="77777777" w:rsidR="00DD3EFA" w:rsidRPr="005A0E7C" w:rsidRDefault="00DD3EFA" w:rsidP="00B15ECB">
            <w:pPr>
              <w:spacing w:before="60" w:after="60"/>
              <w:rPr>
                <w:rFonts w:eastAsiaTheme="majorEastAsia"/>
                <w:i/>
              </w:rPr>
            </w:pPr>
            <w:r w:rsidRPr="005A0E7C">
              <w:t>Při zabezpečování informačních a komunikačních systémů veřejné správy včetně složek IZS nelze z pochopitelných důvodů využít komerční formy financování, zbývají proto jen národní zdroje a zdroje EU.</w:t>
            </w:r>
          </w:p>
        </w:tc>
        <w:tc>
          <w:tcPr>
            <w:tcW w:w="249" w:type="dxa"/>
            <w:tcBorders>
              <w:top w:val="nil"/>
              <w:bottom w:val="nil"/>
            </w:tcBorders>
            <w:shd w:val="clear" w:color="auto" w:fill="66CCFF"/>
          </w:tcPr>
          <w:p w14:paraId="0C8CF592" w14:textId="77777777" w:rsidR="00DD3EFA" w:rsidRPr="005A0E7C" w:rsidRDefault="00DD3EFA" w:rsidP="00B15ECB">
            <w:pPr>
              <w:rPr>
                <w:b/>
              </w:rPr>
            </w:pPr>
          </w:p>
        </w:tc>
      </w:tr>
      <w:tr w:rsidR="00DD3EFA" w:rsidRPr="005A0E7C" w14:paraId="3D4B0136" w14:textId="77777777" w:rsidTr="00B15ECB">
        <w:trPr>
          <w:trHeight w:val="1968"/>
        </w:trPr>
        <w:tc>
          <w:tcPr>
            <w:tcW w:w="249" w:type="dxa"/>
            <w:tcBorders>
              <w:top w:val="nil"/>
              <w:bottom w:val="nil"/>
            </w:tcBorders>
            <w:shd w:val="clear" w:color="auto" w:fill="66CCFF"/>
          </w:tcPr>
          <w:p w14:paraId="51214482" w14:textId="77777777" w:rsidR="00DD3EFA" w:rsidRPr="005A0E7C" w:rsidRDefault="00DD3EFA" w:rsidP="00B15ECB">
            <w:pPr>
              <w:rPr>
                <w:b/>
              </w:rPr>
            </w:pPr>
          </w:p>
        </w:tc>
        <w:tc>
          <w:tcPr>
            <w:tcW w:w="2548" w:type="dxa"/>
            <w:tcBorders>
              <w:top w:val="nil"/>
            </w:tcBorders>
            <w:shd w:val="clear" w:color="auto" w:fill="FFFFFF" w:themeFill="background1"/>
          </w:tcPr>
          <w:p w14:paraId="044E20D2"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444DD9DA" w14:textId="77777777" w:rsidR="00DD3EFA" w:rsidRPr="005A0E7C" w:rsidRDefault="00DD3EFA" w:rsidP="00B15ECB">
            <w:pPr>
              <w:spacing w:before="60" w:after="60"/>
              <w:rPr>
                <w:rFonts w:eastAsiaTheme="majorEastAsia"/>
                <w:i/>
              </w:rPr>
            </w:pPr>
            <w:r w:rsidRPr="005A0E7C">
              <w:t xml:space="preserve">Zpracovatel nemá informace o tom, že by bylo možno aktivity specifického cíle </w:t>
            </w:r>
            <w:r w:rsidRPr="005A0E7C">
              <w:rPr>
                <w:i/>
              </w:rPr>
              <w:t>Účinné zabezpečení informačních a komunikačních systémů veřejné správy včetně složek IZS a adekvátní reakce na rostoucí kybernetické hrozby</w:t>
            </w:r>
            <w:r w:rsidRPr="005A0E7C">
              <w:t xml:space="preserve"> financovat s využitím finančních nástrojů. Do budoucna nepovažuje financování projektů v rámci tohoto specifického cíle prostřednictvím FN za vhodný.</w:t>
            </w:r>
          </w:p>
        </w:tc>
        <w:tc>
          <w:tcPr>
            <w:tcW w:w="249" w:type="dxa"/>
            <w:tcBorders>
              <w:top w:val="nil"/>
              <w:bottom w:val="nil"/>
            </w:tcBorders>
            <w:shd w:val="clear" w:color="auto" w:fill="66CCFF"/>
          </w:tcPr>
          <w:p w14:paraId="79AB578F" w14:textId="77777777" w:rsidR="00DD3EFA" w:rsidRPr="005A0E7C" w:rsidRDefault="00DD3EFA" w:rsidP="00B15ECB">
            <w:pPr>
              <w:rPr>
                <w:b/>
              </w:rPr>
            </w:pPr>
          </w:p>
        </w:tc>
      </w:tr>
      <w:tr w:rsidR="00DD3EFA" w:rsidRPr="005A0E7C" w14:paraId="640F019C" w14:textId="77777777" w:rsidTr="00B15ECB">
        <w:trPr>
          <w:trHeight w:val="150"/>
        </w:trPr>
        <w:tc>
          <w:tcPr>
            <w:tcW w:w="249" w:type="dxa"/>
            <w:tcBorders>
              <w:top w:val="nil"/>
              <w:right w:val="nil"/>
            </w:tcBorders>
            <w:shd w:val="clear" w:color="auto" w:fill="66CCFF"/>
          </w:tcPr>
          <w:p w14:paraId="017A3CA1" w14:textId="77777777" w:rsidR="00DD3EFA" w:rsidRPr="005A0E7C" w:rsidRDefault="00DD3EFA" w:rsidP="00B15ECB">
            <w:pPr>
              <w:rPr>
                <w:b/>
              </w:rPr>
            </w:pPr>
          </w:p>
        </w:tc>
        <w:tc>
          <w:tcPr>
            <w:tcW w:w="2548" w:type="dxa"/>
            <w:tcBorders>
              <w:left w:val="nil"/>
              <w:right w:val="nil"/>
            </w:tcBorders>
            <w:shd w:val="clear" w:color="auto" w:fill="66CCFF"/>
          </w:tcPr>
          <w:p w14:paraId="49748EF4" w14:textId="77777777" w:rsidR="00DD3EFA" w:rsidRPr="005A0E7C" w:rsidRDefault="00DD3EFA" w:rsidP="00B15ECB">
            <w:pPr>
              <w:rPr>
                <w:b/>
              </w:rPr>
            </w:pPr>
          </w:p>
        </w:tc>
        <w:tc>
          <w:tcPr>
            <w:tcW w:w="5978" w:type="dxa"/>
            <w:tcBorders>
              <w:left w:val="nil"/>
              <w:right w:val="nil"/>
            </w:tcBorders>
            <w:shd w:val="clear" w:color="auto" w:fill="66CCFF"/>
          </w:tcPr>
          <w:p w14:paraId="179D15C3" w14:textId="77777777" w:rsidR="00DD3EFA" w:rsidRPr="005A0E7C" w:rsidRDefault="00DD3EFA" w:rsidP="00B15ECB">
            <w:pPr>
              <w:rPr>
                <w:b/>
              </w:rPr>
            </w:pPr>
          </w:p>
        </w:tc>
        <w:tc>
          <w:tcPr>
            <w:tcW w:w="249" w:type="dxa"/>
            <w:tcBorders>
              <w:top w:val="nil"/>
              <w:left w:val="nil"/>
            </w:tcBorders>
            <w:shd w:val="clear" w:color="auto" w:fill="66CCFF"/>
          </w:tcPr>
          <w:p w14:paraId="0058A718" w14:textId="77777777" w:rsidR="00DD3EFA" w:rsidRPr="005A0E7C" w:rsidRDefault="00DD3EFA" w:rsidP="00B15ECB">
            <w:pPr>
              <w:rPr>
                <w:b/>
              </w:rPr>
            </w:pPr>
          </w:p>
        </w:tc>
      </w:tr>
    </w:tbl>
    <w:p w14:paraId="2EBD98DD" w14:textId="77777777" w:rsidR="00DD3EFA" w:rsidRPr="005A0E7C" w:rsidRDefault="00DD3EFA" w:rsidP="00B15ECB">
      <w:pPr>
        <w:rPr>
          <w:rFonts w:ascii="Times New Roman" w:hAnsi="Times New Roman" w:cs="Times New Roman"/>
          <w:sz w:val="20"/>
          <w:szCs w:val="20"/>
        </w:rPr>
      </w:pPr>
    </w:p>
    <w:p w14:paraId="3A9E1A52"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56A7F4DB" w14:textId="77777777" w:rsidTr="00B15ECB">
        <w:trPr>
          <w:trHeight w:val="180"/>
        </w:trPr>
        <w:tc>
          <w:tcPr>
            <w:tcW w:w="249" w:type="dxa"/>
            <w:tcBorders>
              <w:bottom w:val="nil"/>
              <w:right w:val="nil"/>
            </w:tcBorders>
            <w:shd w:val="clear" w:color="auto" w:fill="66CCFF"/>
          </w:tcPr>
          <w:p w14:paraId="5E6492EE" w14:textId="77777777" w:rsidR="00DD3EFA" w:rsidRPr="005A0E7C" w:rsidRDefault="00DD3EFA" w:rsidP="00B15ECB">
            <w:pPr>
              <w:rPr>
                <w:b/>
              </w:rPr>
            </w:pPr>
          </w:p>
        </w:tc>
        <w:tc>
          <w:tcPr>
            <w:tcW w:w="2548" w:type="dxa"/>
            <w:tcBorders>
              <w:left w:val="nil"/>
              <w:right w:val="nil"/>
            </w:tcBorders>
            <w:shd w:val="clear" w:color="auto" w:fill="66CCFF"/>
          </w:tcPr>
          <w:p w14:paraId="536597D1" w14:textId="77777777" w:rsidR="00DD3EFA" w:rsidRPr="005A0E7C" w:rsidRDefault="00DD3EFA" w:rsidP="00B15ECB">
            <w:pPr>
              <w:rPr>
                <w:b/>
              </w:rPr>
            </w:pPr>
          </w:p>
        </w:tc>
        <w:tc>
          <w:tcPr>
            <w:tcW w:w="5978" w:type="dxa"/>
            <w:tcBorders>
              <w:left w:val="nil"/>
              <w:right w:val="nil"/>
            </w:tcBorders>
            <w:shd w:val="clear" w:color="auto" w:fill="66CCFF"/>
          </w:tcPr>
          <w:p w14:paraId="7B7E0138" w14:textId="77777777" w:rsidR="00DD3EFA" w:rsidRPr="005A0E7C" w:rsidRDefault="00DD3EFA" w:rsidP="00B15ECB">
            <w:pPr>
              <w:rPr>
                <w:b/>
              </w:rPr>
            </w:pPr>
          </w:p>
        </w:tc>
        <w:tc>
          <w:tcPr>
            <w:tcW w:w="249" w:type="dxa"/>
            <w:tcBorders>
              <w:left w:val="nil"/>
              <w:bottom w:val="nil"/>
            </w:tcBorders>
            <w:shd w:val="clear" w:color="auto" w:fill="66CCFF"/>
          </w:tcPr>
          <w:p w14:paraId="2C01A872" w14:textId="77777777" w:rsidR="00DD3EFA" w:rsidRPr="005A0E7C" w:rsidRDefault="00DD3EFA" w:rsidP="00B15ECB">
            <w:pPr>
              <w:rPr>
                <w:b/>
              </w:rPr>
            </w:pPr>
          </w:p>
        </w:tc>
      </w:tr>
      <w:tr w:rsidR="00DD3EFA" w:rsidRPr="005A0E7C" w14:paraId="6F4B42B7" w14:textId="77777777" w:rsidTr="00B15ECB">
        <w:trPr>
          <w:trHeight w:val="561"/>
        </w:trPr>
        <w:tc>
          <w:tcPr>
            <w:tcW w:w="249" w:type="dxa"/>
            <w:tcBorders>
              <w:top w:val="nil"/>
              <w:bottom w:val="nil"/>
            </w:tcBorders>
            <w:shd w:val="clear" w:color="auto" w:fill="66CCFF"/>
          </w:tcPr>
          <w:p w14:paraId="04694E6D" w14:textId="77777777" w:rsidR="00DD3EFA" w:rsidRPr="005A0E7C" w:rsidRDefault="00DD3EFA" w:rsidP="00B15ECB">
            <w:pPr>
              <w:rPr>
                <w:b/>
              </w:rPr>
            </w:pPr>
          </w:p>
        </w:tc>
        <w:tc>
          <w:tcPr>
            <w:tcW w:w="2548" w:type="dxa"/>
            <w:shd w:val="clear" w:color="auto" w:fill="0070C0"/>
          </w:tcPr>
          <w:p w14:paraId="56F26F68"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 xml:space="preserve">Strategický cíl NKR: </w:t>
            </w:r>
          </w:p>
          <w:p w14:paraId="2DA8D162"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Výzkumný a inovační systém zvyšující konkurenceschopnost společnosti v kontextu technologické změny</w:t>
            </w:r>
          </w:p>
        </w:tc>
        <w:tc>
          <w:tcPr>
            <w:tcW w:w="5978" w:type="dxa"/>
            <w:shd w:val="clear" w:color="auto" w:fill="0070C0"/>
          </w:tcPr>
          <w:p w14:paraId="407565F5"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27"/>
            </w:r>
            <w:r w:rsidRPr="005A0E7C">
              <w:rPr>
                <w:rFonts w:eastAsiaTheme="majorEastAsia"/>
                <w:b/>
                <w:color w:val="FFFFFF" w:themeColor="background1"/>
                <w:u w:val="single"/>
              </w:rPr>
              <w:t xml:space="preserve">: </w:t>
            </w:r>
          </w:p>
          <w:p w14:paraId="794BF8A6"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Ochrana obyvatelstva</w:t>
            </w:r>
          </w:p>
        </w:tc>
        <w:tc>
          <w:tcPr>
            <w:tcW w:w="249" w:type="dxa"/>
            <w:tcBorders>
              <w:top w:val="nil"/>
              <w:bottom w:val="nil"/>
            </w:tcBorders>
            <w:shd w:val="clear" w:color="auto" w:fill="66CCFF"/>
          </w:tcPr>
          <w:p w14:paraId="728EE745" w14:textId="77777777" w:rsidR="00DD3EFA" w:rsidRPr="005A0E7C" w:rsidRDefault="00DD3EFA" w:rsidP="00B15ECB">
            <w:pPr>
              <w:rPr>
                <w:b/>
              </w:rPr>
            </w:pPr>
          </w:p>
        </w:tc>
      </w:tr>
      <w:tr w:rsidR="00DD3EFA" w:rsidRPr="005A0E7C" w14:paraId="76EBB3E4" w14:textId="77777777" w:rsidTr="00B15ECB">
        <w:trPr>
          <w:trHeight w:val="180"/>
        </w:trPr>
        <w:tc>
          <w:tcPr>
            <w:tcW w:w="249" w:type="dxa"/>
            <w:tcBorders>
              <w:top w:val="nil"/>
              <w:bottom w:val="nil"/>
              <w:right w:val="nil"/>
            </w:tcBorders>
            <w:shd w:val="clear" w:color="auto" w:fill="66CCFF"/>
          </w:tcPr>
          <w:p w14:paraId="354B620A" w14:textId="77777777" w:rsidR="00DD3EFA" w:rsidRPr="005A0E7C" w:rsidRDefault="00DD3EFA" w:rsidP="00B15ECB">
            <w:pPr>
              <w:rPr>
                <w:b/>
              </w:rPr>
            </w:pPr>
          </w:p>
        </w:tc>
        <w:tc>
          <w:tcPr>
            <w:tcW w:w="2548" w:type="dxa"/>
            <w:tcBorders>
              <w:left w:val="nil"/>
              <w:right w:val="nil"/>
            </w:tcBorders>
            <w:shd w:val="clear" w:color="auto" w:fill="66CCFF"/>
          </w:tcPr>
          <w:p w14:paraId="27FCE157" w14:textId="77777777" w:rsidR="00DD3EFA" w:rsidRPr="005A0E7C" w:rsidRDefault="00DD3EFA" w:rsidP="00B15ECB">
            <w:pPr>
              <w:rPr>
                <w:b/>
              </w:rPr>
            </w:pPr>
          </w:p>
        </w:tc>
        <w:tc>
          <w:tcPr>
            <w:tcW w:w="5978" w:type="dxa"/>
            <w:tcBorders>
              <w:left w:val="nil"/>
              <w:right w:val="nil"/>
            </w:tcBorders>
            <w:shd w:val="clear" w:color="auto" w:fill="66CCFF"/>
          </w:tcPr>
          <w:p w14:paraId="2B5D99ED" w14:textId="77777777" w:rsidR="00DD3EFA" w:rsidRPr="005A0E7C" w:rsidRDefault="00DD3EFA" w:rsidP="00B15ECB">
            <w:pPr>
              <w:rPr>
                <w:b/>
              </w:rPr>
            </w:pPr>
          </w:p>
        </w:tc>
        <w:tc>
          <w:tcPr>
            <w:tcW w:w="249" w:type="dxa"/>
            <w:tcBorders>
              <w:top w:val="nil"/>
              <w:left w:val="nil"/>
              <w:bottom w:val="nil"/>
            </w:tcBorders>
            <w:shd w:val="clear" w:color="auto" w:fill="66CCFF"/>
          </w:tcPr>
          <w:p w14:paraId="40E6F256" w14:textId="77777777" w:rsidR="00DD3EFA" w:rsidRPr="005A0E7C" w:rsidRDefault="00DD3EFA" w:rsidP="00B15ECB">
            <w:pPr>
              <w:rPr>
                <w:b/>
              </w:rPr>
            </w:pPr>
          </w:p>
        </w:tc>
      </w:tr>
      <w:tr w:rsidR="00DD3EFA" w:rsidRPr="005A0E7C" w14:paraId="28FAD5DB" w14:textId="77777777" w:rsidTr="00B15ECB">
        <w:trPr>
          <w:trHeight w:val="892"/>
        </w:trPr>
        <w:tc>
          <w:tcPr>
            <w:tcW w:w="249" w:type="dxa"/>
            <w:tcBorders>
              <w:top w:val="nil"/>
              <w:bottom w:val="nil"/>
            </w:tcBorders>
            <w:shd w:val="clear" w:color="auto" w:fill="66CCFF"/>
          </w:tcPr>
          <w:p w14:paraId="4B612C30" w14:textId="77777777" w:rsidR="00DD3EFA" w:rsidRPr="005A0E7C" w:rsidRDefault="00DD3EFA" w:rsidP="00B15ECB">
            <w:pPr>
              <w:rPr>
                <w:b/>
              </w:rPr>
            </w:pPr>
          </w:p>
        </w:tc>
        <w:tc>
          <w:tcPr>
            <w:tcW w:w="2548" w:type="dxa"/>
            <w:shd w:val="clear" w:color="auto" w:fill="FFFFFF" w:themeFill="background1"/>
          </w:tcPr>
          <w:p w14:paraId="69E8F8BD"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299B598E" w14:textId="77777777" w:rsidR="00DD3EFA" w:rsidRPr="005A0E7C" w:rsidRDefault="00DD3EFA" w:rsidP="00B15ECB">
            <w:r w:rsidRPr="005A0E7C">
              <w:t xml:space="preserve">Ochranou obyvatelstva se pro potřeby tohoto dokumentu rozumí souhrn opatření, která napomáhají k zabezpečení ochrany života a zdraví lidí, majetku a životního prostředí. Úkoly ochrany obyvatelstva plní nejen složky IZS, ale svůj podíl na ní mají také ústřední správní úřady, územní samospráva, právnické a podnikající fyzické osoby i samotní občané. </w:t>
            </w:r>
          </w:p>
          <w:p w14:paraId="47C76FD5" w14:textId="77777777" w:rsidR="00DD3EFA" w:rsidRPr="005A0E7C" w:rsidRDefault="00DD3EFA" w:rsidP="00B15ECB">
            <w:r w:rsidRPr="005A0E7C">
              <w:t>Systém ochrany obyvatelstva musí být schopen adekvátně reagovat jak na existující, tak na nově poznávané hrozby s cílem těmto hrozbám předcházet a být připraven na jejich odvrácení a minimalizaci z nich vyplývajících rizik, a současně efektivně řešit následky vzniklých mimořádných událostí a krizových situací antropogenního i přírodního původu. Mezi tyto nové hrozby v současné době řadíme terorismus (vč. extremismu, který může být předpolím terorismu), hybridní hrozby, úniky nebezpečných látek, živelní mimořádné události (zejména z důvodu změn klimatu), negativní jevy spojené s problémy v sociálně vyloučených lokalitách, kyberkriminalitu a masovou migraci.</w:t>
            </w:r>
          </w:p>
          <w:p w14:paraId="491A10A6" w14:textId="77777777" w:rsidR="00DD3EFA" w:rsidRPr="005A0E7C" w:rsidRDefault="00DD3EFA" w:rsidP="00B15ECB">
            <w:r w:rsidRPr="005A0E7C">
              <w:t>Uvedené hrozby nejsou v zásahové činnosti složek IZS zcela novým fenoménem; v posledních letech však nabývají na významu a vyžadují zvýšenou pozornost s ohledem na skutečnost, že jejich četnost i četnost mimořádných událostí vzniklých z těchto hrozeb vykazuje stále rostoucí tendenci (a to v celosvětovém měřítku) a důsledky mimořádných událostí vzniklých z důvodu nových hrozeb jsou stále vážnější a postihují větší počet obyvatelstva. Všechny zainteresované složky přitom musí disponovat dostatečným množstvím efektivních práv a nástrojů k zvládnutí bezpečnostních hrozeb.</w:t>
            </w:r>
          </w:p>
          <w:p w14:paraId="07FD9B15" w14:textId="77777777" w:rsidR="00DD3EFA" w:rsidRPr="005A0E7C" w:rsidRDefault="00DD3EFA" w:rsidP="00B15ECB"/>
          <w:p w14:paraId="273321E3" w14:textId="1482260F" w:rsidR="00DD3EFA" w:rsidRPr="005A0E7C" w:rsidRDefault="00DD3EFA" w:rsidP="00B15ECB">
            <w:r w:rsidRPr="005A0E7C">
              <w:t>Předpokladem úspěšného zvládnutí zmíněných hrozeb je kromě minimalizace jejich následků, která je popsána výše, v řadě případů také preventivní jednání a předcházení jejich vzniku či rozsahu (tam, kde je to možné). Tomu slouží kvalitní technické a tech</w:t>
            </w:r>
            <w:r w:rsidR="00203AE0" w:rsidRPr="005A0E7C">
              <w:t xml:space="preserve">nologické vybavení složek IZS, </w:t>
            </w:r>
            <w:r w:rsidRPr="005A0E7C">
              <w:t>vnitrostátně orientovaná prevence kriminální činnosti a pomoc a podpora poskytovaná jejím obětem, zejména pak těm zvláště zranitelným. V tomto může zásadní roli sehrát rovněž koordinované zapojování dobrovolníků. Nedílnou součástí prevence a nezbytným faktorem pro zajištění ochrany obyvatelstva je také cílená a pravidelná příprava odborníků a vzdělávání samotného obyvatelstva v oblasti prevence a správného chování při vzniku mimořádných událostí. Dalším předpokladem schopnosti adekvátní reakce na nové hrozby je zajištění efektivního vzdělávání složek IZS (včetně dostatečných vzdělávacích a výcvikových kapacit).</w:t>
            </w:r>
          </w:p>
          <w:p w14:paraId="6FA7D036" w14:textId="77777777" w:rsidR="00DD3EFA" w:rsidRPr="005A0E7C" w:rsidRDefault="00DD3EFA" w:rsidP="00B15ECB"/>
          <w:p w14:paraId="13EBA427" w14:textId="77777777" w:rsidR="00DD3EFA" w:rsidRPr="005A0E7C" w:rsidRDefault="00DD3EFA" w:rsidP="00B15ECB">
            <w:r w:rsidRPr="005A0E7C">
              <w:t>Všechny jmenované hrozby mají současně mezinárodní rozměr a jejich příčiny nejsou řešitelné v hranicích ČR; musí být proto provázány s aktivitou ČR jako aktéra mezinárodních vztahů.</w:t>
            </w:r>
          </w:p>
        </w:tc>
        <w:tc>
          <w:tcPr>
            <w:tcW w:w="249" w:type="dxa"/>
            <w:tcBorders>
              <w:top w:val="nil"/>
              <w:bottom w:val="nil"/>
            </w:tcBorders>
            <w:shd w:val="clear" w:color="auto" w:fill="66CCFF"/>
          </w:tcPr>
          <w:p w14:paraId="52051B72" w14:textId="77777777" w:rsidR="00DD3EFA" w:rsidRPr="005A0E7C" w:rsidRDefault="00DD3EFA" w:rsidP="00B15ECB">
            <w:pPr>
              <w:rPr>
                <w:b/>
              </w:rPr>
            </w:pPr>
          </w:p>
        </w:tc>
      </w:tr>
      <w:tr w:rsidR="00DD3EFA" w:rsidRPr="005A0E7C" w14:paraId="583826DC" w14:textId="77777777" w:rsidTr="00B15ECB">
        <w:trPr>
          <w:trHeight w:val="46"/>
        </w:trPr>
        <w:tc>
          <w:tcPr>
            <w:tcW w:w="249" w:type="dxa"/>
            <w:tcBorders>
              <w:top w:val="nil"/>
              <w:bottom w:val="nil"/>
              <w:right w:val="nil"/>
            </w:tcBorders>
            <w:shd w:val="clear" w:color="auto" w:fill="66CCFF"/>
          </w:tcPr>
          <w:p w14:paraId="39EB0C8C"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094D3679"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22F6ABD" w14:textId="77777777" w:rsidR="00DD3EFA" w:rsidRPr="005A0E7C" w:rsidRDefault="00DD3EFA" w:rsidP="00B15ECB">
            <w:pPr>
              <w:rPr>
                <w:b/>
              </w:rPr>
            </w:pPr>
          </w:p>
        </w:tc>
        <w:tc>
          <w:tcPr>
            <w:tcW w:w="249" w:type="dxa"/>
            <w:tcBorders>
              <w:top w:val="nil"/>
              <w:left w:val="nil"/>
              <w:bottom w:val="nil"/>
            </w:tcBorders>
            <w:shd w:val="clear" w:color="auto" w:fill="66CCFF"/>
          </w:tcPr>
          <w:p w14:paraId="201ECA00" w14:textId="77777777" w:rsidR="00DD3EFA" w:rsidRPr="005A0E7C" w:rsidRDefault="00DD3EFA" w:rsidP="00B15ECB">
            <w:pPr>
              <w:rPr>
                <w:b/>
              </w:rPr>
            </w:pPr>
          </w:p>
        </w:tc>
      </w:tr>
      <w:tr w:rsidR="00DD3EFA" w:rsidRPr="005A0E7C" w14:paraId="4C80DFE5" w14:textId="77777777" w:rsidTr="00B15ECB">
        <w:trPr>
          <w:trHeight w:val="1274"/>
        </w:trPr>
        <w:tc>
          <w:tcPr>
            <w:tcW w:w="249" w:type="dxa"/>
            <w:tcBorders>
              <w:top w:val="nil"/>
              <w:bottom w:val="nil"/>
            </w:tcBorders>
            <w:shd w:val="clear" w:color="auto" w:fill="66CCFF"/>
          </w:tcPr>
          <w:p w14:paraId="7D379CF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8E724C"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48C3A61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Jednou z podmínek kvalitního dlouhodobého rozvoje společnosti jako celku je to, že veřejná správa (vč. složek IZS) disponuje odpovídajícím technickým a personálním vybavením k prevenci, zvládání i k řešení následků mimořádných událostí, a také dostatečnými kompetencemi ke komunikaci a koordinaci na regionální, národní i mezinárodní úrovni.</w:t>
            </w:r>
          </w:p>
          <w:p w14:paraId="14C7FAC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Agendu ochrany obyvatelstva je nutné rozvíjet především v reakci na stále četnější hrozby, kterým nyní společnost čelí a jejichž dopady mohou být devastující. Připravenost veřejné správy (vč. složek IZS) je přitom stále v mnoha oblastech nedostačující. </w:t>
            </w:r>
          </w:p>
          <w:p w14:paraId="56EC7B2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Představa příčinných souvislostí a kontextu hrozby – jak mezi představiteli veřejné správy, tak široké veřejnosti – navíc napomáhá řešení následků i bezprostředně. Konečně, ani samotné následky, natož příčiny nejsou řešitelné pouze aktivitami zaměřenými dovnitř ČR a tedy bez efektivního mechanismu zajišťujícího koherenci aktivit veřejné správy v oblasti vnitřní i zahraniční politiky.</w:t>
            </w:r>
          </w:p>
          <w:p w14:paraId="493CB53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Oblast prevence kriminality a vzdělávání v oblasti ochrany obyvatelstva napomůže k řešení problematiky sociálního vyloučení, která má významný bezpečnostní rozměr. Prevence kriminality a vzdělávání v oblasti ochrany obyvatelstva musí sledovat současné a budoucí trendy ve vzdělávání, především zapojení účastníků vzdělávání a interakce s prostředím.</w:t>
            </w:r>
          </w:p>
          <w:p w14:paraId="390023F2" w14:textId="77777777" w:rsidR="00DD3EFA" w:rsidRPr="005A0E7C" w:rsidRDefault="00DD3EFA" w:rsidP="00B15ECB">
            <w:pPr>
              <w:rPr>
                <w:rFonts w:eastAsia="ArialMT"/>
              </w:rPr>
            </w:pPr>
            <w:r w:rsidRPr="005A0E7C">
              <w:rPr>
                <w:rFonts w:eastAsia="ArialMT"/>
              </w:rPr>
              <w:t>Trendy vývoje bezpečnostní situace ve světě i v Evropě kladou zvýšené nároky také na činnost v bezpečnostní oblasti a lze předpokládat zvýšenou společenskou poptávku na inovaci postupů v souvislosti s  identifikací osob v nejširším pojetí, zkoumání komunikační techniky v souvislosti nejen s kybernetickou kriminalitou, zkoumání zbraní a munice, výbušnin a po výbuchových zplodin, narkotik a dalších objektů. Aplikace a další vývoj nejnovějších forenzních postupů pro bezpečnostní praxi se proto stávají jednou z aktuálních výzev současnosti, na kterou je třeba reagovat.</w:t>
            </w:r>
          </w:p>
          <w:p w14:paraId="556FBA27" w14:textId="77777777" w:rsidR="00DD3EFA" w:rsidRPr="005A0E7C" w:rsidRDefault="00DD3EFA" w:rsidP="00B15ECB"/>
          <w:p w14:paraId="3A454FB2" w14:textId="77777777" w:rsidR="00DD3EFA" w:rsidRPr="005A0E7C" w:rsidRDefault="00DD3EFA" w:rsidP="00B15ECB">
            <w:r w:rsidRPr="005A0E7C">
              <w:t xml:space="preserve">V materiálu "Shrnutí závěrečných zpráv expertních skupin </w:t>
            </w:r>
            <w:r w:rsidRPr="005A0E7C">
              <w:br/>
              <w:t xml:space="preserve">pro identifikaci relevantních indikátorů kvality života v ČR </w:t>
            </w:r>
            <w:r w:rsidRPr="005A0E7C">
              <w:br/>
              <w:t>- ČESKO 2030“</w:t>
            </w:r>
            <w:r w:rsidRPr="005A0E7C">
              <w:rPr>
                <w:vertAlign w:val="superscript"/>
              </w:rPr>
              <w:footnoteReference w:id="28"/>
            </w:r>
            <w:r w:rsidRPr="005A0E7C">
              <w:t xml:space="preserve"> se uvádí mj., že „Podle průzkumu CVVM</w:t>
            </w:r>
            <w:r w:rsidRPr="005A0E7C">
              <w:rPr>
                <w:rStyle w:val="Znakapoznpodarou"/>
              </w:rPr>
              <w:footnoteReference w:id="29"/>
            </w:r>
            <w:r w:rsidRPr="005A0E7C">
              <w:br/>
              <w:t xml:space="preserve">z prosince 2017 jako velkou hrozbu vnímají téměř dvě třetiny dotázaných teroristické skupiny či jednotlivce, více než polovina dotázaných uprchlíky, mezinárodní organizovaný zločin </w:t>
            </w:r>
            <w:r w:rsidRPr="005A0E7C">
              <w:br/>
              <w:t xml:space="preserve">a radikální náboženská hnutí, kolem třiceti procent dotázaných války, epidemie, přírodní katastrofy, surovinové krize a světovou ekonomickou krizi a přibližně čtvrtina dotázaných levicové </w:t>
            </w:r>
            <w:r w:rsidRPr="005A0E7C">
              <w:br/>
              <w:t xml:space="preserve">či pravicové extremisty, cizí zpravodajské služby a cizince žijící </w:t>
            </w:r>
            <w:r w:rsidRPr="005A0E7C">
              <w:br/>
              <w:t>u nás.“. Do indikátorové soustavy ke kvalitě života se nově navrhuje přidat např. indikátor „Teroristické útoky“, „Projevy extremismu“ nebo „Reálnost hrozeb pro Českou republiku.“ Tyto skutečnosti jednoznačně prokazují důležitost a aktuálnost aktivit řešených cílem Ochrana obyvatelstva. Výsledky procesu ochrany obyvatelstva (včentě prevence a řešení mimořádných událostí) mají značně pozitivní dopad a multiplikační a synergický efekt na enviromentální, ekonomickou a sociální aspekt společnosti. Tyto výsledky vtak mohou přispět k udržitelnosti podmínek pro celkových společenský rozvoj.</w:t>
            </w:r>
          </w:p>
        </w:tc>
        <w:tc>
          <w:tcPr>
            <w:tcW w:w="249" w:type="dxa"/>
            <w:tcBorders>
              <w:top w:val="nil"/>
              <w:bottom w:val="nil"/>
            </w:tcBorders>
            <w:shd w:val="clear" w:color="auto" w:fill="66CCFF"/>
          </w:tcPr>
          <w:p w14:paraId="3ECFFF45" w14:textId="77777777" w:rsidR="00DD3EFA" w:rsidRPr="005A0E7C" w:rsidRDefault="00DD3EFA" w:rsidP="00B15ECB">
            <w:pPr>
              <w:rPr>
                <w:b/>
              </w:rPr>
            </w:pPr>
          </w:p>
        </w:tc>
      </w:tr>
      <w:tr w:rsidR="00DD3EFA" w:rsidRPr="005A0E7C" w14:paraId="63E16A0E" w14:textId="77777777" w:rsidTr="00B15ECB">
        <w:trPr>
          <w:trHeight w:val="1274"/>
        </w:trPr>
        <w:tc>
          <w:tcPr>
            <w:tcW w:w="249" w:type="dxa"/>
            <w:tcBorders>
              <w:top w:val="nil"/>
              <w:bottom w:val="nil"/>
            </w:tcBorders>
            <w:shd w:val="clear" w:color="auto" w:fill="66CCFF"/>
          </w:tcPr>
          <w:p w14:paraId="071A284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187648A"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1228BF94" w14:textId="77777777" w:rsidR="00DD3EFA" w:rsidRPr="005A0E7C" w:rsidRDefault="00DD3EFA" w:rsidP="00B15ECB">
            <w:pPr>
              <w:rPr>
                <w:b/>
              </w:rPr>
            </w:pPr>
            <w:r w:rsidRPr="005A0E7C">
              <w:rPr>
                <w:b/>
              </w:rPr>
              <w:t>Nové hrozby – teroristické útoky, živelní pohromy, úniky nebezpečných látek</w:t>
            </w:r>
          </w:p>
          <w:p w14:paraId="404A4225" w14:textId="77777777" w:rsidR="00DD3EFA" w:rsidRPr="005A0E7C" w:rsidRDefault="00DD3EFA" w:rsidP="00B15ECB">
            <w:pPr>
              <w:spacing w:before="60" w:after="60"/>
              <w:rPr>
                <w:rFonts w:eastAsia="ArialMT"/>
              </w:rPr>
            </w:pPr>
            <w:r w:rsidRPr="005A0E7C">
              <w:t xml:space="preserve">V oblasti ochrany obyvatelstva ve vztahu k novým hrozbám je problémem zejména </w:t>
            </w:r>
            <w:r w:rsidRPr="005A0E7C">
              <w:rPr>
                <w:rFonts w:eastAsia="ArialMT"/>
              </w:rPr>
              <w:t xml:space="preserve">nízká úroveň vybavení složek IZS novými technologiemi, technickými prostředky pro boj s terorismem, mimořádnými událostmi způsobenými změnou klimatu, prostředky pro záchranné a likvidační práce, pro detekci a dekontaminaci nebezpečných látek a pro evakuaci a nouzové přežití obyvatelstva, dále nízký rozsah a kvalita výcvikové a vzdělávací kapacity či zajištění předávání a zpracování informací v rámci ČR i v rámci mezinárodní spolupráce. Kromě shora uvedeného je třeba také věnovat pozornost rozvoji systému varování, vyrozumění a informování včetně předávání tísňových zpráv obyvatelstvu i vzájemné komunikaci mezi složkami IZS. </w:t>
            </w:r>
          </w:p>
          <w:p w14:paraId="7BD853D0" w14:textId="77777777" w:rsidR="00DD3EFA" w:rsidRPr="005A0E7C" w:rsidRDefault="00DD3EFA" w:rsidP="00B15ECB">
            <w:pPr>
              <w:spacing w:before="60" w:after="60"/>
              <w:rPr>
                <w:rFonts w:eastAsia="ArialMT"/>
              </w:rPr>
            </w:pPr>
            <w:r w:rsidRPr="005A0E7C">
              <w:rPr>
                <w:rFonts w:eastAsia="ArialMT"/>
              </w:rPr>
              <w:t>Řešením výše uvedených problémů je technické a technologické vybavení složek  IZS schopné čelit novým hrozbám, rozvoj systému varování a vyrozumění a předávání tísňových zpráv či zkvalitnění výcvikové a vzdělávací kapacity aj., které umožní složkám IZS adekvátně reagovat v případě mimořádné události; přispěje ke zkvalitnění odezvy na mimořádné události, a to zejména rychlejší a účinnější reakcí (= pomoc obyvatelstvu) a cílenějším informováním obyvatelstva o hrozící či nastalé mimořádné události, ale také adekvátní reakcí samotného obyvatelstva. Tyto oblasti budou řešeny prostřednictvím aktivit specifického cíle Ochrana obyvatelstva.</w:t>
            </w:r>
          </w:p>
          <w:p w14:paraId="3514529E" w14:textId="77777777" w:rsidR="00DD3EFA" w:rsidRPr="005A0E7C" w:rsidRDefault="00DD3EFA" w:rsidP="00B15ECB">
            <w:pPr>
              <w:autoSpaceDE w:val="0"/>
              <w:autoSpaceDN w:val="0"/>
              <w:adjustRightInd w:val="0"/>
              <w:rPr>
                <w:rFonts w:eastAsia="ArialMT"/>
              </w:rPr>
            </w:pPr>
            <w:r w:rsidRPr="005A0E7C">
              <w:rPr>
                <w:rFonts w:eastAsia="ArialMT"/>
              </w:rPr>
              <w:t>K zajištění připravenosti územní samosprávy v oblasti ochrany obyvatelstva a prevence, řešení a odstraňování následků krizových situací je problémem nedostatečné materiálně technické vybavení samosprávy a jejich pracovišť krizového řízení, dále evakuačních středisek a přijímacích středisek zřizovaných samosprávou. Zásadním problémem územní samosprávy je otázka odborné přípravy odpovědných pracovníků a odpovídající vybavení jednotek sboru dobrovolných hasičů, předurčených pro plnění úkolů ochrany obyvatelstva a s tím související finanční pokrytí.</w:t>
            </w:r>
          </w:p>
          <w:p w14:paraId="67B23B35" w14:textId="77777777" w:rsidR="00DD3EFA" w:rsidRPr="005A0E7C" w:rsidRDefault="00DD3EFA" w:rsidP="00B15ECB">
            <w:pPr>
              <w:spacing w:before="60" w:after="60"/>
              <w:rPr>
                <w:rFonts w:eastAsia="ArialMT"/>
              </w:rPr>
            </w:pPr>
          </w:p>
          <w:p w14:paraId="3B9648DB" w14:textId="77777777" w:rsidR="00DD3EFA" w:rsidRPr="005A0E7C" w:rsidRDefault="00DD3EFA" w:rsidP="00B15ECB">
            <w:pPr>
              <w:spacing w:before="60" w:after="60"/>
              <w:rPr>
                <w:rFonts w:eastAsia="ArialMT"/>
                <w:b/>
              </w:rPr>
            </w:pPr>
            <w:r w:rsidRPr="005A0E7C">
              <w:rPr>
                <w:rFonts w:eastAsia="ArialMT"/>
                <w:b/>
              </w:rPr>
              <w:t>Nové hrozby – migrace</w:t>
            </w:r>
          </w:p>
          <w:p w14:paraId="0F75C2EB" w14:textId="77777777" w:rsidR="00DD3EFA" w:rsidRPr="005A0E7C" w:rsidRDefault="00DD3EFA" w:rsidP="00B15ECB">
            <w:pPr>
              <w:spacing w:before="60" w:after="60"/>
              <w:rPr>
                <w:rFonts w:eastAsia="ArialMT"/>
              </w:rPr>
            </w:pPr>
            <w:r w:rsidRPr="005A0E7C">
              <w:rPr>
                <w:rFonts w:eastAsia="ArialMT"/>
              </w:rPr>
              <w:t xml:space="preserve">V připravenosti na zvládání legální i nelegální migrace je problémem nízká úroveň vybavení novými technologiemi, technickými prostředky pro ochranu hranic, nedostatek sil, nedostatečné kapacity a zastaralé vybavení pro zajištění a identifikaci osob s nelegálním pohybem, nedostatečná kapacita pro zpracování a předávání informací v rámci ČR i mezinárodně, nedostatečná kapacita pro zajištění nutných deportací a předávání osob s nelegálním pobytem, nedostatečná technologická architektura informačních systémů v oblasti migrace a nedostatečná vzdělávací a výcviková kapacita pro přípravu personálu zajišťujícího problematiku nelegální migrace. </w:t>
            </w:r>
          </w:p>
          <w:p w14:paraId="33C35E2E" w14:textId="77777777" w:rsidR="00DD3EFA" w:rsidRPr="005A0E7C" w:rsidRDefault="00DD3EFA" w:rsidP="00B15ECB">
            <w:pPr>
              <w:spacing w:before="60" w:after="60"/>
              <w:rPr>
                <w:rFonts w:eastAsia="ArialMT"/>
              </w:rPr>
            </w:pPr>
          </w:p>
          <w:p w14:paraId="6900D603" w14:textId="77777777" w:rsidR="00DD3EFA" w:rsidRPr="005A0E7C" w:rsidRDefault="00DD3EFA" w:rsidP="00B15ECB">
            <w:pPr>
              <w:autoSpaceDE w:val="0"/>
              <w:autoSpaceDN w:val="0"/>
              <w:adjustRightInd w:val="0"/>
              <w:rPr>
                <w:rFonts w:eastAsia="ArialMT"/>
                <w:b/>
              </w:rPr>
            </w:pPr>
            <w:r w:rsidRPr="005A0E7C">
              <w:rPr>
                <w:rFonts w:eastAsia="ArialMT"/>
                <w:b/>
              </w:rPr>
              <w:t>Vzdělávání složek IZS v reakci na nové hrozby</w:t>
            </w:r>
          </w:p>
          <w:p w14:paraId="601F1FFB" w14:textId="77777777" w:rsidR="00DD3EFA" w:rsidRPr="005A0E7C" w:rsidRDefault="00DD3EFA" w:rsidP="00B15ECB">
            <w:pPr>
              <w:autoSpaceDE w:val="0"/>
              <w:autoSpaceDN w:val="0"/>
              <w:adjustRightInd w:val="0"/>
              <w:rPr>
                <w:rFonts w:eastAsia="ArialMT"/>
              </w:rPr>
            </w:pPr>
            <w:r w:rsidRPr="005A0E7C">
              <w:rPr>
                <w:rFonts w:eastAsia="ArialMT"/>
              </w:rPr>
              <w:t>Pro zajištění efektivní reakce složek IZS je kromě hmotného vybavení (prostředky) třeba zajistit také vzdělávání a odbornou přípravu personálu (síly) tak, aby tyto disponovaly znalostmi a odbornými dovednostmi ve vazbě na nové hrozby. Tato oblast bude zahrnovat specializované vzdělávací programy a odpovídající vzdělávací a výcvikovou kapacitu pro složky IZS.</w:t>
            </w:r>
          </w:p>
          <w:p w14:paraId="251AD9CB" w14:textId="77777777" w:rsidR="00DD3EFA" w:rsidRPr="005A0E7C" w:rsidRDefault="00DD3EFA" w:rsidP="00B15ECB">
            <w:pPr>
              <w:rPr>
                <w:i/>
              </w:rPr>
            </w:pPr>
          </w:p>
          <w:p w14:paraId="12221305" w14:textId="77777777" w:rsidR="00DD3EFA" w:rsidRPr="005A0E7C" w:rsidRDefault="00DD3EFA" w:rsidP="00B15ECB">
            <w:pPr>
              <w:autoSpaceDE w:val="0"/>
              <w:autoSpaceDN w:val="0"/>
              <w:adjustRightInd w:val="0"/>
              <w:rPr>
                <w:rFonts w:eastAsia="ArialMT"/>
                <w:b/>
              </w:rPr>
            </w:pPr>
            <w:r w:rsidRPr="005A0E7C">
              <w:rPr>
                <w:rFonts w:eastAsia="ArialMT"/>
                <w:b/>
              </w:rPr>
              <w:t>Informovanost obyvatelstva o nových hrozbách</w:t>
            </w:r>
          </w:p>
          <w:p w14:paraId="40406B3A" w14:textId="77777777" w:rsidR="00DD3EFA" w:rsidRPr="005A0E7C" w:rsidRDefault="00DD3EFA" w:rsidP="00B15ECB">
            <w:pPr>
              <w:spacing w:before="60" w:after="60"/>
              <w:rPr>
                <w:rFonts w:eastAsia="ArialMT"/>
              </w:rPr>
            </w:pPr>
            <w:r w:rsidRPr="005A0E7C">
              <w:rPr>
                <w:rFonts w:eastAsia="ArialMT"/>
              </w:rPr>
              <w:t>V oblasti terorismu a ostatních hybridních hrozeb je problémem nedostatečná informovanost laické i odborné veřejnosti o možnostech chránit sám sebe a zároveň schopnost státu realizovat strategickou komunikaci v reakci na dezinformační kampaně a propagandu. S tím souvisí i nízká odolnost veřejnosti vůči dezinformacím, nedostatečná schopnost veřejnosti využívat moderní komunikační technologie a pracovat s informacemi, a nízká kapacita k rozkrývání nelegitimních metod šíření informací.</w:t>
            </w:r>
          </w:p>
          <w:p w14:paraId="025E63B2" w14:textId="77777777" w:rsidR="00DD3EFA" w:rsidRPr="005A0E7C" w:rsidRDefault="00DD3EFA" w:rsidP="00B15ECB">
            <w:pPr>
              <w:spacing w:before="60" w:after="60"/>
              <w:rPr>
                <w:rFonts w:eastAsia="ArialMT"/>
              </w:rPr>
            </w:pPr>
            <w:r w:rsidRPr="005A0E7C">
              <w:rPr>
                <w:rFonts w:eastAsia="ArialMT"/>
              </w:rPr>
              <w:t>Opatření v oblasti informovanosti obyvatelstva budou provedena s cílem zvýšit odolnost veřejnosti proti dezinformacím a zrychlit proces reakce na dezinformace moderními informačními nástroji.</w:t>
            </w:r>
          </w:p>
          <w:p w14:paraId="7A234C0C" w14:textId="77777777" w:rsidR="00DD3EFA" w:rsidRPr="005A0E7C" w:rsidRDefault="00DD3EFA" w:rsidP="00B15ECB">
            <w:pPr>
              <w:spacing w:before="60" w:after="60"/>
              <w:rPr>
                <w:rFonts w:eastAsia="ArialMT"/>
              </w:rPr>
            </w:pPr>
            <w:r w:rsidRPr="005A0E7C">
              <w:rPr>
                <w:rFonts w:eastAsia="ArialMT"/>
              </w:rPr>
              <w:t>Připravenost obyvatelstva na hrozby přírodního charakteru nebo také havárie  je nedostatečná. Správným chováním a reakcí na danou situaci by přitom mohlo dojít v mnoha případech ke zmírnění následků mimořádných událostí.</w:t>
            </w:r>
          </w:p>
          <w:p w14:paraId="372964E5" w14:textId="77777777" w:rsidR="00DD3EFA" w:rsidRPr="005A0E7C" w:rsidRDefault="00DD3EFA" w:rsidP="00B15ECB">
            <w:pPr>
              <w:spacing w:before="60" w:after="60"/>
              <w:rPr>
                <w:rFonts w:eastAsia="ArialMT"/>
              </w:rPr>
            </w:pPr>
            <w:r w:rsidRPr="005A0E7C">
              <w:rPr>
                <w:rFonts w:eastAsia="ArialMT"/>
              </w:rPr>
              <w:t>Cílem aktivit v této oblasti bude dostatečně připravit obyvatelstvo na zvládání mimořádných událostí.</w:t>
            </w:r>
          </w:p>
          <w:p w14:paraId="4A106B66" w14:textId="77777777" w:rsidR="00DD3EFA" w:rsidRPr="005A0E7C" w:rsidRDefault="00DD3EFA" w:rsidP="00B15ECB">
            <w:pPr>
              <w:spacing w:before="60" w:after="60"/>
              <w:rPr>
                <w:rFonts w:eastAsia="ArialMT"/>
              </w:rPr>
            </w:pPr>
          </w:p>
          <w:p w14:paraId="72F50975" w14:textId="77777777" w:rsidR="00DD3EFA" w:rsidRPr="005A0E7C" w:rsidRDefault="00DD3EFA" w:rsidP="00B15ECB">
            <w:pPr>
              <w:rPr>
                <w:i/>
              </w:rPr>
            </w:pPr>
          </w:p>
          <w:p w14:paraId="3D78D2CD" w14:textId="77777777" w:rsidR="00DD3EFA" w:rsidRPr="005A0E7C" w:rsidRDefault="00DD3EFA" w:rsidP="00B15ECB">
            <w:pPr>
              <w:autoSpaceDE w:val="0"/>
              <w:autoSpaceDN w:val="0"/>
              <w:adjustRightInd w:val="0"/>
              <w:rPr>
                <w:rFonts w:eastAsia="ArialMT"/>
                <w:b/>
              </w:rPr>
            </w:pPr>
            <w:r w:rsidRPr="005A0E7C">
              <w:rPr>
                <w:b/>
              </w:rPr>
              <w:t xml:space="preserve">Prevence kriminality </w:t>
            </w:r>
            <w:r w:rsidRPr="005A0E7C">
              <w:rPr>
                <w:rFonts w:eastAsia="ArialMT"/>
                <w:b/>
              </w:rPr>
              <w:t>a vzniku souvisejících mimořádných událostí</w:t>
            </w:r>
          </w:p>
          <w:p w14:paraId="5F3BE1B4" w14:textId="77777777" w:rsidR="00DD3EFA" w:rsidRPr="005A0E7C" w:rsidRDefault="00DD3EFA" w:rsidP="00B15ECB">
            <w:pPr>
              <w:autoSpaceDE w:val="0"/>
              <w:autoSpaceDN w:val="0"/>
              <w:adjustRightInd w:val="0"/>
              <w:rPr>
                <w:rFonts w:eastAsia="ArialMT"/>
              </w:rPr>
            </w:pPr>
            <w:r w:rsidRPr="005A0E7C">
              <w:rPr>
                <w:rFonts w:eastAsia="ArialMT"/>
              </w:rPr>
              <w:t>V současné době je nedostatečná připravenost veřejné správy na rizika plynoucí z extremismu a násilí z nenávisti. Je třeba se více zaměřit na aktuální hrozby a trendy ve vývoji kriminality, jako je přesouvání kriminality do kyberprostoru, stárnutí populace, kriminalita související se zvýšenou pracovní migrací, posilování role technických norem prevence kriminality, režimových opatření a prvků situační prevence k ochraně měkkých cílů či využití moderních přístupů a technologií k ochraně osob a majetku před kriminalitou (např. kamerové systémy).</w:t>
            </w:r>
          </w:p>
          <w:p w14:paraId="174EB16D" w14:textId="77777777" w:rsidR="00DD3EFA" w:rsidRPr="005A0E7C" w:rsidRDefault="00DD3EFA" w:rsidP="00B15ECB">
            <w:pPr>
              <w:autoSpaceDE w:val="0"/>
              <w:autoSpaceDN w:val="0"/>
              <w:adjustRightInd w:val="0"/>
            </w:pPr>
            <w:r w:rsidRPr="005A0E7C">
              <w:rPr>
                <w:rFonts w:eastAsia="ArialMT"/>
              </w:rPr>
              <w:t xml:space="preserve">Prevence kriminality dále musí posílit své zaměření na problematiku sociálního vyloučení, které představuje významný kriminogenní faktor. Problematické je na jedné straně zvyšování počtu sociálně vyloučených lokalit, </w:t>
            </w:r>
            <w:r w:rsidRPr="005A0E7C">
              <w:t xml:space="preserve">zadlužování obyvatelstva a jeho nízká finanční gramotnost, vysoký výskyt negativních jevů jako drogová kriminalita, lichva či obchodování s lidmi v těchto lokalitách) </w:t>
            </w:r>
            <w:r w:rsidRPr="005A0E7C">
              <w:rPr>
                <w:rFonts w:eastAsia="ArialMT"/>
              </w:rPr>
              <w:t xml:space="preserve">a na straně druhé nedostatečná připravenost veřejné správy na preventivní práci v této oblasti včetně nedostatečné pomoci a poradenství poskytované obětem trestné činnosti </w:t>
            </w:r>
            <w:r w:rsidRPr="005A0E7C">
              <w:t>(nejen v souvislosti se sociálním vyloučením).</w:t>
            </w:r>
          </w:p>
          <w:p w14:paraId="40F95FD0" w14:textId="77777777" w:rsidR="00DD3EFA" w:rsidRPr="005A0E7C" w:rsidRDefault="00DD3EFA" w:rsidP="00B15ECB">
            <w:pPr>
              <w:autoSpaceDE w:val="0"/>
              <w:autoSpaceDN w:val="0"/>
              <w:adjustRightInd w:val="0"/>
            </w:pPr>
            <w:r w:rsidRPr="005A0E7C">
              <w:t>Pokud jde o zapojení dobrovolníků v této oblasti, existuje potřeba systémovější podpory dobrovolnictví ze strany orgánů veřejné moci a zvyšování motivace osob a organizací k zapojení se do realizace a koordinace dobrovolnických aktivit a rovněž potřeba lepší koordinace a metodické podpory.</w:t>
            </w:r>
          </w:p>
          <w:p w14:paraId="39DD97C3" w14:textId="77777777" w:rsidR="00DD3EFA" w:rsidRPr="005A0E7C" w:rsidRDefault="00DD3EFA" w:rsidP="00B15ECB">
            <w:pPr>
              <w:autoSpaceDE w:val="0"/>
              <w:autoSpaceDN w:val="0"/>
              <w:adjustRightInd w:val="0"/>
              <w:rPr>
                <w:rFonts w:eastAsia="ArialMT"/>
              </w:rPr>
            </w:pPr>
            <w:r w:rsidRPr="005A0E7C">
              <w:rPr>
                <w:rFonts w:eastAsia="ArialMT"/>
              </w:rPr>
              <w:t xml:space="preserve">Opatření v oblasti prevence kriminality budou provedena především s cílem zvýšit kapacitu veřejné správy pro prevenci a eliminaci výše uvedených negativních jevů, zvýšit dostupnost a zkvalitnit koordinaci pomoci a podpory poskytované obětem kriminality (se zaměřením na zvlášť zranitelné oběti) a posílit úlohu dobrovolnictví v této oblasti. </w:t>
            </w:r>
          </w:p>
          <w:p w14:paraId="0513EE95" w14:textId="77777777" w:rsidR="00DD3EFA" w:rsidRPr="005A0E7C" w:rsidRDefault="00DD3EFA" w:rsidP="00B15ECB">
            <w:pPr>
              <w:autoSpaceDE w:val="0"/>
              <w:autoSpaceDN w:val="0"/>
              <w:adjustRightInd w:val="0"/>
              <w:rPr>
                <w:rFonts w:eastAsia="ArialMT"/>
              </w:rPr>
            </w:pPr>
          </w:p>
          <w:p w14:paraId="68B47C54" w14:textId="77777777" w:rsidR="00DD3EFA" w:rsidRPr="005A0E7C" w:rsidRDefault="00DD3EFA" w:rsidP="00B15ECB">
            <w:pPr>
              <w:spacing w:before="60" w:after="60"/>
              <w:rPr>
                <w:rFonts w:eastAsia="ArialMT"/>
              </w:rPr>
            </w:pPr>
            <w:r w:rsidRPr="005A0E7C">
              <w:rPr>
                <w:rFonts w:eastAsia="ArialMT"/>
              </w:rPr>
              <w:t>Minimální pozornost je v současné době věnována také samotné přípravě obyvatelstva. Tato příprava musí do budoucna probíhat komplexně tak, aby každý jedinec věděl, jak předcházet vzniku a dokázal adekvátně reagovat na mimořádnou událost. K tomu je potřeba připravovat fundované odborníky v dané oblasti a současně i představitele státní správy a samosprávy. Současně je nezbytné zabezpečit pravidelné vzdělávání obyvatelstva, a to zejména v rámci školní výuky a k tomu nastavit vhodné doplňkové formy pro další cílové skupiny obyvatelstva.</w:t>
            </w:r>
          </w:p>
          <w:p w14:paraId="6F12972D" w14:textId="77777777" w:rsidR="00DD3EFA" w:rsidRPr="005A0E7C" w:rsidRDefault="00DD3EFA" w:rsidP="00B15ECB">
            <w:pPr>
              <w:autoSpaceDE w:val="0"/>
              <w:autoSpaceDN w:val="0"/>
              <w:adjustRightInd w:val="0"/>
              <w:rPr>
                <w:rFonts w:eastAsia="ArialMT"/>
              </w:rPr>
            </w:pPr>
            <w:r w:rsidRPr="005A0E7C">
              <w:t>Pro zajištění plné připravenosti na nové hrozby v oblasti prevence kriminality je třeba do budoucna podpořit u vybraného personálu veřejné správy systematický rozvoj forenzních schopností, znalostí a nástrojů k podpoře schopnosti identifikace, vyšetřování a objasňování vzniku a průběhu bezpečnostních incidentů, teroristických útoků a dalších hrozeb. Dále je třeba rozvíjet podpůrné nástroje a metody identifikace a ztotožňování osob a věcí a nástroje vytěžování elektronických zdrojů informací.</w:t>
            </w:r>
            <w:r w:rsidRPr="005A0E7C">
              <w:rPr>
                <w:rStyle w:val="Odkaznakoment"/>
                <w:sz w:val="20"/>
                <w:szCs w:val="20"/>
              </w:rPr>
              <w:t xml:space="preserve"> </w:t>
            </w:r>
          </w:p>
          <w:p w14:paraId="373E926F" w14:textId="77777777" w:rsidR="00DD3EFA" w:rsidRPr="005A0E7C" w:rsidRDefault="00DD3EFA" w:rsidP="00B15ECB">
            <w:pPr>
              <w:autoSpaceDE w:val="0"/>
              <w:autoSpaceDN w:val="0"/>
              <w:adjustRightInd w:val="0"/>
              <w:rPr>
                <w:rFonts w:eastAsia="ArialMT"/>
              </w:rPr>
            </w:pPr>
          </w:p>
          <w:p w14:paraId="7684742D" w14:textId="77777777" w:rsidR="00DD3EFA" w:rsidRPr="005A0E7C" w:rsidRDefault="00DD3EFA" w:rsidP="00B15ECB">
            <w:pPr>
              <w:rPr>
                <w:rFonts w:eastAsia="ArialMT"/>
                <w:b/>
              </w:rPr>
            </w:pPr>
            <w:r w:rsidRPr="005A0E7C">
              <w:rPr>
                <w:rFonts w:eastAsia="ArialMT"/>
                <w:b/>
              </w:rPr>
              <w:t>Nové hrozby – kyberkriminalita</w:t>
            </w:r>
          </w:p>
          <w:p w14:paraId="5269E9F8" w14:textId="77777777" w:rsidR="00DD3EFA" w:rsidRPr="005A0E7C" w:rsidRDefault="00DD3EFA" w:rsidP="00B15ECB">
            <w:pPr>
              <w:rPr>
                <w:rFonts w:eastAsia="Calibri"/>
              </w:rPr>
            </w:pPr>
            <w:r w:rsidRPr="005A0E7C">
              <w:rPr>
                <w:rFonts w:eastAsia="Calibri"/>
              </w:rPr>
              <w:t>Kybernetická kriminalita je globální bezpečnostní hrozbou, která je velmi dynamická, těžko předvídatelná a disponuje širokým spektrem hrozeb a sofistikovaných technických způsobů provedení, které mohou být realizovány ať již skupinou osob, nebo samostatně, kdy hlavním aspektem je zneužití počítačových a komunikačních technologií či útok na ně, v nejzávažnější formě pak útoky na kritickou informační infrastrukturu a významné informační systémy.</w:t>
            </w:r>
          </w:p>
          <w:p w14:paraId="4441A03E" w14:textId="77777777" w:rsidR="00DD3EFA" w:rsidRPr="005A0E7C" w:rsidRDefault="00DD3EFA" w:rsidP="00B15ECB">
            <w:pPr>
              <w:rPr>
                <w:rFonts w:eastAsia="Calibri"/>
              </w:rPr>
            </w:pPr>
            <w:r w:rsidRPr="005A0E7C">
              <w:rPr>
                <w:rFonts w:eastAsia="Calibri"/>
              </w:rPr>
              <w:t xml:space="preserve">Rizikem v této oblasti je rychlý vývoj technologií a anonymita pachatelů, neexistence hranic, volatilita elektronických důkazů a anonymita platebních prostředků. </w:t>
            </w:r>
          </w:p>
          <w:p w14:paraId="24AD3980" w14:textId="77777777" w:rsidR="00DD3EFA" w:rsidRPr="005A0E7C" w:rsidRDefault="00DD3EFA" w:rsidP="00B15ECB">
            <w:pPr>
              <w:spacing w:before="60" w:after="60"/>
              <w:rPr>
                <w:rFonts w:eastAsia="ArialMT"/>
              </w:rPr>
            </w:pPr>
            <w:r w:rsidRPr="005A0E7C">
              <w:rPr>
                <w:rFonts w:eastAsia="ArialMT"/>
              </w:rPr>
              <w:t xml:space="preserve">V podmínkách ČR je potřeba zajistit zejména adekvání technické vybavení specialistů (hardwarové a softwarové) tak, aby byli schopni zajišťovat elekronické důkazy a analyticky vyhodnocovat jejich obsah. Současně je nezbytné zajistit vzdělávní specialistů v oblasti využívání těchto prostředků a v neposlední řadě vytvořit legislativní podmínky pro výkon činností na úseku kyberkriminality v adekvátním časovém rámci. </w:t>
            </w:r>
          </w:p>
          <w:p w14:paraId="2483A836" w14:textId="77777777" w:rsidR="00DD3EFA" w:rsidRPr="005A0E7C" w:rsidRDefault="00DD3EFA" w:rsidP="00B15ECB">
            <w:pPr>
              <w:autoSpaceDE w:val="0"/>
              <w:autoSpaceDN w:val="0"/>
              <w:adjustRightInd w:val="0"/>
              <w:rPr>
                <w:rFonts w:eastAsia="ArialMT"/>
              </w:rPr>
            </w:pPr>
          </w:p>
          <w:p w14:paraId="69D8E8BF" w14:textId="77777777" w:rsidR="00DD3EFA" w:rsidRPr="005A0E7C" w:rsidRDefault="00DD3EFA" w:rsidP="00B15ECB">
            <w:pPr>
              <w:autoSpaceDE w:val="0"/>
              <w:autoSpaceDN w:val="0"/>
              <w:adjustRightInd w:val="0"/>
              <w:rPr>
                <w:rFonts w:eastAsia="ArialMT"/>
              </w:rPr>
            </w:pPr>
          </w:p>
          <w:p w14:paraId="4165CC04" w14:textId="77777777" w:rsidR="00DD3EFA" w:rsidRPr="005A0E7C" w:rsidRDefault="00DD3EFA" w:rsidP="00B15ECB">
            <w:pPr>
              <w:autoSpaceDE w:val="0"/>
              <w:autoSpaceDN w:val="0"/>
              <w:adjustRightInd w:val="0"/>
              <w:rPr>
                <w:rFonts w:eastAsia="ArialMT"/>
                <w:b/>
              </w:rPr>
            </w:pPr>
            <w:r w:rsidRPr="005A0E7C">
              <w:rPr>
                <w:rFonts w:eastAsia="ArialMT"/>
                <w:b/>
              </w:rPr>
              <w:t>Nadnárodní rozměr nových hrozeb</w:t>
            </w:r>
          </w:p>
          <w:p w14:paraId="79508D1E" w14:textId="77777777" w:rsidR="00DD3EFA" w:rsidRPr="005A0E7C" w:rsidRDefault="00DD3EFA" w:rsidP="00B15ECB">
            <w:pPr>
              <w:autoSpaceDE w:val="0"/>
              <w:autoSpaceDN w:val="0"/>
              <w:adjustRightInd w:val="0"/>
              <w:rPr>
                <w:rFonts w:eastAsia="ArialMT"/>
              </w:rPr>
            </w:pPr>
            <w:r w:rsidRPr="005A0E7C">
              <w:rPr>
                <w:rFonts w:eastAsia="ArialMT"/>
              </w:rPr>
              <w:t>Terorismus nebo masová migrace nejsou stejně jako živelní pohromy ve svých příčinách omezeny na území ČR a nesouvisejí jen s kriminální činností jako takovou. Jejich zdroje spočívají často ve zcela legálních aktivitách (např. formy hospodářské činnosti) a to jak na území ČR, tak mimo její území.</w:t>
            </w:r>
          </w:p>
          <w:p w14:paraId="2242A5AC" w14:textId="77777777" w:rsidR="00DD3EFA" w:rsidRPr="005A0E7C" w:rsidRDefault="00DD3EFA" w:rsidP="00B15ECB">
            <w:pPr>
              <w:rPr>
                <w:i/>
              </w:rPr>
            </w:pPr>
            <w:r w:rsidRPr="005A0E7C">
              <w:rPr>
                <w:rFonts w:eastAsia="ArialMT"/>
              </w:rPr>
              <w:t>Pochopení těchto vazeb je ale dosud nedostatečné i v rámci veřejné správy a široká veřejnost si je uvědomuje v míře ještě menší. Problém je řešitelný rozsáhlejšími vzdělávacími programy pro veřejnou správu i širokou veřejnost a současně vytvořením funkčních mechanismů koherence politik, obrácených dovnitř ČR i vně ČR (tzv. vnitřní a vnější dimenze udržitelného rozvoje).</w:t>
            </w:r>
          </w:p>
        </w:tc>
        <w:tc>
          <w:tcPr>
            <w:tcW w:w="249" w:type="dxa"/>
            <w:tcBorders>
              <w:top w:val="nil"/>
              <w:bottom w:val="nil"/>
            </w:tcBorders>
            <w:shd w:val="clear" w:color="auto" w:fill="66CCFF"/>
          </w:tcPr>
          <w:p w14:paraId="71DA6F01" w14:textId="77777777" w:rsidR="00DD3EFA" w:rsidRPr="005A0E7C" w:rsidRDefault="00DD3EFA" w:rsidP="00B15ECB">
            <w:pPr>
              <w:rPr>
                <w:b/>
              </w:rPr>
            </w:pPr>
          </w:p>
        </w:tc>
      </w:tr>
      <w:tr w:rsidR="00DD3EFA" w:rsidRPr="002D2123" w14:paraId="3224639A" w14:textId="77777777" w:rsidTr="00B15ECB">
        <w:trPr>
          <w:trHeight w:val="1274"/>
        </w:trPr>
        <w:tc>
          <w:tcPr>
            <w:tcW w:w="249" w:type="dxa"/>
            <w:tcBorders>
              <w:top w:val="nil"/>
              <w:bottom w:val="nil"/>
            </w:tcBorders>
            <w:shd w:val="clear" w:color="auto" w:fill="66CCFF"/>
          </w:tcPr>
          <w:p w14:paraId="59AE7C1E"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15DC6D5B" w14:textId="77777777" w:rsidR="00DD3EFA" w:rsidRPr="002D2123" w:rsidRDefault="00DD3EFA" w:rsidP="00B15ECB">
            <w:pPr>
              <w:spacing w:before="60" w:after="60"/>
              <w:rPr>
                <w:rFonts w:eastAsiaTheme="majorEastAsia"/>
                <w:b/>
              </w:rPr>
            </w:pPr>
            <w:r w:rsidRPr="002D2123">
              <w:rPr>
                <w:rFonts w:eastAsiaTheme="majorEastAsia"/>
                <w:b/>
              </w:rPr>
              <w:t>Definice cíle – změny, které chceme dosáhnout</w:t>
            </w:r>
          </w:p>
          <w:p w14:paraId="445C0976"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9E3BFB3" w14:textId="77777777" w:rsidR="00DD3EFA" w:rsidRPr="002D2123" w:rsidRDefault="00DD3EFA" w:rsidP="00B15ECB">
            <w:r w:rsidRPr="002D2123">
              <w:t>Cílem specifického cíle Ochrana obyvatelstva je posílit systém ochrany obyvatelstva v ČR tak, aby byl schopen adekvátně reagovat na existující a nově poznané hrozby, a to jak v úrovni personální (síly), tak v úrovni hmotného vybavení (prostředky).</w:t>
            </w:r>
          </w:p>
          <w:p w14:paraId="513DE29C" w14:textId="77777777" w:rsidR="00DD3EFA" w:rsidRPr="002D2123" w:rsidRDefault="00DD3EFA" w:rsidP="00B15ECB">
            <w:r w:rsidRPr="002D2123">
              <w:t xml:space="preserve">Všechna opatření (aktivity) prováděná ve specifickém cíli Ochrana obyvatelstva budou směřovat ke zrychlení a zefektivnění pomoci, kterou veřejná správa a složky IZS poskytují obyvatelstvu především v případě nových hrozeb, tzn. především teroristických útoků, hybridních hrozeb, úniků nebezpečných látek, živelních mimořádných událostí, masové migrace, narůstající kyberkriminality, řešení negativních jevů spojených s problémy v sociálně vyloučených lokalitách apod. </w:t>
            </w:r>
          </w:p>
          <w:p w14:paraId="4E2B576F" w14:textId="77777777" w:rsidR="00DD3EFA" w:rsidRPr="002D2123" w:rsidRDefault="00DD3EFA" w:rsidP="00B15ECB"/>
          <w:p w14:paraId="6FC61237" w14:textId="77777777" w:rsidR="00DD3EFA" w:rsidRPr="002D2123" w:rsidRDefault="00DD3EFA" w:rsidP="00B15ECB">
            <w:r w:rsidRPr="002D2123">
              <w:t>Po realizaci aktivit definovaných specifickým cílem Ochrana obyvatelstva bude ochrana obyvatelstva systémem, který:</w:t>
            </w:r>
          </w:p>
          <w:p w14:paraId="1CB5C078" w14:textId="77777777" w:rsidR="00DD3EFA" w:rsidRPr="002D2123" w:rsidRDefault="00DD3EFA" w:rsidP="00391907">
            <w:pPr>
              <w:pStyle w:val="Odstavecseseznamem"/>
              <w:numPr>
                <w:ilvl w:val="0"/>
                <w:numId w:val="53"/>
              </w:numPr>
              <w:jc w:val="both"/>
            </w:pPr>
            <w:r w:rsidRPr="002D2123">
              <w:t>pružně reaguje na existující a nové hrozby,</w:t>
            </w:r>
          </w:p>
          <w:p w14:paraId="03A57212" w14:textId="77777777" w:rsidR="00DD3EFA" w:rsidRPr="002D2123" w:rsidRDefault="00DD3EFA" w:rsidP="00391907">
            <w:pPr>
              <w:pStyle w:val="Odstavecseseznamem"/>
              <w:numPr>
                <w:ilvl w:val="0"/>
                <w:numId w:val="53"/>
              </w:numPr>
              <w:jc w:val="both"/>
            </w:pPr>
            <w:r w:rsidRPr="002D2123">
              <w:t>disponuje dostatečným množstvím efektivních práv a nástrojů k předcházení hrozeb a zvládnutí nastalých hrozeb,</w:t>
            </w:r>
          </w:p>
          <w:p w14:paraId="7D15D209" w14:textId="77777777" w:rsidR="00DD3EFA" w:rsidRPr="002D2123" w:rsidRDefault="00DD3EFA" w:rsidP="00391907">
            <w:pPr>
              <w:pStyle w:val="Odstavecseseznamem"/>
              <w:numPr>
                <w:ilvl w:val="0"/>
                <w:numId w:val="53"/>
              </w:numPr>
              <w:jc w:val="both"/>
            </w:pPr>
            <w:r w:rsidRPr="002D2123">
              <w:t xml:space="preserve">je schopen efektivně minimalizovat rizika vyplývající z těchto hrozeb a efektivně řešit následky vzniklých mimořádných událostí a krizových situací antropogenního i přírodního původu. </w:t>
            </w:r>
          </w:p>
          <w:p w14:paraId="492797A2" w14:textId="77777777" w:rsidR="00DD3EFA" w:rsidRPr="002D2123" w:rsidRDefault="00DD3EFA" w:rsidP="00B15ECB"/>
          <w:p w14:paraId="0EF0FF24" w14:textId="77777777" w:rsidR="00DD3EFA" w:rsidRPr="002D2123" w:rsidRDefault="00DD3EFA" w:rsidP="00B15ECB">
            <w:r w:rsidRPr="002D2123">
              <w:t>Pokud jde o složky IZS, jejich záměrem je realizací aktivit specifického cíle Ochrana obyvatelstva konkrétně dosáhnout:</w:t>
            </w:r>
          </w:p>
          <w:p w14:paraId="4E78C106" w14:textId="77777777" w:rsidR="00DD3EFA" w:rsidRPr="002D2123" w:rsidRDefault="00DD3EFA" w:rsidP="00391907">
            <w:pPr>
              <w:pStyle w:val="Odstavecseseznamem"/>
              <w:numPr>
                <w:ilvl w:val="0"/>
                <w:numId w:val="53"/>
              </w:numPr>
              <w:jc w:val="both"/>
            </w:pPr>
            <w:r w:rsidRPr="002D2123">
              <w:t xml:space="preserve">zvýšení připravenosti prevence a odstraňování následkůmimořádných událostí včetně teroristických útoků, migrace a kyberkriminality </w:t>
            </w:r>
          </w:p>
          <w:p w14:paraId="0991DED2" w14:textId="77777777" w:rsidR="00DD3EFA" w:rsidRPr="002D2123" w:rsidRDefault="00DD3EFA" w:rsidP="00391907">
            <w:pPr>
              <w:pStyle w:val="Odstavecseseznamem"/>
              <w:numPr>
                <w:ilvl w:val="0"/>
                <w:numId w:val="53"/>
              </w:numPr>
              <w:jc w:val="both"/>
            </w:pPr>
            <w:r w:rsidRPr="002D2123">
              <w:t xml:space="preserve">zvýšení připravenosti na zajištění dlouhodobé evakuace obyvatelstva s nouzovým přežitím, </w:t>
            </w:r>
          </w:p>
          <w:p w14:paraId="3C1DD763" w14:textId="77777777" w:rsidR="00DD3EFA" w:rsidRPr="002D2123" w:rsidRDefault="00DD3EFA" w:rsidP="00391907">
            <w:pPr>
              <w:pStyle w:val="Odstavecseseznamem"/>
              <w:numPr>
                <w:ilvl w:val="0"/>
                <w:numId w:val="53"/>
              </w:numPr>
              <w:jc w:val="both"/>
            </w:pPr>
            <w:r w:rsidRPr="002D2123">
              <w:t>zvýšení vzdělanosti občanů v oblasti prevence a správného chování při vzniku mimořádných událostí.</w:t>
            </w:r>
          </w:p>
          <w:p w14:paraId="5FDCB42D" w14:textId="77777777" w:rsidR="00DD3EFA" w:rsidRPr="002D2123" w:rsidRDefault="00DD3EFA" w:rsidP="00391907">
            <w:pPr>
              <w:numPr>
                <w:ilvl w:val="0"/>
                <w:numId w:val="53"/>
              </w:numPr>
              <w:spacing w:line="252" w:lineRule="auto"/>
              <w:contextualSpacing/>
              <w:jc w:val="both"/>
              <w:rPr>
                <w:rFonts w:eastAsia="Calibri"/>
                <w:lang w:eastAsia="cs-CZ"/>
              </w:rPr>
            </w:pPr>
            <w:r w:rsidRPr="002D2123">
              <w:rPr>
                <w:rFonts w:eastAsia="Calibri"/>
                <w:lang w:eastAsia="cs-CZ"/>
              </w:rPr>
              <w:t>efektivní přenos a výměna informací týkajících se rizikových poznatků a řešení případných bezpečnostních incidentů na národní a mezinárodní úrovni</w:t>
            </w:r>
          </w:p>
          <w:p w14:paraId="30F8F991" w14:textId="77777777" w:rsidR="00DD3EFA" w:rsidRPr="002D2123" w:rsidRDefault="00DD3EFA" w:rsidP="00391907">
            <w:pPr>
              <w:numPr>
                <w:ilvl w:val="0"/>
                <w:numId w:val="53"/>
              </w:numPr>
              <w:spacing w:line="252" w:lineRule="auto"/>
              <w:contextualSpacing/>
              <w:jc w:val="both"/>
              <w:rPr>
                <w:rFonts w:eastAsia="Calibri"/>
                <w:lang w:eastAsia="cs-CZ"/>
              </w:rPr>
            </w:pPr>
            <w:r w:rsidRPr="002D2123">
              <w:rPr>
                <w:rFonts w:eastAsia="Calibri"/>
                <w:lang w:eastAsia="cs-CZ"/>
              </w:rPr>
              <w:t>zefektivnění prevence kriminality</w:t>
            </w:r>
          </w:p>
          <w:p w14:paraId="5A8AF3A2" w14:textId="77777777" w:rsidR="00DD3EFA" w:rsidRPr="002D2123" w:rsidRDefault="00DD3EFA" w:rsidP="00B15ECB">
            <w:pPr>
              <w:ind w:left="360"/>
            </w:pPr>
          </w:p>
          <w:p w14:paraId="1FB18464" w14:textId="77777777" w:rsidR="00DD3EFA" w:rsidRPr="002D2123" w:rsidRDefault="00DD3EFA" w:rsidP="00B15ECB"/>
          <w:p w14:paraId="7830B170" w14:textId="77777777" w:rsidR="00DD3EFA" w:rsidRPr="002D2123" w:rsidRDefault="00DD3EFA" w:rsidP="00B15ECB">
            <w:r w:rsidRPr="002D2123">
              <w:t>Cílem opatření prevence kriminality je snížení kriminality a zvýšení pocitu bezpečí obyvatel v souvislosti se sociálním vyloučením a dále snížení napětí mezi většinovým obyvatelstvem a osobami sociálně vyloučenými či sociálním vyloučením ohroženými. Směrem k obětem kriminality je cílem zlepšení jejich postavení a kvality života, zvýšení informovanosti o jejich právech a možnostech ochrany, minimalizace primární i sekundární viktimizace a zvýšení možnosti náhrady škody/kompenzace utrpěné újmy. Zvýšená pozornost bude věnována zvlášť zranitelným obětem trestné činnosti.</w:t>
            </w:r>
          </w:p>
          <w:p w14:paraId="7F140FF8" w14:textId="77777777" w:rsidR="00DD3EFA" w:rsidRPr="002D2123" w:rsidRDefault="00DD3EFA" w:rsidP="00B15ECB"/>
        </w:tc>
        <w:tc>
          <w:tcPr>
            <w:tcW w:w="249" w:type="dxa"/>
            <w:tcBorders>
              <w:top w:val="nil"/>
              <w:bottom w:val="nil"/>
            </w:tcBorders>
            <w:shd w:val="clear" w:color="auto" w:fill="66CCFF"/>
          </w:tcPr>
          <w:p w14:paraId="3FB587B8" w14:textId="77777777" w:rsidR="00DD3EFA" w:rsidRPr="002D2123" w:rsidRDefault="00DD3EFA" w:rsidP="00B15ECB">
            <w:pPr>
              <w:rPr>
                <w:b/>
                <w:sz w:val="10"/>
                <w:szCs w:val="10"/>
              </w:rPr>
            </w:pPr>
          </w:p>
        </w:tc>
      </w:tr>
      <w:tr w:rsidR="00DD3EFA" w:rsidRPr="005A0E7C" w14:paraId="77334699" w14:textId="77777777" w:rsidTr="00B15ECB">
        <w:trPr>
          <w:trHeight w:val="1274"/>
        </w:trPr>
        <w:tc>
          <w:tcPr>
            <w:tcW w:w="249" w:type="dxa"/>
            <w:tcBorders>
              <w:top w:val="nil"/>
              <w:bottom w:val="nil"/>
            </w:tcBorders>
            <w:shd w:val="clear" w:color="auto" w:fill="66CCFF"/>
          </w:tcPr>
          <w:p w14:paraId="390DE8E8"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65ACDD94" w14:textId="77777777" w:rsidR="00DD3EFA" w:rsidRPr="002D2123" w:rsidRDefault="00DD3EFA" w:rsidP="00B15ECB">
            <w:pPr>
              <w:spacing w:before="60" w:after="60"/>
              <w:rPr>
                <w:rFonts w:eastAsiaTheme="majorEastAsia"/>
                <w:b/>
              </w:rPr>
            </w:pPr>
            <w:r w:rsidRPr="002D2123">
              <w:rPr>
                <w:rFonts w:eastAsiaTheme="majorEastAsia"/>
                <w:b/>
              </w:rPr>
              <w:t>Definice předpokládaných výstupů/výsledků/</w:t>
            </w:r>
          </w:p>
          <w:p w14:paraId="33BD53AE" w14:textId="77777777" w:rsidR="00DD3EFA" w:rsidRPr="002D2123" w:rsidRDefault="00DD3EFA" w:rsidP="00B15ECB">
            <w:pPr>
              <w:spacing w:before="60" w:after="60"/>
              <w:rPr>
                <w:rFonts w:eastAsiaTheme="majorEastAsia"/>
                <w:b/>
              </w:rPr>
            </w:pPr>
            <w:r w:rsidRPr="002D2123">
              <w:rPr>
                <w:rFonts w:eastAsiaTheme="majorEastAsia"/>
                <w:b/>
              </w:rPr>
              <w:t>dopadů</w:t>
            </w:r>
          </w:p>
        </w:tc>
        <w:tc>
          <w:tcPr>
            <w:tcW w:w="5978" w:type="dxa"/>
            <w:tcBorders>
              <w:bottom w:val="single" w:sz="4" w:space="0" w:color="auto"/>
            </w:tcBorders>
            <w:shd w:val="clear" w:color="auto" w:fill="FFFFFF" w:themeFill="background1"/>
          </w:tcPr>
          <w:p w14:paraId="013FF6AF" w14:textId="77777777" w:rsidR="00DD3EFA" w:rsidRPr="005A0E7C" w:rsidRDefault="00DD3EFA" w:rsidP="00B15ECB">
            <w:pPr>
              <w:spacing w:before="60" w:after="60"/>
            </w:pPr>
            <w:r w:rsidRPr="005A0E7C">
              <w:rPr>
                <w:b/>
              </w:rPr>
              <w:t>Výstupem</w:t>
            </w:r>
            <w:r w:rsidRPr="005A0E7C">
              <w:t xml:space="preserve"> realizace opatření v cíli Ochrana obyvatelstva bude např.:</w:t>
            </w:r>
          </w:p>
          <w:p w14:paraId="0DE73B18" w14:textId="77777777" w:rsidR="00DD3EFA" w:rsidRPr="005A0E7C" w:rsidRDefault="00DD3EFA" w:rsidP="00391907">
            <w:pPr>
              <w:pStyle w:val="Odstavecseseznamem"/>
              <w:numPr>
                <w:ilvl w:val="0"/>
                <w:numId w:val="54"/>
              </w:numPr>
              <w:spacing w:before="60" w:after="60"/>
              <w:jc w:val="both"/>
            </w:pPr>
            <w:r w:rsidRPr="005A0E7C">
              <w:t>počet nově pořízené či inovované techniky, technologií, věcných prostředků a informačních a komunikačních systémů určených pro prevenci a řešení mimořádných událostí vzniklých v důsledku nových hrozeb včetně jejich prevence;</w:t>
            </w:r>
          </w:p>
          <w:p w14:paraId="7AD2BEF0" w14:textId="77777777" w:rsidR="00DD3EFA" w:rsidRPr="005A0E7C" w:rsidRDefault="00DD3EFA" w:rsidP="00391907">
            <w:pPr>
              <w:pStyle w:val="Odstavecseseznamem"/>
              <w:numPr>
                <w:ilvl w:val="0"/>
                <w:numId w:val="54"/>
              </w:numPr>
              <w:spacing w:before="60" w:after="60"/>
              <w:jc w:val="both"/>
            </w:pPr>
            <w:r w:rsidRPr="005A0E7C">
              <w:t>počet vzdělávacích a výcvikových zařízení (event. vzdělávacích a výcvikových programů) určených pro vzdělávání a výcvik personálu veřejné správy a složek IZS nebo obyvatelstva v oblasti zvládání nových hrozeb a řešení mimořádných událostí vzniklých v jejich důsledku včetně jejich prevence;</w:t>
            </w:r>
          </w:p>
          <w:p w14:paraId="01F403E0" w14:textId="77777777" w:rsidR="00DD3EFA" w:rsidRPr="005A0E7C" w:rsidRDefault="00DD3EFA" w:rsidP="00391907">
            <w:pPr>
              <w:pStyle w:val="Odstavecseseznamem"/>
              <w:numPr>
                <w:ilvl w:val="0"/>
                <w:numId w:val="54"/>
              </w:numPr>
              <w:spacing w:before="60" w:after="60"/>
            </w:pPr>
            <w:r w:rsidRPr="005A0E7C">
              <w:rPr>
                <w:rFonts w:eastAsia="Calibri"/>
                <w:lang w:eastAsia="cs-CZ"/>
              </w:rPr>
              <w:t>počet proškolených osob v oblasti terorismu, extremismu a kyberkriminality</w:t>
            </w:r>
            <w:r w:rsidRPr="005A0E7C">
              <w:t>;</w:t>
            </w:r>
          </w:p>
          <w:p w14:paraId="09455BDB" w14:textId="77777777" w:rsidR="00DD3EFA" w:rsidRPr="005A0E7C" w:rsidRDefault="00DD3EFA" w:rsidP="00391907">
            <w:pPr>
              <w:pStyle w:val="Odstavecseseznamem"/>
              <w:numPr>
                <w:ilvl w:val="0"/>
                <w:numId w:val="54"/>
              </w:numPr>
              <w:spacing w:before="60" w:after="60"/>
              <w:jc w:val="both"/>
            </w:pPr>
            <w:r w:rsidRPr="005A0E7C">
              <w:t>počet opatření realizovaných v oblasti informovanosti o nových hrozbách;</w:t>
            </w:r>
          </w:p>
          <w:p w14:paraId="44E18BDF" w14:textId="77777777" w:rsidR="00DD3EFA" w:rsidRPr="005A0E7C" w:rsidRDefault="00DD3EFA" w:rsidP="00391907">
            <w:pPr>
              <w:pStyle w:val="Odstavecseseznamem"/>
              <w:numPr>
                <w:ilvl w:val="0"/>
                <w:numId w:val="54"/>
              </w:numPr>
              <w:spacing w:before="60" w:after="60"/>
              <w:jc w:val="both"/>
            </w:pPr>
            <w:r w:rsidRPr="005A0E7C">
              <w:t>počet dobrovolníků, dobrovolnických organizací a veřejných institucí (včetně složk IZS) využívajích dobrovolníky v oblasti ochrany obyvatelstva v případě mimořádných událostí či prevence kriminality nebo počet situací, ve kterých byli dobrovolníci při ochraně obyvatelstva využiti.</w:t>
            </w:r>
          </w:p>
          <w:p w14:paraId="1BBFB409" w14:textId="77777777" w:rsidR="00DD3EFA" w:rsidRPr="005A0E7C" w:rsidRDefault="00DD3EFA" w:rsidP="00B15ECB">
            <w:pPr>
              <w:spacing w:before="60" w:after="60"/>
            </w:pPr>
            <w:r w:rsidRPr="005A0E7C">
              <w:rPr>
                <w:b/>
              </w:rPr>
              <w:t xml:space="preserve">Výsledkem </w:t>
            </w:r>
            <w:r w:rsidRPr="005A0E7C">
              <w:t>realizace opatření v cíli Ochrana obyvatelstva bude např.:</w:t>
            </w:r>
          </w:p>
          <w:p w14:paraId="246A7325" w14:textId="77777777" w:rsidR="00DD3EFA" w:rsidRPr="005A0E7C" w:rsidRDefault="00DD3EFA" w:rsidP="00391907">
            <w:pPr>
              <w:pStyle w:val="Odstavecseseznamem"/>
              <w:numPr>
                <w:ilvl w:val="0"/>
                <w:numId w:val="55"/>
              </w:numPr>
              <w:spacing w:before="60" w:after="60"/>
              <w:jc w:val="both"/>
            </w:pPr>
            <w:r w:rsidRPr="005A0E7C">
              <w:t>zvýšení připravenosti veřejné správy a složek IZS na předcházení novým hrozbám;</w:t>
            </w:r>
          </w:p>
          <w:p w14:paraId="22D01CEC" w14:textId="77777777" w:rsidR="00DD3EFA" w:rsidRPr="005A0E7C" w:rsidRDefault="00DD3EFA" w:rsidP="00391907">
            <w:pPr>
              <w:pStyle w:val="Odstavecseseznamem"/>
              <w:numPr>
                <w:ilvl w:val="0"/>
                <w:numId w:val="55"/>
              </w:numPr>
              <w:spacing w:before="60" w:after="60"/>
              <w:jc w:val="both"/>
            </w:pPr>
            <w:r w:rsidRPr="005A0E7C">
              <w:t>zvýšení připravenosti složek IZS na prevenci a řešení mimořádných událostí vyplývajících z nových hrozeb;</w:t>
            </w:r>
          </w:p>
          <w:p w14:paraId="24F25258" w14:textId="77777777" w:rsidR="00DD3EFA" w:rsidRPr="005A0E7C" w:rsidRDefault="00DD3EFA" w:rsidP="00391907">
            <w:pPr>
              <w:pStyle w:val="Odstavecseseznamem"/>
              <w:numPr>
                <w:ilvl w:val="0"/>
                <w:numId w:val="55"/>
              </w:numPr>
              <w:spacing w:before="60" w:after="60"/>
              <w:jc w:val="both"/>
            </w:pPr>
            <w:r w:rsidRPr="005A0E7C">
              <w:t>zvýšení kapacity veřejné správy na prevenci a řešení nových hrozeb;</w:t>
            </w:r>
          </w:p>
          <w:p w14:paraId="7F4DADD1" w14:textId="77777777" w:rsidR="00DD3EFA" w:rsidRPr="005A0E7C" w:rsidRDefault="00DD3EFA" w:rsidP="00391907">
            <w:pPr>
              <w:pStyle w:val="Odstavecseseznamem"/>
              <w:numPr>
                <w:ilvl w:val="0"/>
                <w:numId w:val="55"/>
              </w:numPr>
              <w:spacing w:before="60" w:after="60"/>
              <w:jc w:val="both"/>
            </w:pPr>
            <w:r w:rsidRPr="005A0E7C">
              <w:t>zvýšení dostupnosti dobrovolnických aktivit v oblasti prevence a eliminace nových hrozeb;</w:t>
            </w:r>
          </w:p>
          <w:p w14:paraId="62121F70" w14:textId="77777777" w:rsidR="00DD3EFA" w:rsidRPr="005A0E7C" w:rsidRDefault="00DD3EFA" w:rsidP="00391907">
            <w:pPr>
              <w:pStyle w:val="Odstavecseseznamem"/>
              <w:numPr>
                <w:ilvl w:val="0"/>
                <w:numId w:val="55"/>
              </w:numPr>
              <w:spacing w:before="60" w:after="60"/>
              <w:jc w:val="both"/>
            </w:pPr>
            <w:r w:rsidRPr="005A0E7C">
              <w:t>zvýšení připravenosti občanů v oblasti vyhodnocování informací a správného chování v případě vzniku mimořádné události;</w:t>
            </w:r>
          </w:p>
          <w:p w14:paraId="6C4CF6E8" w14:textId="77777777" w:rsidR="00DD3EFA" w:rsidRPr="005A0E7C" w:rsidRDefault="00DD3EFA" w:rsidP="00391907">
            <w:pPr>
              <w:pStyle w:val="Odstavecseseznamem"/>
              <w:numPr>
                <w:ilvl w:val="0"/>
                <w:numId w:val="55"/>
              </w:numPr>
              <w:spacing w:before="60" w:after="60"/>
            </w:pPr>
            <w:r w:rsidRPr="005A0E7C">
              <w:t>zvýšení kapacity veřejné správy řešit mimořáné události a další situace ochrany obyvatelstva včetně prevence kriminality za pomoci zapojení dobrovolníků.</w:t>
            </w:r>
          </w:p>
          <w:p w14:paraId="5FA91FB6" w14:textId="77777777" w:rsidR="00DD3EFA" w:rsidRPr="005A0E7C" w:rsidRDefault="00DD3EFA" w:rsidP="00B15ECB">
            <w:pPr>
              <w:spacing w:before="60" w:after="60"/>
            </w:pPr>
          </w:p>
          <w:p w14:paraId="763265A7" w14:textId="77777777" w:rsidR="00DD3EFA" w:rsidRPr="005A0E7C" w:rsidRDefault="00DD3EFA" w:rsidP="00B15ECB">
            <w:pPr>
              <w:spacing w:before="60" w:after="60"/>
            </w:pPr>
            <w:r w:rsidRPr="005A0E7C">
              <w:rPr>
                <w:b/>
              </w:rPr>
              <w:t xml:space="preserve">Dopadem </w:t>
            </w:r>
            <w:r w:rsidRPr="005A0E7C">
              <w:t>realizace opatření v cíli Ochrana obyvatelstva bude především zrychlení a zefektivnění pomoci, kterou veřejná správa a složky IZS poskytují obyvatelstvu, tzn. zkvalitnění veřejné služby poskytované občanům ČR a cizincům na území ČR na úseku ochrany obyvatelstva.</w:t>
            </w:r>
          </w:p>
          <w:p w14:paraId="06729E06" w14:textId="77777777" w:rsidR="00DD3EFA" w:rsidRPr="005A0E7C" w:rsidRDefault="00DD3EFA" w:rsidP="00B15ECB">
            <w:pPr>
              <w:spacing w:before="60" w:after="60"/>
            </w:pPr>
          </w:p>
          <w:p w14:paraId="76250473" w14:textId="77777777" w:rsidR="00DD3EFA" w:rsidRPr="005A0E7C" w:rsidRDefault="00DD3EFA" w:rsidP="00B15ECB">
            <w:pPr>
              <w:spacing w:before="60" w:after="60" w:line="259" w:lineRule="auto"/>
            </w:pPr>
            <w:r w:rsidRPr="005A0E7C">
              <w:t>Mezi dopady v oblasti informovanosti obyvatelstva o nových hrozbách lze zařadit dále zvýšení informovanosti veřejnosti (obyvatelstva) o nových hrozbách a zvýšení odolnosti veřejnosti proti dezinformacím.</w:t>
            </w:r>
          </w:p>
          <w:p w14:paraId="0528996E" w14:textId="77777777" w:rsidR="00DD3EFA" w:rsidRPr="005A0E7C" w:rsidRDefault="00DD3EFA" w:rsidP="00B15ECB">
            <w:pPr>
              <w:spacing w:before="60" w:after="60" w:line="259" w:lineRule="auto"/>
            </w:pPr>
            <w:r w:rsidRPr="005A0E7C">
              <w:t>Dopadem realizovaných opatření v oblasti prevence kriminality bude jak objektivní, tak pocitové zvýšení bezpečnosti obyvatelstva, nižší míra napětí a konfliktů mezi různými skupinami obyvatel a důstojnější postavení obětí trestné činnosti.</w:t>
            </w:r>
          </w:p>
        </w:tc>
        <w:tc>
          <w:tcPr>
            <w:tcW w:w="249" w:type="dxa"/>
            <w:tcBorders>
              <w:top w:val="nil"/>
              <w:bottom w:val="nil"/>
            </w:tcBorders>
            <w:shd w:val="clear" w:color="auto" w:fill="66CCFF"/>
          </w:tcPr>
          <w:p w14:paraId="0192C8F0" w14:textId="77777777" w:rsidR="00DD3EFA" w:rsidRPr="005A0E7C" w:rsidRDefault="00DD3EFA" w:rsidP="00B15ECB">
            <w:pPr>
              <w:rPr>
                <w:b/>
              </w:rPr>
            </w:pPr>
          </w:p>
        </w:tc>
      </w:tr>
      <w:tr w:rsidR="00DD3EFA" w:rsidRPr="005A0E7C" w14:paraId="390A8F9F" w14:textId="77777777" w:rsidTr="00B15ECB">
        <w:trPr>
          <w:trHeight w:val="1274"/>
        </w:trPr>
        <w:tc>
          <w:tcPr>
            <w:tcW w:w="249" w:type="dxa"/>
            <w:tcBorders>
              <w:top w:val="nil"/>
              <w:bottom w:val="nil"/>
            </w:tcBorders>
            <w:shd w:val="clear" w:color="auto" w:fill="66CCFF"/>
          </w:tcPr>
          <w:p w14:paraId="05284A42"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75B56991" w14:textId="77777777" w:rsidR="00DD3EFA" w:rsidRPr="002D2123" w:rsidRDefault="00DD3EFA" w:rsidP="00B15ECB">
            <w:pPr>
              <w:spacing w:before="60" w:after="60"/>
              <w:rPr>
                <w:rFonts w:eastAsiaTheme="majorEastAsia"/>
                <w:b/>
              </w:rPr>
            </w:pPr>
            <w:r w:rsidRPr="002D2123">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B9FC43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Vzhledem ke zkušenostem ze současného (2014-2020) i minulého (2007-2013) programového období se předpokládá, že naplnění cíle bude probíhat především s využitím prostředků ESIF (odhadovaný finanční podíl 60– 80 %). U složek IZS se předpokládá i vyšší míra příspěvku k naplnění cíle. Vzhledem k tomu, že některé oblasti cíle (např. terorismus) v minulosti z ESIF financovány nebyly, tak tuto podporu není možné kvantifikovat.</w:t>
            </w:r>
          </w:p>
        </w:tc>
        <w:tc>
          <w:tcPr>
            <w:tcW w:w="249" w:type="dxa"/>
            <w:tcBorders>
              <w:top w:val="nil"/>
              <w:bottom w:val="nil"/>
            </w:tcBorders>
            <w:shd w:val="clear" w:color="auto" w:fill="66CCFF"/>
          </w:tcPr>
          <w:p w14:paraId="4B37DC48" w14:textId="77777777" w:rsidR="00DD3EFA" w:rsidRPr="005A0E7C" w:rsidRDefault="00DD3EFA" w:rsidP="00B15ECB">
            <w:pPr>
              <w:rPr>
                <w:b/>
              </w:rPr>
            </w:pPr>
          </w:p>
        </w:tc>
      </w:tr>
      <w:tr w:rsidR="00DD3EFA" w:rsidRPr="005A0E7C" w14:paraId="613FC356" w14:textId="77777777" w:rsidTr="00B15ECB">
        <w:trPr>
          <w:trHeight w:val="1274"/>
        </w:trPr>
        <w:tc>
          <w:tcPr>
            <w:tcW w:w="249" w:type="dxa"/>
            <w:tcBorders>
              <w:top w:val="nil"/>
              <w:bottom w:val="nil"/>
            </w:tcBorders>
            <w:shd w:val="clear" w:color="auto" w:fill="66CCFF"/>
          </w:tcPr>
          <w:p w14:paraId="65349BF4"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2E4FCDA3" w14:textId="77777777" w:rsidR="00DD3EFA" w:rsidRPr="002D2123" w:rsidRDefault="00DD3EFA" w:rsidP="00B15ECB">
            <w:pPr>
              <w:spacing w:before="60" w:after="60"/>
              <w:rPr>
                <w:rFonts w:eastAsiaTheme="majorEastAsia"/>
                <w:b/>
              </w:rPr>
            </w:pPr>
            <w:r w:rsidRPr="002D2123">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4690B291" w14:textId="77777777" w:rsidR="00DD3EFA" w:rsidRPr="005A0E7C" w:rsidRDefault="00DD3EFA" w:rsidP="00B15ECB">
            <w:pPr>
              <w:spacing w:before="60" w:after="60"/>
            </w:pPr>
            <w:r w:rsidRPr="005A0E7C">
              <w:t xml:space="preserve">Zájem v oblasti připravenosti složek IZS na mimořádné události související s klimatickou změnou v programovém období 2014 – 2020 předčil stanovenou alokaci a mnohé z předpokládaných záměrů je třeba dobudovat či dále rozvíjet. </w:t>
            </w:r>
          </w:p>
          <w:p w14:paraId="381F420A" w14:textId="77777777" w:rsidR="00DD3EFA" w:rsidRPr="005A0E7C" w:rsidRDefault="00DD3EFA" w:rsidP="00B15ECB">
            <w:pPr>
              <w:spacing w:before="60" w:after="60"/>
            </w:pPr>
            <w:r w:rsidRPr="005A0E7C">
              <w:t>Zájem byl také o čerpání v oblastech souvisejících s aktuálními bezpečnostními hrozbami (terorismus, migrace, kyberkriminalita), závažnou hospodářskou trestnou činností, organizovaným zločinem a přeshraniční kriminalitou (včetně zajištění mezinárodní spolupráce).</w:t>
            </w:r>
          </w:p>
          <w:p w14:paraId="2235398C" w14:textId="77777777" w:rsidR="00DD3EFA" w:rsidRPr="005A0E7C" w:rsidRDefault="00DD3EFA" w:rsidP="00B15ECB">
            <w:pPr>
              <w:spacing w:before="60" w:after="60"/>
            </w:pPr>
            <w:r w:rsidRPr="005A0E7C">
              <w:t>Ve srovnání s programovým obdobím 2014 – 2020 je však intenzivnější potřeba připravit se na události právě v souvislosti s těmito novými bezpečnostními hrozbami, které budou klást zvýšené nároky nejen v oblasti materiálně-technického vybavení určeného pro jejich prevenci a řešení, ale také na plnění úkolů ochrany obyvatelstva, a to jak složkami IZS, tak veřejnou správou, zejména pak v oblasti evakuace a nouzového přežití obyvatelstva. Nedílnou součástí všech navržených opatření je efektivní způsob varování a informování obyvatelstva a předávání tísňových zpráv, ale také důsledná příprava obyvatelstva vedoucí k adekvátní sebeochraně při těchto hrozbách. Rozvoj uvedených oblastí je v souvislosti s novými hrozbami klíčový.</w:t>
            </w:r>
          </w:p>
          <w:p w14:paraId="6EED8760" w14:textId="77777777" w:rsidR="00DD3EFA" w:rsidRPr="005A0E7C" w:rsidRDefault="00DD3EFA" w:rsidP="00B15ECB">
            <w:pPr>
              <w:spacing w:before="60" w:after="60"/>
              <w:rPr>
                <w:rFonts w:eastAsiaTheme="majorEastAsia"/>
              </w:rPr>
            </w:pPr>
            <w:r w:rsidRPr="005A0E7C">
              <w:rPr>
                <w:rFonts w:eastAsiaTheme="majorEastAsia"/>
              </w:rPr>
              <w:t xml:space="preserve">Ve stávajícím období (programové období 2014 – 2020) je připravenost složek IZS na odstraňování následků teroristických útoků a na zajištění dlouhodobé evakuace obyvatelstva s nouzovým přežitím (např. v případě teroristického útoku) zabezpečována s využitím stávající techniky a věcných prostředků, které mají složky IZS k dispozici. Nejedná se však o úzce speciální techniku či věcné prostředky a zařízení určená pro řešení mimořádných událostí vzniklých v důsledku teroristického útoku či zajištění dlouhodobé evakuace osob s nouzovým přežitím, jde o techniku, věcné prostředky a zařízení, které složky IZS používají k řešení jiných typů mimořádných událostí. </w:t>
            </w:r>
          </w:p>
          <w:p w14:paraId="296F4DB6" w14:textId="77777777" w:rsidR="00DD3EFA" w:rsidRPr="005A0E7C" w:rsidRDefault="00DD3EFA" w:rsidP="00B15ECB">
            <w:pPr>
              <w:spacing w:before="60" w:after="60"/>
            </w:pPr>
          </w:p>
          <w:p w14:paraId="2E04FEE2" w14:textId="77777777" w:rsidR="00DD3EFA" w:rsidRPr="005A0E7C" w:rsidRDefault="00DD3EFA" w:rsidP="00B15ECB">
            <w:pPr>
              <w:spacing w:before="60" w:after="60"/>
            </w:pPr>
            <w:r w:rsidRPr="005A0E7C">
              <w:t xml:space="preserve">Inovativnost plánovaných aktivit cíle Ochrana obyvatelstva spočívá také v možnosti využití nových a speciálních technologií, které složky IZS dosud v zásahové činnosti nevyužívaly nebo je využívají jen ve velmi omezeném rozsahu/počtu. Jako příklad může být uvedeno např. </w:t>
            </w:r>
          </w:p>
          <w:p w14:paraId="10B2EDAF" w14:textId="77777777" w:rsidR="00DD3EFA" w:rsidRPr="005A0E7C" w:rsidRDefault="00DD3EFA" w:rsidP="00391907">
            <w:pPr>
              <w:pStyle w:val="Odstavecseseznamem"/>
              <w:numPr>
                <w:ilvl w:val="0"/>
                <w:numId w:val="59"/>
              </w:numPr>
              <w:spacing w:before="60" w:after="60"/>
              <w:jc w:val="both"/>
            </w:pPr>
            <w:r w:rsidRPr="005A0E7C">
              <w:t xml:space="preserve">v oblasti změny klimatu: cisterny určené pro velkoobjemové hašení, které budou na terénním podvozku a budou zodolněné proti sálavému teplu a proti větvím stromů (lesní hasicí speciál); </w:t>
            </w:r>
          </w:p>
          <w:p w14:paraId="3B551449" w14:textId="77777777" w:rsidR="00DD3EFA" w:rsidRPr="005A0E7C" w:rsidRDefault="00DD3EFA" w:rsidP="00391907">
            <w:pPr>
              <w:pStyle w:val="Odstavecseseznamem"/>
              <w:numPr>
                <w:ilvl w:val="0"/>
                <w:numId w:val="59"/>
              </w:numPr>
              <w:spacing w:before="60" w:after="60"/>
              <w:jc w:val="both"/>
            </w:pPr>
            <w:r w:rsidRPr="005A0E7C">
              <w:t>v oblasti antropogenních rizik – úniky nebezpečných látek: speciální technický automobil určený pro havárie v dopravě a u středně velkých stabilních zdrojů (výroba, skladování) nebezpečných látek, prostředky na zachycování ropných látek na vodní hladině, prostředky na dekontaminaci zasažených osob, detekci nebezpečných látek apod.</w:t>
            </w:r>
          </w:p>
          <w:p w14:paraId="49F819D3" w14:textId="77777777" w:rsidR="00DD3EFA" w:rsidRPr="005A0E7C" w:rsidRDefault="00DD3EFA" w:rsidP="00B15ECB">
            <w:pPr>
              <w:spacing w:before="60" w:after="60"/>
              <w:rPr>
                <w:rFonts w:eastAsiaTheme="majorEastAsia"/>
              </w:rPr>
            </w:pPr>
            <w:r w:rsidRPr="005A0E7C">
              <w:rPr>
                <w:rFonts w:eastAsiaTheme="majorEastAsia"/>
              </w:rPr>
              <w:t>V rámci rozvoje prevence kriminality dojde kromě návaznosti na stávající opatření k rozšíření cílových skupin, posílení zaměření na oběti trestné činnosti a k zavádění inovativních metod prevence kriminality zvláště v sociálně vyloučených lokalitách a v kyberprostoru.</w:t>
            </w:r>
          </w:p>
          <w:p w14:paraId="4E037D4E" w14:textId="77777777" w:rsidR="00DD3EFA" w:rsidRPr="005A0E7C" w:rsidRDefault="00DD3EFA" w:rsidP="00B15ECB">
            <w:pPr>
              <w:spacing w:before="60" w:after="60"/>
              <w:rPr>
                <w:rFonts w:eastAsiaTheme="majorEastAsia"/>
              </w:rPr>
            </w:pPr>
            <w:r w:rsidRPr="005A0E7C">
              <w:rPr>
                <w:rFonts w:eastAsiaTheme="majorEastAsia"/>
              </w:rPr>
              <w:t>V oblasti zapojení dobrovolníků (např. při mimořádných událostech, resocializaci pachatelů a postperitenciární péči, posytování pomoci a podpory objetem kriminality či osobám ohroženým kriminálně rizikovými faktory, zejména dětem) bude věnována systémovější podpora dobrovolnictví ze strany veřejné moci a zvyšování motivace osob a organizací k zapojení se do realizace a koordinace dobrovolnických aktivit a rovněž lepší koordinace a metodická podpora.</w:t>
            </w:r>
          </w:p>
          <w:p w14:paraId="76EB0860" w14:textId="77777777" w:rsidR="00DD3EFA" w:rsidRPr="005A0E7C" w:rsidRDefault="00DD3EFA" w:rsidP="00B15ECB">
            <w:pPr>
              <w:spacing w:before="60" w:after="60" w:line="259" w:lineRule="auto"/>
              <w:rPr>
                <w:rFonts w:eastAsiaTheme="majorEastAsia"/>
              </w:rPr>
            </w:pPr>
            <w:r w:rsidRPr="005A0E7C">
              <w:rPr>
                <w:rFonts w:eastAsiaTheme="majorEastAsia"/>
              </w:rPr>
              <w:t>V oblasti prevence kriminality a vzniku souvisejících mimořádných událostí bude podporováno zavádění nových způsobů vzdělávání obyvatelstva za účelem jeho zatraktivnění u všech věkových skupin, například s využitím interakce s prostředím a další.</w:t>
            </w:r>
          </w:p>
        </w:tc>
        <w:tc>
          <w:tcPr>
            <w:tcW w:w="249" w:type="dxa"/>
            <w:tcBorders>
              <w:top w:val="nil"/>
              <w:bottom w:val="nil"/>
            </w:tcBorders>
            <w:shd w:val="clear" w:color="auto" w:fill="66CCFF"/>
          </w:tcPr>
          <w:p w14:paraId="31AD526C" w14:textId="77777777" w:rsidR="00DD3EFA" w:rsidRPr="005A0E7C" w:rsidRDefault="00DD3EFA" w:rsidP="00B15ECB">
            <w:pPr>
              <w:rPr>
                <w:b/>
              </w:rPr>
            </w:pPr>
          </w:p>
        </w:tc>
      </w:tr>
      <w:tr w:rsidR="00DD3EFA" w:rsidRPr="005A0E7C" w14:paraId="2A7B6F3E" w14:textId="77777777" w:rsidTr="00B15ECB">
        <w:trPr>
          <w:trHeight w:val="272"/>
        </w:trPr>
        <w:tc>
          <w:tcPr>
            <w:tcW w:w="249" w:type="dxa"/>
            <w:tcBorders>
              <w:top w:val="nil"/>
              <w:bottom w:val="nil"/>
              <w:right w:val="nil"/>
            </w:tcBorders>
            <w:shd w:val="clear" w:color="auto" w:fill="66CCFF"/>
          </w:tcPr>
          <w:p w14:paraId="6635ACBB"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343070C1" w14:textId="77777777" w:rsidR="00DD3EFA" w:rsidRPr="002D2123"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1626864"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774B9AB8" w14:textId="77777777" w:rsidR="00DD3EFA" w:rsidRPr="005A0E7C" w:rsidRDefault="00DD3EFA" w:rsidP="00B15ECB">
            <w:pPr>
              <w:rPr>
                <w:b/>
              </w:rPr>
            </w:pPr>
          </w:p>
        </w:tc>
      </w:tr>
      <w:tr w:rsidR="00DD3EFA" w:rsidRPr="005A0E7C" w14:paraId="1164DEB3" w14:textId="77777777" w:rsidTr="00B15ECB">
        <w:trPr>
          <w:trHeight w:val="835"/>
        </w:trPr>
        <w:tc>
          <w:tcPr>
            <w:tcW w:w="249" w:type="dxa"/>
            <w:tcBorders>
              <w:top w:val="nil"/>
              <w:bottom w:val="nil"/>
            </w:tcBorders>
            <w:shd w:val="clear" w:color="auto" w:fill="66CCFF"/>
          </w:tcPr>
          <w:p w14:paraId="5C6774AA" w14:textId="77777777" w:rsidR="00DD3EFA" w:rsidRPr="002D2123" w:rsidRDefault="00DD3EFA" w:rsidP="00B15ECB">
            <w:pPr>
              <w:spacing w:after="160" w:line="259" w:lineRule="auto"/>
              <w:rPr>
                <w:b/>
                <w:sz w:val="10"/>
                <w:highlight w:val="yellow"/>
              </w:rPr>
            </w:pPr>
          </w:p>
        </w:tc>
        <w:tc>
          <w:tcPr>
            <w:tcW w:w="2548" w:type="dxa"/>
            <w:tcBorders>
              <w:top w:val="single" w:sz="4" w:space="0" w:color="auto"/>
              <w:bottom w:val="single" w:sz="4" w:space="0" w:color="auto"/>
            </w:tcBorders>
            <w:shd w:val="clear" w:color="auto" w:fill="auto"/>
          </w:tcPr>
          <w:p w14:paraId="07F3811E" w14:textId="77777777" w:rsidR="00DD3EFA" w:rsidRPr="002D2123" w:rsidRDefault="00DD3EFA" w:rsidP="00B15ECB">
            <w:pPr>
              <w:spacing w:before="60" w:after="60"/>
              <w:rPr>
                <w:rFonts w:eastAsiaTheme="majorEastAsia"/>
                <w:b/>
              </w:rPr>
            </w:pPr>
            <w:r w:rsidRPr="002D2123">
              <w:rPr>
                <w:rFonts w:eastAsiaTheme="majorEastAsia"/>
                <w:b/>
              </w:rPr>
              <w:t>Dílčí cíle podpory</w:t>
            </w:r>
          </w:p>
          <w:p w14:paraId="23AD09D5" w14:textId="77777777" w:rsidR="00DD3EFA" w:rsidRPr="002D2123" w:rsidRDefault="00DD3EFA" w:rsidP="00B15ECB">
            <w:pPr>
              <w:spacing w:before="60" w:after="60" w:line="259" w:lineRule="auto"/>
              <w:rPr>
                <w:b/>
                <w:highlight w:val="yellow"/>
              </w:rPr>
            </w:pPr>
          </w:p>
        </w:tc>
        <w:tc>
          <w:tcPr>
            <w:tcW w:w="5978" w:type="dxa"/>
            <w:tcBorders>
              <w:top w:val="single" w:sz="4" w:space="0" w:color="auto"/>
              <w:bottom w:val="single" w:sz="4" w:space="0" w:color="auto"/>
            </w:tcBorders>
            <w:shd w:val="clear" w:color="auto" w:fill="auto"/>
          </w:tcPr>
          <w:p w14:paraId="405EF11E" w14:textId="77777777" w:rsidR="00DD3EFA" w:rsidRPr="005A0E7C" w:rsidRDefault="00DD3EFA" w:rsidP="00B15ECB">
            <w:pPr>
              <w:spacing w:before="60" w:after="60" w:line="259" w:lineRule="auto"/>
              <w:rPr>
                <w:b/>
                <w:u w:val="single"/>
              </w:rPr>
            </w:pPr>
            <w:r w:rsidRPr="005A0E7C">
              <w:rPr>
                <w:b/>
                <w:u w:val="single"/>
              </w:rPr>
              <w:t>Koncepce ochrany obyvatelstva do roku 2020 s výhledem do r. 2030</w:t>
            </w:r>
          </w:p>
          <w:p w14:paraId="1554E358" w14:textId="77777777" w:rsidR="00DD3EFA" w:rsidRPr="005A0E7C" w:rsidRDefault="00DD3EFA" w:rsidP="00B15ECB">
            <w:pPr>
              <w:spacing w:before="60" w:after="60" w:line="259" w:lineRule="auto"/>
            </w:pPr>
            <w:r w:rsidRPr="005A0E7C">
              <w:t>(schválená usnesením vlády ČR ze dne 23. října 2013 č. 805)</w:t>
            </w:r>
          </w:p>
          <w:p w14:paraId="74A25978" w14:textId="575818B3" w:rsidR="00DD3EFA" w:rsidRPr="005A0E7C" w:rsidRDefault="00203AE0" w:rsidP="00391907">
            <w:pPr>
              <w:pStyle w:val="Odstavecseseznamem"/>
              <w:numPr>
                <w:ilvl w:val="0"/>
                <w:numId w:val="61"/>
              </w:numPr>
              <w:spacing w:before="60" w:after="60"/>
              <w:jc w:val="both"/>
            </w:pPr>
            <w:r w:rsidRPr="005A0E7C">
              <w:t xml:space="preserve">„Přizpůsobit stávající </w:t>
            </w:r>
            <w:r w:rsidR="00DD3EFA" w:rsidRPr="005A0E7C">
              <w:t>úkoly  na  rizika  a  hrozby  a  zvýšit  připravenost systému ochrany obyvatelstva na řešení mimořádných událostí nebo krizových situací.“</w:t>
            </w:r>
          </w:p>
          <w:p w14:paraId="134F3AC5" w14:textId="2AB27C82" w:rsidR="00DD3EFA" w:rsidRPr="005A0E7C" w:rsidRDefault="00DD3EFA" w:rsidP="00391907">
            <w:pPr>
              <w:pStyle w:val="Odstavecseseznamem"/>
              <w:numPr>
                <w:ilvl w:val="0"/>
                <w:numId w:val="60"/>
              </w:numPr>
              <w:spacing w:before="60" w:after="60"/>
              <w:jc w:val="both"/>
            </w:pPr>
            <w:r w:rsidRPr="005A0E7C">
              <w:t>„Optimalizovat systém ochrany obyvatelstva, který bude schopen</w:t>
            </w:r>
            <w:r w:rsidR="00203AE0" w:rsidRPr="005A0E7C">
              <w:t xml:space="preserve"> </w:t>
            </w:r>
            <w:r w:rsidRPr="005A0E7C">
              <w:t>adekvátně reagovat jak na existující, tak  n</w:t>
            </w:r>
            <w:r w:rsidR="00203AE0" w:rsidRPr="005A0E7C">
              <w:t xml:space="preserve">a  nově  poznané (pojmenované, </w:t>
            </w:r>
            <w:r w:rsidRPr="005A0E7C">
              <w:t>určené)  hrozby  s cílem  těmto  hrozbám přecházet  a  být připraven  na  jejich  odvrácení  a  minimalizaci z nich  vyplývajících  rizik.“</w:t>
            </w:r>
          </w:p>
          <w:p w14:paraId="618E59E0" w14:textId="77777777" w:rsidR="00DD3EFA" w:rsidRPr="005A0E7C" w:rsidRDefault="00DD3EFA" w:rsidP="00391907">
            <w:pPr>
              <w:pStyle w:val="Odstavecseseznamem"/>
              <w:numPr>
                <w:ilvl w:val="0"/>
                <w:numId w:val="60"/>
              </w:numPr>
              <w:spacing w:before="60" w:after="60"/>
              <w:jc w:val="both"/>
            </w:pPr>
            <w:r w:rsidRPr="005A0E7C">
              <w:t>...„soustavně  posilovat  akceschopnost  složek  IZS  v jejich  rychlé  reakci  na  různé  druhy mimořádných  událostí  a  krizových situací  s cílem  efektivního  a  rychlého  provedení záchranných prací.“</w:t>
            </w:r>
            <w:r w:rsidRPr="005A0E7C">
              <w:rPr>
                <w:rStyle w:val="Znakapoznpodarou"/>
              </w:rPr>
              <w:footnoteReference w:id="30"/>
            </w:r>
          </w:p>
          <w:p w14:paraId="7A9F7DDC" w14:textId="656C027D" w:rsidR="00DD3EFA" w:rsidRPr="005A0E7C" w:rsidRDefault="00DD3EFA" w:rsidP="00391907">
            <w:pPr>
              <w:pStyle w:val="Odstavecseseznamem"/>
              <w:numPr>
                <w:ilvl w:val="0"/>
                <w:numId w:val="60"/>
              </w:numPr>
              <w:spacing w:before="60" w:after="60"/>
              <w:jc w:val="both"/>
            </w:pPr>
            <w:r w:rsidRPr="005A0E7C">
              <w:t>„Systematicky vytvářet zdroje pro obměnu a nákup nové techniky pro e</w:t>
            </w:r>
            <w:r w:rsidR="00203AE0" w:rsidRPr="005A0E7C">
              <w:t xml:space="preserve">fektivní, účinný a rychlý zásah </w:t>
            </w:r>
            <w:r w:rsidRPr="005A0E7C">
              <w:t>složek integrovaného  záchranného  systému  v souladu  s požadavky na  zajištění  jejich akceschopnosti pro záchranné a likvidační práce na celém území České republiky za využití jak národních tak i mezinárodních zdrojů.“</w:t>
            </w:r>
          </w:p>
          <w:p w14:paraId="53AC52F6" w14:textId="77777777" w:rsidR="00DD3EFA" w:rsidRPr="005A0E7C" w:rsidRDefault="00DD3EFA" w:rsidP="00391907">
            <w:pPr>
              <w:pStyle w:val="Odstavecseseznamem"/>
              <w:numPr>
                <w:ilvl w:val="0"/>
                <w:numId w:val="60"/>
              </w:numPr>
              <w:spacing w:before="60" w:after="60"/>
              <w:jc w:val="both"/>
            </w:pPr>
            <w:r w:rsidRPr="005A0E7C">
              <w:t>„Rozšiřovat  využívání  infrastruktury jednotného systému varování  a  informování  obyvatelstva o další funkcionality  (např. s podporou instalace snímačů sběru dat realizovat přenos dat od čidel detekujících nebezpečné látky, čidel měření výšky vodní hladiny nebo srážkoměrů).“</w:t>
            </w:r>
            <w:r w:rsidRPr="005A0E7C">
              <w:rPr>
                <w:rStyle w:val="Znakapoznpodarou"/>
              </w:rPr>
              <w:footnoteReference w:id="31"/>
            </w:r>
            <w:r w:rsidRPr="005A0E7C">
              <w:t xml:space="preserve"> atd.</w:t>
            </w:r>
          </w:p>
          <w:p w14:paraId="78CB0167" w14:textId="77777777" w:rsidR="00DD3EFA" w:rsidRPr="005A0E7C" w:rsidRDefault="00DD3EFA" w:rsidP="00B15ECB">
            <w:pPr>
              <w:spacing w:before="60" w:after="60" w:line="259" w:lineRule="auto"/>
            </w:pPr>
          </w:p>
          <w:p w14:paraId="1F01BEB0" w14:textId="77777777" w:rsidR="00DD3EFA" w:rsidRPr="005A0E7C" w:rsidRDefault="00DD3EFA" w:rsidP="00B15ECB">
            <w:pPr>
              <w:spacing w:before="60" w:after="60" w:line="259" w:lineRule="auto"/>
              <w:rPr>
                <w:b/>
                <w:u w:val="single"/>
              </w:rPr>
            </w:pPr>
            <w:r w:rsidRPr="005A0E7C">
              <w:rPr>
                <w:b/>
                <w:u w:val="single"/>
              </w:rPr>
              <w:t>Analýza hrozeb pro Českou republiku – závěrečná zpráva</w:t>
            </w:r>
          </w:p>
          <w:p w14:paraId="20FD1991" w14:textId="77777777" w:rsidR="00DD3EFA" w:rsidRPr="005A0E7C" w:rsidRDefault="00DD3EFA" w:rsidP="00B15ECB">
            <w:pPr>
              <w:spacing w:before="60" w:after="60" w:line="259" w:lineRule="auto"/>
            </w:pPr>
            <w:r w:rsidRPr="005A0E7C">
              <w:t>(schválena usnesením vlády ČR ze dne 27. dubna 2016 č. 369)</w:t>
            </w:r>
          </w:p>
          <w:p w14:paraId="28CA88EC" w14:textId="77777777" w:rsidR="00DD3EFA" w:rsidRPr="005A0E7C" w:rsidRDefault="00DD3EFA" w:rsidP="00B15ECB">
            <w:pPr>
              <w:spacing w:before="60" w:after="60"/>
            </w:pPr>
            <w:r w:rsidRPr="005A0E7C">
              <w:t>Tato strategie ve své závěrečné zprávě</w:t>
            </w:r>
            <w:r w:rsidRPr="005A0E7C">
              <w:rPr>
                <w:rStyle w:val="Znakapoznpodarou"/>
              </w:rPr>
              <w:footnoteReference w:id="32"/>
            </w:r>
            <w:r w:rsidRPr="005A0E7C">
              <w:t xml:space="preserve"> vymezuje typy nebezpečí s nepřijatelným rizikem v členění na naturogenní (biotické, abiotické) a antropogenní (technogenní, sociogenní a ekonomické) – tabulka převzata z materiálu:</w:t>
            </w:r>
          </w:p>
          <w:p w14:paraId="27F02B14" w14:textId="77777777" w:rsidR="00DD3EFA" w:rsidRPr="005A0E7C" w:rsidRDefault="00DD3EFA" w:rsidP="00B15ECB">
            <w:pPr>
              <w:spacing w:before="60" w:after="60"/>
            </w:pPr>
            <w:r w:rsidRPr="005A0E7C">
              <w:rPr>
                <w:noProof/>
                <w:lang w:eastAsia="cs-CZ"/>
              </w:rPr>
              <w:drawing>
                <wp:inline distT="0" distB="0" distL="0" distR="0" wp14:anchorId="38C1989B" wp14:editId="76084C85">
                  <wp:extent cx="3658870" cy="32575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8870" cy="3257550"/>
                          </a:xfrm>
                          <a:prstGeom prst="rect">
                            <a:avLst/>
                          </a:prstGeom>
                        </pic:spPr>
                      </pic:pic>
                    </a:graphicData>
                  </a:graphic>
                </wp:inline>
              </w:drawing>
            </w:r>
          </w:p>
          <w:p w14:paraId="43B16320" w14:textId="77777777" w:rsidR="00DD3EFA" w:rsidRPr="005A0E7C" w:rsidRDefault="00DD3EFA" w:rsidP="00B15ECB">
            <w:pPr>
              <w:spacing w:before="60" w:after="60" w:line="259" w:lineRule="auto"/>
            </w:pPr>
            <w:r w:rsidRPr="005A0E7C">
              <w:t>V kap. 4 Závěry se uvádí mj., že „Na  celostátní  úrovni  bylo identifikováno  celkem  72  typů  nebezpečí,  z toho 22 bylo označeno  jako  nebezpečí  s nepřijatelným  rizikem,  kterým  je nutné  věnovat  na  jednotlivých stupních veřejné správy prioritní pozornost. Jedná se jak o situace, s jejichž řešením má Česká republika reálné zkušenosti, tak o situace, které v našich podmínkách dosud nenastaly, ale je přesto nutné s ohledem  na úroveň rizika  přijímat  opatření  vedoucí  k jejich eliminaci např. narušení zákonnosti velkého rozsahu, v rámci které je obsažena také problematika terorismu).“</w:t>
            </w:r>
          </w:p>
          <w:p w14:paraId="073499B2" w14:textId="77777777" w:rsidR="00DD3EFA" w:rsidRPr="005A0E7C" w:rsidRDefault="00DD3EFA" w:rsidP="00B15ECB">
            <w:pPr>
              <w:spacing w:before="60" w:after="60" w:line="259" w:lineRule="auto"/>
              <w:rPr>
                <w:highlight w:val="yellow"/>
                <w:u w:val="single"/>
              </w:rPr>
            </w:pPr>
          </w:p>
          <w:p w14:paraId="07F8F7B1" w14:textId="77777777" w:rsidR="00DD3EFA" w:rsidRPr="005A0E7C" w:rsidRDefault="00DD3EFA" w:rsidP="00B15ECB">
            <w:pPr>
              <w:spacing w:before="60" w:after="60" w:line="259" w:lineRule="auto"/>
              <w:rPr>
                <w:b/>
              </w:rPr>
            </w:pPr>
            <w:r w:rsidRPr="005A0E7C">
              <w:rPr>
                <w:b/>
              </w:rPr>
              <w:t>Strategie přizpůsobení se změně klimatu v podmínkách ČR</w:t>
            </w:r>
          </w:p>
          <w:p w14:paraId="7542F35A" w14:textId="77777777" w:rsidR="00DD3EFA" w:rsidRPr="005A0E7C" w:rsidRDefault="00DD3EFA" w:rsidP="00B15ECB">
            <w:pPr>
              <w:spacing w:before="60" w:after="60" w:line="259" w:lineRule="auto"/>
            </w:pPr>
            <w:r w:rsidRPr="005A0E7C">
              <w:t>Hlavní doporučení:</w:t>
            </w:r>
          </w:p>
          <w:p w14:paraId="247EAA6D" w14:textId="77777777" w:rsidR="00DD3EFA" w:rsidRPr="005A0E7C" w:rsidRDefault="00DD3EFA" w:rsidP="00B15ECB">
            <w:pPr>
              <w:spacing w:before="60" w:after="60" w:line="259" w:lineRule="auto"/>
            </w:pPr>
            <w:r w:rsidRPr="005A0E7C">
              <w:t>Adaptační  opatření  spočívají  zejména  v  podpoře  rozvoje ochrany  obyvatelstva  a  životního  prostředí, a to integrovaného systému predikce mimořádných událostí, systému varování a vyrozumění obyvatel, integrovaného záchranného systému, ochrany kritické infrastruktury a environmentální bezpečnosti.</w:t>
            </w:r>
          </w:p>
          <w:p w14:paraId="2A5CCC46" w14:textId="77777777" w:rsidR="00DD3EFA" w:rsidRPr="005A0E7C" w:rsidRDefault="00DD3EFA" w:rsidP="00B15ECB">
            <w:pPr>
              <w:spacing w:before="60" w:after="60" w:line="259" w:lineRule="auto"/>
              <w:rPr>
                <w:strike/>
              </w:rPr>
            </w:pPr>
            <w:r w:rsidRPr="005A0E7C">
              <w:t>Adaptační opatření musí být činěna tak, aby veřejná správa byla schopná efektivně zabezpečit připravenost na všechny relevantní druhy mimořádných událostí, i na účinnou odezvu. Tato opatření musí být činěna v zájmu zajištění rychlé odezvy na vzniklé mimořádné události s cílem dosáhnout maximální účinnosti ochrany života postiženého obyvatelstva  a infrastruktury  zajišťující  jeho  přežití.</w:t>
            </w:r>
            <w:r w:rsidRPr="005A0E7C">
              <w:rPr>
                <w:rStyle w:val="Znakapoznpodarou"/>
              </w:rPr>
              <w:footnoteReference w:id="33"/>
            </w:r>
            <w:r w:rsidRPr="005A0E7C">
              <w:rPr>
                <w:b/>
              </w:rPr>
              <w:t xml:space="preserve"> </w:t>
            </w:r>
          </w:p>
          <w:p w14:paraId="6130A40A" w14:textId="77777777" w:rsidR="00DD3EFA" w:rsidRPr="005A0E7C" w:rsidRDefault="00DD3EFA" w:rsidP="00B15ECB">
            <w:pPr>
              <w:spacing w:before="60" w:after="60"/>
              <w:rPr>
                <w:rFonts w:eastAsiaTheme="majorEastAsia"/>
              </w:rPr>
            </w:pPr>
          </w:p>
          <w:p w14:paraId="22120E38" w14:textId="77777777" w:rsidR="00DD3EFA" w:rsidRPr="005A0E7C" w:rsidRDefault="00DD3EFA" w:rsidP="00B15ECB">
            <w:pPr>
              <w:spacing w:before="60" w:after="60"/>
              <w:rPr>
                <w:rFonts w:eastAsiaTheme="majorEastAsia"/>
                <w:b/>
                <w:u w:val="single"/>
              </w:rPr>
            </w:pPr>
            <w:r w:rsidRPr="005A0E7C">
              <w:rPr>
                <w:rFonts w:eastAsiaTheme="majorEastAsia"/>
                <w:b/>
                <w:u w:val="single"/>
              </w:rPr>
              <w:t>Řešení mimořádných událostí v souvislosti s teroristickými útoky, úniky nebezpečných látek, zajištění nouzového přežití obyvatelstva – příklady konkrétních možných opatření a výstupů:</w:t>
            </w:r>
          </w:p>
          <w:p w14:paraId="29B8341D" w14:textId="77777777" w:rsidR="00DD3EFA" w:rsidRPr="005A0E7C" w:rsidRDefault="00DD3EFA" w:rsidP="00B15ECB">
            <w:pPr>
              <w:spacing w:before="60" w:after="60"/>
              <w:rPr>
                <w:rFonts w:eastAsiaTheme="majorEastAsia"/>
              </w:rPr>
            </w:pPr>
            <w:r w:rsidRPr="005A0E7C">
              <w:rPr>
                <w:rFonts w:eastAsiaTheme="majorEastAsia"/>
              </w:rPr>
              <w:t>• speciální technika pro odstraňování následků explozí nebo účinků chemických látek v souvislosti s teroristickými útoky;</w:t>
            </w:r>
          </w:p>
          <w:p w14:paraId="1AB4181A" w14:textId="77777777" w:rsidR="00DD3EFA" w:rsidRPr="005A0E7C" w:rsidRDefault="00DD3EFA" w:rsidP="00B15ECB">
            <w:pPr>
              <w:spacing w:before="60" w:after="60"/>
              <w:rPr>
                <w:rFonts w:eastAsiaTheme="majorEastAsia"/>
              </w:rPr>
            </w:pPr>
            <w:r w:rsidRPr="005A0E7C">
              <w:rPr>
                <w:rFonts w:eastAsiaTheme="majorEastAsia"/>
              </w:rPr>
              <w:t>• speciální technika a věcné prostředky pro hašení rozsáhlých požárů průmyslových objektů a v dispozičně složitých či výškových budovách (vč. techniky s možností pro ovlivnění výměny atmosféry v zasažených objektech);</w:t>
            </w:r>
          </w:p>
          <w:p w14:paraId="0A0D4F93" w14:textId="77777777" w:rsidR="00DD3EFA" w:rsidRPr="005A0E7C" w:rsidRDefault="00DD3EFA" w:rsidP="00B15ECB">
            <w:pPr>
              <w:spacing w:before="60" w:after="60"/>
              <w:rPr>
                <w:rFonts w:eastAsiaTheme="majorEastAsia"/>
              </w:rPr>
            </w:pPr>
            <w:r w:rsidRPr="005A0E7C">
              <w:rPr>
                <w:rFonts w:eastAsiaTheme="majorEastAsia"/>
              </w:rPr>
              <w:t>• speciální technika a věcné prostředky pro likvidaci kontaminovaných míst, zraněných osob a komunální infrastruktury měst kontaminované nebezpečnými látkami použitými při teroristickém útoku (vč. CBRN = chemické, biologické, radiologické a jaderné látky);</w:t>
            </w:r>
          </w:p>
          <w:p w14:paraId="3BB281BC" w14:textId="77777777" w:rsidR="00DD3EFA" w:rsidRPr="005A0E7C" w:rsidRDefault="00DD3EFA" w:rsidP="00B15ECB">
            <w:pPr>
              <w:spacing w:before="60" w:after="60"/>
              <w:rPr>
                <w:rFonts w:eastAsiaTheme="majorEastAsia"/>
              </w:rPr>
            </w:pPr>
            <w:r w:rsidRPr="005A0E7C">
              <w:rPr>
                <w:rFonts w:eastAsiaTheme="majorEastAsia"/>
              </w:rPr>
              <w:t>• speciální technika a věcné prostředky pro rychlou a mobilní detekci nebezpečných látek včetně spektra látek CBRN na místech zásahu HZS ČR a vybavení prostředky a technikou pro ochranu personálu HZS ČR umožňující jeho dlouhodobé a bezpečné nasazení a ochranu před účinky nebezpečných látek použitých při teroristickém útoku;</w:t>
            </w:r>
          </w:p>
          <w:p w14:paraId="4A27E023" w14:textId="77777777" w:rsidR="00DD3EFA" w:rsidRPr="005A0E7C" w:rsidRDefault="00DD3EFA" w:rsidP="00B15ECB">
            <w:pPr>
              <w:spacing w:before="60" w:after="60"/>
              <w:rPr>
                <w:rFonts w:eastAsiaTheme="majorEastAsia"/>
              </w:rPr>
            </w:pPr>
            <w:r w:rsidRPr="005A0E7C">
              <w:rPr>
                <w:rFonts w:eastAsiaTheme="majorEastAsia"/>
              </w:rPr>
              <w:t>• technika, věcné prostředky, kapacity pro zajištění nouzového ubytování obyvatelstva;</w:t>
            </w:r>
          </w:p>
          <w:p w14:paraId="76CE8C8F" w14:textId="77777777" w:rsidR="00DD3EFA" w:rsidRPr="005A0E7C" w:rsidRDefault="00DD3EFA" w:rsidP="00B15ECB">
            <w:pPr>
              <w:spacing w:before="60" w:after="60"/>
              <w:rPr>
                <w:rFonts w:eastAsiaTheme="majorEastAsia"/>
              </w:rPr>
            </w:pPr>
            <w:r w:rsidRPr="005A0E7C">
              <w:rPr>
                <w:rFonts w:eastAsiaTheme="majorEastAsia"/>
              </w:rPr>
              <w:t>• technika a věcné prostředky pro zajištění nouzových zdrojů pitné vody;</w:t>
            </w:r>
          </w:p>
          <w:p w14:paraId="6CF32EBA" w14:textId="77777777" w:rsidR="00DD3EFA" w:rsidRPr="005A0E7C" w:rsidRDefault="00DD3EFA" w:rsidP="00B15ECB">
            <w:pPr>
              <w:spacing w:before="60" w:after="60"/>
              <w:rPr>
                <w:rFonts w:eastAsiaTheme="majorEastAsia"/>
              </w:rPr>
            </w:pPr>
            <w:r w:rsidRPr="005A0E7C">
              <w:rPr>
                <w:rFonts w:eastAsiaTheme="majorEastAsia"/>
              </w:rPr>
              <w:t>• technika a věcné prostředky pro zjištění nouzových dodávek energií;</w:t>
            </w:r>
          </w:p>
          <w:p w14:paraId="48547B3F" w14:textId="77777777" w:rsidR="00DD3EFA" w:rsidRPr="005A0E7C" w:rsidRDefault="00DD3EFA" w:rsidP="00B15ECB">
            <w:pPr>
              <w:spacing w:before="60" w:after="60"/>
              <w:rPr>
                <w:rFonts w:eastAsiaTheme="majorEastAsia"/>
              </w:rPr>
            </w:pPr>
            <w:r w:rsidRPr="005A0E7C">
              <w:rPr>
                <w:rFonts w:eastAsiaTheme="majorEastAsia"/>
              </w:rPr>
              <w:t>• technika a věcné prostředky pro zajištění nouzového osvětlení potřebného v místě mimořádné události či pro zajištění nouzového přežití evakuovaného obyvatelstva;</w:t>
            </w:r>
          </w:p>
          <w:p w14:paraId="6C090C75" w14:textId="77777777" w:rsidR="00DD3EFA" w:rsidRPr="005A0E7C" w:rsidRDefault="00DD3EFA" w:rsidP="00B15ECB">
            <w:pPr>
              <w:spacing w:before="60" w:after="60"/>
              <w:rPr>
                <w:rFonts w:eastAsiaTheme="majorEastAsia"/>
              </w:rPr>
            </w:pPr>
            <w:r w:rsidRPr="005A0E7C">
              <w:rPr>
                <w:rFonts w:eastAsiaTheme="majorEastAsia"/>
              </w:rPr>
              <w:t>• technika a věcné prostředky k zajištění činnosti dlouhodobé evakuace s nouzovým přežitím, příslušníků HZS ČR;</w:t>
            </w:r>
          </w:p>
          <w:p w14:paraId="322FC5E9" w14:textId="77777777" w:rsidR="00DD3EFA" w:rsidRPr="005A0E7C" w:rsidRDefault="00DD3EFA" w:rsidP="00B15ECB">
            <w:pPr>
              <w:spacing w:before="60" w:after="60"/>
              <w:rPr>
                <w:rFonts w:eastAsiaTheme="majorEastAsia"/>
              </w:rPr>
            </w:pPr>
            <w:r w:rsidRPr="005A0E7C">
              <w:rPr>
                <w:rFonts w:eastAsiaTheme="majorEastAsia"/>
              </w:rPr>
              <w:t>• obměna elektrických koncových prvků varování (rotačních sirén) a jejich náhrada sirénami elektronickými.</w:t>
            </w:r>
          </w:p>
          <w:p w14:paraId="6DC85A94" w14:textId="77777777" w:rsidR="00DD3EFA" w:rsidRPr="005A0E7C" w:rsidRDefault="00DD3EFA" w:rsidP="00B15ECB">
            <w:pPr>
              <w:spacing w:before="60" w:after="60"/>
              <w:rPr>
                <w:rFonts w:eastAsiaTheme="majorEastAsia"/>
              </w:rPr>
            </w:pPr>
          </w:p>
          <w:p w14:paraId="3A47BEED" w14:textId="77777777" w:rsidR="00DD3EFA" w:rsidRPr="005A0E7C" w:rsidRDefault="00DD3EFA" w:rsidP="00B15ECB">
            <w:pPr>
              <w:spacing w:before="60" w:after="60"/>
              <w:rPr>
                <w:b/>
                <w:u w:val="single"/>
              </w:rPr>
            </w:pPr>
            <w:r w:rsidRPr="005A0E7C">
              <w:rPr>
                <w:b/>
                <w:u w:val="single"/>
              </w:rPr>
              <w:t>Teroristické útoky (boj proti terorismu)</w:t>
            </w:r>
          </w:p>
          <w:p w14:paraId="6D7457F2" w14:textId="77777777" w:rsidR="00DD3EFA" w:rsidRPr="005A0E7C" w:rsidRDefault="00DD3EFA" w:rsidP="00B15ECB">
            <w:pPr>
              <w:spacing w:before="60" w:after="60"/>
            </w:pPr>
            <w:r w:rsidRPr="005A0E7C">
              <w:t xml:space="preserve">Dílčí cíle podpory jsou uvedeny především ve strategickém materiálu Audit národní bezpečnosti, a to jak v podkapitole terorismus, tak v podkapitole extremismus. Tyto cíle jsou rovněž vyjádřeny dílčím způsobem v Koncepci rozvoje Policie ČR do roku 2020 v opatření 3.3.1 „Boj s terorismem“. Jako stěžejní dílčí cíle podpory uvedené v těchto dokumentech lze označit následující: </w:t>
            </w:r>
          </w:p>
          <w:p w14:paraId="235ED48E"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zvýšení připravenosti Policie ČR v oblasti ochrany měkkých cílů</w:t>
            </w:r>
          </w:p>
          <w:p w14:paraId="080D05F5"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 xml:space="preserve">zvýšení schopností pronikání do extremistických </w:t>
            </w:r>
            <w:r w:rsidRPr="005A0E7C">
              <w:rPr>
                <w:color w:val="000000"/>
              </w:rPr>
              <w:br/>
              <w:t xml:space="preserve">a teroristických organizací </w:t>
            </w:r>
          </w:p>
          <w:p w14:paraId="76AA4E95"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zvýšená schopnost Policie ČR odhalovat projevy radikalizace ve vězeňských zařízeních</w:t>
            </w:r>
          </w:p>
          <w:p w14:paraId="7E95AE60" w14:textId="77777777" w:rsidR="00DD3EFA" w:rsidRPr="005A0E7C" w:rsidRDefault="00DD3EFA" w:rsidP="00B15ECB">
            <w:pPr>
              <w:spacing w:before="60" w:after="60"/>
              <w:rPr>
                <w:u w:val="single"/>
              </w:rPr>
            </w:pPr>
            <w:r w:rsidRPr="005A0E7C">
              <w:rPr>
                <w:u w:val="single"/>
              </w:rPr>
              <w:t xml:space="preserve">Příklady konkrétních možných opatření a výstupů: </w:t>
            </w:r>
          </w:p>
          <w:p w14:paraId="4F4F89A4" w14:textId="77777777" w:rsidR="00DD3EFA" w:rsidRPr="005A0E7C" w:rsidRDefault="00DD3EFA" w:rsidP="00391907">
            <w:pPr>
              <w:pStyle w:val="Odstavecseseznamem"/>
              <w:numPr>
                <w:ilvl w:val="0"/>
                <w:numId w:val="57"/>
              </w:numPr>
              <w:spacing w:before="60" w:after="60"/>
              <w:ind w:left="352" w:hanging="284"/>
              <w:jc w:val="both"/>
              <w:rPr>
                <w:b/>
              </w:rPr>
            </w:pPr>
            <w:r w:rsidRPr="005A0E7C">
              <w:rPr>
                <w:lang w:eastAsia="cs-CZ"/>
              </w:rPr>
              <w:t>speciální velitelská vozidla a bezpilotní letecké prostředky vybavené ICT technologiemi pro účely boje proti terorismu</w:t>
            </w:r>
            <w:r w:rsidRPr="005A0E7C">
              <w:rPr>
                <w:lang w:eastAsia="cs-CZ"/>
              </w:rPr>
              <w:br/>
              <w:t>a extremismu</w:t>
            </w:r>
          </w:p>
          <w:p w14:paraId="396040A7" w14:textId="77777777" w:rsidR="00DD3EFA" w:rsidRPr="005A0E7C" w:rsidRDefault="00DD3EFA" w:rsidP="00391907">
            <w:pPr>
              <w:numPr>
                <w:ilvl w:val="0"/>
                <w:numId w:val="57"/>
              </w:numPr>
              <w:spacing w:line="252" w:lineRule="auto"/>
              <w:ind w:left="352" w:hanging="284"/>
              <w:contextualSpacing/>
              <w:jc w:val="both"/>
              <w:rPr>
                <w:lang w:eastAsia="cs-CZ"/>
              </w:rPr>
            </w:pPr>
            <w:r w:rsidRPr="005A0E7C">
              <w:rPr>
                <w:lang w:eastAsia="cs-CZ"/>
              </w:rPr>
              <w:t>vytvoření systému identifikátorů u rizikových osob s propojením na systém opatření s cílem eliminace možných rizik (související změny legislativy nad rámec současného zákona o policii a zákona o trestním řízení)</w:t>
            </w:r>
          </w:p>
          <w:p w14:paraId="3C9D2BF9" w14:textId="77777777" w:rsidR="00DD3EFA" w:rsidRPr="005A0E7C" w:rsidRDefault="00DD3EFA" w:rsidP="00391907">
            <w:pPr>
              <w:numPr>
                <w:ilvl w:val="0"/>
                <w:numId w:val="57"/>
              </w:numPr>
              <w:spacing w:line="252" w:lineRule="auto"/>
              <w:ind w:left="352" w:hanging="284"/>
              <w:contextualSpacing/>
              <w:jc w:val="both"/>
              <w:rPr>
                <w:lang w:eastAsia="cs-CZ"/>
              </w:rPr>
            </w:pPr>
            <w:r w:rsidRPr="005A0E7C">
              <w:rPr>
                <w:rFonts w:eastAsia="Calibri"/>
                <w:lang w:eastAsia="cs-CZ"/>
              </w:rPr>
              <w:t>speciální forenzní a analytický SW a HW (analýza dat z mobilních zařízení a osobních automobilů, prolamování šifrování)</w:t>
            </w:r>
          </w:p>
          <w:p w14:paraId="74ACB91C" w14:textId="77777777" w:rsidR="00DD3EFA" w:rsidRPr="005A0E7C" w:rsidRDefault="00DD3EFA" w:rsidP="00B15ECB">
            <w:pPr>
              <w:spacing w:before="60" w:after="60"/>
              <w:rPr>
                <w:rFonts w:eastAsia="Calibri"/>
                <w:lang w:eastAsia="cs-CZ"/>
              </w:rPr>
            </w:pPr>
          </w:p>
          <w:p w14:paraId="21465638" w14:textId="77777777" w:rsidR="00DD3EFA" w:rsidRPr="005A0E7C" w:rsidRDefault="00DD3EFA" w:rsidP="00B15ECB">
            <w:pPr>
              <w:spacing w:before="60" w:after="60"/>
              <w:rPr>
                <w:b/>
                <w:u w:val="single"/>
              </w:rPr>
            </w:pPr>
            <w:r w:rsidRPr="005A0E7C">
              <w:rPr>
                <w:b/>
                <w:u w:val="single"/>
              </w:rPr>
              <w:t>Boj proti kyberkriminalitě</w:t>
            </w:r>
          </w:p>
          <w:p w14:paraId="22665D50" w14:textId="77777777" w:rsidR="00DD3EFA" w:rsidRPr="005A0E7C" w:rsidRDefault="00DD3EFA" w:rsidP="00B15ECB">
            <w:pPr>
              <w:spacing w:before="60" w:after="60"/>
              <w:rPr>
                <w:b/>
                <w:u w:val="single"/>
              </w:rPr>
            </w:pPr>
            <w:r w:rsidRPr="005A0E7C">
              <w:t>Stěžejní dílčí cíle podpory uvedené především v Koncepci schopnosti Policie ČR vyšetřovat kyberkriminalitu, příp. Koncepci rozvoje Policie ČR do roku 2020:</w:t>
            </w:r>
          </w:p>
          <w:p w14:paraId="4C169E07"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zvýšení schopnosti Policie ČR sledovat technologické trendy u pachatelů a udržet s nimi krok</w:t>
            </w:r>
          </w:p>
          <w:p w14:paraId="1AB955D3"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zajištění dostatečného materiálně-technického vybavení pracovišť Policie ČR pro boj proti kyberkriminalitě</w:t>
            </w:r>
          </w:p>
          <w:p w14:paraId="531E4CFA"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nastavení uceleného systému policejního vzdělávání v oblasti boje proti kyberkriminalitě využívajícího resortních</w:t>
            </w:r>
            <w:r w:rsidRPr="005A0E7C">
              <w:rPr>
                <w:color w:val="000000"/>
              </w:rPr>
              <w:br/>
              <w:t xml:space="preserve">i mimoresortních vzdělávacích kapacit </w:t>
            </w:r>
          </w:p>
          <w:p w14:paraId="4C7BFE0B"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zefektivnění systému spolupráce mezi CSIRT týmy a orgány činnými v trestním řízení a mezinárodní spolupráce s Europolem a ENISA</w:t>
            </w:r>
          </w:p>
          <w:p w14:paraId="4BCDC310"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zajištění výstavby ICT systémů reflektující specifické vedení trestného řízení v rámci kyberkriminality</w:t>
            </w:r>
          </w:p>
          <w:p w14:paraId="2FC11933" w14:textId="77777777" w:rsidR="00DD3EFA" w:rsidRPr="005A0E7C" w:rsidRDefault="00DD3EFA" w:rsidP="00B15ECB">
            <w:pPr>
              <w:spacing w:before="60" w:after="60"/>
              <w:rPr>
                <w:u w:val="single"/>
              </w:rPr>
            </w:pPr>
            <w:r w:rsidRPr="005A0E7C">
              <w:rPr>
                <w:u w:val="single"/>
              </w:rPr>
              <w:t xml:space="preserve">Příklady konkrétních možných opatření a výstupů: </w:t>
            </w:r>
          </w:p>
          <w:p w14:paraId="1DF091F2" w14:textId="77777777" w:rsidR="00DD3EFA" w:rsidRPr="005A0E7C" w:rsidRDefault="00DD3EFA" w:rsidP="00391907">
            <w:pPr>
              <w:numPr>
                <w:ilvl w:val="0"/>
                <w:numId w:val="57"/>
              </w:numPr>
              <w:spacing w:line="252" w:lineRule="auto"/>
              <w:ind w:left="210" w:hanging="210"/>
              <w:contextualSpacing/>
              <w:jc w:val="both"/>
              <w:rPr>
                <w:rFonts w:eastAsia="Calibri"/>
                <w:lang w:eastAsia="cs-CZ"/>
              </w:rPr>
            </w:pPr>
            <w:r w:rsidRPr="005A0E7C">
              <w:rPr>
                <w:rFonts w:eastAsia="Calibri"/>
                <w:lang w:eastAsia="cs-CZ"/>
              </w:rPr>
              <w:t>technologické vybavení výkonných i podpůrných pracovišť na úseku kybernetické kriminality (softwarové vybavení pro analýzu datového toku, zařízení pro uchování datového toku, speciální SW pro sledování komunikace v kyberprostoru)</w:t>
            </w:r>
          </w:p>
          <w:p w14:paraId="311BB147" w14:textId="77777777" w:rsidR="00DD3EFA" w:rsidRPr="005A0E7C" w:rsidRDefault="00DD3EFA" w:rsidP="00391907">
            <w:pPr>
              <w:numPr>
                <w:ilvl w:val="0"/>
                <w:numId w:val="57"/>
              </w:numPr>
              <w:spacing w:line="252" w:lineRule="auto"/>
              <w:ind w:left="210" w:hanging="210"/>
              <w:contextualSpacing/>
              <w:jc w:val="both"/>
              <w:rPr>
                <w:rFonts w:eastAsia="Calibri"/>
                <w:lang w:eastAsia="cs-CZ"/>
              </w:rPr>
            </w:pPr>
            <w:r w:rsidRPr="005A0E7C">
              <w:rPr>
                <w:rFonts w:eastAsia="Calibri"/>
                <w:lang w:eastAsia="cs-CZ"/>
              </w:rPr>
              <w:t>speciální forenzní a analytický SW a HW (analýza dat z mobilních zařízení a osobních automobilů, prolamování šifrování)</w:t>
            </w:r>
          </w:p>
          <w:p w14:paraId="0E6CCBC2" w14:textId="77777777" w:rsidR="00DD3EFA" w:rsidRPr="005A0E7C" w:rsidRDefault="00DD3EFA" w:rsidP="00391907">
            <w:pPr>
              <w:numPr>
                <w:ilvl w:val="0"/>
                <w:numId w:val="57"/>
              </w:numPr>
              <w:spacing w:line="252" w:lineRule="auto"/>
              <w:ind w:left="210" w:hanging="210"/>
              <w:contextualSpacing/>
              <w:jc w:val="both"/>
              <w:rPr>
                <w:rFonts w:eastAsia="Calibri"/>
                <w:lang w:eastAsia="cs-CZ"/>
              </w:rPr>
            </w:pPr>
            <w:r w:rsidRPr="005A0E7C">
              <w:rPr>
                <w:rFonts w:eastAsia="Calibri"/>
                <w:lang w:eastAsia="cs-CZ"/>
              </w:rPr>
              <w:t>zvýšení intenzity výměny informací na národní i mezinárodní úrovni (např. zřízení styčného důstojníka při Europolu se specializací na kyberkriminalitu)</w:t>
            </w:r>
          </w:p>
          <w:p w14:paraId="7ED19894" w14:textId="77777777" w:rsidR="00DD3EFA" w:rsidRPr="005A0E7C" w:rsidRDefault="00DD3EFA" w:rsidP="00B15ECB">
            <w:pPr>
              <w:rPr>
                <w:rFonts w:eastAsia="Calibri"/>
                <w:highlight w:val="yellow"/>
              </w:rPr>
            </w:pPr>
          </w:p>
          <w:p w14:paraId="49D7746E" w14:textId="77777777" w:rsidR="00DD3EFA" w:rsidRPr="005A0E7C" w:rsidRDefault="00DD3EFA" w:rsidP="00B15ECB">
            <w:pPr>
              <w:spacing w:before="60" w:after="60"/>
              <w:rPr>
                <w:b/>
                <w:u w:val="single"/>
              </w:rPr>
            </w:pPr>
            <w:r w:rsidRPr="005A0E7C">
              <w:rPr>
                <w:b/>
                <w:u w:val="single"/>
              </w:rPr>
              <w:t>Migrace</w:t>
            </w:r>
          </w:p>
          <w:p w14:paraId="699A73CE" w14:textId="77777777" w:rsidR="00DD3EFA" w:rsidRPr="005A0E7C" w:rsidRDefault="00DD3EFA" w:rsidP="00B15ECB">
            <w:pPr>
              <w:spacing w:before="60" w:after="60"/>
              <w:rPr>
                <w:b/>
                <w:u w:val="single"/>
              </w:rPr>
            </w:pPr>
            <w:r w:rsidRPr="005A0E7C">
              <w:t>Stěžejní dílčí cíle podpory uvedené především ve Strategii migrační politiky České republiky a Koncepci rozvoje Policie ČR do roku 2020 :</w:t>
            </w:r>
          </w:p>
          <w:p w14:paraId="6559897D"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zefektivnění hraniční kontroly</w:t>
            </w:r>
          </w:p>
          <w:p w14:paraId="36FC7094"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připravenost na vznik jednotek evropské pohraniční a pobřežní stráže na základě nařízení Evropského parlamentu a Rady o Evropské pohraniční a pobřežní stráži</w:t>
            </w:r>
          </w:p>
          <w:p w14:paraId="0D77B463"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připravenost na další bezpečnostní opatření EU (například vznik registračních míst na vnějších hranicích EU)</w:t>
            </w:r>
          </w:p>
          <w:p w14:paraId="444FEC8B" w14:textId="77777777" w:rsidR="00DD3EFA" w:rsidRPr="005A0E7C" w:rsidRDefault="00DD3EFA" w:rsidP="00B15ECB">
            <w:pPr>
              <w:pStyle w:val="Odstavecseseznamem"/>
              <w:autoSpaceDE w:val="0"/>
              <w:autoSpaceDN w:val="0"/>
              <w:adjustRightInd w:val="0"/>
              <w:ind w:left="353"/>
              <w:rPr>
                <w:color w:val="000000"/>
              </w:rPr>
            </w:pPr>
          </w:p>
          <w:p w14:paraId="49325B46" w14:textId="77777777" w:rsidR="00DD3EFA" w:rsidRPr="005A0E7C" w:rsidRDefault="00DD3EFA" w:rsidP="00B15ECB">
            <w:pPr>
              <w:autoSpaceDE w:val="0"/>
              <w:autoSpaceDN w:val="0"/>
              <w:adjustRightInd w:val="0"/>
              <w:rPr>
                <w:u w:val="single"/>
              </w:rPr>
            </w:pPr>
            <w:r w:rsidRPr="005A0E7C">
              <w:rPr>
                <w:u w:val="single"/>
              </w:rPr>
              <w:t>Příklady konkrétních možných opatření a výstupů:</w:t>
            </w:r>
          </w:p>
          <w:p w14:paraId="2BE470E9" w14:textId="77777777" w:rsidR="00DD3EFA" w:rsidRPr="005A0E7C" w:rsidRDefault="00DD3EFA" w:rsidP="00391907">
            <w:pPr>
              <w:pStyle w:val="Textkomente"/>
              <w:numPr>
                <w:ilvl w:val="0"/>
                <w:numId w:val="57"/>
              </w:numPr>
              <w:ind w:left="352" w:hanging="284"/>
            </w:pPr>
            <w:r w:rsidRPr="005A0E7C">
              <w:t>realizované policejní mise a policisté nasazení na vnější schengenské hranici (např. Makedonie, Srbsko, Bulharsko)</w:t>
            </w:r>
          </w:p>
          <w:p w14:paraId="75CC645F" w14:textId="77777777" w:rsidR="00DD3EFA" w:rsidRPr="005A0E7C" w:rsidRDefault="00DD3EFA" w:rsidP="00391907">
            <w:pPr>
              <w:pStyle w:val="Textkomente"/>
              <w:numPr>
                <w:ilvl w:val="0"/>
                <w:numId w:val="57"/>
              </w:numPr>
              <w:autoSpaceDE w:val="0"/>
              <w:autoSpaceDN w:val="0"/>
              <w:adjustRightInd w:val="0"/>
              <w:ind w:left="352" w:hanging="284"/>
              <w:rPr>
                <w:rFonts w:eastAsia="ArialMT"/>
                <w:b/>
              </w:rPr>
            </w:pPr>
            <w:r w:rsidRPr="005A0E7C">
              <w:t xml:space="preserve">zpracované a průběžně aktualizované „Operační plány pro případ znovuzavedení kontrol na státních hranicích“ (pro každý úsek se sousedními státy zvlášť) a „Operační plán pro zřízení registračních míst“ </w:t>
            </w:r>
          </w:p>
          <w:p w14:paraId="3D338686" w14:textId="77777777" w:rsidR="00DD3EFA" w:rsidRPr="005A0E7C" w:rsidRDefault="00DD3EFA" w:rsidP="00B15ECB">
            <w:pPr>
              <w:pStyle w:val="Textkomente"/>
              <w:autoSpaceDE w:val="0"/>
              <w:autoSpaceDN w:val="0"/>
              <w:adjustRightInd w:val="0"/>
              <w:ind w:left="352"/>
              <w:rPr>
                <w:rFonts w:eastAsia="ArialMT"/>
                <w:b/>
              </w:rPr>
            </w:pPr>
          </w:p>
          <w:p w14:paraId="7CBC9FD0" w14:textId="77777777" w:rsidR="00DD3EFA" w:rsidRPr="005A0E7C" w:rsidRDefault="00DD3EFA" w:rsidP="00B15ECB">
            <w:pPr>
              <w:autoSpaceDE w:val="0"/>
              <w:autoSpaceDN w:val="0"/>
              <w:adjustRightInd w:val="0"/>
              <w:rPr>
                <w:rFonts w:eastAsia="ArialMT"/>
                <w:b/>
              </w:rPr>
            </w:pPr>
            <w:r w:rsidRPr="005A0E7C">
              <w:rPr>
                <w:rFonts w:eastAsia="ArialMT"/>
                <w:b/>
              </w:rPr>
              <w:t>Vzdělávání složek IZS v reakci na nové hrozby</w:t>
            </w:r>
          </w:p>
          <w:p w14:paraId="6B4BE64C" w14:textId="77777777" w:rsidR="00DD3EFA" w:rsidRPr="005A0E7C" w:rsidRDefault="00DD3EFA" w:rsidP="00B15ECB">
            <w:pPr>
              <w:autoSpaceDE w:val="0"/>
              <w:autoSpaceDN w:val="0"/>
              <w:adjustRightInd w:val="0"/>
              <w:rPr>
                <w:rFonts w:eastAsia="ArialMT"/>
                <w:b/>
              </w:rPr>
            </w:pPr>
            <w:r w:rsidRPr="005A0E7C">
              <w:t>Stěžejní dílčí cíle podpory uvedené především v připravované Koncepci profesního vzdělávání v Policii ČR a v Koncepci rozvoje Policie ČR do roku 2020:</w:t>
            </w:r>
          </w:p>
          <w:p w14:paraId="59CED5A3"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 xml:space="preserve">rozšíření výukových a výcvikových kapacit Policie ČR pro zajištění kvalitní přípravy policistů na výkon služby </w:t>
            </w:r>
          </w:p>
          <w:p w14:paraId="6EE6BAEF"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 xml:space="preserve">zefektivnění systému vzdělávání v Policii ČR za účelem zajištění adekvátní odborné připravenosti pro potřeby výkonu služby  </w:t>
            </w:r>
          </w:p>
          <w:p w14:paraId="249E522B" w14:textId="77777777" w:rsidR="00DD3EFA" w:rsidRPr="005A0E7C" w:rsidRDefault="00DD3EFA" w:rsidP="00B15ECB">
            <w:pPr>
              <w:pStyle w:val="Odstavecseseznamem"/>
              <w:autoSpaceDE w:val="0"/>
              <w:autoSpaceDN w:val="0"/>
              <w:adjustRightInd w:val="0"/>
              <w:ind w:left="353"/>
              <w:rPr>
                <w:color w:val="000000" w:themeColor="text1"/>
              </w:rPr>
            </w:pPr>
          </w:p>
          <w:p w14:paraId="68C31276" w14:textId="77777777" w:rsidR="00DD3EFA" w:rsidRPr="005A0E7C" w:rsidRDefault="00DD3EFA" w:rsidP="00B15ECB">
            <w:pPr>
              <w:autoSpaceDE w:val="0"/>
              <w:autoSpaceDN w:val="0"/>
              <w:adjustRightInd w:val="0"/>
              <w:rPr>
                <w:color w:val="000000" w:themeColor="text1"/>
                <w:u w:val="single"/>
              </w:rPr>
            </w:pPr>
            <w:r w:rsidRPr="005A0E7C">
              <w:rPr>
                <w:color w:val="000000" w:themeColor="text1"/>
                <w:u w:val="single"/>
              </w:rPr>
              <w:t>Příklady konkrétních možných opatření a výstupů:</w:t>
            </w:r>
          </w:p>
          <w:p w14:paraId="1EA826B7" w14:textId="77777777" w:rsidR="00DD3EFA" w:rsidRPr="005A0E7C" w:rsidRDefault="00DD3EFA" w:rsidP="00391907">
            <w:pPr>
              <w:numPr>
                <w:ilvl w:val="0"/>
                <w:numId w:val="57"/>
              </w:numPr>
              <w:spacing w:line="252" w:lineRule="auto"/>
              <w:ind w:left="210" w:hanging="210"/>
              <w:contextualSpacing/>
              <w:jc w:val="both"/>
              <w:rPr>
                <w:rFonts w:eastAsia="Calibri"/>
                <w:color w:val="000000" w:themeColor="text1"/>
                <w:lang w:eastAsia="cs-CZ"/>
              </w:rPr>
            </w:pPr>
            <w:r w:rsidRPr="005A0E7C">
              <w:rPr>
                <w:rFonts w:eastAsia="Calibri"/>
                <w:color w:val="000000" w:themeColor="text1"/>
                <w:lang w:eastAsia="cs-CZ"/>
              </w:rPr>
              <w:t xml:space="preserve">vybudování multifunkčního výcvikového centra Jihlava k vytvoření adekvátních podmínek pro výcvik celé Policie ČR v různých oblastech činností (nácvik zásahů proti teroristickým útokům, nácvik akce při zjištění nelegální migrace apod.) </w:t>
            </w:r>
          </w:p>
          <w:p w14:paraId="33E1F8E6" w14:textId="77777777" w:rsidR="00DD3EFA" w:rsidRPr="005A0E7C" w:rsidRDefault="00DD3EFA" w:rsidP="00391907">
            <w:pPr>
              <w:numPr>
                <w:ilvl w:val="0"/>
                <w:numId w:val="57"/>
              </w:numPr>
              <w:spacing w:line="252" w:lineRule="auto"/>
              <w:ind w:left="210" w:hanging="210"/>
              <w:contextualSpacing/>
              <w:jc w:val="both"/>
              <w:rPr>
                <w:rFonts w:eastAsia="Calibri"/>
                <w:color w:val="000000" w:themeColor="text1"/>
                <w:lang w:eastAsia="cs-CZ"/>
              </w:rPr>
            </w:pPr>
            <w:r w:rsidRPr="005A0E7C">
              <w:rPr>
                <w:rFonts w:eastAsia="Calibri"/>
                <w:color w:val="000000" w:themeColor="text1"/>
                <w:lang w:eastAsia="cs-CZ"/>
              </w:rPr>
              <w:t>rekonstrukce automobilového polygonu Komárovice (zajistí připravenost policistů na ztížené podmínky při řízení služebních dopravních prostředků</w:t>
            </w:r>
          </w:p>
          <w:p w14:paraId="7F164ECA" w14:textId="77777777" w:rsidR="00DD3EFA" w:rsidRPr="005A0E7C" w:rsidRDefault="00DD3EFA" w:rsidP="00391907">
            <w:pPr>
              <w:numPr>
                <w:ilvl w:val="0"/>
                <w:numId w:val="57"/>
              </w:numPr>
              <w:spacing w:line="252" w:lineRule="auto"/>
              <w:ind w:left="210" w:hanging="210"/>
              <w:contextualSpacing/>
              <w:jc w:val="both"/>
              <w:rPr>
                <w:rFonts w:eastAsia="Calibri"/>
                <w:color w:val="000000" w:themeColor="text1"/>
                <w:lang w:eastAsia="cs-CZ"/>
              </w:rPr>
            </w:pPr>
            <w:r w:rsidRPr="005A0E7C">
              <w:rPr>
                <w:rFonts w:eastAsia="Calibri"/>
                <w:color w:val="000000" w:themeColor="text1"/>
                <w:lang w:eastAsia="cs-CZ"/>
              </w:rPr>
              <w:t xml:space="preserve">rekonstrukce a obnova areálu Kutná Hora (školící </w:t>
            </w:r>
            <w:r w:rsidRPr="005A0E7C">
              <w:rPr>
                <w:rFonts w:eastAsia="Calibri"/>
                <w:color w:val="000000" w:themeColor="text1"/>
                <w:lang w:eastAsia="cs-CZ"/>
              </w:rPr>
              <w:br/>
              <w:t>a konferenční centrum Policie ČR, zejména při realizaci preventivních programů kriminality a zajištění spolupráce s veřejností)</w:t>
            </w:r>
          </w:p>
          <w:p w14:paraId="15D9A747" w14:textId="77777777" w:rsidR="00DD3EFA" w:rsidRPr="005A0E7C" w:rsidRDefault="00DD3EFA" w:rsidP="00391907">
            <w:pPr>
              <w:numPr>
                <w:ilvl w:val="0"/>
                <w:numId w:val="57"/>
              </w:numPr>
              <w:spacing w:line="252" w:lineRule="auto"/>
              <w:ind w:left="210" w:hanging="210"/>
              <w:contextualSpacing/>
              <w:jc w:val="both"/>
              <w:rPr>
                <w:rFonts w:eastAsia="Calibri"/>
                <w:color w:val="000000" w:themeColor="text1"/>
                <w:lang w:eastAsia="cs-CZ"/>
              </w:rPr>
            </w:pPr>
            <w:r w:rsidRPr="005A0E7C">
              <w:rPr>
                <w:rFonts w:eastAsia="Calibri"/>
                <w:color w:val="000000" w:themeColor="text1"/>
                <w:lang w:eastAsia="cs-CZ"/>
              </w:rPr>
              <w:t>rekonstrukce areálů střelnic Kněžmost, Vinařice a dalších na Útvaru policejního vzdělávání a služební přípravy Policie ČR pro účely zvýšení kompetencí příslušníků Policie ČR při střelbě proti zvlášť nebezpečným pachatelům (zejména při teroristických útocích a útocích na měkké cíle) a zajištění vyšší bezpečnosti při použití služební zbraně</w:t>
            </w:r>
          </w:p>
          <w:p w14:paraId="59F30710" w14:textId="77777777" w:rsidR="00DD3EFA" w:rsidRPr="005A0E7C" w:rsidRDefault="00DD3EFA" w:rsidP="00391907">
            <w:pPr>
              <w:numPr>
                <w:ilvl w:val="0"/>
                <w:numId w:val="57"/>
              </w:numPr>
              <w:spacing w:line="252" w:lineRule="auto"/>
              <w:ind w:left="210" w:hanging="210"/>
              <w:contextualSpacing/>
              <w:jc w:val="both"/>
              <w:rPr>
                <w:rFonts w:eastAsia="Calibri"/>
                <w:color w:val="000000" w:themeColor="text1"/>
                <w:lang w:eastAsia="cs-CZ"/>
              </w:rPr>
            </w:pPr>
            <w:r w:rsidRPr="005A0E7C">
              <w:rPr>
                <w:rFonts w:eastAsia="Calibri"/>
                <w:color w:val="000000" w:themeColor="text1"/>
                <w:lang w:eastAsia="cs-CZ"/>
              </w:rPr>
              <w:t>simulátory výcviku jízdy služebním dopravním prostředkem v rámci pronásledování zvlášť nebezpečných pachatelů trestné činnosti (terorismus) v městské zástavbě (v reálných podmínkách nejdou jiným způsobem nacvičit)</w:t>
            </w:r>
          </w:p>
          <w:p w14:paraId="5B62DA76" w14:textId="77777777" w:rsidR="00DD3EFA" w:rsidRPr="005A0E7C" w:rsidRDefault="00DD3EFA" w:rsidP="00B15ECB">
            <w:pPr>
              <w:autoSpaceDE w:val="0"/>
              <w:autoSpaceDN w:val="0"/>
              <w:adjustRightInd w:val="0"/>
              <w:rPr>
                <w:b/>
                <w:color w:val="000000"/>
              </w:rPr>
            </w:pPr>
          </w:p>
          <w:p w14:paraId="7A63BF0C" w14:textId="77777777" w:rsidR="00DD3EFA" w:rsidRPr="005A0E7C" w:rsidRDefault="00DD3EFA" w:rsidP="00B15ECB">
            <w:pPr>
              <w:autoSpaceDE w:val="0"/>
              <w:autoSpaceDN w:val="0"/>
              <w:adjustRightInd w:val="0"/>
              <w:rPr>
                <w:b/>
                <w:color w:val="000000"/>
              </w:rPr>
            </w:pPr>
            <w:r w:rsidRPr="005A0E7C">
              <w:rPr>
                <w:b/>
                <w:color w:val="000000"/>
              </w:rPr>
              <w:t>Prevence kriminality</w:t>
            </w:r>
          </w:p>
          <w:p w14:paraId="5FA53BEC" w14:textId="77777777" w:rsidR="00DD3EFA" w:rsidRPr="005A0E7C" w:rsidRDefault="00DD3EFA" w:rsidP="00B15ECB">
            <w:pPr>
              <w:autoSpaceDE w:val="0"/>
              <w:autoSpaceDN w:val="0"/>
              <w:adjustRightInd w:val="0"/>
              <w:rPr>
                <w:b/>
                <w:color w:val="000000"/>
              </w:rPr>
            </w:pPr>
            <w:r w:rsidRPr="005A0E7C">
              <w:t>Stěžejní dílčí cíle podpory uvedené především v Koncepci rozvoje Policie ČR do roku 2020:</w:t>
            </w:r>
          </w:p>
          <w:p w14:paraId="60F8C3A5"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rozvoj systému prevence kriminality pro efektivnější předcházení trestné činnosti</w:t>
            </w:r>
          </w:p>
          <w:p w14:paraId="427674E5"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zefektivnění komunikace policie a policistů s veřejností</w:t>
            </w:r>
          </w:p>
          <w:p w14:paraId="556F5ADE"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posílení nerepresivní role police</w:t>
            </w:r>
          </w:p>
          <w:p w14:paraId="2BFDE325"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budování pozitivního obrazu Policie ČR jako moderního bezpečnostního sboru státu</w:t>
            </w:r>
          </w:p>
          <w:p w14:paraId="45FFDCE1" w14:textId="77777777" w:rsidR="00DD3EFA" w:rsidRPr="005A0E7C" w:rsidRDefault="00DD3EFA" w:rsidP="00391907">
            <w:pPr>
              <w:pStyle w:val="Odstavecseseznamem"/>
              <w:numPr>
                <w:ilvl w:val="0"/>
                <w:numId w:val="58"/>
              </w:numPr>
              <w:autoSpaceDE w:val="0"/>
              <w:autoSpaceDN w:val="0"/>
              <w:adjustRightInd w:val="0"/>
              <w:ind w:left="353"/>
              <w:jc w:val="both"/>
              <w:rPr>
                <w:color w:val="000000"/>
              </w:rPr>
            </w:pPr>
            <w:r w:rsidRPr="005A0E7C">
              <w:rPr>
                <w:color w:val="000000"/>
              </w:rPr>
              <w:t>posilování pocitu spoluodpovědnosti občanů ČR za bezpečnost v zemi</w:t>
            </w:r>
          </w:p>
          <w:p w14:paraId="03C986CC" w14:textId="77777777" w:rsidR="00DD3EFA" w:rsidRPr="005A0E7C" w:rsidRDefault="00DD3EFA" w:rsidP="00B15ECB">
            <w:pPr>
              <w:pStyle w:val="Odstavecseseznamem"/>
              <w:autoSpaceDE w:val="0"/>
              <w:autoSpaceDN w:val="0"/>
              <w:adjustRightInd w:val="0"/>
              <w:ind w:left="353"/>
              <w:rPr>
                <w:color w:val="000000"/>
              </w:rPr>
            </w:pPr>
          </w:p>
          <w:p w14:paraId="6544F887" w14:textId="77777777" w:rsidR="00DD3EFA" w:rsidRPr="005A0E7C" w:rsidRDefault="00DD3EFA" w:rsidP="00B15ECB">
            <w:pPr>
              <w:autoSpaceDE w:val="0"/>
              <w:autoSpaceDN w:val="0"/>
              <w:adjustRightInd w:val="0"/>
              <w:ind w:left="-7"/>
              <w:rPr>
                <w:color w:val="000000"/>
              </w:rPr>
            </w:pPr>
            <w:r w:rsidRPr="005A0E7C">
              <w:rPr>
                <w:u w:val="single"/>
              </w:rPr>
              <w:t>Příklady konkrétních možných opatření a výstupů:</w:t>
            </w:r>
          </w:p>
          <w:p w14:paraId="21FF4AA1" w14:textId="77777777" w:rsidR="00DD3EFA" w:rsidRPr="005A0E7C" w:rsidRDefault="00DD3EFA" w:rsidP="00391907">
            <w:pPr>
              <w:pStyle w:val="Odstavecseseznamem"/>
              <w:numPr>
                <w:ilvl w:val="0"/>
                <w:numId w:val="57"/>
              </w:numPr>
              <w:spacing w:before="60" w:after="60"/>
              <w:ind w:left="352" w:hanging="284"/>
              <w:jc w:val="both"/>
            </w:pPr>
            <w:r w:rsidRPr="005A0E7C">
              <w:t>vybavení mobilními preventivními centry (služební dopravní prostředky se speciálním vybavením pro účely prevence kriminality v terénu)</w:t>
            </w:r>
          </w:p>
          <w:p w14:paraId="59DED86E" w14:textId="77777777" w:rsidR="00DD3EFA" w:rsidRPr="005A0E7C" w:rsidRDefault="00DD3EFA" w:rsidP="00391907">
            <w:pPr>
              <w:pStyle w:val="Odstavecseseznamem"/>
              <w:numPr>
                <w:ilvl w:val="0"/>
                <w:numId w:val="57"/>
              </w:numPr>
              <w:spacing w:before="60" w:after="60"/>
              <w:ind w:left="352" w:hanging="284"/>
              <w:rPr>
                <w:i/>
              </w:rPr>
            </w:pPr>
            <w:r w:rsidRPr="005A0E7C">
              <w:t>metodický, informační a prezentační materiál</w:t>
            </w:r>
          </w:p>
          <w:p w14:paraId="5521DAE9" w14:textId="77777777" w:rsidR="00DD3EFA" w:rsidRPr="005A0E7C" w:rsidRDefault="00DD3EFA" w:rsidP="00B15ECB">
            <w:pPr>
              <w:pStyle w:val="Odstavecseseznamem"/>
              <w:autoSpaceDE w:val="0"/>
              <w:autoSpaceDN w:val="0"/>
              <w:adjustRightInd w:val="0"/>
              <w:ind w:left="0"/>
              <w:rPr>
                <w:color w:val="000000"/>
              </w:rPr>
            </w:pPr>
          </w:p>
        </w:tc>
        <w:tc>
          <w:tcPr>
            <w:tcW w:w="249" w:type="dxa"/>
            <w:tcBorders>
              <w:top w:val="nil"/>
              <w:bottom w:val="nil"/>
            </w:tcBorders>
            <w:shd w:val="clear" w:color="auto" w:fill="66CCFF"/>
          </w:tcPr>
          <w:p w14:paraId="0ED80C84" w14:textId="77777777" w:rsidR="00DD3EFA" w:rsidRPr="005A0E7C" w:rsidRDefault="00DD3EFA" w:rsidP="00B15ECB">
            <w:pPr>
              <w:rPr>
                <w:b/>
              </w:rPr>
            </w:pPr>
          </w:p>
        </w:tc>
      </w:tr>
      <w:tr w:rsidR="00DD3EFA" w:rsidRPr="002D2123" w14:paraId="4F6F87C4" w14:textId="77777777" w:rsidTr="00B15ECB">
        <w:trPr>
          <w:trHeight w:val="377"/>
        </w:trPr>
        <w:tc>
          <w:tcPr>
            <w:tcW w:w="249" w:type="dxa"/>
            <w:tcBorders>
              <w:top w:val="nil"/>
              <w:bottom w:val="nil"/>
              <w:right w:val="nil"/>
            </w:tcBorders>
            <w:shd w:val="clear" w:color="auto" w:fill="66CCFF"/>
          </w:tcPr>
          <w:p w14:paraId="65C03C16"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1ACE07A3" w14:textId="77777777" w:rsidR="00DD3EFA" w:rsidRPr="002D2123"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D07C46A"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5E070C4B" w14:textId="77777777" w:rsidR="00DD3EFA" w:rsidRPr="002D2123" w:rsidRDefault="00DD3EFA" w:rsidP="00B15ECB">
            <w:pPr>
              <w:rPr>
                <w:b/>
                <w:sz w:val="10"/>
                <w:szCs w:val="10"/>
              </w:rPr>
            </w:pPr>
          </w:p>
        </w:tc>
      </w:tr>
      <w:tr w:rsidR="00DD3EFA" w:rsidRPr="002D2123" w14:paraId="74C74F80" w14:textId="77777777" w:rsidTr="00B15ECB">
        <w:trPr>
          <w:trHeight w:val="1202"/>
        </w:trPr>
        <w:tc>
          <w:tcPr>
            <w:tcW w:w="249" w:type="dxa"/>
            <w:tcBorders>
              <w:top w:val="nil"/>
              <w:bottom w:val="nil"/>
            </w:tcBorders>
            <w:shd w:val="clear" w:color="auto" w:fill="66CCFF"/>
          </w:tcPr>
          <w:p w14:paraId="04B840F9" w14:textId="77777777" w:rsidR="00DD3EFA" w:rsidRPr="002D2123" w:rsidRDefault="00DD3EFA" w:rsidP="00B15ECB">
            <w:pPr>
              <w:rPr>
                <w:b/>
                <w:sz w:val="10"/>
                <w:szCs w:val="10"/>
              </w:rPr>
            </w:pPr>
          </w:p>
        </w:tc>
        <w:tc>
          <w:tcPr>
            <w:tcW w:w="8526" w:type="dxa"/>
            <w:gridSpan w:val="2"/>
            <w:tcBorders>
              <w:top w:val="single" w:sz="4" w:space="0" w:color="auto"/>
              <w:bottom w:val="single" w:sz="4" w:space="0" w:color="auto"/>
            </w:tcBorders>
            <w:shd w:val="clear" w:color="auto" w:fill="FFFFFF" w:themeFill="background1"/>
          </w:tcPr>
          <w:p w14:paraId="2BA150F9" w14:textId="77777777" w:rsidR="00DD3EFA" w:rsidRPr="005A0E7C" w:rsidRDefault="00DD3EFA" w:rsidP="00B15ECB">
            <w:pPr>
              <w:spacing w:before="60" w:after="60"/>
              <w:rPr>
                <w:b/>
              </w:rPr>
            </w:pPr>
            <w:r w:rsidRPr="005A0E7C">
              <w:rPr>
                <w:rFonts w:eastAsiaTheme="majorEastAsia"/>
                <w:b/>
              </w:rPr>
              <w:t>Průřezová témata a souvislosti:</w:t>
            </w:r>
          </w:p>
        </w:tc>
        <w:tc>
          <w:tcPr>
            <w:tcW w:w="249" w:type="dxa"/>
            <w:tcBorders>
              <w:top w:val="nil"/>
              <w:bottom w:val="nil"/>
            </w:tcBorders>
            <w:shd w:val="clear" w:color="auto" w:fill="66CCFF"/>
          </w:tcPr>
          <w:p w14:paraId="66AC22FE" w14:textId="77777777" w:rsidR="00DD3EFA" w:rsidRPr="002D2123" w:rsidRDefault="00DD3EFA" w:rsidP="00B15ECB">
            <w:pPr>
              <w:rPr>
                <w:b/>
                <w:sz w:val="10"/>
                <w:szCs w:val="10"/>
              </w:rPr>
            </w:pPr>
          </w:p>
        </w:tc>
      </w:tr>
      <w:tr w:rsidR="00DD3EFA" w:rsidRPr="002D2123" w14:paraId="505747B9" w14:textId="77777777" w:rsidTr="00B15ECB">
        <w:trPr>
          <w:trHeight w:val="1202"/>
        </w:trPr>
        <w:tc>
          <w:tcPr>
            <w:tcW w:w="249" w:type="dxa"/>
            <w:tcBorders>
              <w:top w:val="nil"/>
              <w:bottom w:val="nil"/>
            </w:tcBorders>
            <w:shd w:val="clear" w:color="auto" w:fill="66CCFF"/>
          </w:tcPr>
          <w:p w14:paraId="1D41CA8D"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004502E"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Územní dimenze</w:t>
            </w:r>
          </w:p>
          <w:p w14:paraId="408496BB"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997493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Potřeba rozvíjet některé aspekty ochrany obyvatelstva může být územně diferencovaná – je například vhodné zlepšovat dostupnost složek IZS především v potenciálních místech vzniku mimořádných událostí či věnovat větší pozornost vyhodnocení a zpracování tísňových informací. Obdobná situace je u územní samosprávy, kde je nutné zlepšovat materiálně technické vybavení územní samosprávy k zajištění plnění úkolů v oblasti ochrany obyvatelstva.</w:t>
            </w:r>
          </w:p>
          <w:p w14:paraId="7BE1B7E5"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Příprava obyvatelstva na nové hrozby by měla být jako celek nezávislá na území, základní principy sebeochrany obyvatelstva musí být stejné na celém území. Existují však určitá regionální specifika, které je nutné v rámci této přípravy zohledňovat (charakteristika území, hrozby, které se na území vyskytují apod.). Ochrana kritické infrastruktury (dopravní i technické) se zpravidla neváže na konkrétní typ území, byť může být v některých případech koncentrována spíše do urbánního prostoru (např. letiště).</w:t>
            </w:r>
          </w:p>
          <w:p w14:paraId="1D58CD5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Oblast prevence kriminality je rovněž vázána primárně na urbánní prostor. Územní dimenze hraje v prevenci kriminality zásadní roli, neboť realizace konkrétních preventivních opatření se děje především cestou místních orgánů veřejné moci a přináší konkrétní výsledky na zlepšení situace a zkvalitnění života obyvatel právě v těchto lokalitách, tj. obcích a městech.</w:t>
            </w:r>
          </w:p>
          <w:p w14:paraId="72CB6EAE"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Zcela jednoznačně viditelná a determinující je územní dimenze v případě sociálně vyloučených lokalit či lokalit zasažených negativními dopady zvýšeného zaměstnávání v průmyslových zónách a jejich okolí. Zde se negativní jevy koncentrují na určitém území a opatření ke zlepšení situace jsou pak zaměřována nejen na řešení samotného problému, ale také na zlepšení prostředí dané lokality, které je často pro řešení problémů přímo determinující.</w:t>
            </w:r>
          </w:p>
          <w:p w14:paraId="0161F9C2"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Určitým specifikem tohoto cíle je potřeba realizace aktivit přeshraniční spolupráce, neboť hrozby jak v podobě terorismu či migrace, tak v podobě živelních pohrom, mohou mít (často mají) přeshraniční rozměr.</w:t>
            </w:r>
          </w:p>
          <w:p w14:paraId="26B7345C" w14:textId="77777777" w:rsidR="00DD3EFA" w:rsidRPr="005A0E7C" w:rsidRDefault="00DD3EFA" w:rsidP="00B15ECB">
            <w:pPr>
              <w:spacing w:after="200" w:line="252" w:lineRule="auto"/>
              <w:rPr>
                <w:lang w:eastAsia="cs-CZ"/>
              </w:rPr>
            </w:pPr>
            <w:r w:rsidRPr="005A0E7C">
              <w:rPr>
                <w:lang w:eastAsia="cs-CZ"/>
              </w:rPr>
              <w:t>Některé nové hrozby mohou být diferencovány podle charakteru území – riziko nelegální migrace a terorismu mají víceméně celostátní dimenzi; ale intenzita výskytu v případě nelegální migrace je obecně vyšší v příhraničních regionech, v případě terorismu pak v hlavním městě Praze, v místě jaderných elektráren, významných dopravních uzlů a v lokalitách s výskytem významných kulturních, historických a průmyslových objektů apod.</w:t>
            </w:r>
          </w:p>
          <w:p w14:paraId="5D607FB1" w14:textId="77777777" w:rsidR="00DD3EFA" w:rsidRPr="005A0E7C" w:rsidRDefault="00DD3EFA" w:rsidP="00B15ECB">
            <w:pPr>
              <w:spacing w:after="200" w:line="252" w:lineRule="auto"/>
              <w:rPr>
                <w:lang w:eastAsia="cs-CZ"/>
              </w:rPr>
            </w:pPr>
            <w:r w:rsidRPr="005A0E7C">
              <w:rPr>
                <w:lang w:eastAsia="cs-CZ"/>
              </w:rPr>
              <w:t xml:space="preserve">Negativní dopady legální </w:t>
            </w:r>
            <w:r w:rsidRPr="005A0E7C">
              <w:t>migrace jsou z hlediska územní dimenze sledovány především v regionech s vysokou poptávkou po pracovní síle cizinců, kdy se promítají do sociální oblasti a bezpečnosti v daném regionu. Dochází k nárůstu kriminality cizinců v místech jejich zaměstnání a ubytování, případně v pohraničí na využívaných dopravních směrech do domovských států.</w:t>
            </w:r>
          </w:p>
          <w:p w14:paraId="5A0F9F93" w14:textId="77777777" w:rsidR="00DD3EFA" w:rsidRPr="005A0E7C" w:rsidRDefault="00DD3EFA" w:rsidP="00B15ECB">
            <w:pPr>
              <w:spacing w:after="200"/>
              <w:rPr>
                <w:lang w:eastAsia="cs-CZ"/>
              </w:rPr>
            </w:pPr>
            <w:r w:rsidRPr="005A0E7C">
              <w:rPr>
                <w:lang w:eastAsia="cs-CZ"/>
              </w:rPr>
              <w:t>Hybridní hrozby mají celostátní dimenzi.</w:t>
            </w:r>
          </w:p>
          <w:p w14:paraId="2469ACB6" w14:textId="77777777" w:rsidR="00DD3EFA" w:rsidRPr="005A0E7C" w:rsidRDefault="00DD3EFA" w:rsidP="00B15ECB">
            <w:pPr>
              <w:spacing w:after="200"/>
              <w:rPr>
                <w:rFonts w:eastAsia="Calibri"/>
              </w:rPr>
            </w:pPr>
            <w:r w:rsidRPr="005A0E7C">
              <w:rPr>
                <w:rFonts w:eastAsia="Calibri"/>
              </w:rPr>
              <w:t xml:space="preserve">Kyberkriminalita představuje globální bezpečnostní hrozbu celostátního charakteru. </w:t>
            </w:r>
          </w:p>
          <w:p w14:paraId="05138196" w14:textId="77777777" w:rsidR="00DD3EFA" w:rsidRPr="005A0E7C" w:rsidRDefault="00DD3EFA" w:rsidP="00B15ECB">
            <w:pPr>
              <w:spacing w:after="200"/>
            </w:pPr>
            <w:r w:rsidRPr="005A0E7C">
              <w:rPr>
                <w:lang w:eastAsia="cs-CZ"/>
              </w:rPr>
              <w:t>Pokud jde o rizika živelních pohrom typu extrémní srážky, vítr apod., územní dimenzi jejich výskytu nelze dopředu určit, pouze dílčím způsobem predikovat.</w:t>
            </w:r>
          </w:p>
        </w:tc>
        <w:tc>
          <w:tcPr>
            <w:tcW w:w="249" w:type="dxa"/>
            <w:tcBorders>
              <w:top w:val="nil"/>
              <w:bottom w:val="nil"/>
            </w:tcBorders>
            <w:shd w:val="clear" w:color="auto" w:fill="66CCFF"/>
          </w:tcPr>
          <w:p w14:paraId="585F0533" w14:textId="77777777" w:rsidR="00DD3EFA" w:rsidRPr="002D2123" w:rsidRDefault="00DD3EFA" w:rsidP="00B15ECB">
            <w:pPr>
              <w:rPr>
                <w:b/>
                <w:sz w:val="10"/>
                <w:szCs w:val="10"/>
              </w:rPr>
            </w:pPr>
          </w:p>
        </w:tc>
      </w:tr>
      <w:tr w:rsidR="00DD3EFA" w:rsidRPr="002D2123" w14:paraId="64A2F2E5" w14:textId="77777777" w:rsidTr="00B15ECB">
        <w:trPr>
          <w:trHeight w:val="1202"/>
        </w:trPr>
        <w:tc>
          <w:tcPr>
            <w:tcW w:w="249" w:type="dxa"/>
            <w:tcBorders>
              <w:top w:val="nil"/>
              <w:bottom w:val="nil"/>
            </w:tcBorders>
            <w:shd w:val="clear" w:color="auto" w:fill="66CCFF"/>
          </w:tcPr>
          <w:p w14:paraId="3F676803"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7D0E12D4"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Adaptace na změnu klimatu</w:t>
            </w:r>
          </w:p>
          <w:p w14:paraId="1FF543C2"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F351CF4" w14:textId="77777777" w:rsidR="00DD3EFA" w:rsidRPr="005A0E7C" w:rsidRDefault="00DD3EFA" w:rsidP="00B15ECB">
            <w:pPr>
              <w:spacing w:before="60" w:after="60"/>
            </w:pPr>
            <w:r w:rsidRPr="005A0E7C">
              <w:t>Řešení následků klimatických změn, kterými jsou živelní mimořádné události (povodně, vydatné srážky, vichřice, extrémní vítr, přírodní požáry, dlouhotrvající sucho, extrémně vysoké teploty apod.), vyžaduje nezbytné adekvátní vybavení veřejné správy a složek IZS.</w:t>
            </w:r>
          </w:p>
          <w:p w14:paraId="53A48E50" w14:textId="77777777" w:rsidR="00DD3EFA" w:rsidRPr="005A0E7C" w:rsidRDefault="00DD3EFA" w:rsidP="00B15ECB">
            <w:pPr>
              <w:spacing w:before="60" w:after="60"/>
              <w:rPr>
                <w:rFonts w:eastAsiaTheme="majorEastAsia"/>
              </w:rPr>
            </w:pPr>
            <w:r w:rsidRPr="005A0E7C">
              <w:rPr>
                <w:rFonts w:eastAsiaTheme="majorEastAsia"/>
              </w:rPr>
              <w:t>Součástí cíle Ochrana obyvatelstva je také problematika přizpůsobení se změnám klimatu, a to jak v oblasti řešení důsledků mimořádných událostí ze změny klimatu, tak i v úrovni systému varování a vyrozumění směrem k obyvatelstvu i v rámci složek IZS (předávání a zpracování informací a tísňových zpráv) v případě mimořádné události.</w:t>
            </w:r>
          </w:p>
          <w:p w14:paraId="6AF46C73" w14:textId="77777777" w:rsidR="00DD3EFA" w:rsidRPr="005A0E7C" w:rsidRDefault="00DD3EFA" w:rsidP="00B15ECB">
            <w:pPr>
              <w:spacing w:before="60" w:after="60"/>
              <w:rPr>
                <w:rFonts w:eastAsiaTheme="majorEastAsia"/>
              </w:rPr>
            </w:pPr>
            <w:r w:rsidRPr="005A0E7C">
              <w:t>Problematiku řešení a řízení rizik způsobených změnou klimatu je nutné zohlednit v přípravě odborníků a přípravenosti obyvatelstva k sebeochraně na nové hrozby.</w:t>
            </w:r>
          </w:p>
          <w:p w14:paraId="3DF16C5E" w14:textId="77777777" w:rsidR="00DD3EFA" w:rsidRPr="005A0E7C" w:rsidRDefault="00DD3EFA" w:rsidP="00B15ECB">
            <w:pPr>
              <w:spacing w:before="60" w:after="60"/>
              <w:rPr>
                <w:rFonts w:eastAsiaTheme="majorEastAsia"/>
              </w:rPr>
            </w:pPr>
            <w:r w:rsidRPr="005A0E7C">
              <w:rPr>
                <w:rFonts w:eastAsiaTheme="majorEastAsia"/>
              </w:rPr>
              <w:t>Cíl Ochrana obyvatelstva je komplementární s průřezovou prioritou NKR "Přizpůsobení se změně klimatu". Přizpůsobení se změně klimatu zahrnuje opatření v oblasti preventivní (opatření preventivního charakteru v oblasti přírody a krajiny) a také opatření represivní, tj. opatření zahrnující řešení již nastalých důsledků změny klimatu. Ochrana obyvatelstva řeší právě oblast represivní, tj. důsledky mimořádných událostí přírodního (včetně těch, které vznikly v důsledku změny klimatu) nebo antropogenního původu.</w:t>
            </w:r>
          </w:p>
        </w:tc>
        <w:tc>
          <w:tcPr>
            <w:tcW w:w="249" w:type="dxa"/>
            <w:tcBorders>
              <w:top w:val="nil"/>
              <w:bottom w:val="nil"/>
            </w:tcBorders>
            <w:shd w:val="clear" w:color="auto" w:fill="66CCFF"/>
          </w:tcPr>
          <w:p w14:paraId="71D71DE6" w14:textId="77777777" w:rsidR="00DD3EFA" w:rsidRPr="002D2123" w:rsidRDefault="00DD3EFA" w:rsidP="00B15ECB">
            <w:pPr>
              <w:rPr>
                <w:b/>
                <w:sz w:val="10"/>
                <w:szCs w:val="10"/>
              </w:rPr>
            </w:pPr>
          </w:p>
        </w:tc>
      </w:tr>
      <w:tr w:rsidR="00DD3EFA" w:rsidRPr="002D2123" w14:paraId="2CE1EB0C" w14:textId="77777777" w:rsidTr="00B15ECB">
        <w:trPr>
          <w:trHeight w:val="1202"/>
        </w:trPr>
        <w:tc>
          <w:tcPr>
            <w:tcW w:w="249" w:type="dxa"/>
            <w:tcBorders>
              <w:top w:val="nil"/>
              <w:bottom w:val="nil"/>
            </w:tcBorders>
            <w:shd w:val="clear" w:color="auto" w:fill="66CCFF"/>
          </w:tcPr>
          <w:p w14:paraId="5A4D1C39"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5B409929"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Společnost 4.0.</w:t>
            </w:r>
          </w:p>
          <w:p w14:paraId="5840ADA8"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452F83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Digitalizace a rozvoj relevantních informačních systémů hraje důležitou roli v připravenosti IZS, územní samosprávy a obyvatelstva na události související s novými bezpečnostními hrozbami (tj. živelní mimořádné události, terorismus, masová migrace, kyberkriminalita apod.) – jde přitom o monitoring situace a o komunikaci v rámci IZS i s relevantními aktéry (na národní i mezinárodní úrovni) a samozřejmě také o komunikaci směrem k veřejnosti a její zapojení do řešení situace.</w:t>
            </w:r>
          </w:p>
          <w:p w14:paraId="3E0975A7"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Právě úspěšná adaptace na proměny společnosti, zahrnované pod pojem Společnost 4.0., bude klíčová pro prevenci uvažovaných hrozeb a to i tehdy, pokud bychom uvažovali jen o výše zmíněných hrozbách.</w:t>
            </w:r>
          </w:p>
          <w:p w14:paraId="0BF3646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Kyberkriminalita je pro Společnost 4.0 jednou z největších hrozeb, neboť přesně cílí na předmět podnikání ve společnosti, případně na zásadní systémy, které jej umožňují. Stejně tak na provoz osobních systémů a zařízení využívaných občany může být díky předpokládané penetraci do jejich domácností častým předmětem útoků pachatelů kyberkriminality.</w:t>
            </w:r>
          </w:p>
          <w:p w14:paraId="1360A4DC"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oblasti prevence kriminality je zásadní rozvoj ve využívání moderních technologií pro zefektivnění procesů, zejména v oblasti analýzy problémových jevů, jejích příčin a souvislostí a identifikace a koordinace vhodných cílených opatření. Tyto technologie je možné využít nejen ke zpracování velkého objemu důležitých dat, ale také směrem k vhodnému sdělování důležitých dat a informací veřejnosti, např. i ve formátu otevřených dat. Technologický rozvoj pomáhá zefektivňovat realizovaná preventivní opatření např. v oblasti dohledových systémů, identifikace podezřelých osob a předmětů, souvisejících SW nástrojů, označování a identifikace ohrožených předmětů a majetku a tím snížení rizika jejich odcizení nebo zvýšení možnosti jejich nalezení a vrácení majiteli apod.</w:t>
            </w:r>
          </w:p>
        </w:tc>
        <w:tc>
          <w:tcPr>
            <w:tcW w:w="249" w:type="dxa"/>
            <w:tcBorders>
              <w:top w:val="nil"/>
              <w:bottom w:val="nil"/>
            </w:tcBorders>
            <w:shd w:val="clear" w:color="auto" w:fill="66CCFF"/>
          </w:tcPr>
          <w:p w14:paraId="7DA137AD" w14:textId="77777777" w:rsidR="00DD3EFA" w:rsidRPr="002D2123" w:rsidRDefault="00DD3EFA" w:rsidP="00B15ECB">
            <w:pPr>
              <w:rPr>
                <w:b/>
                <w:sz w:val="10"/>
                <w:szCs w:val="10"/>
              </w:rPr>
            </w:pPr>
          </w:p>
        </w:tc>
      </w:tr>
      <w:tr w:rsidR="00DD3EFA" w:rsidRPr="002D2123" w14:paraId="7E2BBF66" w14:textId="77777777" w:rsidTr="00B15ECB">
        <w:trPr>
          <w:trHeight w:val="1202"/>
        </w:trPr>
        <w:tc>
          <w:tcPr>
            <w:tcW w:w="249" w:type="dxa"/>
            <w:tcBorders>
              <w:top w:val="nil"/>
              <w:bottom w:val="nil"/>
            </w:tcBorders>
            <w:shd w:val="clear" w:color="auto" w:fill="66CCFF"/>
          </w:tcPr>
          <w:p w14:paraId="7203074B"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793BC393"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Vazba na megatrendy</w:t>
            </w:r>
          </w:p>
          <w:p w14:paraId="04CADE02"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5B3B316"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Podoblast Ochrana obyvatelstva má vazbu na vybrané evropské či globální megatrendy, které byly identifikovány vládou ČR schváleným dokumentem „Globální megatrendy pro aktualizovaný Strategický rámec udržitelného rozvoje“</w:t>
            </w:r>
            <w:r w:rsidRPr="005A0E7C">
              <w:rPr>
                <w:rFonts w:ascii="Times New Roman" w:hAnsi="Times New Roman"/>
                <w:vertAlign w:val="superscript"/>
              </w:rPr>
              <w:footnoteReference w:id="34"/>
            </w:r>
            <w:r w:rsidRPr="005A0E7C">
              <w:rPr>
                <w:rFonts w:ascii="Times New Roman" w:hAnsi="Times New Roman"/>
              </w:rPr>
              <w:t>.</w:t>
            </w:r>
          </w:p>
          <w:p w14:paraId="7DB1950B"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Podoblast Ochrana obyvatelstva přispívá k řešení megatrendů "Urbanizace", "Změna klimatu a její dopady", "Globální ekonomický růst", „Virtualizace světa“, "Zvyšující se dostupnost technologií", „Rostoucí objem migrace“ a zčásti také „Nárůst silové politiky“. </w:t>
            </w:r>
          </w:p>
          <w:p w14:paraId="20AFBD3C" w14:textId="77777777" w:rsidR="00DD3EFA" w:rsidRPr="005A0E7C" w:rsidRDefault="00DD3EFA" w:rsidP="00B15ECB">
            <w:pPr>
              <w:pStyle w:val="Textkomente"/>
            </w:pPr>
            <w:r w:rsidRPr="005A0E7C">
              <w:t xml:space="preserve">Narůstající riziko kyberkriminality má souvislost s megatrendem „Virtualizace světa“ a „Zvyšující se dostupnost technologií“. Dalším relevantním rizikem k tomuto megatrendu je riziko teroristických útoků, které v posledních letech vykazuje stoupající tendenci (v celosvětovém měřítku se zvyšuje četnost provedených teroristických útoků); obdobně se stále častěji vyskytují mimořádné události, při nichž je zasažen velký počet osob a které následně vyžadují také zabezpečení dlouhodobé evakuace s nouzovým přežitím obyvatelstva (exploze, požáry a havárie v průmyslu, poškození městské infrastruktury, nebezpečné látky použité při teroristickém útoku apod.), což úzce souvisí s globálním megatrendem "Urbanizace". </w:t>
            </w:r>
          </w:p>
          <w:p w14:paraId="10FB728D" w14:textId="77777777" w:rsidR="00DD3EFA" w:rsidRPr="005A0E7C" w:rsidRDefault="00DD3EFA" w:rsidP="00B15ECB">
            <w:pPr>
              <w:pStyle w:val="slovanodstavec"/>
              <w:tabs>
                <w:tab w:val="left" w:pos="284"/>
              </w:tabs>
              <w:suppressAutoHyphens/>
              <w:spacing w:after="0" w:line="240" w:lineRule="auto"/>
              <w:rPr>
                <w:rFonts w:ascii="Times New Roman" w:hAnsi="Times New Roman"/>
              </w:rPr>
            </w:pPr>
          </w:p>
          <w:p w14:paraId="1966573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Ochrana obyvatelstva, resp. v širším smyslu veřejná správa a složky IZS musí být připraveny reagovat na důsledky změny klimatu, jejichž význam v posledním období stoupá v souvislosti se stále častějším výskytem a intenzivnějšími projevy vichřic a větrných smrští, období dlouhotrvajícího sucha, intenzívních srážek (sněhové/dešťové) apod., tzn. jde o řešení důsledků projevu globálního megatrendu "Změna klimatu a její dopady". </w:t>
            </w:r>
          </w:p>
          <w:p w14:paraId="062C206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Ochrana obyvatelstva, resp. v širším smyslu složky IZS, odstraňují stále častěji důsledky havárií nebezpečných látek, jejichž výskyt souvisí mj. s globálními megatrendy "Globální ekonomický růst" a "Zvyšující se dostupnost technologií".</w:t>
            </w:r>
          </w:p>
        </w:tc>
        <w:tc>
          <w:tcPr>
            <w:tcW w:w="249" w:type="dxa"/>
            <w:tcBorders>
              <w:top w:val="nil"/>
              <w:bottom w:val="nil"/>
            </w:tcBorders>
            <w:shd w:val="clear" w:color="auto" w:fill="66CCFF"/>
          </w:tcPr>
          <w:p w14:paraId="65E430A9" w14:textId="77777777" w:rsidR="00DD3EFA" w:rsidRPr="002D2123" w:rsidRDefault="00DD3EFA" w:rsidP="00B15ECB">
            <w:pPr>
              <w:rPr>
                <w:b/>
                <w:sz w:val="10"/>
                <w:szCs w:val="10"/>
              </w:rPr>
            </w:pPr>
          </w:p>
        </w:tc>
      </w:tr>
      <w:tr w:rsidR="00DD3EFA" w:rsidRPr="002D2123" w14:paraId="6CD3F5E0" w14:textId="77777777" w:rsidTr="00B15ECB">
        <w:trPr>
          <w:trHeight w:val="1202"/>
        </w:trPr>
        <w:tc>
          <w:tcPr>
            <w:tcW w:w="249" w:type="dxa"/>
            <w:tcBorders>
              <w:top w:val="nil"/>
              <w:bottom w:val="nil"/>
            </w:tcBorders>
            <w:shd w:val="clear" w:color="auto" w:fill="66CCFF"/>
          </w:tcPr>
          <w:p w14:paraId="6F5A9D7E"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258EB48"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846CA0D" w14:textId="77777777" w:rsidR="00DD3EFA" w:rsidRPr="005A0E7C" w:rsidRDefault="00DD3EFA" w:rsidP="00B15ECB">
            <w:pPr>
              <w:spacing w:after="160" w:line="259" w:lineRule="auto"/>
              <w:rPr>
                <w:rFonts w:eastAsiaTheme="majorEastAsia"/>
                <w:i/>
              </w:rPr>
            </w:pPr>
            <w:r w:rsidRPr="005A0E7C">
              <w:t>Specifický cíl Ochrana obyvatelstva se řešenými tématy dotýká všech pěti cílů politiky EU formulovaných v návrhu nařízení pro politiku soudržnosti v programovém období 2021 – 2027.</w:t>
            </w:r>
            <w:r w:rsidRPr="005A0E7C">
              <w:rPr>
                <w:rStyle w:val="Znakapoznpodarou"/>
              </w:rPr>
              <w:footnoteReference w:id="35"/>
            </w:r>
          </w:p>
          <w:p w14:paraId="3902E430" w14:textId="77777777" w:rsidR="00DD3EFA" w:rsidRPr="005A0E7C" w:rsidRDefault="00DD3EFA" w:rsidP="00B15ECB">
            <w:pPr>
              <w:rPr>
                <w:rFonts w:eastAsiaTheme="majorEastAsia"/>
                <w:i/>
              </w:rPr>
            </w:pPr>
          </w:p>
        </w:tc>
        <w:tc>
          <w:tcPr>
            <w:tcW w:w="249" w:type="dxa"/>
            <w:tcBorders>
              <w:top w:val="nil"/>
              <w:bottom w:val="nil"/>
            </w:tcBorders>
            <w:shd w:val="clear" w:color="auto" w:fill="66CCFF"/>
          </w:tcPr>
          <w:p w14:paraId="3EF8E0C7" w14:textId="77777777" w:rsidR="00DD3EFA" w:rsidRPr="002D2123" w:rsidRDefault="00DD3EFA" w:rsidP="00B15ECB">
            <w:pPr>
              <w:rPr>
                <w:b/>
                <w:sz w:val="10"/>
                <w:szCs w:val="10"/>
              </w:rPr>
            </w:pPr>
          </w:p>
        </w:tc>
      </w:tr>
      <w:tr w:rsidR="00DD3EFA" w:rsidRPr="002D2123" w14:paraId="3C58D979" w14:textId="77777777" w:rsidTr="00B15ECB">
        <w:trPr>
          <w:trHeight w:val="1202"/>
        </w:trPr>
        <w:tc>
          <w:tcPr>
            <w:tcW w:w="249" w:type="dxa"/>
            <w:tcBorders>
              <w:top w:val="nil"/>
              <w:bottom w:val="nil"/>
            </w:tcBorders>
            <w:shd w:val="clear" w:color="auto" w:fill="66CCFF"/>
          </w:tcPr>
          <w:p w14:paraId="1A8C8C70"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1CF4541F"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SDR</w:t>
            </w:r>
          </w:p>
        </w:tc>
        <w:tc>
          <w:tcPr>
            <w:tcW w:w="5978" w:type="dxa"/>
            <w:tcBorders>
              <w:bottom w:val="single" w:sz="4" w:space="0" w:color="auto"/>
            </w:tcBorders>
            <w:shd w:val="clear" w:color="auto" w:fill="FFFFFF" w:themeFill="background1"/>
          </w:tcPr>
          <w:p w14:paraId="644BDBE9" w14:textId="77777777" w:rsidR="00DD3EFA" w:rsidRPr="005A0E7C" w:rsidRDefault="00DD3EFA" w:rsidP="00B15ECB">
            <w:pPr>
              <w:spacing w:before="60" w:after="60" w:line="259" w:lineRule="auto"/>
            </w:pPr>
            <w:r w:rsidRPr="005A0E7C">
              <w:rPr>
                <w:rFonts w:eastAsiaTheme="majorEastAsia"/>
              </w:rPr>
              <w:t>SDR se Ochrany obyvatelstva přímo netýkají. Aktivity podoblasti Ochrana obyvatelstva na národní úrovni doplňují aktivity definované Mechanismem Civilní ochrany Unie (Rozhodnutí Evropského parlamentu a Rady č. 1313/2013/EU o mechanismu civilní ochrany Unie).</w:t>
            </w:r>
          </w:p>
        </w:tc>
        <w:tc>
          <w:tcPr>
            <w:tcW w:w="249" w:type="dxa"/>
            <w:tcBorders>
              <w:top w:val="nil"/>
              <w:bottom w:val="nil"/>
            </w:tcBorders>
            <w:shd w:val="clear" w:color="auto" w:fill="66CCFF"/>
          </w:tcPr>
          <w:p w14:paraId="4D4071C1" w14:textId="77777777" w:rsidR="00DD3EFA" w:rsidRPr="002D2123" w:rsidRDefault="00DD3EFA" w:rsidP="00B15ECB">
            <w:pPr>
              <w:rPr>
                <w:b/>
                <w:sz w:val="10"/>
                <w:szCs w:val="10"/>
              </w:rPr>
            </w:pPr>
          </w:p>
        </w:tc>
      </w:tr>
      <w:tr w:rsidR="00DD3EFA" w:rsidRPr="002D2123" w14:paraId="671E0DA0" w14:textId="77777777" w:rsidTr="00B15ECB">
        <w:trPr>
          <w:trHeight w:val="180"/>
        </w:trPr>
        <w:tc>
          <w:tcPr>
            <w:tcW w:w="249" w:type="dxa"/>
            <w:tcBorders>
              <w:top w:val="nil"/>
              <w:bottom w:val="nil"/>
              <w:right w:val="nil"/>
            </w:tcBorders>
            <w:shd w:val="clear" w:color="auto" w:fill="66CCFF"/>
          </w:tcPr>
          <w:p w14:paraId="379BC110" w14:textId="77777777" w:rsidR="00DD3EFA" w:rsidRPr="002D2123" w:rsidRDefault="00DD3EFA" w:rsidP="00B15ECB">
            <w:pPr>
              <w:rPr>
                <w:b/>
                <w:sz w:val="10"/>
                <w:szCs w:val="10"/>
              </w:rPr>
            </w:pPr>
          </w:p>
        </w:tc>
        <w:tc>
          <w:tcPr>
            <w:tcW w:w="2548" w:type="dxa"/>
            <w:tcBorders>
              <w:left w:val="nil"/>
              <w:right w:val="nil"/>
            </w:tcBorders>
            <w:shd w:val="clear" w:color="auto" w:fill="66CCFF"/>
          </w:tcPr>
          <w:p w14:paraId="6D4A4EF0" w14:textId="77777777" w:rsidR="00DD3EFA" w:rsidRPr="002D2123" w:rsidRDefault="00DD3EFA" w:rsidP="00B15ECB">
            <w:pPr>
              <w:rPr>
                <w:b/>
                <w:sz w:val="10"/>
                <w:szCs w:val="10"/>
              </w:rPr>
            </w:pPr>
          </w:p>
        </w:tc>
        <w:tc>
          <w:tcPr>
            <w:tcW w:w="5978" w:type="dxa"/>
            <w:tcBorders>
              <w:left w:val="nil"/>
              <w:right w:val="nil"/>
            </w:tcBorders>
            <w:shd w:val="clear" w:color="auto" w:fill="66CCFF"/>
          </w:tcPr>
          <w:p w14:paraId="56C33C01" w14:textId="77777777" w:rsidR="00DD3EFA" w:rsidRPr="005A0E7C" w:rsidRDefault="00DD3EFA" w:rsidP="00B15ECB">
            <w:pPr>
              <w:rPr>
                <w:b/>
              </w:rPr>
            </w:pPr>
          </w:p>
        </w:tc>
        <w:tc>
          <w:tcPr>
            <w:tcW w:w="249" w:type="dxa"/>
            <w:tcBorders>
              <w:top w:val="nil"/>
              <w:left w:val="nil"/>
              <w:bottom w:val="nil"/>
            </w:tcBorders>
            <w:shd w:val="clear" w:color="auto" w:fill="66CCFF"/>
          </w:tcPr>
          <w:p w14:paraId="1AE1E515" w14:textId="77777777" w:rsidR="00DD3EFA" w:rsidRPr="002D2123" w:rsidRDefault="00DD3EFA" w:rsidP="00B15ECB">
            <w:pPr>
              <w:rPr>
                <w:b/>
                <w:sz w:val="10"/>
                <w:szCs w:val="10"/>
              </w:rPr>
            </w:pPr>
          </w:p>
        </w:tc>
      </w:tr>
      <w:tr w:rsidR="00DD3EFA" w:rsidRPr="002D2123" w14:paraId="0D05E415" w14:textId="77777777" w:rsidTr="00B15ECB">
        <w:trPr>
          <w:trHeight w:val="938"/>
        </w:trPr>
        <w:tc>
          <w:tcPr>
            <w:tcW w:w="249" w:type="dxa"/>
            <w:tcBorders>
              <w:top w:val="nil"/>
              <w:bottom w:val="nil"/>
            </w:tcBorders>
            <w:shd w:val="clear" w:color="auto" w:fill="66CCFF"/>
          </w:tcPr>
          <w:p w14:paraId="06FD9968"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49F2DBEF" w14:textId="77777777" w:rsidR="00DD3EFA" w:rsidRPr="002D2123" w:rsidRDefault="00DD3EFA" w:rsidP="00B15ECB">
            <w:pPr>
              <w:spacing w:before="60" w:after="60"/>
              <w:rPr>
                <w:rFonts w:eastAsiaTheme="majorEastAsia"/>
                <w:b/>
              </w:rPr>
            </w:pPr>
            <w:r w:rsidRPr="002D2123">
              <w:rPr>
                <w:rFonts w:eastAsiaTheme="majorEastAsia"/>
                <w:b/>
              </w:rPr>
              <w:t>Strategický dokument pro daný cíl pro období 2020+; v případě více dokumentů identifikujte strategii dominantní ve vztahu k cíli.</w:t>
            </w:r>
          </w:p>
          <w:p w14:paraId="04EC3FA9" w14:textId="77777777" w:rsidR="00DD3EFA" w:rsidRPr="002D2123"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7652F615" w14:textId="77777777" w:rsidR="00DD3EFA" w:rsidRPr="005A0E7C" w:rsidRDefault="00DD3EFA" w:rsidP="00B15ECB">
            <w:pPr>
              <w:rPr>
                <w:rFonts w:eastAsia="ArialMT"/>
                <w:i/>
              </w:rPr>
            </w:pPr>
            <w:r w:rsidRPr="005A0E7C">
              <w:rPr>
                <w:rFonts w:eastAsia="ArialMT"/>
                <w:i/>
              </w:rPr>
              <w:t xml:space="preserve">Koncepce ochrany obyvatelstva do roku 2020 s výhledem do roku 2030 </w:t>
            </w:r>
            <w:r w:rsidRPr="005A0E7C">
              <w:rPr>
                <w:rFonts w:eastAsia="ArialMT"/>
              </w:rPr>
              <w:t>(Koncepce ochrany obyvatelstva s dalším časovým horizontem /po r. 2020/ bude připravena do r. 2020)</w:t>
            </w:r>
          </w:p>
          <w:p w14:paraId="67B76C9A" w14:textId="77777777" w:rsidR="00DD3EFA" w:rsidRPr="005A0E7C" w:rsidRDefault="00DD3EFA" w:rsidP="00B15ECB">
            <w:pPr>
              <w:rPr>
                <w:rFonts w:eastAsia="ArialMT"/>
                <w:i/>
              </w:rPr>
            </w:pPr>
          </w:p>
          <w:p w14:paraId="02CE3C39" w14:textId="77777777" w:rsidR="00DD3EFA" w:rsidRPr="005A0E7C" w:rsidRDefault="00DD3EFA" w:rsidP="00B15ECB">
            <w:pPr>
              <w:spacing w:line="254" w:lineRule="auto"/>
              <w:rPr>
                <w:b/>
                <w:color w:val="FF0000"/>
                <w:lang w:eastAsia="cs-CZ"/>
              </w:rPr>
            </w:pPr>
            <w:r w:rsidRPr="005A0E7C">
              <w:rPr>
                <w:rFonts w:eastAsia="ArialMT"/>
                <w:i/>
              </w:rPr>
              <w:t xml:space="preserve">Koncepce rozvoje Policie ČR do roku 2020 </w:t>
            </w:r>
            <w:r w:rsidRPr="005A0E7C">
              <w:rPr>
                <w:rFonts w:eastAsia="ArialMT"/>
              </w:rPr>
              <w:t>(prodloužená na základě schválení vlády ČR do roku 2022.</w:t>
            </w:r>
          </w:p>
          <w:p w14:paraId="3CE8F5E1" w14:textId="77777777" w:rsidR="00DD3EFA" w:rsidRPr="005A0E7C" w:rsidRDefault="00DD3EFA" w:rsidP="00B15ECB">
            <w:pPr>
              <w:rPr>
                <w:rFonts w:eastAsia="ArialMT"/>
                <w:i/>
              </w:rPr>
            </w:pPr>
          </w:p>
          <w:p w14:paraId="502D81CC" w14:textId="77777777" w:rsidR="00DD3EFA" w:rsidRPr="005A0E7C" w:rsidRDefault="00DD3EFA" w:rsidP="00B15ECB">
            <w:pPr>
              <w:rPr>
                <w:rFonts w:eastAsia="ArialMT"/>
                <w:i/>
              </w:rPr>
            </w:pPr>
            <w:r w:rsidRPr="005A0E7C">
              <w:rPr>
                <w:rFonts w:eastAsia="ArialMT"/>
                <w:i/>
              </w:rPr>
              <w:t>Strategie přizpůsobení se změně klimatu v podmínkách ČR (</w:t>
            </w:r>
            <w:r w:rsidRPr="005A0E7C">
              <w:rPr>
                <w:rFonts w:eastAsia="ArialMT"/>
              </w:rPr>
              <w:t xml:space="preserve">a navazující </w:t>
            </w:r>
            <w:r w:rsidRPr="005A0E7C">
              <w:rPr>
                <w:rFonts w:eastAsia="ArialMT"/>
                <w:i/>
              </w:rPr>
              <w:t>Národní akční plán adaptace na změny klimatu)</w:t>
            </w:r>
          </w:p>
          <w:p w14:paraId="7CD93D68" w14:textId="77777777" w:rsidR="00DD3EFA" w:rsidRPr="005A0E7C" w:rsidRDefault="00DD3EFA" w:rsidP="00B15ECB">
            <w:pPr>
              <w:rPr>
                <w:rFonts w:eastAsia="ArialMT"/>
                <w:i/>
              </w:rPr>
            </w:pPr>
          </w:p>
          <w:p w14:paraId="3515B7DE" w14:textId="77777777" w:rsidR="00DD3EFA" w:rsidRPr="005A0E7C" w:rsidRDefault="00DD3EFA" w:rsidP="00B15ECB">
            <w:pPr>
              <w:rPr>
                <w:rFonts w:eastAsia="ArialMT"/>
                <w:i/>
              </w:rPr>
            </w:pPr>
            <w:r w:rsidRPr="005A0E7C">
              <w:rPr>
                <w:rFonts w:eastAsia="ArialMT"/>
                <w:i/>
              </w:rPr>
              <w:t>Koncepce environmentální bezpečnosti 2016-2020 s výhledem do roku 2030</w:t>
            </w:r>
          </w:p>
          <w:p w14:paraId="1D3B8782" w14:textId="77777777" w:rsidR="00DD3EFA" w:rsidRPr="005A0E7C" w:rsidRDefault="00DD3EFA" w:rsidP="00B15ECB">
            <w:pPr>
              <w:rPr>
                <w:rFonts w:eastAsia="ArialMT"/>
                <w:i/>
              </w:rPr>
            </w:pPr>
          </w:p>
          <w:p w14:paraId="0FCA4120" w14:textId="77777777" w:rsidR="00DD3EFA" w:rsidRPr="005A0E7C" w:rsidRDefault="00DD3EFA" w:rsidP="00B15ECB">
            <w:pPr>
              <w:rPr>
                <w:rFonts w:eastAsia="ArialMT"/>
              </w:rPr>
            </w:pPr>
            <w:r w:rsidRPr="005A0E7C">
              <w:rPr>
                <w:rFonts w:eastAsia="ArialMT"/>
                <w:i/>
              </w:rPr>
              <w:t>Audit národní bezpečnosti</w:t>
            </w:r>
            <w:r w:rsidRPr="005A0E7C">
              <w:rPr>
                <w:rFonts w:eastAsia="ArialMT"/>
              </w:rPr>
              <w:t xml:space="preserve"> (a navazující akční plán)</w:t>
            </w:r>
          </w:p>
          <w:p w14:paraId="5D311342" w14:textId="77777777" w:rsidR="00DD3EFA" w:rsidRPr="005A0E7C" w:rsidRDefault="00DD3EFA" w:rsidP="00B15ECB">
            <w:pPr>
              <w:spacing w:line="254" w:lineRule="auto"/>
              <w:rPr>
                <w:rFonts w:eastAsia="ArialMT"/>
                <w:i/>
              </w:rPr>
            </w:pPr>
          </w:p>
          <w:p w14:paraId="3EBCB261" w14:textId="77777777" w:rsidR="00DD3EFA" w:rsidRPr="005A0E7C" w:rsidRDefault="00DD3EFA" w:rsidP="00B15ECB">
            <w:pPr>
              <w:spacing w:after="160" w:line="254" w:lineRule="auto"/>
              <w:rPr>
                <w:b/>
                <w:i/>
                <w:lang w:eastAsia="cs-CZ"/>
              </w:rPr>
            </w:pPr>
            <w:r w:rsidRPr="005A0E7C">
              <w:rPr>
                <w:i/>
                <w:lang w:eastAsia="cs-CZ"/>
              </w:rPr>
              <w:t xml:space="preserve">Koncepce schopnosti Policie ČR vyšetřovat kyberkriminalitu </w:t>
            </w:r>
            <w:r w:rsidRPr="005A0E7C">
              <w:rPr>
                <w:lang w:eastAsia="cs-CZ"/>
              </w:rPr>
              <w:t>(do roku 2020 s předpokladem pravidelné aktualizace po roce 2021).</w:t>
            </w:r>
          </w:p>
          <w:p w14:paraId="68140030" w14:textId="77777777" w:rsidR="00DD3EFA" w:rsidRPr="005A0E7C" w:rsidRDefault="00DD3EFA" w:rsidP="00B15ECB">
            <w:pPr>
              <w:autoSpaceDE w:val="0"/>
              <w:autoSpaceDN w:val="0"/>
              <w:adjustRightInd w:val="0"/>
              <w:rPr>
                <w:rFonts w:eastAsia="ArialMT"/>
                <w:i/>
              </w:rPr>
            </w:pPr>
            <w:r w:rsidRPr="005A0E7C">
              <w:rPr>
                <w:rFonts w:eastAsia="ArialMT"/>
                <w:i/>
              </w:rPr>
              <w:t>Strategie rozvoje ICT služeb veřejné správy ČR</w:t>
            </w:r>
          </w:p>
          <w:p w14:paraId="6258202E" w14:textId="77777777" w:rsidR="00DD3EFA" w:rsidRPr="005A0E7C" w:rsidRDefault="00DD3EFA" w:rsidP="00B15ECB">
            <w:pPr>
              <w:autoSpaceDE w:val="0"/>
              <w:autoSpaceDN w:val="0"/>
              <w:adjustRightInd w:val="0"/>
              <w:rPr>
                <w:rFonts w:eastAsia="ArialMT"/>
                <w:i/>
              </w:rPr>
            </w:pPr>
          </w:p>
          <w:p w14:paraId="69D77061" w14:textId="77777777" w:rsidR="00DD3EFA" w:rsidRPr="005A0E7C" w:rsidRDefault="00DD3EFA" w:rsidP="00B15ECB">
            <w:pPr>
              <w:autoSpaceDE w:val="0"/>
              <w:autoSpaceDN w:val="0"/>
              <w:adjustRightInd w:val="0"/>
            </w:pPr>
            <w:r w:rsidRPr="005A0E7C">
              <w:rPr>
                <w:rFonts w:eastAsia="ArialMT"/>
                <w:i/>
              </w:rPr>
              <w:t>Strategie prevence kriminality České republiky na léta 2016 – 2020 (</w:t>
            </w:r>
            <w:r w:rsidRPr="005A0E7C">
              <w:t>přípravy navazující strategie (do roku 2025) budou zahájeny v průběhu roku 2019)</w:t>
            </w:r>
          </w:p>
          <w:p w14:paraId="08FF3A1E" w14:textId="77777777" w:rsidR="00DD3EFA" w:rsidRPr="005A0E7C" w:rsidRDefault="00DD3EFA" w:rsidP="00B15ECB">
            <w:pPr>
              <w:autoSpaceDE w:val="0"/>
              <w:autoSpaceDN w:val="0"/>
              <w:adjustRightInd w:val="0"/>
            </w:pPr>
          </w:p>
          <w:p w14:paraId="4265548F" w14:textId="77777777" w:rsidR="00DD3EFA" w:rsidRPr="005A0E7C" w:rsidRDefault="00DD3EFA" w:rsidP="00B15ECB">
            <w:pPr>
              <w:autoSpaceDE w:val="0"/>
              <w:autoSpaceDN w:val="0"/>
              <w:adjustRightInd w:val="0"/>
            </w:pPr>
            <w:r w:rsidRPr="005A0E7C">
              <w:rPr>
                <w:i/>
              </w:rPr>
              <w:t>Koncepce prevence kriminality Policie ČR na léta 2019 – 2021</w:t>
            </w:r>
            <w:r w:rsidRPr="005A0E7C">
              <w:t xml:space="preserve"> (s předpokládanou aktualizací v období po roce 2021 v souladu s časovým harmonogamem přípravy výše uvedené strategie)</w:t>
            </w:r>
          </w:p>
          <w:p w14:paraId="4469CC9D" w14:textId="77777777" w:rsidR="00DD3EFA" w:rsidRPr="005A0E7C" w:rsidRDefault="00DD3EFA" w:rsidP="00B15ECB">
            <w:pPr>
              <w:autoSpaceDE w:val="0"/>
              <w:autoSpaceDN w:val="0"/>
              <w:adjustRightInd w:val="0"/>
              <w:rPr>
                <w:rFonts w:eastAsia="ArialMT"/>
                <w:i/>
              </w:rPr>
            </w:pPr>
          </w:p>
          <w:p w14:paraId="29DB74A2" w14:textId="77777777" w:rsidR="00DD3EFA" w:rsidRPr="005A0E7C" w:rsidRDefault="00DD3EFA" w:rsidP="00B15ECB">
            <w:pPr>
              <w:autoSpaceDE w:val="0"/>
              <w:autoSpaceDN w:val="0"/>
              <w:adjustRightInd w:val="0"/>
              <w:rPr>
                <w:rFonts w:eastAsia="ArialMT"/>
                <w:i/>
              </w:rPr>
            </w:pPr>
            <w:r w:rsidRPr="005A0E7C">
              <w:rPr>
                <w:rFonts w:eastAsia="ArialMT"/>
                <w:i/>
              </w:rPr>
              <w:t>Strategie boje proti sociálnímu vyloučení 2016 – 2020</w:t>
            </w:r>
          </w:p>
          <w:p w14:paraId="63163D45" w14:textId="77777777" w:rsidR="00DD3EFA" w:rsidRPr="005A0E7C" w:rsidRDefault="00DD3EFA" w:rsidP="00B15ECB">
            <w:pPr>
              <w:autoSpaceDE w:val="0"/>
              <w:autoSpaceDN w:val="0"/>
              <w:adjustRightInd w:val="0"/>
              <w:rPr>
                <w:rFonts w:eastAsia="ArialMT"/>
                <w:i/>
              </w:rPr>
            </w:pPr>
          </w:p>
          <w:p w14:paraId="673978C6" w14:textId="77777777" w:rsidR="00DD3EFA" w:rsidRPr="005A0E7C" w:rsidRDefault="00DD3EFA" w:rsidP="00B15ECB">
            <w:pPr>
              <w:autoSpaceDE w:val="0"/>
              <w:autoSpaceDN w:val="0"/>
              <w:adjustRightInd w:val="0"/>
              <w:rPr>
                <w:rFonts w:eastAsia="ArialMT"/>
                <w:i/>
              </w:rPr>
            </w:pPr>
            <w:r w:rsidRPr="005A0E7C">
              <w:rPr>
                <w:rFonts w:eastAsia="ArialMT"/>
                <w:i/>
              </w:rPr>
              <w:t>Strategie migrační politiky České republiky</w:t>
            </w:r>
          </w:p>
          <w:p w14:paraId="22DB35AC" w14:textId="77777777" w:rsidR="00DD3EFA" w:rsidRPr="005A0E7C" w:rsidRDefault="00DD3EFA" w:rsidP="00B15ECB">
            <w:pPr>
              <w:autoSpaceDE w:val="0"/>
              <w:autoSpaceDN w:val="0"/>
              <w:adjustRightInd w:val="0"/>
              <w:rPr>
                <w:rFonts w:eastAsia="ArialMT"/>
                <w:i/>
              </w:rPr>
            </w:pPr>
          </w:p>
          <w:p w14:paraId="4EA6D6FC" w14:textId="77777777" w:rsidR="00DD3EFA" w:rsidRPr="005A0E7C" w:rsidRDefault="00DD3EFA" w:rsidP="00B15ECB">
            <w:pPr>
              <w:widowControl w:val="0"/>
              <w:spacing w:line="288" w:lineRule="exact"/>
              <w:rPr>
                <w:bCs/>
                <w:i/>
                <w:kern w:val="36"/>
                <w:u w:val="single"/>
                <w:lang w:eastAsia="cs-CZ"/>
              </w:rPr>
            </w:pPr>
            <w:r w:rsidRPr="005A0E7C">
              <w:rPr>
                <w:bCs/>
                <w:i/>
                <w:kern w:val="36"/>
                <w:lang w:eastAsia="cs-CZ"/>
              </w:rPr>
              <w:t xml:space="preserve">Národní schengenský plán 2014 </w:t>
            </w:r>
            <w:r w:rsidRPr="005A0E7C">
              <w:rPr>
                <w:kern w:val="28"/>
                <w:lang w:eastAsia="cs-CZ"/>
              </w:rPr>
              <w:t>(Tento materiál je dále rozpracováván pro období dalších let v souladu s vývojem bezpečnostní situace).</w:t>
            </w:r>
          </w:p>
          <w:p w14:paraId="719250AB" w14:textId="77777777" w:rsidR="00DD3EFA" w:rsidRPr="005A0E7C" w:rsidRDefault="00DD3EFA" w:rsidP="00B15ECB">
            <w:pPr>
              <w:autoSpaceDE w:val="0"/>
              <w:autoSpaceDN w:val="0"/>
              <w:adjustRightInd w:val="0"/>
              <w:rPr>
                <w:rFonts w:eastAsia="ArialMT"/>
                <w:i/>
              </w:rPr>
            </w:pPr>
          </w:p>
          <w:p w14:paraId="152DA922" w14:textId="77777777" w:rsidR="00DD3EFA" w:rsidRPr="005A0E7C" w:rsidRDefault="00DD3EFA" w:rsidP="00B15ECB">
            <w:pPr>
              <w:rPr>
                <w:i/>
              </w:rPr>
            </w:pPr>
            <w:r w:rsidRPr="005A0E7C">
              <w:rPr>
                <w:i/>
              </w:rPr>
              <w:t xml:space="preserve">Strategie boje proti terorismu od roku 2013 </w:t>
            </w:r>
          </w:p>
          <w:p w14:paraId="13BE3E51" w14:textId="77777777" w:rsidR="00DD3EFA" w:rsidRPr="005A0E7C" w:rsidRDefault="00DD3EFA" w:rsidP="00B15ECB">
            <w:pPr>
              <w:spacing w:after="160" w:line="259" w:lineRule="auto"/>
            </w:pPr>
            <w:r w:rsidRPr="005A0E7C">
              <w:t>(Tento materiál je dále rozpracováván pro období dalších let v souladu s vývojem bezpečnostní situace).</w:t>
            </w:r>
          </w:p>
          <w:p w14:paraId="04696F6A" w14:textId="77777777" w:rsidR="00DD3EFA" w:rsidRPr="005A0E7C" w:rsidRDefault="00DD3EFA" w:rsidP="00B15ECB">
            <w:pPr>
              <w:rPr>
                <w:i/>
              </w:rPr>
            </w:pPr>
            <w:r w:rsidRPr="005A0E7C">
              <w:rPr>
                <w:i/>
              </w:rPr>
              <w:t>Koncepce ochrany měkkých cílů pro roky 2017 – 2020</w:t>
            </w:r>
          </w:p>
          <w:p w14:paraId="5BE3DBA5" w14:textId="77777777" w:rsidR="00DD3EFA" w:rsidRPr="005A0E7C" w:rsidRDefault="00DD3EFA" w:rsidP="00B15ECB">
            <w:pPr>
              <w:rPr>
                <w:i/>
              </w:rPr>
            </w:pPr>
          </w:p>
          <w:p w14:paraId="4F6E343D" w14:textId="77777777" w:rsidR="00DD3EFA" w:rsidRPr="005A0E7C" w:rsidRDefault="00DD3EFA" w:rsidP="00B15ECB">
            <w:pPr>
              <w:rPr>
                <w:rFonts w:eastAsia="Calibri"/>
                <w:i/>
              </w:rPr>
            </w:pPr>
            <w:r w:rsidRPr="005A0E7C">
              <w:rPr>
                <w:rFonts w:eastAsia="Calibri"/>
                <w:i/>
              </w:rPr>
              <w:t>Koncepce boje s organizovaným zločinem</w:t>
            </w:r>
          </w:p>
          <w:p w14:paraId="51D6E632" w14:textId="77777777" w:rsidR="00DD3EFA" w:rsidRPr="005A0E7C" w:rsidRDefault="00DD3EFA" w:rsidP="00B15ECB">
            <w:pPr>
              <w:rPr>
                <w:i/>
              </w:rPr>
            </w:pPr>
          </w:p>
          <w:p w14:paraId="3C49E46E" w14:textId="77777777" w:rsidR="00DD3EFA" w:rsidRPr="005A0E7C" w:rsidRDefault="00DD3EFA" w:rsidP="00B15ECB">
            <w:pPr>
              <w:rPr>
                <w:i/>
              </w:rPr>
            </w:pPr>
            <w:r w:rsidRPr="005A0E7C">
              <w:rPr>
                <w:i/>
              </w:rPr>
              <w:t>Koncepce chemické služby</w:t>
            </w:r>
          </w:p>
          <w:p w14:paraId="79CD28BF" w14:textId="77777777" w:rsidR="00DD3EFA" w:rsidRPr="005A0E7C" w:rsidRDefault="00DD3EFA" w:rsidP="00B15ECB">
            <w:pPr>
              <w:autoSpaceDE w:val="0"/>
              <w:autoSpaceDN w:val="0"/>
              <w:adjustRightInd w:val="0"/>
              <w:rPr>
                <w:i/>
                <w:u w:val="single"/>
              </w:rPr>
            </w:pPr>
          </w:p>
          <w:p w14:paraId="4EA130F4" w14:textId="77777777" w:rsidR="00DD3EFA" w:rsidRPr="005A0E7C" w:rsidRDefault="00DD3EFA" w:rsidP="00B15ECB">
            <w:pPr>
              <w:autoSpaceDE w:val="0"/>
              <w:autoSpaceDN w:val="0"/>
              <w:adjustRightInd w:val="0"/>
              <w:spacing w:after="160" w:line="259" w:lineRule="auto"/>
              <w:rPr>
                <w:i/>
              </w:rPr>
            </w:pPr>
            <w:r w:rsidRPr="005A0E7C">
              <w:rPr>
                <w:i/>
              </w:rPr>
              <w:t>Zpráva o stavu ochrany obyvatelstva v ČR 2018</w:t>
            </w:r>
          </w:p>
          <w:p w14:paraId="18DFED5D" w14:textId="77777777" w:rsidR="00DD3EFA" w:rsidRPr="005A0E7C" w:rsidRDefault="00DD3EFA" w:rsidP="00B15ECB">
            <w:pPr>
              <w:autoSpaceDE w:val="0"/>
              <w:autoSpaceDN w:val="0"/>
              <w:adjustRightInd w:val="0"/>
              <w:rPr>
                <w:i/>
              </w:rPr>
            </w:pPr>
            <w:r w:rsidRPr="005A0E7C">
              <w:rPr>
                <w:i/>
              </w:rPr>
              <w:t>Analýza hrozeb pro Českou republiku</w:t>
            </w:r>
          </w:p>
          <w:p w14:paraId="61A1D1C3" w14:textId="77777777" w:rsidR="00DD3EFA" w:rsidRPr="005A0E7C" w:rsidRDefault="00DD3EFA" w:rsidP="00B15ECB">
            <w:pPr>
              <w:autoSpaceDE w:val="0"/>
              <w:autoSpaceDN w:val="0"/>
              <w:adjustRightInd w:val="0"/>
              <w:rPr>
                <w:i/>
              </w:rPr>
            </w:pPr>
          </w:p>
          <w:p w14:paraId="17F922E6" w14:textId="77777777" w:rsidR="00DD3EFA" w:rsidRPr="005A0E7C" w:rsidRDefault="00DD3EFA" w:rsidP="00B15ECB">
            <w:pPr>
              <w:autoSpaceDE w:val="0"/>
              <w:autoSpaceDN w:val="0"/>
              <w:adjustRightInd w:val="0"/>
              <w:rPr>
                <w:i/>
              </w:rPr>
            </w:pPr>
            <w:r w:rsidRPr="005A0E7C">
              <w:rPr>
                <w:i/>
              </w:rPr>
              <w:t>Koncepce vzdělávání v oblasti ochrany obyvatelstva a krizového řízení</w:t>
            </w:r>
          </w:p>
          <w:p w14:paraId="4BBC8B19" w14:textId="77777777" w:rsidR="00DD3EFA" w:rsidRPr="005A0E7C" w:rsidRDefault="00DD3EFA" w:rsidP="00B15ECB">
            <w:pPr>
              <w:autoSpaceDE w:val="0"/>
              <w:autoSpaceDN w:val="0"/>
              <w:adjustRightInd w:val="0"/>
              <w:rPr>
                <w:i/>
              </w:rPr>
            </w:pPr>
          </w:p>
          <w:p w14:paraId="1B312B1B" w14:textId="77777777" w:rsidR="00DD3EFA" w:rsidRPr="005A0E7C" w:rsidRDefault="00DD3EFA" w:rsidP="00B15ECB">
            <w:pPr>
              <w:rPr>
                <w:lang w:eastAsia="cs-CZ"/>
              </w:rPr>
            </w:pPr>
            <w:r w:rsidRPr="005A0E7C">
              <w:rPr>
                <w:lang w:eastAsia="cs-CZ"/>
              </w:rPr>
              <w:t>Připravovaná</w:t>
            </w:r>
            <w:r w:rsidRPr="005A0E7C">
              <w:rPr>
                <w:i/>
                <w:lang w:eastAsia="cs-CZ"/>
              </w:rPr>
              <w:t xml:space="preserve"> Koncepce profesního vzdělávání v Policii ČR </w:t>
            </w:r>
            <w:r w:rsidRPr="005A0E7C">
              <w:rPr>
                <w:lang w:eastAsia="cs-CZ"/>
              </w:rPr>
              <w:t>navazující na schválenou</w:t>
            </w:r>
            <w:r w:rsidRPr="005A0E7C">
              <w:rPr>
                <w:i/>
                <w:lang w:eastAsia="cs-CZ"/>
              </w:rPr>
              <w:t xml:space="preserve"> „Strategii řízení lidských zdrojů Policie ČR“</w:t>
            </w:r>
            <w:r w:rsidRPr="005A0E7C">
              <w:rPr>
                <w:lang w:eastAsia="cs-CZ"/>
              </w:rPr>
              <w:t xml:space="preserve"> (práce na její realizaci již započaly v souladu s opatřeními stanovenými Koncepcí rozvoje Policie ČR do roku 2020.)</w:t>
            </w:r>
          </w:p>
          <w:p w14:paraId="484F694C" w14:textId="77777777" w:rsidR="00DD3EFA" w:rsidRPr="005A0E7C" w:rsidRDefault="00DD3EFA" w:rsidP="00B15ECB">
            <w:pPr>
              <w:rPr>
                <w:lang w:eastAsia="cs-CZ"/>
              </w:rPr>
            </w:pPr>
          </w:p>
          <w:p w14:paraId="2987752F" w14:textId="77777777" w:rsidR="00DD3EFA" w:rsidRPr="005A0E7C" w:rsidRDefault="00DD3EFA" w:rsidP="00B15ECB">
            <w:r w:rsidRPr="005A0E7C">
              <w:t>Připravovaná</w:t>
            </w:r>
            <w:r w:rsidRPr="005A0E7C">
              <w:rPr>
                <w:i/>
              </w:rPr>
              <w:t xml:space="preserve"> Koncepce rozvoje dobrovolnictví v ČR </w:t>
            </w:r>
            <w:r w:rsidRPr="005A0E7C">
              <w:t xml:space="preserve">(od roku 2019 minimálně do roku 2025) </w:t>
            </w:r>
            <w:r w:rsidRPr="005A0E7C">
              <w:rPr>
                <w:i/>
              </w:rPr>
              <w:t xml:space="preserve">– </w:t>
            </w:r>
            <w:r w:rsidRPr="005A0E7C">
              <w:t>práce na její přípravě již byly započaty</w:t>
            </w:r>
          </w:p>
          <w:p w14:paraId="4CA7471E" w14:textId="77777777" w:rsidR="00DD3EFA" w:rsidRPr="005A0E7C" w:rsidRDefault="00DD3EFA" w:rsidP="00B15ECB"/>
          <w:p w14:paraId="486028D5" w14:textId="77777777" w:rsidR="00DD3EFA" w:rsidRPr="005A0E7C" w:rsidRDefault="00DD3EFA" w:rsidP="00B15ECB">
            <w:pPr>
              <w:rPr>
                <w:lang w:eastAsia="cs-CZ"/>
              </w:rPr>
            </w:pPr>
            <w:r w:rsidRPr="005A0E7C">
              <w:t>Připravovaná</w:t>
            </w:r>
            <w:r w:rsidRPr="005A0E7C">
              <w:rPr>
                <w:i/>
              </w:rPr>
              <w:t xml:space="preserve"> Strategie rozvoje HZS ČR do r. 2021 s výhledem d r. 2030 </w:t>
            </w:r>
            <w:r w:rsidRPr="005A0E7C">
              <w:t>(v meziresortním připomínkovém řízení od února 2018)</w:t>
            </w:r>
          </w:p>
          <w:p w14:paraId="2C0B528A" w14:textId="77777777" w:rsidR="00DD3EFA" w:rsidRPr="005A0E7C" w:rsidRDefault="00DD3EFA" w:rsidP="00B15ECB"/>
        </w:tc>
        <w:tc>
          <w:tcPr>
            <w:tcW w:w="249" w:type="dxa"/>
            <w:tcBorders>
              <w:top w:val="nil"/>
              <w:bottom w:val="nil"/>
            </w:tcBorders>
            <w:shd w:val="clear" w:color="auto" w:fill="66CCFF"/>
          </w:tcPr>
          <w:p w14:paraId="496A45D5" w14:textId="77777777" w:rsidR="00DD3EFA" w:rsidRPr="002D2123" w:rsidRDefault="00DD3EFA" w:rsidP="00B15ECB">
            <w:pPr>
              <w:rPr>
                <w:b/>
                <w:sz w:val="10"/>
                <w:szCs w:val="10"/>
              </w:rPr>
            </w:pPr>
          </w:p>
        </w:tc>
      </w:tr>
      <w:tr w:rsidR="00DD3EFA" w:rsidRPr="002D2123" w14:paraId="0C924BA3" w14:textId="77777777" w:rsidTr="00B15ECB">
        <w:trPr>
          <w:trHeight w:val="938"/>
        </w:trPr>
        <w:tc>
          <w:tcPr>
            <w:tcW w:w="249" w:type="dxa"/>
            <w:tcBorders>
              <w:top w:val="nil"/>
              <w:bottom w:val="nil"/>
            </w:tcBorders>
            <w:shd w:val="clear" w:color="auto" w:fill="66CCFF"/>
          </w:tcPr>
          <w:p w14:paraId="360BBC17"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7B3B9C9D" w14:textId="77777777" w:rsidR="00DD3EFA" w:rsidRPr="002D2123" w:rsidRDefault="00DD3EFA" w:rsidP="00391907">
            <w:pPr>
              <w:pStyle w:val="Odstavecseseznamem"/>
              <w:numPr>
                <w:ilvl w:val="0"/>
                <w:numId w:val="3"/>
              </w:numPr>
              <w:spacing w:before="60" w:after="60"/>
              <w:rPr>
                <w:rFonts w:eastAsiaTheme="majorEastAsia"/>
                <w:b/>
              </w:rPr>
            </w:pPr>
            <w:r w:rsidRPr="002D2123">
              <w:rPr>
                <w:rFonts w:eastAsiaTheme="majorEastAsia"/>
                <w:b/>
              </w:rPr>
              <w:t>analýza problémů a potřeb</w:t>
            </w:r>
          </w:p>
          <w:p w14:paraId="38F42035"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8845DC2"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Analytické materiály jsou zpravidla součástí jednotlivých strategických dokumentů v jejich popisné části (např. Audit národní bezpečnosti, Koncepce rozvoje Policie ČR do roku 2020). Samotné strategické materiály vycházejí jak z dílčích analytických podkladů v těchto dokumentech uvedených, tak z předchozích obdobných koncepčních dokumentů.</w:t>
            </w:r>
          </w:p>
          <w:p w14:paraId="590DA069"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Jako hlavní analytický materiál v oblasti vnitřní bezpečnosti slouží Zpráva o situaci v oblasti vnitřní bezpečnosti a veřejného pořádku (viz http://www.mvcr.cz/soubor/zprava-o-situaci-v-oblasti-vnitrni-bezpecnosti-a-verejneho-poradku-na-uzemi-ceske-republiky-v-roce-2016.aspx), kterou dlouhodobě zpracovává MV.</w:t>
            </w:r>
          </w:p>
          <w:p w14:paraId="7ACFBA2D"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Výroční zpráva Národní centrály proti organizovanému zločinu Policie ČR pravidelně zahrnuje rovněž vyhodnocení vývoje terorismu, extremismu a kyberkriminality v ČR.</w:t>
            </w:r>
          </w:p>
          <w:p w14:paraId="0E264EFB"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V rámci migrační otázky obsahují analýzu problémů a potřeb zejména pravidelné Zprávy o situaci v oblasti migrace a integrace cizinců na území České republiky pro příslušné období.</w:t>
            </w:r>
          </w:p>
          <w:p w14:paraId="6EB0A5C2"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Některé otázky jsou ale velmi specifické a jejich řešení bude nutné hledat a teprve analyzovat možnosti (např. hybridní hrozby).</w:t>
            </w:r>
          </w:p>
          <w:p w14:paraId="09D3F49F"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V některých oblastech (terorismus) jsou analytické podklady částečně v režimu utajení.</w:t>
            </w:r>
          </w:p>
          <w:p w14:paraId="235C3607"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 xml:space="preserve">Koncepce rozvoje Policie ČR do roku 2020 explicitně obsahuje analytickou část ke všem relevantním tématům podoblasti (tj. boj proti terorismu, opatření pro zvládnutí migrační krize a krizové řízení). Její celkové obsahové zaměření, stejně jako obsahové zaměření podoblasti, reflektuje mj. výstupy Auditu národní bezpečnosti (schválen UV č. 1125/2016). </w:t>
            </w:r>
          </w:p>
          <w:p w14:paraId="23918236"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V oblasti ochrany obyvatelstva se Česká republika řídí Koncepcí ochrany obyvatelstva do roku 2020 s výhledem do roku 2030. Jedná se o vládou schválený dokument zpracovaný v roce 2013, jehož hlavní úkoly byly zapracovány po provedení analýzy (analytická část je součástí dokumentu) a v průběhu její platnosti jsou v pravidelných intervalech vyhodnocovány. Za jeho zpracování je odpovědné MV, ale na zpracování i vyhodnocování, formou zpráv předkládaných vládě ČR, se podílí ministerstva, ostatní správní úřady i krajské úřady. Dosud poslední vyhodnocení bylo provedeno a schváleno vládou ČR v r. 2018 – viz Zpráva o stavu ochrany obyvatelstva v České republice 2018. Další koncepce ochrany obyvatelstva bude zpracována před ukončením časového období stávající koncepce, tzn. před koncem r. 2020.</w:t>
            </w:r>
          </w:p>
          <w:p w14:paraId="203D1907" w14:textId="77777777" w:rsidR="00DD3EFA" w:rsidRPr="002D2123" w:rsidRDefault="00DD3EFA" w:rsidP="00B15ECB">
            <w:pPr>
              <w:pStyle w:val="slovanodstavec"/>
              <w:tabs>
                <w:tab w:val="left" w:pos="284"/>
              </w:tabs>
              <w:suppressAutoHyphens/>
              <w:spacing w:line="240" w:lineRule="auto"/>
              <w:rPr>
                <w:rFonts w:ascii="Times New Roman" w:hAnsi="Times New Roman"/>
              </w:rPr>
            </w:pPr>
            <w:r w:rsidRPr="002D2123">
              <w:rPr>
                <w:rFonts w:ascii="Times New Roman" w:hAnsi="Times New Roman"/>
              </w:rPr>
              <w:t>V oblasti ochrany obyvatelstva se ČR také řídí Koncepcí vzdělávání v oblasti ochrany obyvatelstva a krizového řízení, která stanovuje systémové řešení vzdělávání s ohledem na jednotlivá specifika a potřeby individuálních přístupů k cílovým skupinám.</w:t>
            </w:r>
          </w:p>
        </w:tc>
        <w:tc>
          <w:tcPr>
            <w:tcW w:w="249" w:type="dxa"/>
            <w:tcBorders>
              <w:top w:val="nil"/>
              <w:bottom w:val="nil"/>
            </w:tcBorders>
            <w:shd w:val="clear" w:color="auto" w:fill="66CCFF"/>
          </w:tcPr>
          <w:p w14:paraId="62F5D8FD" w14:textId="77777777" w:rsidR="00DD3EFA" w:rsidRPr="002D2123" w:rsidRDefault="00DD3EFA" w:rsidP="00B15ECB">
            <w:pPr>
              <w:rPr>
                <w:b/>
                <w:sz w:val="10"/>
                <w:szCs w:val="10"/>
              </w:rPr>
            </w:pPr>
          </w:p>
        </w:tc>
      </w:tr>
      <w:tr w:rsidR="00DD3EFA" w:rsidRPr="005A0E7C" w14:paraId="2E95FEBE" w14:textId="77777777" w:rsidTr="00B15ECB">
        <w:trPr>
          <w:trHeight w:val="938"/>
        </w:trPr>
        <w:tc>
          <w:tcPr>
            <w:tcW w:w="249" w:type="dxa"/>
            <w:tcBorders>
              <w:top w:val="nil"/>
              <w:bottom w:val="nil"/>
            </w:tcBorders>
            <w:shd w:val="clear" w:color="auto" w:fill="66CCFF"/>
          </w:tcPr>
          <w:p w14:paraId="636C6B0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151E772"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4E28D15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EF3B0A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Podoblast je dobře pokryta strategickými a koncepčními dokumenty, které jednotlivě vymezené cíle jasně definují. Na tyto cíle navazují jednotlivá opatření, která vycházejí z analýzy aktuální situace a slouží k řešení vymezených problémů. Cíle a opatření navazují ve většině témat na relevantní analytické podklady, jak je uvedeno v předchozím bodě.</w:t>
            </w:r>
          </w:p>
        </w:tc>
        <w:tc>
          <w:tcPr>
            <w:tcW w:w="249" w:type="dxa"/>
            <w:tcBorders>
              <w:top w:val="nil"/>
              <w:bottom w:val="nil"/>
            </w:tcBorders>
            <w:shd w:val="clear" w:color="auto" w:fill="66CCFF"/>
          </w:tcPr>
          <w:p w14:paraId="35CDADEC" w14:textId="77777777" w:rsidR="00DD3EFA" w:rsidRPr="005A0E7C" w:rsidRDefault="00DD3EFA" w:rsidP="00B15ECB">
            <w:pPr>
              <w:rPr>
                <w:b/>
              </w:rPr>
            </w:pPr>
          </w:p>
        </w:tc>
      </w:tr>
      <w:tr w:rsidR="00DD3EFA" w:rsidRPr="005A0E7C" w14:paraId="0039FA02" w14:textId="77777777" w:rsidTr="00B15ECB">
        <w:trPr>
          <w:trHeight w:val="938"/>
        </w:trPr>
        <w:tc>
          <w:tcPr>
            <w:tcW w:w="249" w:type="dxa"/>
            <w:tcBorders>
              <w:top w:val="nil"/>
              <w:bottom w:val="nil"/>
            </w:tcBorders>
            <w:shd w:val="clear" w:color="auto" w:fill="66CCFF"/>
          </w:tcPr>
          <w:p w14:paraId="4B5A87D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B1AA55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7844D63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3DAC20B" w14:textId="77777777" w:rsidR="00DD3EFA" w:rsidRPr="005A0E7C" w:rsidRDefault="00DD3EFA" w:rsidP="00B15ECB">
            <w:pPr>
              <w:pStyle w:val="Normlnweb"/>
              <w:jc w:val="both"/>
              <w:rPr>
                <w:rFonts w:eastAsiaTheme="minorHAnsi"/>
                <w:noProof/>
                <w:sz w:val="20"/>
                <w:szCs w:val="20"/>
                <w:lang w:eastAsia="en-US"/>
              </w:rPr>
            </w:pPr>
            <w:r w:rsidRPr="005A0E7C">
              <w:rPr>
                <w:rFonts w:eastAsiaTheme="minorHAnsi"/>
                <w:noProof/>
                <w:sz w:val="20"/>
                <w:szCs w:val="20"/>
                <w:lang w:eastAsia="en-US"/>
              </w:rPr>
              <w:t>Koncepce ochrany obyvatelstva do roku 2020 s výhledem do roku 2030 (dále jen „Koncepce“) byla připravena v gesci Ministerstva vnitra v rámci meziresortní pracovní skupiny; v průběhu zpracování byla strategie připomínkována zástupci akademické obce, vybranými kraji, členy vnitroresortní pracovní skupiny Ministerstva vnitra a odborné pracovní skupiny Výboru pro civilní nouzové plánování (dále jen VCNP) a jejich věcné připomínky byly do ní zapracovány. Koncepce byla v průběhu roku projednána ve VCNP, v Bezpečnostní radě státu a následně po projednání schválena na schůzi vlády České republiky, a to usnesením č. 805/2013.</w:t>
            </w:r>
          </w:p>
          <w:p w14:paraId="7A52CD2D" w14:textId="77777777" w:rsidR="00DD3EFA" w:rsidRPr="005A0E7C" w:rsidRDefault="00DD3EFA" w:rsidP="00B15ECB">
            <w:pPr>
              <w:spacing w:after="240"/>
            </w:pPr>
            <w:r w:rsidRPr="005A0E7C">
              <w:t xml:space="preserve">V Koncepci jsou stanoveny priority ochrany obyvatelstva a také úkoly pro plnění těchto priorit. Ke každému úkolu je přiřazen termín a gesčně odpovědný orgán veřejné správy vč. orgánu, který poskytuje součinnost. Koncepci ve finální podobě (vč. takto definovaných úkolů) schválila vláda ČR a vydala k ní usnesení, kterým uložila mj. „členům vlády a vedoucím ústředních správních úřadů plnit základní úkoly pro realizaci stanovených priorit ochrany obyvatelstva obsažené v části 5. Koncepce“ a doporučila „hejtmanům, primátorovi hlavního města Prahy a rektorům vybraných vysokých škol spolupracovat při plnění základních úkolů pro realizaci stanovených priorit ochrany obyvatelstva obsažených v části 5. Koncepce.“ </w:t>
            </w:r>
          </w:p>
          <w:p w14:paraId="5596257E" w14:textId="77777777" w:rsidR="00DD3EFA" w:rsidRPr="005A0E7C" w:rsidRDefault="00DD3EFA" w:rsidP="00B15ECB">
            <w:pPr>
              <w:spacing w:after="240"/>
            </w:pPr>
            <w:r w:rsidRPr="005A0E7C">
              <w:t>Plnění Koncepce je vyhodnocováno v pravidelných tříletých intervalech, když ministru vnitra vláda usnesením ke Koncepci ukládá „předkládat vládě každé tři roky počínaje rokem 2015 zprávu o stavu ochrany obyvatelstva v České republice“. To je činěno formou Zprávy o stavu ochrany obyvatelstva v České republice (dále jen Zpráva).</w:t>
            </w:r>
          </w:p>
          <w:p w14:paraId="7C292D35" w14:textId="77777777" w:rsidR="00DD3EFA" w:rsidRPr="005A0E7C" w:rsidRDefault="00DD3EFA" w:rsidP="00B15ECB">
            <w:pPr>
              <w:spacing w:after="240"/>
            </w:pPr>
            <w:r w:rsidRPr="005A0E7C">
              <w:t>Zprávy jsou připravovány v meziresortní pracovní skupině (vč. pracovních skupin pro jednotlivé oblasti) a jsou/budou schvalovány usnesením vlády ČR. Součástí Zprávy je také určení dalšího postupu a časového harmonogramu jednotlivých úkolů a dále informace o výhledových úkolech ochrany obyvatelstva. Poslední vyhodnocení bylo provedeno a schváleno vládou ČR v r. 2018.</w:t>
            </w:r>
          </w:p>
          <w:p w14:paraId="52B853AC" w14:textId="77777777" w:rsidR="00DD3EFA" w:rsidRPr="005A0E7C" w:rsidRDefault="00DD3EFA" w:rsidP="00B15ECB">
            <w:pPr>
              <w:autoSpaceDE w:val="0"/>
              <w:autoSpaceDN w:val="0"/>
              <w:adjustRightInd w:val="0"/>
            </w:pPr>
            <w:r w:rsidRPr="005A0E7C">
              <w:t>Zastřešující (dominantní) strategický a koncepční dokument komplexního rozvoje Policie ČR představuje „Koncepce rozvoje Policie ČR do roku 2020“. K zajištění koordinace činností souvisejících s implementací tohoto dokumentu je aktuálně zřízen pracovní tým Koncepce (Rozkaz policejního prezidenta č. 219/2016).</w:t>
            </w:r>
          </w:p>
          <w:p w14:paraId="046ECC6C" w14:textId="77777777" w:rsidR="00DD3EFA" w:rsidRPr="005A0E7C" w:rsidRDefault="00DD3EFA" w:rsidP="00B15ECB">
            <w:pPr>
              <w:autoSpaceDE w:val="0"/>
              <w:autoSpaceDN w:val="0"/>
              <w:adjustRightInd w:val="0"/>
            </w:pPr>
          </w:p>
          <w:p w14:paraId="29A50408" w14:textId="77777777" w:rsidR="00DD3EFA" w:rsidRPr="005A0E7C" w:rsidRDefault="00DD3EFA" w:rsidP="00B15ECB">
            <w:pPr>
              <w:autoSpaceDE w:val="0"/>
              <w:autoSpaceDN w:val="0"/>
              <w:adjustRightInd w:val="0"/>
            </w:pPr>
            <w:r w:rsidRPr="005A0E7C">
              <w:t>V rámci činnosti tohoto týmu jsou pravidelně zpracovávány pro vedení Policie ČR a BRS „Roční zprávy o stavu implementace Koncepce rozvoje Policie ČR do roku 2020“.</w:t>
            </w:r>
          </w:p>
          <w:p w14:paraId="3A98749C" w14:textId="77777777" w:rsidR="00DD3EFA" w:rsidRPr="005A0E7C" w:rsidRDefault="00DD3EFA" w:rsidP="00B15ECB">
            <w:pPr>
              <w:autoSpaceDE w:val="0"/>
              <w:autoSpaceDN w:val="0"/>
              <w:adjustRightInd w:val="0"/>
            </w:pPr>
          </w:p>
          <w:p w14:paraId="05BE4603" w14:textId="77777777" w:rsidR="00DD3EFA" w:rsidRPr="005A0E7C" w:rsidRDefault="00DD3EFA" w:rsidP="00B15ECB">
            <w:pPr>
              <w:autoSpaceDE w:val="0"/>
              <w:autoSpaceDN w:val="0"/>
              <w:adjustRightInd w:val="0"/>
            </w:pPr>
            <w:r w:rsidRPr="005A0E7C">
              <w:t xml:space="preserve">Současně lze konstatovat, že pro sledované období (tj. 2021+) je předpokládána celková aktualizace tohoto dokumentu, která bude reflektovat aktuální reálné věcné potřeby Policie ČR ve vztahu k procesu zajištění její adekvátní reakce na vývoj bezpečnostní situace. Součástí tohoto procesu bude rovněž nastavení implementačního mechanismu ve výše uvedených intencích.  </w:t>
            </w:r>
          </w:p>
          <w:p w14:paraId="6F90A38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p>
        </w:tc>
        <w:tc>
          <w:tcPr>
            <w:tcW w:w="249" w:type="dxa"/>
            <w:tcBorders>
              <w:top w:val="nil"/>
              <w:bottom w:val="nil"/>
            </w:tcBorders>
            <w:shd w:val="clear" w:color="auto" w:fill="66CCFF"/>
          </w:tcPr>
          <w:p w14:paraId="1ADF367C" w14:textId="77777777" w:rsidR="00DD3EFA" w:rsidRPr="005A0E7C" w:rsidRDefault="00DD3EFA" w:rsidP="00B15ECB">
            <w:pPr>
              <w:rPr>
                <w:b/>
              </w:rPr>
            </w:pPr>
          </w:p>
        </w:tc>
      </w:tr>
      <w:tr w:rsidR="00DD3EFA" w:rsidRPr="005A0E7C" w14:paraId="42B4BA92" w14:textId="77777777" w:rsidTr="00B15ECB">
        <w:trPr>
          <w:trHeight w:val="938"/>
        </w:trPr>
        <w:tc>
          <w:tcPr>
            <w:tcW w:w="249" w:type="dxa"/>
            <w:tcBorders>
              <w:top w:val="nil"/>
              <w:bottom w:val="nil"/>
            </w:tcBorders>
            <w:shd w:val="clear" w:color="auto" w:fill="66CCFF"/>
          </w:tcPr>
          <w:p w14:paraId="4B38D2B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DF905A8"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355AEF5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Vzhledem k politickému cyklu ČR, který je převážně čtyřletý, se koncepční materiály tvoří taktéž čtyřleté a nové se vytváří až po vyhodnocení stávajících. Proto v tuto chvíli (01/2019) nejsou strategické dokumenty pro období po roce 2020 spíše k dispozici, resp. jsou k dispozici výhledy po r. 2020 jako součást aktuálně platných strategií (např. Koncepce ochrany obyvatelstva do r. 2020 s výhledem do r. 2030). V současně platných dokumentech jsou cíle a jejich hodnocení spíše vhodně popsány. Jednotlivé koncepční materiály jsou zpravidla na konci platnosti (nebo ve stanovených intervalech) vyhodnocovány z hlediska naplnění konkrétních cílů a splnění předpokládaných opatření. Toto hodnocení je buď součástí samostatného dokumentu (například Roční zpráva o implementaci Koncepce rozvoje Policie ČR), nebo je součástí samotného strategického dokumentu (například Zpráva o stavu ochrany obyvatelstva v ČR 2018).</w:t>
            </w:r>
          </w:p>
          <w:p w14:paraId="7C9C0F3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eastAsiaTheme="minorHAnsi" w:hAnsi="Times New Roman"/>
                <w:noProof/>
              </w:rPr>
              <w:t>Zpráva o stavu ochrany obyvatelstva informuje Vládu ČR v pravidelných tříletých cyklech a hodnotí stav ochrany obyvatelstva za uplynulé tři roky a plnění úkolů uvedených v Koncepci ochrany obyvatelstva.</w:t>
            </w:r>
          </w:p>
        </w:tc>
        <w:tc>
          <w:tcPr>
            <w:tcW w:w="249" w:type="dxa"/>
            <w:tcBorders>
              <w:top w:val="nil"/>
              <w:bottom w:val="nil"/>
            </w:tcBorders>
            <w:shd w:val="clear" w:color="auto" w:fill="66CCFF"/>
          </w:tcPr>
          <w:p w14:paraId="0A0025BF" w14:textId="77777777" w:rsidR="00DD3EFA" w:rsidRPr="005A0E7C" w:rsidRDefault="00DD3EFA" w:rsidP="00B15ECB">
            <w:pPr>
              <w:rPr>
                <w:b/>
              </w:rPr>
            </w:pPr>
          </w:p>
        </w:tc>
      </w:tr>
      <w:tr w:rsidR="00DD3EFA" w:rsidRPr="005A0E7C" w14:paraId="0A392C35" w14:textId="77777777" w:rsidTr="00B15ECB">
        <w:trPr>
          <w:trHeight w:val="130"/>
        </w:trPr>
        <w:tc>
          <w:tcPr>
            <w:tcW w:w="249" w:type="dxa"/>
            <w:tcBorders>
              <w:top w:val="nil"/>
              <w:bottom w:val="nil"/>
              <w:right w:val="nil"/>
            </w:tcBorders>
            <w:shd w:val="clear" w:color="auto" w:fill="66CCFF"/>
          </w:tcPr>
          <w:p w14:paraId="2A6656FF" w14:textId="77777777" w:rsidR="00DD3EFA" w:rsidRPr="005A0E7C" w:rsidRDefault="00DD3EFA" w:rsidP="00B15ECB">
            <w:pPr>
              <w:rPr>
                <w:b/>
              </w:rPr>
            </w:pPr>
          </w:p>
        </w:tc>
        <w:tc>
          <w:tcPr>
            <w:tcW w:w="2548" w:type="dxa"/>
            <w:tcBorders>
              <w:left w:val="nil"/>
              <w:right w:val="nil"/>
            </w:tcBorders>
            <w:shd w:val="clear" w:color="auto" w:fill="66CCFF"/>
          </w:tcPr>
          <w:p w14:paraId="332433F4" w14:textId="77777777" w:rsidR="00DD3EFA" w:rsidRPr="005A0E7C" w:rsidRDefault="00DD3EFA" w:rsidP="00B15ECB">
            <w:pPr>
              <w:rPr>
                <w:b/>
              </w:rPr>
            </w:pPr>
          </w:p>
        </w:tc>
        <w:tc>
          <w:tcPr>
            <w:tcW w:w="5978" w:type="dxa"/>
            <w:tcBorders>
              <w:left w:val="nil"/>
              <w:right w:val="nil"/>
            </w:tcBorders>
            <w:shd w:val="clear" w:color="auto" w:fill="66CCFF"/>
          </w:tcPr>
          <w:p w14:paraId="0EE9DDC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3CEDCF5E" w14:textId="77777777" w:rsidR="00DD3EFA" w:rsidRPr="005A0E7C" w:rsidRDefault="00DD3EFA" w:rsidP="00B15ECB">
            <w:pPr>
              <w:rPr>
                <w:b/>
              </w:rPr>
            </w:pPr>
          </w:p>
        </w:tc>
      </w:tr>
      <w:tr w:rsidR="00DD3EFA" w:rsidRPr="005A0E7C" w14:paraId="74468F6C" w14:textId="77777777" w:rsidTr="00B15ECB">
        <w:trPr>
          <w:trHeight w:val="1258"/>
        </w:trPr>
        <w:tc>
          <w:tcPr>
            <w:tcW w:w="249" w:type="dxa"/>
            <w:tcBorders>
              <w:top w:val="nil"/>
              <w:bottom w:val="nil"/>
              <w:right w:val="nil"/>
            </w:tcBorders>
            <w:shd w:val="clear" w:color="auto" w:fill="66CCFF"/>
          </w:tcPr>
          <w:p w14:paraId="4E61A5AD" w14:textId="77777777" w:rsidR="00DD3EFA" w:rsidRPr="005A0E7C" w:rsidRDefault="00DD3EFA" w:rsidP="00B15ECB">
            <w:pPr>
              <w:rPr>
                <w:b/>
              </w:rPr>
            </w:pPr>
          </w:p>
        </w:tc>
        <w:tc>
          <w:tcPr>
            <w:tcW w:w="8526" w:type="dxa"/>
            <w:gridSpan w:val="2"/>
            <w:shd w:val="clear" w:color="auto" w:fill="FFFFFF" w:themeFill="background1"/>
          </w:tcPr>
          <w:p w14:paraId="131DAF13"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p w14:paraId="74D21B7B" w14:textId="77777777" w:rsidR="00DD3EFA" w:rsidRPr="005A0E7C" w:rsidRDefault="00DD3EFA" w:rsidP="00B15ECB">
            <w:pPr>
              <w:rPr>
                <w:rFonts w:eastAsiaTheme="majorEastAsia"/>
                <w:b/>
              </w:rPr>
            </w:pPr>
          </w:p>
          <w:p w14:paraId="3B7524A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Některé aktivity týkající se složek IZS bylo možné podpořit z IROP v rámci SC 1.3 Zvýšení připravenosti k řešení a řízení rizik a katastrof – je možné vybudování či stavební úpravy stanice IZS, pořízení specializované techniky pro odstraňování důsledků vydatných sněhových srážek a masívních námraz, extrémního větru, dlouhodobého sucha, úniku nebezpečných chemických látek a modernizace vzdělávacích a výcvikových středisek složek IZS. Výzvy v této oblasti byly zcela naplněny, zájem překročil stanovenou alokaci a je třeba mnohé z předpokládaných záměrů dobudovat a dále rozvíjet.</w:t>
            </w:r>
          </w:p>
          <w:p w14:paraId="180B4ADF" w14:textId="77777777" w:rsidR="00DD3EFA" w:rsidRPr="005A0E7C" w:rsidRDefault="00DD3EFA" w:rsidP="00B15ECB">
            <w:r w:rsidRPr="005A0E7C">
              <w:t>Z uvedených témat je v rámci stávajícího programového období podporována dále zejména problematika prevence kriminality z OP Z, a to ve prospěch vybraných typů příjemců.</w:t>
            </w:r>
          </w:p>
          <w:p w14:paraId="044415B2" w14:textId="77777777" w:rsidR="00DD3EFA" w:rsidRPr="005A0E7C" w:rsidRDefault="00DD3EFA" w:rsidP="00B15ECB"/>
          <w:p w14:paraId="4301087C" w14:textId="77777777" w:rsidR="00DD3EFA" w:rsidRPr="005A0E7C" w:rsidRDefault="00DD3EFA" w:rsidP="00B15ECB">
            <w:pPr>
              <w:rPr>
                <w:rFonts w:eastAsiaTheme="majorEastAsia"/>
                <w:b/>
              </w:rPr>
            </w:pPr>
            <w:r w:rsidRPr="005A0E7C">
              <w:t xml:space="preserve">Z relevantních témat  bylo také v rámci minulého a stávajícího programového období podporováno  vzdělávání složek IZS. </w:t>
            </w:r>
          </w:p>
        </w:tc>
        <w:tc>
          <w:tcPr>
            <w:tcW w:w="249" w:type="dxa"/>
            <w:tcBorders>
              <w:top w:val="nil"/>
              <w:left w:val="nil"/>
              <w:bottom w:val="nil"/>
            </w:tcBorders>
            <w:shd w:val="clear" w:color="auto" w:fill="66CCFF"/>
          </w:tcPr>
          <w:p w14:paraId="19AF4714" w14:textId="77777777" w:rsidR="00DD3EFA" w:rsidRPr="005A0E7C" w:rsidRDefault="00DD3EFA" w:rsidP="00B15ECB">
            <w:pPr>
              <w:rPr>
                <w:b/>
              </w:rPr>
            </w:pPr>
          </w:p>
        </w:tc>
      </w:tr>
      <w:tr w:rsidR="00DD3EFA" w:rsidRPr="005A0E7C" w14:paraId="779C647D" w14:textId="77777777" w:rsidTr="00B15ECB">
        <w:trPr>
          <w:trHeight w:val="1258"/>
        </w:trPr>
        <w:tc>
          <w:tcPr>
            <w:tcW w:w="249" w:type="dxa"/>
            <w:tcBorders>
              <w:top w:val="nil"/>
              <w:bottom w:val="nil"/>
              <w:right w:val="nil"/>
            </w:tcBorders>
            <w:shd w:val="clear" w:color="auto" w:fill="66CCFF"/>
          </w:tcPr>
          <w:p w14:paraId="51F9152C" w14:textId="77777777" w:rsidR="00DD3EFA" w:rsidRPr="005A0E7C" w:rsidRDefault="00DD3EFA" w:rsidP="00B15ECB">
            <w:pPr>
              <w:rPr>
                <w:b/>
              </w:rPr>
            </w:pPr>
          </w:p>
        </w:tc>
        <w:tc>
          <w:tcPr>
            <w:tcW w:w="2548" w:type="dxa"/>
            <w:shd w:val="clear" w:color="auto" w:fill="FFFFFF" w:themeFill="background1"/>
          </w:tcPr>
          <w:p w14:paraId="5BAE2B66" w14:textId="77777777" w:rsidR="00DD3EFA" w:rsidRPr="005A0E7C" w:rsidRDefault="00DD3EFA" w:rsidP="00B15ECB">
            <w:pPr>
              <w:rPr>
                <w:rFonts w:eastAsiaTheme="majorEastAsia"/>
                <w:b/>
              </w:rPr>
            </w:pPr>
            <w:r w:rsidRPr="005A0E7C">
              <w:rPr>
                <w:rFonts w:eastAsiaTheme="majorEastAsia"/>
                <w:b/>
              </w:rPr>
              <w:t>Věcný posun oblasti</w:t>
            </w:r>
          </w:p>
          <w:p w14:paraId="43C3CFE8"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A0BC7A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oblasti posílení vybavení složek IZS technikou a věcnými prostředky bylo v období 2007 – 2013 v IOP dosaženo v některých oblastech u některých složek IZS významného věcného pokroku, nicméně s ohledem na měnící se strukturu mimořádných událostí, které je třeba řešit (zvyšující se četnost mimořádných událostí z důvodu změn klimatu, úniků nebezpečných látek aj.) je třeba v této aktivitě pokračovat, doplňovat speciální techniku a věcné prostředky, které budou reagovat na aktuální situaci a predikce tak, aby oblast ochrany obyvatelstva byla řešena komplexně a aby byla zohledněna i témata, která dosud s využitím prostředků ESIF řešena nebyla (terorismus, nouzové ukrytí apod.).</w:t>
            </w:r>
          </w:p>
          <w:p w14:paraId="40F8343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Pokud jde o oblast adaptace na změnu klimatu, věcný pokrok nelze dosud komplexně hodnotit, neboť projekty období 2014 – 2020 podpořené z IROP v této oblasti dosud nebyly ukončeny, nicméně je možno již nyní konstatovat, že dosud nejsou pokryta všechna území ČR exponovaná riziky ze změn klimatu a s ohledem na omezené finanční zdroje dotačního titulu IROP (poptávka několikanásobně převyšovala objem vyhlášených výzev na předkládání projektů – viz výše) nejsou v rámci ČR vyřešena všechna problémová témata. </w:t>
            </w:r>
          </w:p>
          <w:p w14:paraId="0CF882F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minulém programovém období nebyly součástí projektů evaluace, jako je tomu nyní, nicméně i tak k většině realizovaných projektů analýzy dopadů probíhaly a byly zohledněny při stanovování dalších priorit.</w:t>
            </w:r>
          </w:p>
          <w:p w14:paraId="34C60FA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Informace o věcném posunu, kterého bylo dosaženo v projektech realizovaných v období 2007 – 2013 či u projektů období 2014 – 2020, jsou k dispozici v závěrečných monitorovacích zprávách/zprávách o realizaci jednotlivých projektů.</w:t>
            </w:r>
          </w:p>
        </w:tc>
        <w:tc>
          <w:tcPr>
            <w:tcW w:w="249" w:type="dxa"/>
            <w:tcBorders>
              <w:top w:val="nil"/>
              <w:left w:val="nil"/>
              <w:bottom w:val="nil"/>
            </w:tcBorders>
            <w:shd w:val="clear" w:color="auto" w:fill="66CCFF"/>
          </w:tcPr>
          <w:p w14:paraId="2D538184" w14:textId="77777777" w:rsidR="00DD3EFA" w:rsidRPr="005A0E7C" w:rsidRDefault="00DD3EFA" w:rsidP="00B15ECB">
            <w:pPr>
              <w:rPr>
                <w:b/>
              </w:rPr>
            </w:pPr>
          </w:p>
        </w:tc>
      </w:tr>
      <w:tr w:rsidR="00DD3EFA" w:rsidRPr="005A0E7C" w14:paraId="3186BAC2" w14:textId="77777777" w:rsidTr="00B15ECB">
        <w:trPr>
          <w:trHeight w:val="1258"/>
        </w:trPr>
        <w:tc>
          <w:tcPr>
            <w:tcW w:w="249" w:type="dxa"/>
            <w:tcBorders>
              <w:top w:val="nil"/>
              <w:bottom w:val="nil"/>
              <w:right w:val="nil"/>
            </w:tcBorders>
            <w:shd w:val="clear" w:color="auto" w:fill="66CCFF"/>
          </w:tcPr>
          <w:p w14:paraId="45C810D0" w14:textId="77777777" w:rsidR="00DD3EFA" w:rsidRPr="005A0E7C" w:rsidRDefault="00DD3EFA" w:rsidP="00B15ECB">
            <w:pPr>
              <w:rPr>
                <w:b/>
              </w:rPr>
            </w:pPr>
          </w:p>
        </w:tc>
        <w:tc>
          <w:tcPr>
            <w:tcW w:w="2548" w:type="dxa"/>
            <w:shd w:val="clear" w:color="auto" w:fill="FFFFFF" w:themeFill="background1"/>
          </w:tcPr>
          <w:p w14:paraId="2739C9B7" w14:textId="77777777" w:rsidR="00DD3EFA" w:rsidRPr="005A0E7C" w:rsidRDefault="00DD3EFA" w:rsidP="00B15ECB">
            <w:pPr>
              <w:rPr>
                <w:rFonts w:eastAsiaTheme="majorEastAsia"/>
                <w:b/>
              </w:rPr>
            </w:pPr>
            <w:r w:rsidRPr="005A0E7C">
              <w:rPr>
                <w:rFonts w:eastAsiaTheme="majorEastAsia"/>
                <w:b/>
              </w:rPr>
              <w:t>Synergické a multiplikační efekty</w:t>
            </w:r>
          </w:p>
          <w:p w14:paraId="6EFC3643"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5CBA9EC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Od roku 2008 Hasičský záchranný sbor České republiky připravil a realizoval řadu projektů, které byly reakcí na nové zásahové podmínky a nové fenomény především v kategorii živelních pohrom. Byly tak realizovány projekty zaměřené na zvýšení kvality řešení mimořádných událostí, na povodně a bleskové povodně, na zvýšení efektivity zásahu Hasičského záchranného sboru České republiky, na modernizaci technologií pro příjem tísňového volání</w:t>
            </w:r>
            <w:r w:rsidRPr="005A0E7C">
              <w:rPr>
                <w:rStyle w:val="Znakapoznpodarou"/>
                <w:rFonts w:ascii="Times New Roman" w:hAnsi="Times New Roman"/>
              </w:rPr>
              <w:footnoteReference w:id="36"/>
            </w:r>
            <w:r w:rsidRPr="005A0E7C">
              <w:rPr>
                <w:rFonts w:ascii="Times New Roman" w:hAnsi="Times New Roman"/>
              </w:rPr>
              <w:t>, na řešení a řízení rizik způsobených změnou klimatu</w:t>
            </w:r>
            <w:r w:rsidRPr="005A0E7C">
              <w:rPr>
                <w:rStyle w:val="Znakapoznpodarou"/>
                <w:rFonts w:ascii="Times New Roman" w:hAnsi="Times New Roman"/>
              </w:rPr>
              <w:footnoteReference w:id="37"/>
            </w:r>
            <w:r w:rsidRPr="005A0E7C">
              <w:rPr>
                <w:rFonts w:ascii="Times New Roman" w:hAnsi="Times New Roman"/>
              </w:rPr>
              <w:t xml:space="preserve"> a podobně. Aktivity tematické podoblasti Ochrana obyvatelstva představují přirozenou návaznost na uvedené aktivity, neboť z prognóz a projevů změn klimatu vyplývá, že aktuálně je třeba se připravit a umět efektivně reagovat (jak po stránce materiálního a technického vybavení, tak po stránce personální) na stále častější výskyt různých druhů živelných pohrom, které vyplývají ze změn klimatu a které vyvolávají stále významnější dopady na životy, zdraví a majetek obyvatel a životní prostředí, a současně je třeba řešit otázku terorismu a úniků či havárií nebezpečných látek, jejichž rozsah a četnost neustále stoupají.</w:t>
            </w:r>
          </w:p>
          <w:p w14:paraId="2995CDD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Podpora dosavadních projektů v oblasti prevence kriminality přinášela pozitivní dopady vedle oblasti bezpečnosti i do oblastí zaměstnanosti, sociálního začleňování, efektivní a kvalifikované veřejné správy, komunitní spolupráce a dalších.</w:t>
            </w:r>
          </w:p>
          <w:p w14:paraId="7306C769" w14:textId="77777777" w:rsidR="00DD3EFA" w:rsidRPr="005A0E7C" w:rsidRDefault="00DD3EFA" w:rsidP="00B15ECB">
            <w:pPr>
              <w:spacing w:line="256" w:lineRule="auto"/>
              <w:rPr>
                <w:rFonts w:eastAsia="Calibri"/>
              </w:rPr>
            </w:pPr>
            <w:r w:rsidRPr="005A0E7C">
              <w:rPr>
                <w:rFonts w:eastAsia="Calibri"/>
              </w:rPr>
              <w:t xml:space="preserve">V období od roku 2007 do současné doby Policie ČR připravovala a realizovala projekty zaměřené na zvýšení kvality služeb v oblasti zajištění bezpečnosti a zvýšení její připravenosti v rámci prevence a  řešení  rizik a mimořádných událostí. V konkrétnějším vymezení byly realizovány projekty zaměřené zejména na následující oblasti: </w:t>
            </w:r>
          </w:p>
          <w:p w14:paraId="661CEF38" w14:textId="77777777" w:rsidR="00DD3EFA" w:rsidRPr="005A0E7C" w:rsidRDefault="00DD3EFA" w:rsidP="00B15ECB">
            <w:pPr>
              <w:spacing w:line="256" w:lineRule="auto"/>
              <w:rPr>
                <w:rFonts w:eastAsia="Calibri"/>
              </w:rPr>
            </w:pPr>
            <w:r w:rsidRPr="005A0E7C">
              <w:rPr>
                <w:rFonts w:eastAsia="Calibri"/>
              </w:rPr>
              <w:t xml:space="preserve">- vybavení technologickými, technickými a věcnými prostředky  </w:t>
            </w:r>
          </w:p>
          <w:p w14:paraId="7F121CB8" w14:textId="77777777" w:rsidR="00DD3EFA" w:rsidRPr="005A0E7C" w:rsidRDefault="00DD3EFA" w:rsidP="00391907">
            <w:pPr>
              <w:numPr>
                <w:ilvl w:val="0"/>
                <w:numId w:val="56"/>
              </w:numPr>
              <w:spacing w:line="256" w:lineRule="auto"/>
              <w:ind w:left="68" w:hanging="68"/>
              <w:contextualSpacing/>
              <w:jc w:val="both"/>
              <w:rPr>
                <w:rFonts w:eastAsia="Calibri"/>
              </w:rPr>
            </w:pPr>
            <w:r w:rsidRPr="005A0E7C">
              <w:rPr>
                <w:rFonts w:eastAsia="Calibri"/>
              </w:rPr>
              <w:t xml:space="preserve"> rozvoj a modernizace informačních a komunikačních technologií</w:t>
            </w:r>
          </w:p>
          <w:p w14:paraId="74E4B5D4" w14:textId="77777777" w:rsidR="00DD3EFA" w:rsidRPr="005A0E7C" w:rsidRDefault="00DD3EFA" w:rsidP="00391907">
            <w:pPr>
              <w:numPr>
                <w:ilvl w:val="0"/>
                <w:numId w:val="56"/>
              </w:numPr>
              <w:spacing w:line="256" w:lineRule="auto"/>
              <w:ind w:left="68" w:hanging="142"/>
              <w:contextualSpacing/>
              <w:jc w:val="both"/>
              <w:rPr>
                <w:rFonts w:eastAsia="Calibri"/>
              </w:rPr>
            </w:pPr>
            <w:r w:rsidRPr="005A0E7C">
              <w:rPr>
                <w:rFonts w:eastAsia="Calibri"/>
              </w:rPr>
              <w:t>modernizace a zvýšení odolnosti stávajících či vybudování nových dislokací Policie ČR</w:t>
            </w:r>
          </w:p>
          <w:p w14:paraId="052070F1" w14:textId="77777777" w:rsidR="00DD3EFA" w:rsidRPr="005A0E7C" w:rsidRDefault="00DD3EFA" w:rsidP="00391907">
            <w:pPr>
              <w:numPr>
                <w:ilvl w:val="0"/>
                <w:numId w:val="56"/>
              </w:numPr>
              <w:spacing w:line="256" w:lineRule="auto"/>
              <w:ind w:left="68" w:hanging="142"/>
              <w:contextualSpacing/>
              <w:jc w:val="both"/>
              <w:rPr>
                <w:rFonts w:eastAsia="Calibri"/>
              </w:rPr>
            </w:pPr>
            <w:r w:rsidRPr="005A0E7C">
              <w:rPr>
                <w:rFonts w:eastAsia="Calibri"/>
              </w:rPr>
              <w:t>zlepšení vybavení školících a výcvikových středisek Policie ČR</w:t>
            </w:r>
          </w:p>
          <w:p w14:paraId="489988D2" w14:textId="77777777" w:rsidR="00DD3EFA" w:rsidRPr="005A0E7C" w:rsidRDefault="00DD3EFA" w:rsidP="00391907">
            <w:pPr>
              <w:numPr>
                <w:ilvl w:val="0"/>
                <w:numId w:val="56"/>
              </w:numPr>
              <w:spacing w:line="256" w:lineRule="auto"/>
              <w:ind w:left="68" w:hanging="142"/>
              <w:contextualSpacing/>
              <w:jc w:val="both"/>
              <w:rPr>
                <w:rFonts w:eastAsia="Calibri"/>
              </w:rPr>
            </w:pPr>
            <w:r w:rsidRPr="005A0E7C">
              <w:rPr>
                <w:rFonts w:eastAsia="Calibri"/>
              </w:rPr>
              <w:t xml:space="preserve">rozvoj lidských zdrojů Policie ČR (specifické vzdělávání) </w:t>
            </w:r>
          </w:p>
          <w:p w14:paraId="4522ADC4" w14:textId="77777777" w:rsidR="00DD3EFA" w:rsidRPr="005A0E7C" w:rsidRDefault="00DD3EFA" w:rsidP="00391907">
            <w:pPr>
              <w:numPr>
                <w:ilvl w:val="0"/>
                <w:numId w:val="56"/>
              </w:numPr>
              <w:spacing w:line="256" w:lineRule="auto"/>
              <w:ind w:left="68" w:hanging="142"/>
              <w:contextualSpacing/>
              <w:jc w:val="both"/>
              <w:rPr>
                <w:rFonts w:eastAsia="Calibri"/>
              </w:rPr>
            </w:pPr>
            <w:r w:rsidRPr="005A0E7C">
              <w:rPr>
                <w:rFonts w:eastAsia="Calibri"/>
              </w:rPr>
              <w:t xml:space="preserve">výměna dobré praxe. </w:t>
            </w:r>
          </w:p>
          <w:p w14:paraId="5E710AFF" w14:textId="77777777" w:rsidR="00DD3EFA" w:rsidRPr="005A0E7C" w:rsidRDefault="00DD3EFA" w:rsidP="00B15ECB">
            <w:pPr>
              <w:spacing w:line="256" w:lineRule="auto"/>
              <w:ind w:left="210"/>
              <w:contextualSpacing/>
              <w:rPr>
                <w:rFonts w:eastAsia="Calibri"/>
                <w:i/>
              </w:rPr>
            </w:pPr>
          </w:p>
          <w:p w14:paraId="31BFCDD3" w14:textId="77777777" w:rsidR="00DD3EFA" w:rsidRPr="005A0E7C" w:rsidRDefault="00DD3EFA" w:rsidP="00B15ECB">
            <w:pPr>
              <w:spacing w:line="256" w:lineRule="auto"/>
            </w:pPr>
            <w:r w:rsidRPr="005A0E7C">
              <w:rPr>
                <w:rFonts w:eastAsia="Calibri"/>
              </w:rPr>
              <w:t>V reakci na aktuální bezpečnostní  fenomény byly  ve sledovaném období rovněž realizovány projekty zaměřené zejména na zefektivnění boje proti závažné trestné činnosti  (zejména na úseku zajištění schopnosti vyšetřovat kyberkriminalitu, zajištění kyberbezpečnosti a boje proti drogové kriminalitě), vybavení a provozování sofistikovanějších, účinnějších a efektivnějších pracovišť pro účely boje proti organizovanému zločinu, zvýšení efektivity mezinárodní policejní spolupráce či vybudování a rozvíjení informačních systémů ochrany hranic s vizí tzv. „Smart Borders“.</w:t>
            </w:r>
          </w:p>
        </w:tc>
        <w:tc>
          <w:tcPr>
            <w:tcW w:w="249" w:type="dxa"/>
            <w:tcBorders>
              <w:top w:val="nil"/>
              <w:left w:val="nil"/>
              <w:bottom w:val="nil"/>
            </w:tcBorders>
            <w:shd w:val="clear" w:color="auto" w:fill="66CCFF"/>
          </w:tcPr>
          <w:p w14:paraId="2647F4CA" w14:textId="77777777" w:rsidR="00DD3EFA" w:rsidRPr="005A0E7C" w:rsidRDefault="00DD3EFA" w:rsidP="00B15ECB">
            <w:pPr>
              <w:rPr>
                <w:b/>
              </w:rPr>
            </w:pPr>
          </w:p>
        </w:tc>
      </w:tr>
      <w:tr w:rsidR="00DD3EFA" w:rsidRPr="005A0E7C" w14:paraId="63170458" w14:textId="77777777" w:rsidTr="00B15ECB">
        <w:trPr>
          <w:trHeight w:val="180"/>
        </w:trPr>
        <w:tc>
          <w:tcPr>
            <w:tcW w:w="249" w:type="dxa"/>
            <w:tcBorders>
              <w:top w:val="nil"/>
              <w:bottom w:val="nil"/>
              <w:right w:val="nil"/>
            </w:tcBorders>
            <w:shd w:val="clear" w:color="auto" w:fill="66CCFF"/>
          </w:tcPr>
          <w:p w14:paraId="18B761FF"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4E372BFB"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359F2CCD" w14:textId="77777777" w:rsidR="00DD3EFA" w:rsidRPr="005A0E7C" w:rsidRDefault="00DD3EFA" w:rsidP="00B15ECB">
            <w:pPr>
              <w:rPr>
                <w:b/>
              </w:rPr>
            </w:pPr>
          </w:p>
        </w:tc>
        <w:tc>
          <w:tcPr>
            <w:tcW w:w="249" w:type="dxa"/>
            <w:tcBorders>
              <w:top w:val="nil"/>
              <w:left w:val="nil"/>
              <w:bottom w:val="nil"/>
            </w:tcBorders>
            <w:shd w:val="clear" w:color="auto" w:fill="66CCFF"/>
          </w:tcPr>
          <w:p w14:paraId="36868E8A" w14:textId="77777777" w:rsidR="00DD3EFA" w:rsidRPr="005A0E7C" w:rsidRDefault="00DD3EFA" w:rsidP="00B15ECB">
            <w:pPr>
              <w:rPr>
                <w:b/>
              </w:rPr>
            </w:pPr>
          </w:p>
        </w:tc>
      </w:tr>
      <w:tr w:rsidR="00DD3EFA" w:rsidRPr="005A0E7C" w14:paraId="73662E85" w14:textId="77777777" w:rsidTr="00B15ECB">
        <w:trPr>
          <w:trHeight w:val="990"/>
        </w:trPr>
        <w:tc>
          <w:tcPr>
            <w:tcW w:w="249" w:type="dxa"/>
            <w:tcBorders>
              <w:top w:val="nil"/>
              <w:bottom w:val="nil"/>
            </w:tcBorders>
            <w:shd w:val="clear" w:color="auto" w:fill="66CCFF"/>
          </w:tcPr>
          <w:p w14:paraId="050E975D"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1BD173C6"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p>
          <w:p w14:paraId="4D53341E"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0C033DCA" w14:textId="77777777" w:rsidR="00DD3EFA" w:rsidRPr="005A0E7C" w:rsidRDefault="00DD3EFA" w:rsidP="00B15ECB">
            <w:pPr>
              <w:rPr>
                <w:b/>
              </w:rPr>
            </w:pPr>
          </w:p>
        </w:tc>
      </w:tr>
      <w:tr w:rsidR="00DD3EFA" w:rsidRPr="005A0E7C" w14:paraId="27BC23C6" w14:textId="77777777" w:rsidTr="00B15ECB">
        <w:trPr>
          <w:trHeight w:val="1260"/>
        </w:trPr>
        <w:tc>
          <w:tcPr>
            <w:tcW w:w="249" w:type="dxa"/>
            <w:tcBorders>
              <w:top w:val="nil"/>
              <w:bottom w:val="nil"/>
            </w:tcBorders>
            <w:shd w:val="clear" w:color="auto" w:fill="66CCFF"/>
          </w:tcPr>
          <w:p w14:paraId="321390B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3A4763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4757970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programovém období 2014 - 2020 objem předložených projektů výrazně převýšil disponibilní alokaci výzev; mnoho žadatelů vůbec nepředložilo své plánované projekty z důvodu předčasného uzavření některých výzev. Obdobně v programovém období 2007 - 2013 byly určené prostředky efektivně vyčerpány, a to vč. dodatečných realokací IOP (změna programového dokumentu z r. 2013).</w:t>
            </w:r>
          </w:p>
          <w:p w14:paraId="064A0E9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stávajícího programového období je podporována problematika prevence kriminality a vzdělávání složek IZS z OP Z, a to ve prospěch vybraných typů příjemců. </w:t>
            </w:r>
          </w:p>
          <w:p w14:paraId="621D591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Některé aktivity byly ve stávajícím programovém období podpořeny z IROP v rámci SC 1.3 Zvýšení připravenosti k řešení a řízení rizik a katastrof – je možné vybudování či stavební úpravy stanice IZS, pořízení specializované techniky pro odstraňování důsledků vydatných srážek, extrémního větru, dlouhodobého sucha, úniku nebezpečných chemických látek, modernizace vzdělávacích a výcvikových středisek složek IZS. Výzvy v této oblasti byly zcela naplněny, zájem překročil stanovenou alokaci a je třeba mnohé z předpokládaných záměrů, které již byly uskutečněny, dobudovat a dále rozvíjet.</w:t>
            </w:r>
          </w:p>
          <w:p w14:paraId="1AEEC83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 IROP bylo podpořeno 267 projektů, z toho 233 projektů obcí zaměřených na jednotky sboru dobrovolných hasičů (celkem 37 % celkové alokace SC 1.3 IROP), 18 krajských projektů zaměřených na zdravotnické záchranné služby (10 % celkové alokace SC 3.2).</w:t>
            </w:r>
          </w:p>
        </w:tc>
        <w:tc>
          <w:tcPr>
            <w:tcW w:w="249" w:type="dxa"/>
            <w:tcBorders>
              <w:top w:val="nil"/>
              <w:bottom w:val="nil"/>
            </w:tcBorders>
            <w:shd w:val="clear" w:color="auto" w:fill="66CCFF"/>
          </w:tcPr>
          <w:p w14:paraId="5583435D" w14:textId="77777777" w:rsidR="00DD3EFA" w:rsidRPr="005A0E7C" w:rsidRDefault="00DD3EFA" w:rsidP="00B15ECB">
            <w:pPr>
              <w:rPr>
                <w:b/>
              </w:rPr>
            </w:pPr>
          </w:p>
        </w:tc>
      </w:tr>
      <w:tr w:rsidR="00DD3EFA" w:rsidRPr="005A0E7C" w14:paraId="6A4BECF6" w14:textId="77777777" w:rsidTr="00B15ECB">
        <w:trPr>
          <w:trHeight w:val="850"/>
        </w:trPr>
        <w:tc>
          <w:tcPr>
            <w:tcW w:w="249" w:type="dxa"/>
            <w:tcBorders>
              <w:top w:val="nil"/>
              <w:bottom w:val="nil"/>
            </w:tcBorders>
            <w:shd w:val="clear" w:color="auto" w:fill="66CCFF"/>
          </w:tcPr>
          <w:p w14:paraId="77B5265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B8DA9E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04BC0752" w14:textId="77777777" w:rsidR="00DD3EFA" w:rsidRPr="005A0E7C" w:rsidRDefault="00DD3EFA" w:rsidP="00B15ECB">
            <w:pPr>
              <w:spacing w:before="60" w:after="60" w:line="259" w:lineRule="auto"/>
            </w:pPr>
            <w:r w:rsidRPr="005A0E7C">
              <w:rPr>
                <w:rFonts w:eastAsiaTheme="majorEastAsia"/>
              </w:rPr>
              <w:t>Vzhledem k závažnosti témat řešených podoblastí Ochrana obyvatelstva (terorismus, migrace, kyberkriminalita, změna klimatu) lze očekávat, že zájem o řešená témata bude vysoký. Oblast změny klimatu bude pokračovat ze stávajícího období, a to i s ohledem na skutečnost, že poptávka v této oblasti nebyla v programovém období 2014 - 2020 zcela uspokojena a tuto oblast je třeba s ohledem na prognózy dále rozvíjet.</w:t>
            </w:r>
          </w:p>
        </w:tc>
        <w:tc>
          <w:tcPr>
            <w:tcW w:w="249" w:type="dxa"/>
            <w:tcBorders>
              <w:top w:val="nil"/>
              <w:bottom w:val="nil"/>
            </w:tcBorders>
            <w:shd w:val="clear" w:color="auto" w:fill="66CCFF"/>
          </w:tcPr>
          <w:p w14:paraId="3C7186C4" w14:textId="77777777" w:rsidR="00DD3EFA" w:rsidRPr="005A0E7C" w:rsidRDefault="00DD3EFA" w:rsidP="00B15ECB">
            <w:pPr>
              <w:rPr>
                <w:b/>
              </w:rPr>
            </w:pPr>
          </w:p>
        </w:tc>
      </w:tr>
      <w:tr w:rsidR="00DD3EFA" w:rsidRPr="005A0E7C" w14:paraId="741EF32D" w14:textId="77777777" w:rsidTr="00B15ECB">
        <w:trPr>
          <w:trHeight w:val="925"/>
        </w:trPr>
        <w:tc>
          <w:tcPr>
            <w:tcW w:w="249" w:type="dxa"/>
            <w:tcBorders>
              <w:top w:val="nil"/>
              <w:bottom w:val="nil"/>
            </w:tcBorders>
            <w:shd w:val="clear" w:color="auto" w:fill="66CCFF"/>
          </w:tcPr>
          <w:p w14:paraId="7DCE787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4EFC0D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2CC716D6" w14:textId="77777777" w:rsidR="00DD3EFA" w:rsidRPr="005A0E7C" w:rsidRDefault="00DD3EFA" w:rsidP="00B15ECB">
            <w:pPr>
              <w:spacing w:before="60" w:after="60" w:line="259" w:lineRule="auto"/>
              <w:rPr>
                <w:rFonts w:eastAsiaTheme="majorEastAsia"/>
              </w:rPr>
            </w:pPr>
            <w:r w:rsidRPr="005A0E7C">
              <w:rPr>
                <w:rFonts w:eastAsiaTheme="majorEastAsia"/>
              </w:rPr>
              <w:t>V podmínkách PP ČR funguje specializované pracoviště, jehož předmětem činnosti je mj. identifikace a sběr potřeb v daných oblastech. V součinnosti s věcně příslušnými útvary Policie ČR jsou průběžně realizovány aktivity směřující k formulaci základních směrů potenciálních projektů, které reflektují saturaci potřeb v dané oblasti a tím naplňování cílů této podoblasti. Jednotlivé věcně příslušné útvary Policie ČR jsou obeznámeny s obsahovým zaměřením podoblasti a jsou připraveny v budoucnu transformovat výše uvedené směry do příslušných projektových záměrů. Tyto projektové záměry pak musí reagovat na příslušné cíle a opatření Koncepce rozvoje Policie ČR do roku 2020, která zároveň představuje základní rozvojový rámec Policie ČR v daných oblastech.</w:t>
            </w:r>
          </w:p>
          <w:p w14:paraId="6CC3D1E7" w14:textId="77777777" w:rsidR="00DD3EFA" w:rsidRPr="005A0E7C" w:rsidRDefault="00DD3EFA" w:rsidP="00B15ECB">
            <w:pPr>
              <w:spacing w:before="60" w:after="60"/>
              <w:rPr>
                <w:rFonts w:eastAsiaTheme="majorEastAsia"/>
                <w:i/>
              </w:rPr>
            </w:pPr>
          </w:p>
          <w:p w14:paraId="2F5873AB" w14:textId="77777777" w:rsidR="00DD3EFA" w:rsidRPr="005A0E7C" w:rsidRDefault="00DD3EFA" w:rsidP="00B15ECB">
            <w:pPr>
              <w:spacing w:before="60" w:after="60" w:line="259" w:lineRule="auto"/>
            </w:pPr>
            <w:r w:rsidRPr="005A0E7C">
              <w:rPr>
                <w:rFonts w:eastAsiaTheme="majorEastAsia"/>
              </w:rPr>
              <w:t>V podmínkách HZS ČR je definování a příprava projektových záměrů koordinována ze strany MV-GŘ HZS ČR, a to jak z hlediska jejich obsahového zaměření, časového a finančního rámce, tak i z hlediska souhadu s příslušnými koncepčními materiály na úseku HZS ČR. Aktuálně jsou k dispozici zpracované rámcové záměry na vybavení technikou a prostředky pro záchranné a likvidační práce v důsledku terorismu (vč. evakuace a nouzového ukrytí) a změn klimatu; projektové záměry pro oblast varování a vyrozumění jsou ve stádiu přípravy, a to s ohledem na probíhající bezpečnostní výzkum v této oblasti (je vytvářena nová technická norma pro oblast varování, vyrozumění a informování, která bude dokončena v r. 2019).</w:t>
            </w:r>
          </w:p>
        </w:tc>
        <w:tc>
          <w:tcPr>
            <w:tcW w:w="249" w:type="dxa"/>
            <w:tcBorders>
              <w:top w:val="nil"/>
              <w:bottom w:val="nil"/>
            </w:tcBorders>
            <w:shd w:val="clear" w:color="auto" w:fill="66CCFF"/>
          </w:tcPr>
          <w:p w14:paraId="6F5A3E8F" w14:textId="77777777" w:rsidR="00DD3EFA" w:rsidRPr="005A0E7C" w:rsidRDefault="00DD3EFA" w:rsidP="00B15ECB">
            <w:pPr>
              <w:rPr>
                <w:b/>
              </w:rPr>
            </w:pPr>
          </w:p>
        </w:tc>
      </w:tr>
      <w:tr w:rsidR="00DD3EFA" w:rsidRPr="005A0E7C" w14:paraId="562F3A44" w14:textId="77777777" w:rsidTr="00B15ECB">
        <w:trPr>
          <w:trHeight w:val="1001"/>
        </w:trPr>
        <w:tc>
          <w:tcPr>
            <w:tcW w:w="249" w:type="dxa"/>
            <w:tcBorders>
              <w:top w:val="nil"/>
              <w:bottom w:val="nil"/>
            </w:tcBorders>
            <w:shd w:val="clear" w:color="auto" w:fill="66CCFF"/>
          </w:tcPr>
          <w:p w14:paraId="6263EFA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EEE69BC"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0B5B1962" w14:textId="77777777" w:rsidR="00DD3EFA" w:rsidRPr="005A0E7C" w:rsidRDefault="00DD3EFA" w:rsidP="00B15ECB">
            <w:pPr>
              <w:spacing w:before="60" w:after="60" w:line="259" w:lineRule="auto"/>
            </w:pPr>
            <w:r w:rsidRPr="005A0E7C">
              <w:rPr>
                <w:rFonts w:eastAsiaTheme="majorEastAsia"/>
              </w:rPr>
              <w:t>U některých žadatelů  se jedná o bariéry v podobě přílišné administrativní náročnosti, procesu využívání zdrojů EU,nedostatečných personálních a materiálních kapacit potenciálních příjemců podpory či ne vždy vyhovujících podmínek, za kterých lze finanční prostředky čerpat.</w:t>
            </w:r>
          </w:p>
        </w:tc>
        <w:tc>
          <w:tcPr>
            <w:tcW w:w="249" w:type="dxa"/>
            <w:tcBorders>
              <w:top w:val="nil"/>
              <w:bottom w:val="nil"/>
            </w:tcBorders>
            <w:shd w:val="clear" w:color="auto" w:fill="66CCFF"/>
          </w:tcPr>
          <w:p w14:paraId="40E96E0A" w14:textId="77777777" w:rsidR="00DD3EFA" w:rsidRPr="005A0E7C" w:rsidRDefault="00DD3EFA" w:rsidP="00B15ECB">
            <w:pPr>
              <w:rPr>
                <w:b/>
              </w:rPr>
            </w:pPr>
          </w:p>
        </w:tc>
      </w:tr>
      <w:tr w:rsidR="00DD3EFA" w:rsidRPr="005A0E7C" w14:paraId="76444148"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6CDB2B3A"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F1638D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28EA7BC"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5C589CD" w14:textId="77777777" w:rsidR="00DD3EFA" w:rsidRPr="005A0E7C" w:rsidRDefault="00DD3EFA" w:rsidP="00B15ECB">
            <w:pPr>
              <w:rPr>
                <w:b/>
              </w:rPr>
            </w:pPr>
          </w:p>
        </w:tc>
      </w:tr>
      <w:tr w:rsidR="00DD3EFA" w:rsidRPr="005A0E7C" w14:paraId="03DD4A10" w14:textId="77777777" w:rsidTr="00B15ECB">
        <w:trPr>
          <w:trHeight w:val="1559"/>
        </w:trPr>
        <w:tc>
          <w:tcPr>
            <w:tcW w:w="249" w:type="dxa"/>
            <w:tcBorders>
              <w:top w:val="single" w:sz="4" w:space="0" w:color="auto"/>
              <w:bottom w:val="nil"/>
            </w:tcBorders>
            <w:shd w:val="clear" w:color="auto" w:fill="66CCFF"/>
          </w:tcPr>
          <w:p w14:paraId="338966C3"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39380734"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357930DB" w14:textId="77777777" w:rsidR="00DD3EFA" w:rsidRPr="005A0E7C" w:rsidRDefault="00DD3EFA" w:rsidP="00B15ECB">
            <w:pPr>
              <w:spacing w:before="60" w:after="60"/>
              <w:rPr>
                <w:rFonts w:eastAsiaTheme="majorEastAsia"/>
                <w:i/>
              </w:rPr>
            </w:pPr>
          </w:p>
        </w:tc>
        <w:tc>
          <w:tcPr>
            <w:tcW w:w="249" w:type="dxa"/>
            <w:tcBorders>
              <w:top w:val="single" w:sz="4" w:space="0" w:color="auto"/>
              <w:bottom w:val="nil"/>
            </w:tcBorders>
            <w:shd w:val="clear" w:color="auto" w:fill="66CCFF"/>
          </w:tcPr>
          <w:p w14:paraId="055408AB" w14:textId="77777777" w:rsidR="00DD3EFA" w:rsidRPr="005A0E7C" w:rsidRDefault="00DD3EFA" w:rsidP="00B15ECB">
            <w:pPr>
              <w:rPr>
                <w:b/>
              </w:rPr>
            </w:pPr>
          </w:p>
        </w:tc>
      </w:tr>
      <w:tr w:rsidR="00DD3EFA" w:rsidRPr="005A0E7C" w14:paraId="48924E02" w14:textId="77777777" w:rsidTr="00B15ECB">
        <w:trPr>
          <w:trHeight w:val="1968"/>
        </w:trPr>
        <w:tc>
          <w:tcPr>
            <w:tcW w:w="249" w:type="dxa"/>
            <w:tcBorders>
              <w:top w:val="nil"/>
              <w:bottom w:val="nil"/>
            </w:tcBorders>
            <w:shd w:val="clear" w:color="auto" w:fill="66CCFF"/>
          </w:tcPr>
          <w:p w14:paraId="5B6EF54B" w14:textId="77777777" w:rsidR="00DD3EFA" w:rsidRPr="005A0E7C" w:rsidRDefault="00DD3EFA" w:rsidP="00B15ECB">
            <w:pPr>
              <w:rPr>
                <w:b/>
              </w:rPr>
            </w:pPr>
          </w:p>
        </w:tc>
        <w:tc>
          <w:tcPr>
            <w:tcW w:w="2548" w:type="dxa"/>
            <w:tcBorders>
              <w:top w:val="nil"/>
            </w:tcBorders>
            <w:shd w:val="clear" w:color="auto" w:fill="FFFFFF" w:themeFill="background1"/>
          </w:tcPr>
          <w:p w14:paraId="4AC521E6"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07B264BA" w14:textId="77777777" w:rsidR="00DD3EFA" w:rsidRPr="005A0E7C" w:rsidRDefault="00DD3EFA" w:rsidP="00B15ECB">
            <w:pPr>
              <w:spacing w:before="60" w:after="60" w:line="259" w:lineRule="auto"/>
              <w:rPr>
                <w:rFonts w:eastAsiaTheme="majorEastAsia"/>
              </w:rPr>
            </w:pPr>
            <w:r w:rsidRPr="005A0E7C">
              <w:rPr>
                <w:rFonts w:eastAsiaTheme="majorEastAsia"/>
              </w:rPr>
              <w:t>Z hlediska tematického zaměření podoblasti lze připustit částečnou podporu z unijních programů (zejména v rámci programu ISF – unijní akce a programu Horizon 2020). V této souvislosti však lze identifikovat určité faktory, které zakládají relativně nízkou pravděpodobnost úspěchu jejich využití. Jedná se zejména o:</w:t>
            </w:r>
          </w:p>
          <w:p w14:paraId="61CEE3D3" w14:textId="77777777" w:rsidR="00DD3EFA" w:rsidRPr="005A0E7C" w:rsidRDefault="00DD3EFA" w:rsidP="00B15ECB">
            <w:pPr>
              <w:spacing w:before="60" w:after="60" w:line="259" w:lineRule="auto"/>
              <w:rPr>
                <w:rFonts w:eastAsiaTheme="majorEastAsia"/>
              </w:rPr>
            </w:pPr>
            <w:r w:rsidRPr="005A0E7C">
              <w:rPr>
                <w:rFonts w:eastAsiaTheme="majorEastAsia"/>
              </w:rPr>
              <w:t>- zaměření unijních programů především na projekty v oblasti výměny zkušeností, vytváření sítí, vzdělávání, podpůrných či koordinačních akcí s velmi omezenou možnostífinancování aktivit investičního charakteru,</w:t>
            </w:r>
          </w:p>
          <w:p w14:paraId="5906EE97" w14:textId="77777777" w:rsidR="00DD3EFA" w:rsidRPr="005A0E7C" w:rsidRDefault="00DD3EFA" w:rsidP="00B15ECB">
            <w:pPr>
              <w:spacing w:before="60" w:after="60" w:line="259" w:lineRule="auto"/>
              <w:rPr>
                <w:rFonts w:eastAsiaTheme="majorEastAsia"/>
              </w:rPr>
            </w:pPr>
            <w:r w:rsidRPr="005A0E7C">
              <w:rPr>
                <w:rFonts w:eastAsiaTheme="majorEastAsia"/>
              </w:rPr>
              <w:t>- uzší zaměření některých unijních programů na segmenty, které nespadají přímo do oblasti ochrana obyvatelstva (např. ISF),</w:t>
            </w:r>
          </w:p>
          <w:p w14:paraId="79FC07FE" w14:textId="77777777" w:rsidR="00DD3EFA" w:rsidRPr="005A0E7C" w:rsidRDefault="00DD3EFA" w:rsidP="00B15ECB">
            <w:pPr>
              <w:spacing w:before="60" w:after="60" w:line="259" w:lineRule="auto"/>
              <w:rPr>
                <w:rFonts w:eastAsiaTheme="majorEastAsia"/>
              </w:rPr>
            </w:pPr>
            <w:r w:rsidRPr="005A0E7C">
              <w:rPr>
                <w:rFonts w:eastAsiaTheme="majorEastAsia"/>
              </w:rPr>
              <w:t>- nedostatečné personální kapacity a zkušenosti potenciálního příjemce na úseku přípravy a realizací projektů v těchto programech a náročnost administrace takových projektů včetně nutného jazykového vybavení,</w:t>
            </w:r>
          </w:p>
          <w:p w14:paraId="54CBA61D" w14:textId="77777777" w:rsidR="00DD3EFA" w:rsidRPr="005A0E7C" w:rsidRDefault="00DD3EFA" w:rsidP="00B15ECB">
            <w:pPr>
              <w:spacing w:before="60" w:after="60"/>
              <w:rPr>
                <w:rFonts w:eastAsiaTheme="majorEastAsia"/>
                <w:i/>
              </w:rPr>
            </w:pPr>
            <w:r w:rsidRPr="005A0E7C">
              <w:rPr>
                <w:rFonts w:eastAsiaTheme="majorEastAsia"/>
              </w:rPr>
              <w:t>- poměrně nízká pravděpodobnost výběru projektu proposkytnutí podpory (např. u programu Horizont 2020 uvádí Technologické centrum AV odhad úspěšnosti projektových žádosti cca 10%).</w:t>
            </w:r>
          </w:p>
        </w:tc>
        <w:tc>
          <w:tcPr>
            <w:tcW w:w="249" w:type="dxa"/>
            <w:tcBorders>
              <w:top w:val="nil"/>
              <w:bottom w:val="nil"/>
            </w:tcBorders>
            <w:shd w:val="clear" w:color="auto" w:fill="66CCFF"/>
          </w:tcPr>
          <w:p w14:paraId="23B096B4" w14:textId="77777777" w:rsidR="00DD3EFA" w:rsidRPr="005A0E7C" w:rsidRDefault="00DD3EFA" w:rsidP="00B15ECB">
            <w:pPr>
              <w:rPr>
                <w:b/>
              </w:rPr>
            </w:pPr>
          </w:p>
        </w:tc>
      </w:tr>
      <w:tr w:rsidR="00DD3EFA" w:rsidRPr="005A0E7C" w14:paraId="2F47A071" w14:textId="77777777" w:rsidTr="00B15ECB">
        <w:trPr>
          <w:trHeight w:val="1968"/>
        </w:trPr>
        <w:tc>
          <w:tcPr>
            <w:tcW w:w="249" w:type="dxa"/>
            <w:tcBorders>
              <w:top w:val="nil"/>
              <w:bottom w:val="nil"/>
            </w:tcBorders>
            <w:shd w:val="clear" w:color="auto" w:fill="66CCFF"/>
          </w:tcPr>
          <w:p w14:paraId="2FC77BAB" w14:textId="77777777" w:rsidR="00DD3EFA" w:rsidRPr="005A0E7C" w:rsidRDefault="00DD3EFA" w:rsidP="00B15ECB">
            <w:pPr>
              <w:rPr>
                <w:b/>
              </w:rPr>
            </w:pPr>
          </w:p>
        </w:tc>
        <w:tc>
          <w:tcPr>
            <w:tcW w:w="2548" w:type="dxa"/>
            <w:tcBorders>
              <w:top w:val="nil"/>
            </w:tcBorders>
            <w:shd w:val="clear" w:color="auto" w:fill="FFFFFF" w:themeFill="background1"/>
          </w:tcPr>
          <w:p w14:paraId="12E019E7"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3A4E7109" w14:textId="77777777" w:rsidR="00DD3EFA" w:rsidRPr="005A0E7C" w:rsidRDefault="00DD3EFA" w:rsidP="00B15ECB">
            <w:pPr>
              <w:spacing w:before="60" w:after="60" w:line="259" w:lineRule="auto"/>
              <w:rPr>
                <w:rFonts w:eastAsiaTheme="majorEastAsia"/>
              </w:rPr>
            </w:pPr>
            <w:r w:rsidRPr="005A0E7C">
              <w:rPr>
                <w:rFonts w:eastAsiaTheme="majorEastAsia"/>
              </w:rPr>
              <w:t xml:space="preserve">Podoblast může být částečně podporována z veřejných rozpočtů, které však nemají dlouhodobě dostatek disponibilních prostředků na plnohodnotnou saturaci potřeb veřejné správy a složek IZS (resp. obyvatelstva) v dané oblasti. </w:t>
            </w:r>
          </w:p>
          <w:p w14:paraId="6E532FFF" w14:textId="77777777" w:rsidR="00DD3EFA" w:rsidRPr="005A0E7C" w:rsidRDefault="00DD3EFA" w:rsidP="00B15ECB">
            <w:pPr>
              <w:spacing w:before="60" w:after="60" w:line="259" w:lineRule="auto"/>
            </w:pPr>
            <w:r w:rsidRPr="005A0E7C">
              <w:rPr>
                <w:rFonts w:eastAsiaTheme="majorEastAsia"/>
              </w:rPr>
              <w:t>Ve stávajícím období je možné dílčí aktivity IZS financovat z národních zdrojů (dotace), nicméně jedná se o dílčí částky pro vymezené skupiny příjemců; dotace neumožňují plošné řešení; jedná se o obecnou podporu (technika, stanice) bez vazby na nosná témata podoblasti - změny klimatu, terorismus apod. Na základě § 23a a § 23b zákona č. 168/1999 Sb., o pojištění odpovědnosti za škodu způsobenou provozem vozidla a o změně některých souvisejících zákonů mohou složky IZS financovat z prostředků Fondu zábrany škod České kanceláře pojistitelů úhradu nákladů spojených s pořízením techniky nebo věcných prostředků, odborné přípravy personálu složek IZS (projekt „Profesionalizace řidičů složek IZS“) a s úpravou technologií operačních středisek - jedná se však o přísně účelově zaměřenou podporu na prevenci a pomoc při likvidaci následků v oblasti škod z provozu vozidel, tedy bez vazby na nosná témata podoblasti - změny klimatu, terorismus apod.</w:t>
            </w:r>
          </w:p>
        </w:tc>
        <w:tc>
          <w:tcPr>
            <w:tcW w:w="249" w:type="dxa"/>
            <w:tcBorders>
              <w:top w:val="nil"/>
              <w:bottom w:val="nil"/>
            </w:tcBorders>
            <w:shd w:val="clear" w:color="auto" w:fill="66CCFF"/>
          </w:tcPr>
          <w:p w14:paraId="08653FA7" w14:textId="77777777" w:rsidR="00DD3EFA" w:rsidRPr="005A0E7C" w:rsidRDefault="00DD3EFA" w:rsidP="00B15ECB">
            <w:pPr>
              <w:rPr>
                <w:b/>
              </w:rPr>
            </w:pPr>
          </w:p>
        </w:tc>
      </w:tr>
      <w:tr w:rsidR="00DD3EFA" w:rsidRPr="005A0E7C" w14:paraId="5FC91C24" w14:textId="77777777" w:rsidTr="00B15ECB">
        <w:trPr>
          <w:trHeight w:val="1968"/>
        </w:trPr>
        <w:tc>
          <w:tcPr>
            <w:tcW w:w="249" w:type="dxa"/>
            <w:tcBorders>
              <w:top w:val="nil"/>
              <w:bottom w:val="nil"/>
            </w:tcBorders>
            <w:shd w:val="clear" w:color="auto" w:fill="66CCFF"/>
          </w:tcPr>
          <w:p w14:paraId="69E2E06C" w14:textId="77777777" w:rsidR="00DD3EFA" w:rsidRPr="005A0E7C" w:rsidRDefault="00DD3EFA" w:rsidP="00B15ECB">
            <w:pPr>
              <w:rPr>
                <w:b/>
              </w:rPr>
            </w:pPr>
          </w:p>
        </w:tc>
        <w:tc>
          <w:tcPr>
            <w:tcW w:w="2548" w:type="dxa"/>
            <w:tcBorders>
              <w:top w:val="nil"/>
            </w:tcBorders>
            <w:shd w:val="clear" w:color="auto" w:fill="FFFFFF" w:themeFill="background1"/>
          </w:tcPr>
          <w:p w14:paraId="3FC8731D"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07F4FE40" w14:textId="77777777" w:rsidR="00DD3EFA" w:rsidRPr="005A0E7C" w:rsidRDefault="00DD3EFA" w:rsidP="00B15ECB">
            <w:pPr>
              <w:spacing w:before="60" w:after="60" w:line="259" w:lineRule="auto"/>
            </w:pPr>
            <w:r w:rsidRPr="005A0E7C">
              <w:rPr>
                <w:rFonts w:eastAsiaTheme="majorEastAsia"/>
              </w:rPr>
              <w:t>S ohledem na charakter opatření (veřejná služba) není možné využít komerční formy financování ani nelze řešit trhem. Jeden z problémů a části hybridních hrozeb je například i využívání legálních nástrojů tržního prostředí cizí mocností.</w:t>
            </w:r>
          </w:p>
        </w:tc>
        <w:tc>
          <w:tcPr>
            <w:tcW w:w="249" w:type="dxa"/>
            <w:tcBorders>
              <w:top w:val="nil"/>
              <w:bottom w:val="nil"/>
            </w:tcBorders>
            <w:shd w:val="clear" w:color="auto" w:fill="66CCFF"/>
          </w:tcPr>
          <w:p w14:paraId="5CCA8124" w14:textId="77777777" w:rsidR="00DD3EFA" w:rsidRPr="005A0E7C" w:rsidRDefault="00DD3EFA" w:rsidP="00B15ECB">
            <w:pPr>
              <w:rPr>
                <w:b/>
              </w:rPr>
            </w:pPr>
          </w:p>
        </w:tc>
      </w:tr>
      <w:tr w:rsidR="00DD3EFA" w:rsidRPr="005A0E7C" w14:paraId="38F82A49" w14:textId="77777777" w:rsidTr="00B15ECB">
        <w:trPr>
          <w:trHeight w:val="1968"/>
        </w:trPr>
        <w:tc>
          <w:tcPr>
            <w:tcW w:w="249" w:type="dxa"/>
            <w:tcBorders>
              <w:top w:val="nil"/>
              <w:bottom w:val="nil"/>
            </w:tcBorders>
            <w:shd w:val="clear" w:color="auto" w:fill="66CCFF"/>
          </w:tcPr>
          <w:p w14:paraId="414977A8" w14:textId="77777777" w:rsidR="00DD3EFA" w:rsidRPr="005A0E7C" w:rsidRDefault="00DD3EFA" w:rsidP="00B15ECB">
            <w:pPr>
              <w:rPr>
                <w:b/>
              </w:rPr>
            </w:pPr>
          </w:p>
        </w:tc>
        <w:tc>
          <w:tcPr>
            <w:tcW w:w="2548" w:type="dxa"/>
            <w:tcBorders>
              <w:top w:val="nil"/>
            </w:tcBorders>
            <w:shd w:val="clear" w:color="auto" w:fill="FFFFFF" w:themeFill="background1"/>
          </w:tcPr>
          <w:p w14:paraId="3A80350F"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63804FCC" w14:textId="77777777" w:rsidR="00DD3EFA" w:rsidRPr="005A0E7C" w:rsidRDefault="00DD3EFA" w:rsidP="00B15ECB">
            <w:pPr>
              <w:spacing w:before="60" w:after="60" w:line="259" w:lineRule="auto"/>
            </w:pPr>
            <w:r w:rsidRPr="005A0E7C">
              <w:rPr>
                <w:rFonts w:eastAsiaTheme="majorEastAsia"/>
              </w:rPr>
              <w:t>MV nemá informace o tom, že by bylo možno aktivity cíle Ochrana obyvatelstva financovat s využitím finančních nástrojů a ani tento způsob financování nepovažuje pro tento typ opatření do budoucna za vhodný.</w:t>
            </w:r>
          </w:p>
        </w:tc>
        <w:tc>
          <w:tcPr>
            <w:tcW w:w="249" w:type="dxa"/>
            <w:tcBorders>
              <w:top w:val="nil"/>
              <w:bottom w:val="nil"/>
            </w:tcBorders>
            <w:shd w:val="clear" w:color="auto" w:fill="66CCFF"/>
          </w:tcPr>
          <w:p w14:paraId="4C822CA9" w14:textId="77777777" w:rsidR="00DD3EFA" w:rsidRPr="005A0E7C" w:rsidRDefault="00DD3EFA" w:rsidP="00B15ECB">
            <w:pPr>
              <w:rPr>
                <w:b/>
              </w:rPr>
            </w:pPr>
          </w:p>
        </w:tc>
      </w:tr>
      <w:tr w:rsidR="00DD3EFA" w:rsidRPr="005A0E7C" w14:paraId="11C1DA3F" w14:textId="77777777" w:rsidTr="00B15ECB">
        <w:trPr>
          <w:trHeight w:val="150"/>
        </w:trPr>
        <w:tc>
          <w:tcPr>
            <w:tcW w:w="249" w:type="dxa"/>
            <w:tcBorders>
              <w:top w:val="nil"/>
              <w:right w:val="nil"/>
            </w:tcBorders>
            <w:shd w:val="clear" w:color="auto" w:fill="66CCFF"/>
          </w:tcPr>
          <w:p w14:paraId="237AF2A9" w14:textId="77777777" w:rsidR="00DD3EFA" w:rsidRPr="005A0E7C" w:rsidRDefault="00DD3EFA" w:rsidP="00B15ECB">
            <w:pPr>
              <w:rPr>
                <w:b/>
              </w:rPr>
            </w:pPr>
          </w:p>
        </w:tc>
        <w:tc>
          <w:tcPr>
            <w:tcW w:w="2548" w:type="dxa"/>
            <w:tcBorders>
              <w:left w:val="nil"/>
              <w:right w:val="nil"/>
            </w:tcBorders>
            <w:shd w:val="clear" w:color="auto" w:fill="66CCFF"/>
          </w:tcPr>
          <w:p w14:paraId="3EBC0374" w14:textId="77777777" w:rsidR="00DD3EFA" w:rsidRPr="005A0E7C" w:rsidRDefault="00DD3EFA" w:rsidP="00B15ECB">
            <w:pPr>
              <w:rPr>
                <w:b/>
              </w:rPr>
            </w:pPr>
          </w:p>
        </w:tc>
        <w:tc>
          <w:tcPr>
            <w:tcW w:w="5978" w:type="dxa"/>
            <w:tcBorders>
              <w:left w:val="nil"/>
              <w:right w:val="nil"/>
            </w:tcBorders>
            <w:shd w:val="clear" w:color="auto" w:fill="66CCFF"/>
          </w:tcPr>
          <w:p w14:paraId="4DDD4C9C" w14:textId="77777777" w:rsidR="00DD3EFA" w:rsidRPr="005A0E7C" w:rsidRDefault="00DD3EFA" w:rsidP="00B15ECB">
            <w:pPr>
              <w:rPr>
                <w:b/>
              </w:rPr>
            </w:pPr>
          </w:p>
        </w:tc>
        <w:tc>
          <w:tcPr>
            <w:tcW w:w="249" w:type="dxa"/>
            <w:tcBorders>
              <w:top w:val="nil"/>
              <w:left w:val="nil"/>
            </w:tcBorders>
            <w:shd w:val="clear" w:color="auto" w:fill="66CCFF"/>
          </w:tcPr>
          <w:p w14:paraId="3DD0E3D9" w14:textId="77777777" w:rsidR="00DD3EFA" w:rsidRPr="005A0E7C" w:rsidRDefault="00DD3EFA" w:rsidP="00B15ECB">
            <w:pPr>
              <w:rPr>
                <w:b/>
              </w:rPr>
            </w:pPr>
          </w:p>
        </w:tc>
      </w:tr>
    </w:tbl>
    <w:p w14:paraId="54DE5144" w14:textId="77777777" w:rsidR="00DD3EFA" w:rsidRPr="005A0E7C" w:rsidRDefault="00DD3EFA" w:rsidP="00B15ECB">
      <w:pPr>
        <w:rPr>
          <w:rFonts w:ascii="Times New Roman" w:hAnsi="Times New Roman" w:cs="Times New Roman"/>
          <w:sz w:val="20"/>
          <w:szCs w:val="20"/>
        </w:rPr>
      </w:pPr>
    </w:p>
    <w:p w14:paraId="6FE08840" w14:textId="77777777" w:rsidR="00DD3EFA" w:rsidRPr="005A0E7C" w:rsidRDefault="00DD3EFA" w:rsidP="00B15ECB">
      <w:pPr>
        <w:rPr>
          <w:rFonts w:ascii="Times New Roman" w:hAnsi="Times New Roman" w:cs="Times New Roman"/>
          <w:sz w:val="20"/>
          <w:szCs w:val="20"/>
        </w:rPr>
      </w:pPr>
    </w:p>
    <w:p w14:paraId="13D7E455" w14:textId="77777777" w:rsidR="00DD3EFA" w:rsidRPr="005A0E7C" w:rsidRDefault="00DD3EFA" w:rsidP="00B15ECB">
      <w:pPr>
        <w:rPr>
          <w:rFonts w:ascii="Times New Roman" w:hAnsi="Times New Roman" w:cs="Times New Roman"/>
          <w:sz w:val="20"/>
          <w:szCs w:val="20"/>
        </w:rPr>
      </w:pPr>
    </w:p>
    <w:p w14:paraId="5C5F45B4" w14:textId="77777777" w:rsidR="00DD3EFA" w:rsidRPr="005A0E7C" w:rsidRDefault="00DD3EFA" w:rsidP="00B15ECB">
      <w:pPr>
        <w:rPr>
          <w:rFonts w:ascii="Times New Roman" w:hAnsi="Times New Roman" w:cs="Times New Roman"/>
          <w:sz w:val="20"/>
          <w:szCs w:val="20"/>
        </w:rPr>
      </w:pPr>
    </w:p>
    <w:p w14:paraId="4E01E667" w14:textId="77777777" w:rsidR="00DD3EFA" w:rsidRPr="005A0E7C" w:rsidRDefault="00DD3EFA" w:rsidP="00B15ECB">
      <w:pPr>
        <w:rPr>
          <w:rFonts w:ascii="Times New Roman" w:hAnsi="Times New Roman" w:cs="Times New Roman"/>
          <w:sz w:val="20"/>
          <w:szCs w:val="20"/>
        </w:rPr>
      </w:pPr>
    </w:p>
    <w:p w14:paraId="39F0D95B"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5B73068F" w14:textId="77777777" w:rsidTr="00B15ECB">
        <w:trPr>
          <w:trHeight w:val="180"/>
        </w:trPr>
        <w:tc>
          <w:tcPr>
            <w:tcW w:w="249" w:type="dxa"/>
            <w:tcBorders>
              <w:bottom w:val="nil"/>
              <w:right w:val="nil"/>
            </w:tcBorders>
            <w:shd w:val="clear" w:color="auto" w:fill="66CCFF"/>
          </w:tcPr>
          <w:p w14:paraId="67CF4D06" w14:textId="77777777" w:rsidR="00DD3EFA" w:rsidRPr="005A0E7C" w:rsidRDefault="00DD3EFA" w:rsidP="00B15ECB">
            <w:pPr>
              <w:rPr>
                <w:b/>
              </w:rPr>
            </w:pPr>
          </w:p>
        </w:tc>
        <w:tc>
          <w:tcPr>
            <w:tcW w:w="2548" w:type="dxa"/>
            <w:tcBorders>
              <w:left w:val="nil"/>
              <w:right w:val="nil"/>
            </w:tcBorders>
            <w:shd w:val="clear" w:color="auto" w:fill="66CCFF"/>
          </w:tcPr>
          <w:p w14:paraId="16CADEA3" w14:textId="77777777" w:rsidR="00DD3EFA" w:rsidRPr="005A0E7C" w:rsidRDefault="00DD3EFA" w:rsidP="00B15ECB">
            <w:pPr>
              <w:rPr>
                <w:b/>
              </w:rPr>
            </w:pPr>
          </w:p>
        </w:tc>
        <w:tc>
          <w:tcPr>
            <w:tcW w:w="5978" w:type="dxa"/>
            <w:tcBorders>
              <w:left w:val="nil"/>
              <w:right w:val="nil"/>
            </w:tcBorders>
            <w:shd w:val="clear" w:color="auto" w:fill="66CCFF"/>
          </w:tcPr>
          <w:p w14:paraId="7FCBC590" w14:textId="77777777" w:rsidR="00DD3EFA" w:rsidRPr="005A0E7C" w:rsidRDefault="00DD3EFA" w:rsidP="00B15ECB">
            <w:pPr>
              <w:rPr>
                <w:b/>
              </w:rPr>
            </w:pPr>
          </w:p>
        </w:tc>
        <w:tc>
          <w:tcPr>
            <w:tcW w:w="249" w:type="dxa"/>
            <w:tcBorders>
              <w:left w:val="nil"/>
              <w:bottom w:val="nil"/>
            </w:tcBorders>
            <w:shd w:val="clear" w:color="auto" w:fill="66CCFF"/>
          </w:tcPr>
          <w:p w14:paraId="476727EA" w14:textId="77777777" w:rsidR="00DD3EFA" w:rsidRPr="005A0E7C" w:rsidRDefault="00DD3EFA" w:rsidP="00B15ECB">
            <w:pPr>
              <w:rPr>
                <w:b/>
              </w:rPr>
            </w:pPr>
          </w:p>
        </w:tc>
      </w:tr>
      <w:tr w:rsidR="00DD3EFA" w:rsidRPr="005A0E7C" w14:paraId="4D045AED" w14:textId="77777777" w:rsidTr="00B15ECB">
        <w:trPr>
          <w:trHeight w:val="561"/>
        </w:trPr>
        <w:tc>
          <w:tcPr>
            <w:tcW w:w="249" w:type="dxa"/>
            <w:tcBorders>
              <w:top w:val="nil"/>
              <w:bottom w:val="nil"/>
            </w:tcBorders>
            <w:shd w:val="clear" w:color="auto" w:fill="66CCFF"/>
          </w:tcPr>
          <w:p w14:paraId="66CF91E2" w14:textId="77777777" w:rsidR="00DD3EFA" w:rsidRPr="005A0E7C" w:rsidRDefault="00DD3EFA" w:rsidP="00B15ECB">
            <w:pPr>
              <w:rPr>
                <w:b/>
              </w:rPr>
            </w:pPr>
          </w:p>
        </w:tc>
        <w:tc>
          <w:tcPr>
            <w:tcW w:w="2548" w:type="dxa"/>
            <w:shd w:val="clear" w:color="auto" w:fill="0070C0"/>
          </w:tcPr>
          <w:p w14:paraId="441C878F"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Strategický cíl NKR: Výzkumný a inovační systém zvyšující konkurenceschopnost společnosti v kontextu technologické změny</w:t>
            </w:r>
          </w:p>
        </w:tc>
        <w:tc>
          <w:tcPr>
            <w:tcW w:w="5978" w:type="dxa"/>
            <w:shd w:val="clear" w:color="auto" w:fill="0070C0"/>
          </w:tcPr>
          <w:p w14:paraId="1589477A"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38"/>
            </w:r>
            <w:r w:rsidRPr="005A0E7C">
              <w:rPr>
                <w:rFonts w:eastAsiaTheme="majorEastAsia"/>
                <w:b/>
                <w:color w:val="FFFFFF" w:themeColor="background1"/>
                <w:u w:val="single"/>
              </w:rPr>
              <w:t>:  Digitalizace územního plánování (elektronizace a digitalizace agend stavebního práva)</w:t>
            </w:r>
          </w:p>
        </w:tc>
        <w:tc>
          <w:tcPr>
            <w:tcW w:w="249" w:type="dxa"/>
            <w:tcBorders>
              <w:top w:val="nil"/>
              <w:bottom w:val="nil"/>
            </w:tcBorders>
            <w:shd w:val="clear" w:color="auto" w:fill="66CCFF"/>
          </w:tcPr>
          <w:p w14:paraId="4BF339FC" w14:textId="77777777" w:rsidR="00DD3EFA" w:rsidRPr="005A0E7C" w:rsidRDefault="00DD3EFA" w:rsidP="00B15ECB">
            <w:pPr>
              <w:rPr>
                <w:b/>
              </w:rPr>
            </w:pPr>
          </w:p>
        </w:tc>
      </w:tr>
      <w:tr w:rsidR="00DD3EFA" w:rsidRPr="005A0E7C" w14:paraId="36B0C575" w14:textId="77777777" w:rsidTr="00B15ECB">
        <w:trPr>
          <w:trHeight w:val="180"/>
        </w:trPr>
        <w:tc>
          <w:tcPr>
            <w:tcW w:w="249" w:type="dxa"/>
            <w:tcBorders>
              <w:top w:val="nil"/>
              <w:bottom w:val="nil"/>
              <w:right w:val="nil"/>
            </w:tcBorders>
            <w:shd w:val="clear" w:color="auto" w:fill="66CCFF"/>
          </w:tcPr>
          <w:p w14:paraId="3B2122E5" w14:textId="77777777" w:rsidR="00DD3EFA" w:rsidRPr="005A0E7C" w:rsidRDefault="00DD3EFA" w:rsidP="00B15ECB">
            <w:pPr>
              <w:rPr>
                <w:b/>
              </w:rPr>
            </w:pPr>
          </w:p>
        </w:tc>
        <w:tc>
          <w:tcPr>
            <w:tcW w:w="2548" w:type="dxa"/>
            <w:tcBorders>
              <w:left w:val="nil"/>
              <w:right w:val="nil"/>
            </w:tcBorders>
            <w:shd w:val="clear" w:color="auto" w:fill="66CCFF"/>
          </w:tcPr>
          <w:p w14:paraId="01447B25" w14:textId="77777777" w:rsidR="00DD3EFA" w:rsidRPr="005A0E7C" w:rsidRDefault="00DD3EFA" w:rsidP="00B15ECB">
            <w:pPr>
              <w:rPr>
                <w:b/>
              </w:rPr>
            </w:pPr>
          </w:p>
        </w:tc>
        <w:tc>
          <w:tcPr>
            <w:tcW w:w="5978" w:type="dxa"/>
            <w:tcBorders>
              <w:left w:val="nil"/>
              <w:right w:val="nil"/>
            </w:tcBorders>
            <w:shd w:val="clear" w:color="auto" w:fill="66CCFF"/>
          </w:tcPr>
          <w:p w14:paraId="3B34E6A6" w14:textId="77777777" w:rsidR="00DD3EFA" w:rsidRPr="005A0E7C" w:rsidRDefault="00DD3EFA" w:rsidP="00B15ECB">
            <w:pPr>
              <w:rPr>
                <w:b/>
              </w:rPr>
            </w:pPr>
          </w:p>
        </w:tc>
        <w:tc>
          <w:tcPr>
            <w:tcW w:w="249" w:type="dxa"/>
            <w:tcBorders>
              <w:top w:val="nil"/>
              <w:left w:val="nil"/>
              <w:bottom w:val="nil"/>
            </w:tcBorders>
            <w:shd w:val="clear" w:color="auto" w:fill="66CCFF"/>
          </w:tcPr>
          <w:p w14:paraId="77814E96" w14:textId="77777777" w:rsidR="00DD3EFA" w:rsidRPr="005A0E7C" w:rsidRDefault="00DD3EFA" w:rsidP="00B15ECB">
            <w:pPr>
              <w:rPr>
                <w:b/>
              </w:rPr>
            </w:pPr>
          </w:p>
        </w:tc>
      </w:tr>
      <w:tr w:rsidR="00DD3EFA" w:rsidRPr="005A0E7C" w14:paraId="41BDA7B2" w14:textId="77777777" w:rsidTr="00B15ECB">
        <w:trPr>
          <w:trHeight w:val="892"/>
        </w:trPr>
        <w:tc>
          <w:tcPr>
            <w:tcW w:w="249" w:type="dxa"/>
            <w:tcBorders>
              <w:top w:val="nil"/>
              <w:bottom w:val="nil"/>
            </w:tcBorders>
            <w:shd w:val="clear" w:color="auto" w:fill="66CCFF"/>
          </w:tcPr>
          <w:p w14:paraId="3693E1D0" w14:textId="77777777" w:rsidR="00DD3EFA" w:rsidRPr="005A0E7C" w:rsidRDefault="00DD3EFA" w:rsidP="00B15ECB">
            <w:pPr>
              <w:rPr>
                <w:b/>
              </w:rPr>
            </w:pPr>
          </w:p>
        </w:tc>
        <w:tc>
          <w:tcPr>
            <w:tcW w:w="2548" w:type="dxa"/>
            <w:shd w:val="clear" w:color="auto" w:fill="FFFFFF" w:themeFill="background1"/>
          </w:tcPr>
          <w:p w14:paraId="624AA6E7"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64F1CA8D" w14:textId="77777777" w:rsidR="00DD3EFA" w:rsidRPr="005A0E7C" w:rsidRDefault="00DD3EFA" w:rsidP="00B15ECB">
            <w:r w:rsidRPr="005A0E7C">
              <w:t>Kvalitní programové a technické vybavení úřadů pro elektronizaci agend stavebního práva.</w:t>
            </w:r>
          </w:p>
          <w:p w14:paraId="2AF46CE0" w14:textId="77777777" w:rsidR="00DD3EFA" w:rsidRPr="005A0E7C" w:rsidRDefault="00DD3EFA" w:rsidP="00B15ECB">
            <w:r w:rsidRPr="005A0E7C">
              <w:t>Standardizace  výstupů územního plánování.</w:t>
            </w:r>
          </w:p>
          <w:p w14:paraId="7E018531" w14:textId="77777777" w:rsidR="00DD3EFA" w:rsidRPr="005A0E7C" w:rsidRDefault="00DD3EFA" w:rsidP="00B15ECB"/>
        </w:tc>
        <w:tc>
          <w:tcPr>
            <w:tcW w:w="249" w:type="dxa"/>
            <w:tcBorders>
              <w:top w:val="nil"/>
              <w:bottom w:val="nil"/>
            </w:tcBorders>
            <w:shd w:val="clear" w:color="auto" w:fill="66CCFF"/>
          </w:tcPr>
          <w:p w14:paraId="1B5FB55E" w14:textId="77777777" w:rsidR="00DD3EFA" w:rsidRPr="005A0E7C" w:rsidRDefault="00DD3EFA" w:rsidP="00B15ECB">
            <w:pPr>
              <w:rPr>
                <w:b/>
              </w:rPr>
            </w:pPr>
          </w:p>
        </w:tc>
      </w:tr>
      <w:tr w:rsidR="00DD3EFA" w:rsidRPr="005A0E7C" w14:paraId="7F6032E6" w14:textId="77777777" w:rsidTr="00B15ECB">
        <w:trPr>
          <w:trHeight w:val="46"/>
        </w:trPr>
        <w:tc>
          <w:tcPr>
            <w:tcW w:w="249" w:type="dxa"/>
            <w:tcBorders>
              <w:top w:val="nil"/>
              <w:bottom w:val="nil"/>
              <w:right w:val="nil"/>
            </w:tcBorders>
            <w:shd w:val="clear" w:color="auto" w:fill="66CCFF"/>
          </w:tcPr>
          <w:p w14:paraId="23D73B9F"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13170214"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4B77F65" w14:textId="77777777" w:rsidR="00DD3EFA" w:rsidRPr="005A0E7C" w:rsidRDefault="00DD3EFA" w:rsidP="00B15ECB">
            <w:pPr>
              <w:rPr>
                <w:b/>
              </w:rPr>
            </w:pPr>
          </w:p>
        </w:tc>
        <w:tc>
          <w:tcPr>
            <w:tcW w:w="249" w:type="dxa"/>
            <w:tcBorders>
              <w:top w:val="nil"/>
              <w:left w:val="nil"/>
              <w:bottom w:val="nil"/>
            </w:tcBorders>
            <w:shd w:val="clear" w:color="auto" w:fill="66CCFF"/>
          </w:tcPr>
          <w:p w14:paraId="3E9F467E" w14:textId="77777777" w:rsidR="00DD3EFA" w:rsidRPr="005A0E7C" w:rsidRDefault="00DD3EFA" w:rsidP="00B15ECB">
            <w:pPr>
              <w:rPr>
                <w:b/>
              </w:rPr>
            </w:pPr>
          </w:p>
        </w:tc>
      </w:tr>
      <w:tr w:rsidR="00DD3EFA" w:rsidRPr="005A0E7C" w14:paraId="6A5F3766" w14:textId="77777777" w:rsidTr="00B15ECB">
        <w:trPr>
          <w:trHeight w:val="1274"/>
        </w:trPr>
        <w:tc>
          <w:tcPr>
            <w:tcW w:w="249" w:type="dxa"/>
            <w:tcBorders>
              <w:top w:val="nil"/>
              <w:bottom w:val="nil"/>
            </w:tcBorders>
            <w:shd w:val="clear" w:color="auto" w:fill="66CCFF"/>
          </w:tcPr>
          <w:p w14:paraId="288DADA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E4C6CBC"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4F44C8D" w14:textId="77777777" w:rsidR="00DD3EFA" w:rsidRPr="005A0E7C" w:rsidRDefault="00DD3EFA" w:rsidP="00B15ECB">
            <w:pPr>
              <w:spacing w:before="60" w:after="60"/>
              <w:rPr>
                <w:rFonts w:eastAsiaTheme="majorEastAsia"/>
              </w:rPr>
            </w:pPr>
            <w:r w:rsidRPr="005A0E7C">
              <w:rPr>
                <w:rFonts w:eastAsiaTheme="majorEastAsia"/>
              </w:rPr>
              <w:t xml:space="preserve">Elektronizace agendy stavebního práva je nezbytnou podmínkou pro efektivní fungování stavební agendy v 21. století. </w:t>
            </w:r>
          </w:p>
          <w:p w14:paraId="1B29986A" w14:textId="77777777" w:rsidR="00DD3EFA" w:rsidRPr="005A0E7C" w:rsidRDefault="00DD3EFA" w:rsidP="00B15ECB">
            <w:pPr>
              <w:spacing w:before="60" w:after="60"/>
              <w:rPr>
                <w:rFonts w:eastAsiaTheme="majorEastAsia"/>
              </w:rPr>
            </w:pPr>
            <w:r w:rsidRPr="005A0E7C">
              <w:rPr>
                <w:rFonts w:eastAsiaTheme="majorEastAsia"/>
              </w:rPr>
              <w:t xml:space="preserve">Standardizace umožní zkvalitnění práce s údaji z územně plánovacích dokumentací a územně analytických podkladů, které představují hlavní nástroje územního plánování. Informace bude možné efektivněji využívat v rámci výkonu veřejné správy zejména v rámci elektronizace stavebního řízení a procesů územního plánování při dalších rozhodovacích procesech, vyhodnocování stavu a vývoje území, plánování veřejné infrastruktury. </w:t>
            </w:r>
          </w:p>
          <w:p w14:paraId="25C8D029" w14:textId="77777777" w:rsidR="00DD3EFA" w:rsidRPr="005A0E7C" w:rsidRDefault="00DD3EFA" w:rsidP="00B15ECB">
            <w:pPr>
              <w:spacing w:before="60" w:after="60"/>
              <w:rPr>
                <w:rFonts w:eastAsiaTheme="majorEastAsia"/>
              </w:rPr>
            </w:pPr>
            <w:r w:rsidRPr="005A0E7C">
              <w:rPr>
                <w:rFonts w:eastAsiaTheme="majorEastAsia"/>
              </w:rPr>
              <w:t xml:space="preserve">Digitalizace významným způsobem přispěje k zvýšení výkonnosti, transparentnosti a kvality veřejné správy a zajistí interoperabilitu dat pro jejich využití odpovídajícím způsobem jak pro potřeby veřejné správy, tak pro občany a firmy nejen na území ČR. </w:t>
            </w:r>
          </w:p>
          <w:p w14:paraId="23E66A78" w14:textId="77777777" w:rsidR="00DD3EFA" w:rsidRPr="005A0E7C" w:rsidRDefault="00DD3EFA" w:rsidP="00B15ECB">
            <w:pPr>
              <w:spacing w:before="60" w:after="60"/>
              <w:rPr>
                <w:rFonts w:eastAsiaTheme="majorEastAsia"/>
              </w:rPr>
            </w:pPr>
            <w:r w:rsidRPr="005A0E7C">
              <w:rPr>
                <w:rFonts w:eastAsiaTheme="majorEastAsia"/>
              </w:rPr>
              <w:t>Cílem je celkové zefektivnění výkonu veřejné správy, a tím zvýšení konkurenceschopnosti ČR v mezinárodním prostředí.</w:t>
            </w:r>
          </w:p>
        </w:tc>
        <w:tc>
          <w:tcPr>
            <w:tcW w:w="249" w:type="dxa"/>
            <w:tcBorders>
              <w:top w:val="nil"/>
              <w:bottom w:val="nil"/>
            </w:tcBorders>
            <w:shd w:val="clear" w:color="auto" w:fill="66CCFF"/>
          </w:tcPr>
          <w:p w14:paraId="598F5290" w14:textId="77777777" w:rsidR="00DD3EFA" w:rsidRPr="005A0E7C" w:rsidRDefault="00DD3EFA" w:rsidP="00B15ECB">
            <w:pPr>
              <w:rPr>
                <w:b/>
              </w:rPr>
            </w:pPr>
          </w:p>
        </w:tc>
      </w:tr>
      <w:tr w:rsidR="00DD3EFA" w:rsidRPr="005A0E7C" w14:paraId="605A99AD" w14:textId="77777777" w:rsidTr="00B15ECB">
        <w:trPr>
          <w:trHeight w:val="1274"/>
        </w:trPr>
        <w:tc>
          <w:tcPr>
            <w:tcW w:w="249" w:type="dxa"/>
            <w:tcBorders>
              <w:top w:val="nil"/>
              <w:bottom w:val="nil"/>
            </w:tcBorders>
            <w:shd w:val="clear" w:color="auto" w:fill="66CCFF"/>
          </w:tcPr>
          <w:p w14:paraId="61DD432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0654B98"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4911AA55" w14:textId="77777777" w:rsidR="00DD3EFA" w:rsidRPr="005A0E7C" w:rsidRDefault="00DD3EFA" w:rsidP="00B15ECB">
            <w:pPr>
              <w:spacing w:before="60" w:after="60"/>
              <w:rPr>
                <w:rFonts w:eastAsiaTheme="majorEastAsia"/>
              </w:rPr>
            </w:pPr>
            <w:r w:rsidRPr="005A0E7C">
              <w:rPr>
                <w:rFonts w:eastAsiaTheme="majorEastAsia"/>
              </w:rPr>
              <w:t xml:space="preserve">Posílení materiálního vybavení (programového a technického)  úřadů vykonávajících stavební agendu (zejm. stavební úřady a úřady územního plánování) tak, aby tyto úřady mohly spolehlivě spravovat a využívat informační systémy v rámci výkonu agend stavebního práva. </w:t>
            </w:r>
          </w:p>
          <w:p w14:paraId="45C06DD9" w14:textId="77777777" w:rsidR="00DD3EFA" w:rsidRPr="005A0E7C" w:rsidRDefault="00DD3EFA" w:rsidP="00B15ECB">
            <w:pPr>
              <w:spacing w:before="60" w:after="60"/>
              <w:rPr>
                <w:rFonts w:eastAsiaTheme="majorEastAsia"/>
              </w:rPr>
            </w:pPr>
            <w:r w:rsidRPr="005A0E7C">
              <w:rPr>
                <w:rFonts w:eastAsiaTheme="majorEastAsia"/>
              </w:rPr>
              <w:t xml:space="preserve">Sjednocení vytváření a prezentování výstupů územního plánování, zejména územních plánů a územně analytických podkladů. </w:t>
            </w:r>
          </w:p>
        </w:tc>
        <w:tc>
          <w:tcPr>
            <w:tcW w:w="249" w:type="dxa"/>
            <w:tcBorders>
              <w:top w:val="nil"/>
              <w:bottom w:val="nil"/>
            </w:tcBorders>
            <w:shd w:val="clear" w:color="auto" w:fill="66CCFF"/>
          </w:tcPr>
          <w:p w14:paraId="02430670" w14:textId="77777777" w:rsidR="00DD3EFA" w:rsidRPr="005A0E7C" w:rsidRDefault="00DD3EFA" w:rsidP="00B15ECB">
            <w:pPr>
              <w:rPr>
                <w:b/>
              </w:rPr>
            </w:pPr>
          </w:p>
        </w:tc>
      </w:tr>
      <w:tr w:rsidR="00DD3EFA" w:rsidRPr="005A0E7C" w14:paraId="7937544E" w14:textId="77777777" w:rsidTr="00B15ECB">
        <w:trPr>
          <w:trHeight w:val="1274"/>
        </w:trPr>
        <w:tc>
          <w:tcPr>
            <w:tcW w:w="249" w:type="dxa"/>
            <w:tcBorders>
              <w:top w:val="nil"/>
              <w:bottom w:val="nil"/>
            </w:tcBorders>
            <w:shd w:val="clear" w:color="auto" w:fill="66CCFF"/>
          </w:tcPr>
          <w:p w14:paraId="0EC67B6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F7840E8" w14:textId="77777777" w:rsidR="00DD3EFA" w:rsidRPr="005A0E7C" w:rsidRDefault="00DD3EFA" w:rsidP="00B15ECB">
            <w:pPr>
              <w:spacing w:before="60" w:after="60"/>
              <w:rPr>
                <w:rFonts w:eastAsiaTheme="majorEastAsia"/>
                <w:b/>
              </w:rPr>
            </w:pPr>
            <w:r w:rsidRPr="005A0E7C">
              <w:rPr>
                <w:rFonts w:eastAsiaTheme="majorEastAsia"/>
                <w:b/>
              </w:rPr>
              <w:t>Definice cíle – změny, které chceme dosáhnout</w:t>
            </w:r>
          </w:p>
          <w:p w14:paraId="735EEA1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B480852" w14:textId="77777777" w:rsidR="00DD3EFA" w:rsidRPr="005A0E7C" w:rsidRDefault="00DD3EFA" w:rsidP="00B15ECB">
            <w:pPr>
              <w:spacing w:before="60" w:after="60"/>
              <w:rPr>
                <w:rFonts w:eastAsiaTheme="majorEastAsia"/>
              </w:rPr>
            </w:pPr>
            <w:r w:rsidRPr="005A0E7C">
              <w:rPr>
                <w:rFonts w:eastAsiaTheme="majorEastAsia"/>
              </w:rPr>
              <w:t xml:space="preserve">Zajištění elektronizace agend stavebního práva (územního plánování a povolování staveb).  </w:t>
            </w:r>
          </w:p>
          <w:p w14:paraId="3573E4AB" w14:textId="77777777" w:rsidR="00DD3EFA" w:rsidRPr="005A0E7C" w:rsidRDefault="00DD3EFA" w:rsidP="00B15ECB">
            <w:pPr>
              <w:spacing w:before="60" w:after="60"/>
              <w:rPr>
                <w:rFonts w:eastAsiaTheme="majorEastAsia"/>
              </w:rPr>
            </w:pPr>
            <w:r w:rsidRPr="005A0E7C">
              <w:rPr>
                <w:rFonts w:eastAsiaTheme="majorEastAsia"/>
              </w:rPr>
              <w:t xml:space="preserve">Územně plánovací dokumentace a podklady na jednom veřejně přístupném místě (národní geoportál územního plánování) a v jednotném výměnném formátu. </w:t>
            </w:r>
          </w:p>
          <w:p w14:paraId="3A183469"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4D9F7423" w14:textId="77777777" w:rsidR="00DD3EFA" w:rsidRPr="005A0E7C" w:rsidRDefault="00DD3EFA" w:rsidP="00B15ECB">
            <w:pPr>
              <w:rPr>
                <w:b/>
              </w:rPr>
            </w:pPr>
          </w:p>
        </w:tc>
      </w:tr>
      <w:tr w:rsidR="00DD3EFA" w:rsidRPr="005A0E7C" w14:paraId="736823C2" w14:textId="77777777" w:rsidTr="00B15ECB">
        <w:trPr>
          <w:trHeight w:val="1274"/>
        </w:trPr>
        <w:tc>
          <w:tcPr>
            <w:tcW w:w="249" w:type="dxa"/>
            <w:tcBorders>
              <w:top w:val="nil"/>
              <w:bottom w:val="nil"/>
            </w:tcBorders>
            <w:shd w:val="clear" w:color="auto" w:fill="66CCFF"/>
          </w:tcPr>
          <w:p w14:paraId="5AAA1C4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B0B0DC8" w14:textId="77777777" w:rsidR="00DD3EFA" w:rsidRPr="005A0E7C" w:rsidRDefault="00DD3EFA" w:rsidP="00B15ECB">
            <w:p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021C8A86" w14:textId="77777777" w:rsidR="00DD3EFA" w:rsidRPr="005A0E7C" w:rsidRDefault="00DD3EFA" w:rsidP="00B15ECB">
            <w:pPr>
              <w:spacing w:before="60" w:after="60"/>
              <w:rPr>
                <w:rFonts w:eastAsiaTheme="majorEastAsia"/>
              </w:rPr>
            </w:pPr>
            <w:r w:rsidRPr="005A0E7C">
              <w:rPr>
                <w:rFonts w:eastAsiaTheme="majorEastAsia"/>
              </w:rPr>
              <w:t>Elektronizovaný výkon agendy stavebního práva v ČR.</w:t>
            </w:r>
          </w:p>
          <w:p w14:paraId="1BFAFA7E" w14:textId="77777777" w:rsidR="00DD3EFA" w:rsidRPr="005A0E7C" w:rsidRDefault="00DD3EFA" w:rsidP="00B15ECB">
            <w:pPr>
              <w:spacing w:before="60" w:after="60"/>
              <w:rPr>
                <w:rFonts w:eastAsiaTheme="majorEastAsia"/>
              </w:rPr>
            </w:pPr>
            <w:r w:rsidRPr="005A0E7C">
              <w:rPr>
                <w:rFonts w:eastAsiaTheme="majorEastAsia"/>
              </w:rPr>
              <w:t>Zjednodušení rozhodování o území. Přehledná veřejně dostupná data o území na jednom místě.</w:t>
            </w:r>
          </w:p>
          <w:p w14:paraId="06687604" w14:textId="77777777" w:rsidR="00DD3EFA" w:rsidRPr="005A0E7C" w:rsidRDefault="00DD3EFA" w:rsidP="00B15ECB">
            <w:pPr>
              <w:spacing w:before="60" w:after="60"/>
              <w:rPr>
                <w:rFonts w:eastAsiaTheme="majorEastAsia"/>
              </w:rPr>
            </w:pPr>
            <w:r w:rsidRPr="005A0E7C">
              <w:rPr>
                <w:rFonts w:eastAsiaTheme="majorEastAsia"/>
              </w:rPr>
              <w:t xml:space="preserve">Standardizované dokumentace územního plánování na úrovni obcí a krajů. </w:t>
            </w:r>
          </w:p>
          <w:p w14:paraId="70843172" w14:textId="77777777" w:rsidR="00DD3EFA" w:rsidRPr="005A0E7C" w:rsidRDefault="00DD3EFA" w:rsidP="00B15ECB">
            <w:pPr>
              <w:spacing w:before="60" w:after="60"/>
              <w:rPr>
                <w:rFonts w:eastAsiaTheme="majorEastAsia"/>
              </w:rPr>
            </w:pPr>
            <w:r w:rsidRPr="005A0E7C">
              <w:rPr>
                <w:rFonts w:eastAsiaTheme="majorEastAsia"/>
              </w:rPr>
              <w:t>Plně standardizované a propojené územně analytické podklady na celém území ČR na úrovni obcí, krajů a státu.</w:t>
            </w:r>
          </w:p>
          <w:p w14:paraId="1A69D2E2" w14:textId="77777777" w:rsidR="00DD3EFA" w:rsidRPr="005A0E7C" w:rsidRDefault="00DD3EFA" w:rsidP="00B15ECB">
            <w:pPr>
              <w:spacing w:before="60" w:after="60"/>
              <w:rPr>
                <w:rFonts w:eastAsiaTheme="majorEastAsia"/>
              </w:rPr>
            </w:pPr>
            <w:r w:rsidRPr="005A0E7C">
              <w:rPr>
                <w:rFonts w:eastAsiaTheme="majorEastAsia"/>
              </w:rPr>
              <w:t>Propojování agendy územního plánování s agendou strategického plánování.</w:t>
            </w:r>
          </w:p>
        </w:tc>
        <w:tc>
          <w:tcPr>
            <w:tcW w:w="249" w:type="dxa"/>
            <w:tcBorders>
              <w:top w:val="nil"/>
              <w:bottom w:val="nil"/>
            </w:tcBorders>
            <w:shd w:val="clear" w:color="auto" w:fill="66CCFF"/>
          </w:tcPr>
          <w:p w14:paraId="68CBF44D" w14:textId="77777777" w:rsidR="00DD3EFA" w:rsidRPr="005A0E7C" w:rsidRDefault="00DD3EFA" w:rsidP="00B15ECB">
            <w:pPr>
              <w:rPr>
                <w:b/>
              </w:rPr>
            </w:pPr>
          </w:p>
        </w:tc>
      </w:tr>
      <w:tr w:rsidR="00DD3EFA" w:rsidRPr="005A0E7C" w14:paraId="258DECBF" w14:textId="77777777" w:rsidTr="00B15ECB">
        <w:trPr>
          <w:trHeight w:val="1274"/>
        </w:trPr>
        <w:tc>
          <w:tcPr>
            <w:tcW w:w="249" w:type="dxa"/>
            <w:tcBorders>
              <w:top w:val="nil"/>
              <w:bottom w:val="nil"/>
            </w:tcBorders>
            <w:shd w:val="clear" w:color="auto" w:fill="66CCFF"/>
          </w:tcPr>
          <w:p w14:paraId="7D30B7F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10F887A" w14:textId="77777777" w:rsidR="00DD3EFA" w:rsidRPr="005A0E7C" w:rsidRDefault="00DD3EFA" w:rsidP="00B15ECB">
            <w:p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5BF39E3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ajorEastAsia" w:hAnsi="Times New Roman"/>
              </w:rPr>
            </w:pPr>
            <w:r w:rsidRPr="005A0E7C">
              <w:rPr>
                <w:rFonts w:ascii="Times New Roman" w:eastAsiaTheme="majorEastAsia" w:hAnsi="Times New Roman"/>
              </w:rPr>
              <w:t>70%</w:t>
            </w:r>
          </w:p>
          <w:p w14:paraId="2C0A75E9"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285A26C4" w14:textId="77777777" w:rsidR="00DD3EFA" w:rsidRPr="005A0E7C" w:rsidRDefault="00DD3EFA" w:rsidP="00B15ECB">
            <w:pPr>
              <w:rPr>
                <w:b/>
              </w:rPr>
            </w:pPr>
          </w:p>
        </w:tc>
      </w:tr>
      <w:tr w:rsidR="00DD3EFA" w:rsidRPr="005A0E7C" w14:paraId="55F49BFF" w14:textId="77777777" w:rsidTr="00B15ECB">
        <w:trPr>
          <w:trHeight w:val="1274"/>
        </w:trPr>
        <w:tc>
          <w:tcPr>
            <w:tcW w:w="249" w:type="dxa"/>
            <w:tcBorders>
              <w:top w:val="nil"/>
              <w:bottom w:val="nil"/>
            </w:tcBorders>
            <w:shd w:val="clear" w:color="auto" w:fill="66CCFF"/>
          </w:tcPr>
          <w:p w14:paraId="50C0101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33503E3" w14:textId="77777777" w:rsidR="00DD3EFA" w:rsidRPr="005A0E7C" w:rsidRDefault="00DD3EFA" w:rsidP="00B15ECB">
            <w:p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53E2FFA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Elektronizace výkonu stavebních agend znamená významné legislativní úpravy v rámci veřejného stavebního práva, jedná se o zavedení nových informačních systémů, které dosud nebyly podporovány.</w:t>
            </w:r>
          </w:p>
          <w:p w14:paraId="4676313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Z IOP byly podporovány Územně analytické podklady ORP a krajů a územní plány obcí, v IROP byly podporovány územní plány, regulační plány a územní studie ORP (okrajově skrze MAS i obcí). V novém programovém období je podpora soustředěna do digitalizace vybraných výstupů územního plánování s cílem soustředit tyto dokumenty na jedno veřejné místo v otevřeném výměnném formátu a jednotném standardu. </w:t>
            </w:r>
          </w:p>
        </w:tc>
        <w:tc>
          <w:tcPr>
            <w:tcW w:w="249" w:type="dxa"/>
            <w:tcBorders>
              <w:top w:val="nil"/>
              <w:bottom w:val="nil"/>
            </w:tcBorders>
            <w:shd w:val="clear" w:color="auto" w:fill="66CCFF"/>
          </w:tcPr>
          <w:p w14:paraId="3F4BB1E6" w14:textId="77777777" w:rsidR="00DD3EFA" w:rsidRPr="005A0E7C" w:rsidRDefault="00DD3EFA" w:rsidP="00B15ECB">
            <w:pPr>
              <w:rPr>
                <w:b/>
              </w:rPr>
            </w:pPr>
          </w:p>
        </w:tc>
      </w:tr>
      <w:tr w:rsidR="00DD3EFA" w:rsidRPr="005A0E7C" w14:paraId="56026794" w14:textId="77777777" w:rsidTr="00B15ECB">
        <w:trPr>
          <w:trHeight w:val="272"/>
        </w:trPr>
        <w:tc>
          <w:tcPr>
            <w:tcW w:w="249" w:type="dxa"/>
            <w:tcBorders>
              <w:top w:val="nil"/>
              <w:bottom w:val="nil"/>
              <w:right w:val="nil"/>
            </w:tcBorders>
            <w:shd w:val="clear" w:color="auto" w:fill="66CCFF"/>
          </w:tcPr>
          <w:p w14:paraId="24115E81"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9633EA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F683515"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5BC95658" w14:textId="77777777" w:rsidR="00DD3EFA" w:rsidRPr="005A0E7C" w:rsidRDefault="00DD3EFA" w:rsidP="00B15ECB">
            <w:pPr>
              <w:rPr>
                <w:b/>
              </w:rPr>
            </w:pPr>
          </w:p>
        </w:tc>
      </w:tr>
      <w:tr w:rsidR="00DD3EFA" w:rsidRPr="005A0E7C" w14:paraId="62546037" w14:textId="77777777" w:rsidTr="00B15ECB">
        <w:trPr>
          <w:trHeight w:val="835"/>
        </w:trPr>
        <w:tc>
          <w:tcPr>
            <w:tcW w:w="249" w:type="dxa"/>
            <w:tcBorders>
              <w:top w:val="nil"/>
              <w:bottom w:val="nil"/>
            </w:tcBorders>
            <w:shd w:val="clear" w:color="auto" w:fill="66CCFF"/>
          </w:tcPr>
          <w:p w14:paraId="354C6B0A"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4FB3230B"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2654309E"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06D9EC27" w14:textId="77777777" w:rsidR="00DD3EFA" w:rsidRPr="005A0E7C" w:rsidRDefault="00DD3EFA" w:rsidP="00B15ECB">
            <w:pPr>
              <w:spacing w:before="60" w:after="60"/>
              <w:rPr>
                <w:rFonts w:eastAsia="Calibri"/>
              </w:rPr>
            </w:pPr>
            <w:r w:rsidRPr="005A0E7C">
              <w:rPr>
                <w:rFonts w:eastAsia="Calibri"/>
              </w:rPr>
              <w:t>1. Vytvoření prostředí pro výkon stavebních agend v elektronické podobě.</w:t>
            </w:r>
          </w:p>
          <w:p w14:paraId="714543F8" w14:textId="77777777" w:rsidR="00DD3EFA" w:rsidRPr="005A0E7C" w:rsidRDefault="00DD3EFA" w:rsidP="00B15ECB">
            <w:pPr>
              <w:spacing w:before="60" w:after="60"/>
              <w:rPr>
                <w:rFonts w:eastAsia="Calibri"/>
              </w:rPr>
            </w:pPr>
            <w:r w:rsidRPr="005A0E7C">
              <w:rPr>
                <w:rFonts w:eastAsia="Calibri"/>
              </w:rPr>
              <w:t>2. Nástroje pro tvorbu a údržbu informačních systémů stavebních agend.</w:t>
            </w:r>
          </w:p>
          <w:p w14:paraId="094D7CF4" w14:textId="77777777" w:rsidR="00DD3EFA" w:rsidRPr="005A0E7C" w:rsidRDefault="00DD3EFA" w:rsidP="00B15ECB">
            <w:pPr>
              <w:spacing w:before="60" w:after="60"/>
              <w:rPr>
                <w:rFonts w:eastAsia="Calibri"/>
              </w:rPr>
            </w:pPr>
            <w:r w:rsidRPr="005A0E7C">
              <w:rPr>
                <w:rFonts w:eastAsia="Calibri"/>
              </w:rPr>
              <w:t>3. Standardizace nástrojů územního plánování.</w:t>
            </w:r>
          </w:p>
          <w:p w14:paraId="7CBF59DB"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53E70FC2" w14:textId="77777777" w:rsidR="00DD3EFA" w:rsidRPr="005A0E7C" w:rsidRDefault="00DD3EFA" w:rsidP="00B15ECB">
            <w:pPr>
              <w:rPr>
                <w:b/>
              </w:rPr>
            </w:pPr>
          </w:p>
        </w:tc>
      </w:tr>
      <w:tr w:rsidR="00DD3EFA" w:rsidRPr="005A0E7C" w14:paraId="1A50D1DF" w14:textId="77777777" w:rsidTr="00B15ECB">
        <w:trPr>
          <w:trHeight w:val="377"/>
        </w:trPr>
        <w:tc>
          <w:tcPr>
            <w:tcW w:w="249" w:type="dxa"/>
            <w:tcBorders>
              <w:top w:val="nil"/>
              <w:bottom w:val="nil"/>
              <w:right w:val="nil"/>
            </w:tcBorders>
            <w:shd w:val="clear" w:color="auto" w:fill="66CCFF"/>
          </w:tcPr>
          <w:p w14:paraId="59FBF68B"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22E2729"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FA1229E"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53B9CF41" w14:textId="77777777" w:rsidR="00DD3EFA" w:rsidRPr="005A0E7C" w:rsidRDefault="00DD3EFA" w:rsidP="00B15ECB">
            <w:pPr>
              <w:rPr>
                <w:b/>
              </w:rPr>
            </w:pPr>
          </w:p>
        </w:tc>
      </w:tr>
      <w:tr w:rsidR="00DD3EFA" w:rsidRPr="005A0E7C" w14:paraId="1D387223" w14:textId="77777777" w:rsidTr="00B15ECB">
        <w:trPr>
          <w:trHeight w:val="1202"/>
        </w:trPr>
        <w:tc>
          <w:tcPr>
            <w:tcW w:w="249" w:type="dxa"/>
            <w:tcBorders>
              <w:top w:val="nil"/>
              <w:bottom w:val="nil"/>
            </w:tcBorders>
            <w:shd w:val="clear" w:color="auto" w:fill="66CCFF"/>
          </w:tcPr>
          <w:p w14:paraId="29902903" w14:textId="77777777" w:rsidR="00DD3EFA" w:rsidRPr="005A0E7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1A821921"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p w14:paraId="0C0AD3F1"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16718CEF" w14:textId="77777777" w:rsidR="00DD3EFA" w:rsidRPr="005A0E7C" w:rsidRDefault="00DD3EFA" w:rsidP="00B15ECB">
            <w:pPr>
              <w:rPr>
                <w:b/>
              </w:rPr>
            </w:pPr>
          </w:p>
        </w:tc>
      </w:tr>
      <w:tr w:rsidR="00DD3EFA" w:rsidRPr="005A0E7C" w14:paraId="25E18466" w14:textId="77777777" w:rsidTr="00B15ECB">
        <w:trPr>
          <w:trHeight w:val="1202"/>
        </w:trPr>
        <w:tc>
          <w:tcPr>
            <w:tcW w:w="249" w:type="dxa"/>
            <w:tcBorders>
              <w:top w:val="nil"/>
              <w:bottom w:val="nil"/>
            </w:tcBorders>
            <w:shd w:val="clear" w:color="auto" w:fill="66CCFF"/>
          </w:tcPr>
          <w:p w14:paraId="197F5CD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61A744F"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7FECD55C"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BC22262" w14:textId="77777777" w:rsidR="00DD3EFA" w:rsidRPr="005A0E7C" w:rsidRDefault="00DD3EFA" w:rsidP="00B15ECB">
            <w:pPr>
              <w:spacing w:before="60" w:after="60"/>
              <w:rPr>
                <w:rFonts w:eastAsiaTheme="majorEastAsia"/>
              </w:rPr>
            </w:pPr>
            <w:r w:rsidRPr="005A0E7C">
              <w:rPr>
                <w:rFonts w:eastAsiaTheme="majorEastAsia"/>
              </w:rPr>
              <w:t>Zlepšení dostupnosti a zvýšení kvality veřejné správy. Územní plánování zajišťuje předpoklady pro udržitelný rozvoj území soustavným a komplexním řešením účelného využití a prostorového uspořádání území, územně analytické podklady zajišťují soustavný sběr informací o stavu a vývoji území a vyhodnocují udržitelný rozvoj území. Standardizace těchto dat umožní jejich využití pro potřeby definování problémů v území a návrh jejich řešení.</w:t>
            </w:r>
          </w:p>
        </w:tc>
        <w:tc>
          <w:tcPr>
            <w:tcW w:w="249" w:type="dxa"/>
            <w:tcBorders>
              <w:top w:val="nil"/>
              <w:bottom w:val="nil"/>
            </w:tcBorders>
            <w:shd w:val="clear" w:color="auto" w:fill="66CCFF"/>
          </w:tcPr>
          <w:p w14:paraId="21ADDC1A" w14:textId="77777777" w:rsidR="00DD3EFA" w:rsidRPr="005A0E7C" w:rsidRDefault="00DD3EFA" w:rsidP="00B15ECB">
            <w:pPr>
              <w:rPr>
                <w:b/>
              </w:rPr>
            </w:pPr>
          </w:p>
        </w:tc>
      </w:tr>
      <w:tr w:rsidR="00DD3EFA" w:rsidRPr="005A0E7C" w14:paraId="5BE38236" w14:textId="77777777" w:rsidTr="00B15ECB">
        <w:trPr>
          <w:trHeight w:val="1202"/>
        </w:trPr>
        <w:tc>
          <w:tcPr>
            <w:tcW w:w="249" w:type="dxa"/>
            <w:tcBorders>
              <w:top w:val="nil"/>
              <w:bottom w:val="nil"/>
            </w:tcBorders>
            <w:shd w:val="clear" w:color="auto" w:fill="66CCFF"/>
          </w:tcPr>
          <w:p w14:paraId="57A1044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72F40EF"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4ADB02C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F06E3C9" w14:textId="77777777" w:rsidR="00DD3EFA" w:rsidRPr="005A0E7C" w:rsidRDefault="00DD3EFA" w:rsidP="00B15ECB">
            <w:pPr>
              <w:spacing w:before="60" w:after="60"/>
              <w:rPr>
                <w:rFonts w:eastAsiaTheme="majorEastAsia"/>
              </w:rPr>
            </w:pPr>
            <w:r w:rsidRPr="005A0E7C">
              <w:rPr>
                <w:rFonts w:eastAsiaTheme="majorEastAsia"/>
              </w:rPr>
              <w:t>Standardizovaná data výstupů územního plánování ať už z oblasti stavu a vývoje území (agenda územně analytických podkladů), tak z oblasti plánovaného využití území (územně plánovací dokumentace) mohou být významným podkladem pro agendy související s adaptací na změnu klimatu.</w:t>
            </w:r>
          </w:p>
        </w:tc>
        <w:tc>
          <w:tcPr>
            <w:tcW w:w="249" w:type="dxa"/>
            <w:tcBorders>
              <w:top w:val="nil"/>
              <w:bottom w:val="nil"/>
            </w:tcBorders>
            <w:shd w:val="clear" w:color="auto" w:fill="66CCFF"/>
          </w:tcPr>
          <w:p w14:paraId="565D7F25" w14:textId="77777777" w:rsidR="00DD3EFA" w:rsidRPr="005A0E7C" w:rsidRDefault="00DD3EFA" w:rsidP="00B15ECB">
            <w:pPr>
              <w:rPr>
                <w:b/>
              </w:rPr>
            </w:pPr>
          </w:p>
        </w:tc>
      </w:tr>
      <w:tr w:rsidR="00DD3EFA" w:rsidRPr="005A0E7C" w14:paraId="3F9D0AC4" w14:textId="77777777" w:rsidTr="00B15ECB">
        <w:trPr>
          <w:trHeight w:val="1202"/>
        </w:trPr>
        <w:tc>
          <w:tcPr>
            <w:tcW w:w="249" w:type="dxa"/>
            <w:tcBorders>
              <w:top w:val="nil"/>
              <w:bottom w:val="nil"/>
            </w:tcBorders>
            <w:shd w:val="clear" w:color="auto" w:fill="66CCFF"/>
          </w:tcPr>
          <w:p w14:paraId="42072E4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8883443"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0C49C49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5076498" w14:textId="77777777" w:rsidR="00DD3EFA" w:rsidRPr="005A0E7C" w:rsidRDefault="00DD3EFA" w:rsidP="00B15ECB">
            <w:pPr>
              <w:spacing w:before="60" w:after="60"/>
              <w:rPr>
                <w:rFonts w:eastAsiaTheme="majorEastAsia"/>
              </w:rPr>
            </w:pPr>
            <w:r w:rsidRPr="005A0E7C">
              <w:rPr>
                <w:rFonts w:eastAsiaTheme="majorEastAsia"/>
              </w:rPr>
              <w:t>Digitalizace veřejné správy ve všech oblastech.</w:t>
            </w:r>
          </w:p>
        </w:tc>
        <w:tc>
          <w:tcPr>
            <w:tcW w:w="249" w:type="dxa"/>
            <w:tcBorders>
              <w:top w:val="nil"/>
              <w:bottom w:val="nil"/>
            </w:tcBorders>
            <w:shd w:val="clear" w:color="auto" w:fill="66CCFF"/>
          </w:tcPr>
          <w:p w14:paraId="07AAD43E" w14:textId="77777777" w:rsidR="00DD3EFA" w:rsidRPr="005A0E7C" w:rsidRDefault="00DD3EFA" w:rsidP="00B15ECB">
            <w:pPr>
              <w:rPr>
                <w:b/>
              </w:rPr>
            </w:pPr>
          </w:p>
        </w:tc>
      </w:tr>
      <w:tr w:rsidR="00DD3EFA" w:rsidRPr="005A0E7C" w14:paraId="53997668" w14:textId="77777777" w:rsidTr="00B15ECB">
        <w:trPr>
          <w:trHeight w:val="1202"/>
        </w:trPr>
        <w:tc>
          <w:tcPr>
            <w:tcW w:w="249" w:type="dxa"/>
            <w:tcBorders>
              <w:top w:val="nil"/>
              <w:bottom w:val="nil"/>
            </w:tcBorders>
            <w:shd w:val="clear" w:color="auto" w:fill="66CCFF"/>
          </w:tcPr>
          <w:p w14:paraId="06B2DC8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6C38416"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65AEED5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2D35EE0" w14:textId="77777777" w:rsidR="00DD3EFA" w:rsidRPr="005A0E7C" w:rsidRDefault="00DD3EFA" w:rsidP="00B15ECB">
            <w:pPr>
              <w:spacing w:before="60" w:after="60"/>
              <w:rPr>
                <w:rFonts w:eastAsiaTheme="majorEastAsia"/>
              </w:rPr>
            </w:pPr>
            <w:r w:rsidRPr="005A0E7C">
              <w:rPr>
                <w:rFonts w:eastAsiaTheme="majorEastAsia"/>
              </w:rPr>
              <w:t>Elektronizace výkonu veřejné správy při výkonu stavební agendy a digitalizace potřebných dat pro její výkon na úseku územního plánování přispěje k posunu civilizace ke znalostní ekonomice a jejímu rozvoji.</w:t>
            </w:r>
          </w:p>
          <w:p w14:paraId="01EB6310" w14:textId="77777777" w:rsidR="00DD3EFA" w:rsidRPr="005A0E7C" w:rsidRDefault="00DD3EFA" w:rsidP="00B15ECB">
            <w:pPr>
              <w:spacing w:before="60" w:after="60"/>
              <w:rPr>
                <w:rFonts w:eastAsiaTheme="majorEastAsia"/>
              </w:rPr>
            </w:pPr>
            <w:r w:rsidRPr="005A0E7C">
              <w:rPr>
                <w:rFonts w:eastAsiaTheme="majorEastAsia"/>
              </w:rPr>
              <w:t>Vazba na další megatrendy - standardizovaná data výstupů územního plánování ať už z oblasti stavu a vývoje území (agenda územně analytických podkladů), tak z oblasti plánovaného využití území (územně plánovací dokumentace) jsou významným podkladem pro agendy související s adaptací na změnu klimatu, řešení problematiky degradace ekosystémů a urbanizaci.</w:t>
            </w:r>
          </w:p>
        </w:tc>
        <w:tc>
          <w:tcPr>
            <w:tcW w:w="249" w:type="dxa"/>
            <w:tcBorders>
              <w:top w:val="nil"/>
              <w:bottom w:val="nil"/>
            </w:tcBorders>
            <w:shd w:val="clear" w:color="auto" w:fill="66CCFF"/>
          </w:tcPr>
          <w:p w14:paraId="3E440C52" w14:textId="77777777" w:rsidR="00DD3EFA" w:rsidRPr="005A0E7C" w:rsidRDefault="00DD3EFA" w:rsidP="00B15ECB">
            <w:pPr>
              <w:rPr>
                <w:b/>
              </w:rPr>
            </w:pPr>
          </w:p>
        </w:tc>
      </w:tr>
      <w:tr w:rsidR="00DD3EFA" w:rsidRPr="005A0E7C" w14:paraId="691D603B" w14:textId="77777777" w:rsidTr="00B15ECB">
        <w:trPr>
          <w:trHeight w:val="1202"/>
        </w:trPr>
        <w:tc>
          <w:tcPr>
            <w:tcW w:w="249" w:type="dxa"/>
            <w:tcBorders>
              <w:top w:val="nil"/>
              <w:bottom w:val="nil"/>
            </w:tcBorders>
            <w:shd w:val="clear" w:color="auto" w:fill="66CCFF"/>
          </w:tcPr>
          <w:p w14:paraId="4160571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7F8CE2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0F08FFF1" w14:textId="77777777" w:rsidR="00DD3EFA" w:rsidRPr="005A0E7C" w:rsidRDefault="00DD3EFA" w:rsidP="00B15ECB">
            <w:pPr>
              <w:spacing w:before="60" w:after="60"/>
              <w:rPr>
                <w:rFonts w:eastAsiaTheme="majorEastAsia"/>
                <w:i/>
              </w:rPr>
            </w:pPr>
            <w:r w:rsidRPr="005A0E7C">
              <w:rPr>
                <w:rFonts w:eastAsiaTheme="majorEastAsia"/>
              </w:rPr>
              <w:t>Elektronizace výkonu stavební agendy a zejména digitalizace potřebných dat pro její výkon významně napomůže rozvoji digitální infrastruktury v mezinárodních standardech (zejména ve vazbě na INSPIRE), napomůže tak k propojení regionální a přeshraniční infrastruktury v oblasti územního plánování. Významným způsobem dojde k zlepšení efektivnosti a kvality veřejné správy v oblasti stavební agendy.</w:t>
            </w:r>
            <w:r w:rsidRPr="005A0E7C">
              <w:rPr>
                <w:rFonts w:eastAsiaTheme="majorEastAsia"/>
                <w:i/>
              </w:rPr>
              <w:t xml:space="preserve"> </w:t>
            </w:r>
          </w:p>
          <w:p w14:paraId="674F7141" w14:textId="77777777" w:rsidR="00DD3EFA" w:rsidRPr="005A0E7C" w:rsidRDefault="00DD3EFA" w:rsidP="00B15ECB">
            <w:pPr>
              <w:rPr>
                <w:rFonts w:eastAsiaTheme="majorEastAsia"/>
              </w:rPr>
            </w:pPr>
            <w:r w:rsidRPr="005A0E7C">
              <w:rPr>
                <w:rFonts w:eastAsiaTheme="majorEastAsia"/>
              </w:rPr>
              <w:t xml:space="preserve">Nízká kvalita veřejné správy brzdí hospodářský rozvoj a snižuje dopad veřejných investic, a to včetně investic spolufinancovaných v rámci politiky soudržnosti. </w:t>
            </w:r>
          </w:p>
          <w:p w14:paraId="6DB8A6FF" w14:textId="77777777" w:rsidR="00DD3EFA" w:rsidRPr="005A0E7C" w:rsidRDefault="00DD3EFA" w:rsidP="00B15ECB">
            <w:pPr>
              <w:rPr>
                <w:rFonts w:eastAsiaTheme="majorEastAsia"/>
              </w:rPr>
            </w:pPr>
            <w:r w:rsidRPr="005A0E7C">
              <w:rPr>
                <w:rFonts w:eastAsiaTheme="majorEastAsia"/>
              </w:rPr>
              <w:t xml:space="preserve">Investice přispějí ke zkvalitnění digitální infrastruktury, kvalitní podklady zlepší kvalitu projektové přípravy staveb a zefektivní rozhodování v území. </w:t>
            </w:r>
          </w:p>
        </w:tc>
        <w:tc>
          <w:tcPr>
            <w:tcW w:w="249" w:type="dxa"/>
            <w:tcBorders>
              <w:top w:val="nil"/>
              <w:bottom w:val="nil"/>
            </w:tcBorders>
            <w:shd w:val="clear" w:color="auto" w:fill="66CCFF"/>
          </w:tcPr>
          <w:p w14:paraId="5FEB836A" w14:textId="77777777" w:rsidR="00DD3EFA" w:rsidRPr="005A0E7C" w:rsidRDefault="00DD3EFA" w:rsidP="00B15ECB">
            <w:pPr>
              <w:rPr>
                <w:b/>
              </w:rPr>
            </w:pPr>
          </w:p>
        </w:tc>
      </w:tr>
      <w:tr w:rsidR="00DD3EFA" w:rsidRPr="005A0E7C" w14:paraId="1AEA6E4F" w14:textId="77777777" w:rsidTr="00B15ECB">
        <w:trPr>
          <w:trHeight w:val="1202"/>
        </w:trPr>
        <w:tc>
          <w:tcPr>
            <w:tcW w:w="249" w:type="dxa"/>
            <w:tcBorders>
              <w:top w:val="nil"/>
              <w:bottom w:val="nil"/>
            </w:tcBorders>
            <w:shd w:val="clear" w:color="auto" w:fill="66CCFF"/>
          </w:tcPr>
          <w:p w14:paraId="2701B8C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819D7F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627E4736"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17EDCD4" w14:textId="77777777" w:rsidR="00DD3EFA" w:rsidRPr="005A0E7C" w:rsidRDefault="00DD3EFA" w:rsidP="00B15ECB">
            <w:pPr>
              <w:rPr>
                <w:b/>
              </w:rPr>
            </w:pPr>
          </w:p>
        </w:tc>
      </w:tr>
      <w:tr w:rsidR="00DD3EFA" w:rsidRPr="005A0E7C" w14:paraId="421FC266" w14:textId="77777777" w:rsidTr="00B15ECB">
        <w:trPr>
          <w:trHeight w:val="180"/>
        </w:trPr>
        <w:tc>
          <w:tcPr>
            <w:tcW w:w="249" w:type="dxa"/>
            <w:tcBorders>
              <w:top w:val="nil"/>
              <w:bottom w:val="nil"/>
              <w:right w:val="nil"/>
            </w:tcBorders>
            <w:shd w:val="clear" w:color="auto" w:fill="66CCFF"/>
          </w:tcPr>
          <w:p w14:paraId="2E969681" w14:textId="77777777" w:rsidR="00DD3EFA" w:rsidRPr="005A0E7C" w:rsidRDefault="00DD3EFA" w:rsidP="00B15ECB">
            <w:pPr>
              <w:rPr>
                <w:b/>
              </w:rPr>
            </w:pPr>
          </w:p>
        </w:tc>
        <w:tc>
          <w:tcPr>
            <w:tcW w:w="2548" w:type="dxa"/>
            <w:tcBorders>
              <w:left w:val="nil"/>
              <w:right w:val="nil"/>
            </w:tcBorders>
            <w:shd w:val="clear" w:color="auto" w:fill="66CCFF"/>
          </w:tcPr>
          <w:p w14:paraId="6218A97B" w14:textId="77777777" w:rsidR="00DD3EFA" w:rsidRPr="005A0E7C" w:rsidRDefault="00DD3EFA" w:rsidP="00B15ECB">
            <w:pPr>
              <w:rPr>
                <w:b/>
              </w:rPr>
            </w:pPr>
          </w:p>
        </w:tc>
        <w:tc>
          <w:tcPr>
            <w:tcW w:w="5978" w:type="dxa"/>
            <w:tcBorders>
              <w:left w:val="nil"/>
              <w:right w:val="nil"/>
            </w:tcBorders>
            <w:shd w:val="clear" w:color="auto" w:fill="66CCFF"/>
          </w:tcPr>
          <w:p w14:paraId="672AAC9F" w14:textId="77777777" w:rsidR="00DD3EFA" w:rsidRPr="005A0E7C" w:rsidRDefault="00DD3EFA" w:rsidP="00B15ECB">
            <w:pPr>
              <w:rPr>
                <w:b/>
              </w:rPr>
            </w:pPr>
          </w:p>
        </w:tc>
        <w:tc>
          <w:tcPr>
            <w:tcW w:w="249" w:type="dxa"/>
            <w:tcBorders>
              <w:top w:val="nil"/>
              <w:left w:val="nil"/>
              <w:bottom w:val="nil"/>
            </w:tcBorders>
            <w:shd w:val="clear" w:color="auto" w:fill="66CCFF"/>
          </w:tcPr>
          <w:p w14:paraId="6B2D40E7" w14:textId="77777777" w:rsidR="00DD3EFA" w:rsidRPr="005A0E7C" w:rsidRDefault="00DD3EFA" w:rsidP="00B15ECB">
            <w:pPr>
              <w:rPr>
                <w:b/>
              </w:rPr>
            </w:pPr>
          </w:p>
        </w:tc>
      </w:tr>
      <w:tr w:rsidR="00DD3EFA" w:rsidRPr="005A0E7C" w14:paraId="2105C98F" w14:textId="77777777" w:rsidTr="00B15ECB">
        <w:trPr>
          <w:trHeight w:val="938"/>
        </w:trPr>
        <w:tc>
          <w:tcPr>
            <w:tcW w:w="249" w:type="dxa"/>
            <w:tcBorders>
              <w:top w:val="nil"/>
              <w:bottom w:val="nil"/>
            </w:tcBorders>
            <w:shd w:val="clear" w:color="auto" w:fill="66CCFF"/>
          </w:tcPr>
          <w:p w14:paraId="57718CD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A35AA8A"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37DC4913"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18EC28A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Digitální Česko (Vládní program digitalizace ČR 2018+)</w:t>
            </w:r>
          </w:p>
          <w:p w14:paraId="36E17FB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p>
        </w:tc>
        <w:tc>
          <w:tcPr>
            <w:tcW w:w="249" w:type="dxa"/>
            <w:tcBorders>
              <w:top w:val="nil"/>
              <w:bottom w:val="nil"/>
            </w:tcBorders>
            <w:shd w:val="clear" w:color="auto" w:fill="66CCFF"/>
          </w:tcPr>
          <w:p w14:paraId="03EC7309" w14:textId="77777777" w:rsidR="00DD3EFA" w:rsidRPr="005A0E7C" w:rsidRDefault="00DD3EFA" w:rsidP="00B15ECB">
            <w:pPr>
              <w:rPr>
                <w:b/>
              </w:rPr>
            </w:pPr>
          </w:p>
        </w:tc>
      </w:tr>
      <w:tr w:rsidR="00DD3EFA" w:rsidRPr="005A0E7C" w14:paraId="788F76E6" w14:textId="77777777" w:rsidTr="00B15ECB">
        <w:trPr>
          <w:trHeight w:val="938"/>
        </w:trPr>
        <w:tc>
          <w:tcPr>
            <w:tcW w:w="249" w:type="dxa"/>
            <w:tcBorders>
              <w:top w:val="nil"/>
              <w:bottom w:val="nil"/>
            </w:tcBorders>
            <w:shd w:val="clear" w:color="auto" w:fill="66CCFF"/>
          </w:tcPr>
          <w:p w14:paraId="761229A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1D48FB6"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4299FAD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8387C5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Analýza problémů a potřeb k materiálu Digitální Česko není k dispozici.</w:t>
            </w:r>
          </w:p>
          <w:p w14:paraId="1A061F7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highlight w:val="yellow"/>
              </w:rPr>
            </w:pPr>
            <w:r w:rsidRPr="005A0E7C">
              <w:rPr>
                <w:rFonts w:ascii="Times New Roman" w:hAnsi="Times New Roman"/>
              </w:rPr>
              <w:t xml:space="preserve">O tom, že zásadní změna stavebního práva včetně potřeby elektronizace jeho agend je zcela nezbytná, není pochyb. Jde nejen o převažující závěry odborníků na české stavební právo a dotčených osob ze stavební praxe. Tyto závěry plynou i z celosvětových srovnávacích dat, které publikuje Světová banka ve studiích Doing Business. Podle studie Doing Business 2019 je proces povolování staveb v České republice jeden z nejpomalejších na světě. Podle délky standardizovaného stavebního řízení se Česká republika umístila na 156. místě ze 190 posuzovaných zemí s délkou 246 dnů. </w:t>
            </w:r>
          </w:p>
        </w:tc>
        <w:tc>
          <w:tcPr>
            <w:tcW w:w="249" w:type="dxa"/>
            <w:tcBorders>
              <w:top w:val="nil"/>
              <w:bottom w:val="nil"/>
            </w:tcBorders>
            <w:shd w:val="clear" w:color="auto" w:fill="66CCFF"/>
          </w:tcPr>
          <w:p w14:paraId="77F12117" w14:textId="77777777" w:rsidR="00DD3EFA" w:rsidRPr="005A0E7C" w:rsidRDefault="00DD3EFA" w:rsidP="00B15ECB">
            <w:pPr>
              <w:rPr>
                <w:b/>
              </w:rPr>
            </w:pPr>
          </w:p>
        </w:tc>
      </w:tr>
      <w:tr w:rsidR="00DD3EFA" w:rsidRPr="005A0E7C" w14:paraId="2F1CAAAA" w14:textId="77777777" w:rsidTr="00B15ECB">
        <w:trPr>
          <w:trHeight w:val="938"/>
        </w:trPr>
        <w:tc>
          <w:tcPr>
            <w:tcW w:w="249" w:type="dxa"/>
            <w:tcBorders>
              <w:top w:val="nil"/>
              <w:bottom w:val="nil"/>
            </w:tcBorders>
            <w:shd w:val="clear" w:color="auto" w:fill="66CCFF"/>
          </w:tcPr>
          <w:p w14:paraId="32D1460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1782062"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187F1F0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FD617B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Část Digitální ekonomika a společnost – cíl 2.13 Podpora digitalizace stavebnictví, 4.9 Podpora infrastruktury digitalizace stavebnictví</w:t>
            </w:r>
          </w:p>
          <w:p w14:paraId="335804C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Část Informační koncepce – cíl 1.4 Rozvoj on-line „front-office“ služeb jednotlivých rezortů s využitím sdílených služeb (stavební řízení), 1.5 Zlepšení národního katalogu otevřených dat, cíl 3.2 Digitalizace dosud nedigitalizovaného obsahu důležitého pro podporu konkurenceschopnosti a rozvoj eGovernment služeb pro veřejnost – digitalizace výstupů územního plánování zejména územních plánů, projektových dokumentací, agend pro podporu stavebnictví, 5.10 Veřejný datový fond tvořený garantovanými daty, 5.11 GeoInformace – zajistit interoperabilní data a zpřístupnit prostorové informace veřejné správy, propojit prostorové informace ve správě krajských datových center a dalších systémů územních samospráv, které slouží mimo jiné pro územní plánování.</w:t>
            </w:r>
          </w:p>
        </w:tc>
        <w:tc>
          <w:tcPr>
            <w:tcW w:w="249" w:type="dxa"/>
            <w:tcBorders>
              <w:top w:val="nil"/>
              <w:bottom w:val="nil"/>
            </w:tcBorders>
            <w:shd w:val="clear" w:color="auto" w:fill="66CCFF"/>
          </w:tcPr>
          <w:p w14:paraId="52BCC69F" w14:textId="77777777" w:rsidR="00DD3EFA" w:rsidRPr="005A0E7C" w:rsidRDefault="00DD3EFA" w:rsidP="00B15ECB">
            <w:pPr>
              <w:rPr>
                <w:b/>
              </w:rPr>
            </w:pPr>
          </w:p>
        </w:tc>
      </w:tr>
      <w:tr w:rsidR="00DD3EFA" w:rsidRPr="005A0E7C" w14:paraId="0EA0768E" w14:textId="77777777" w:rsidTr="00B15ECB">
        <w:trPr>
          <w:trHeight w:val="938"/>
        </w:trPr>
        <w:tc>
          <w:tcPr>
            <w:tcW w:w="249" w:type="dxa"/>
            <w:tcBorders>
              <w:top w:val="nil"/>
              <w:bottom w:val="nil"/>
            </w:tcBorders>
            <w:shd w:val="clear" w:color="auto" w:fill="66CCFF"/>
          </w:tcPr>
          <w:p w14:paraId="79CBFA9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15A8ED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tc>
        <w:tc>
          <w:tcPr>
            <w:tcW w:w="5978" w:type="dxa"/>
            <w:tcBorders>
              <w:bottom w:val="single" w:sz="4" w:space="0" w:color="auto"/>
            </w:tcBorders>
            <w:shd w:val="clear" w:color="auto" w:fill="FFFFFF" w:themeFill="background1"/>
          </w:tcPr>
          <w:p w14:paraId="2A258E8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Implementace řízena Radou vlády pro informační společnost na základě metodiky řízení programu Digitální Česko, bude probíhat na základě implementačních plánů (v přípravě).</w:t>
            </w:r>
          </w:p>
        </w:tc>
        <w:tc>
          <w:tcPr>
            <w:tcW w:w="249" w:type="dxa"/>
            <w:tcBorders>
              <w:top w:val="nil"/>
              <w:bottom w:val="nil"/>
            </w:tcBorders>
            <w:shd w:val="clear" w:color="auto" w:fill="66CCFF"/>
          </w:tcPr>
          <w:p w14:paraId="7DD92655" w14:textId="77777777" w:rsidR="00DD3EFA" w:rsidRPr="005A0E7C" w:rsidRDefault="00DD3EFA" w:rsidP="00B15ECB">
            <w:pPr>
              <w:rPr>
                <w:b/>
              </w:rPr>
            </w:pPr>
          </w:p>
        </w:tc>
      </w:tr>
      <w:tr w:rsidR="00DD3EFA" w:rsidRPr="005A0E7C" w14:paraId="02E1AFED" w14:textId="77777777" w:rsidTr="00B15ECB">
        <w:trPr>
          <w:trHeight w:val="938"/>
        </w:trPr>
        <w:tc>
          <w:tcPr>
            <w:tcW w:w="249" w:type="dxa"/>
            <w:tcBorders>
              <w:top w:val="nil"/>
              <w:bottom w:val="nil"/>
            </w:tcBorders>
            <w:shd w:val="clear" w:color="auto" w:fill="66CCFF"/>
          </w:tcPr>
          <w:p w14:paraId="3CF0D9D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EE0CB30"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10DFED5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souladu s UV č. 629 z 3. 10. 2018 má ministr vnitra povinnost předkládat vždy k 31. prosinci každého kalendářního roku ve spolupráci s vládním zmocněncem pro IT a digitalizaci prostřednictvím Rady vlády pro informační společnost zprávu o plnění programu Digitální Česko.</w:t>
            </w:r>
          </w:p>
          <w:p w14:paraId="79A11B0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 xml:space="preserve">Na základě UV č. 774/2011 u 19. 10. 2011 má MMR povinnost na základě každoročního dotazníkového šetření v tříletých cyklech zpracovat a vládě předložit Analýza stavu na úseku územního plánování a stavebního řádu.  </w:t>
            </w:r>
          </w:p>
        </w:tc>
        <w:tc>
          <w:tcPr>
            <w:tcW w:w="249" w:type="dxa"/>
            <w:tcBorders>
              <w:top w:val="nil"/>
              <w:bottom w:val="nil"/>
            </w:tcBorders>
            <w:shd w:val="clear" w:color="auto" w:fill="66CCFF"/>
          </w:tcPr>
          <w:p w14:paraId="34963E52" w14:textId="77777777" w:rsidR="00DD3EFA" w:rsidRPr="005A0E7C" w:rsidRDefault="00DD3EFA" w:rsidP="00B15ECB">
            <w:pPr>
              <w:rPr>
                <w:b/>
              </w:rPr>
            </w:pPr>
          </w:p>
        </w:tc>
      </w:tr>
      <w:tr w:rsidR="00DD3EFA" w:rsidRPr="005A0E7C" w14:paraId="6D452BA1" w14:textId="77777777" w:rsidTr="00B15ECB">
        <w:trPr>
          <w:trHeight w:val="130"/>
        </w:trPr>
        <w:tc>
          <w:tcPr>
            <w:tcW w:w="249" w:type="dxa"/>
            <w:tcBorders>
              <w:top w:val="nil"/>
              <w:bottom w:val="nil"/>
              <w:right w:val="nil"/>
            </w:tcBorders>
            <w:shd w:val="clear" w:color="auto" w:fill="66CCFF"/>
          </w:tcPr>
          <w:p w14:paraId="2726CC4C" w14:textId="77777777" w:rsidR="00DD3EFA" w:rsidRPr="005A0E7C" w:rsidRDefault="00DD3EFA" w:rsidP="00B15ECB">
            <w:pPr>
              <w:rPr>
                <w:b/>
              </w:rPr>
            </w:pPr>
          </w:p>
        </w:tc>
        <w:tc>
          <w:tcPr>
            <w:tcW w:w="2548" w:type="dxa"/>
            <w:tcBorders>
              <w:left w:val="nil"/>
              <w:right w:val="nil"/>
            </w:tcBorders>
            <w:shd w:val="clear" w:color="auto" w:fill="66CCFF"/>
          </w:tcPr>
          <w:p w14:paraId="1678581B" w14:textId="77777777" w:rsidR="00DD3EFA" w:rsidRPr="005A0E7C" w:rsidRDefault="00DD3EFA" w:rsidP="00B15ECB">
            <w:pPr>
              <w:rPr>
                <w:b/>
              </w:rPr>
            </w:pPr>
          </w:p>
        </w:tc>
        <w:tc>
          <w:tcPr>
            <w:tcW w:w="5978" w:type="dxa"/>
            <w:tcBorders>
              <w:left w:val="nil"/>
              <w:right w:val="nil"/>
            </w:tcBorders>
            <w:shd w:val="clear" w:color="auto" w:fill="66CCFF"/>
          </w:tcPr>
          <w:p w14:paraId="21D8BBC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rPr>
            </w:pPr>
          </w:p>
        </w:tc>
        <w:tc>
          <w:tcPr>
            <w:tcW w:w="249" w:type="dxa"/>
            <w:tcBorders>
              <w:top w:val="nil"/>
              <w:left w:val="nil"/>
              <w:bottom w:val="nil"/>
            </w:tcBorders>
            <w:shd w:val="clear" w:color="auto" w:fill="66CCFF"/>
          </w:tcPr>
          <w:p w14:paraId="12A8B56F" w14:textId="77777777" w:rsidR="00DD3EFA" w:rsidRPr="005A0E7C" w:rsidRDefault="00DD3EFA" w:rsidP="00B15ECB">
            <w:pPr>
              <w:rPr>
                <w:b/>
              </w:rPr>
            </w:pPr>
          </w:p>
        </w:tc>
      </w:tr>
      <w:tr w:rsidR="00DD3EFA" w:rsidRPr="005A0E7C" w14:paraId="57255D13" w14:textId="77777777" w:rsidTr="00B15ECB">
        <w:trPr>
          <w:trHeight w:val="1258"/>
        </w:trPr>
        <w:tc>
          <w:tcPr>
            <w:tcW w:w="249" w:type="dxa"/>
            <w:tcBorders>
              <w:top w:val="nil"/>
              <w:bottom w:val="nil"/>
              <w:right w:val="nil"/>
            </w:tcBorders>
            <w:shd w:val="clear" w:color="auto" w:fill="66CCFF"/>
          </w:tcPr>
          <w:p w14:paraId="11A7A432" w14:textId="77777777" w:rsidR="00DD3EFA" w:rsidRPr="005A0E7C" w:rsidRDefault="00DD3EFA" w:rsidP="00B15ECB">
            <w:pPr>
              <w:rPr>
                <w:b/>
              </w:rPr>
            </w:pPr>
          </w:p>
        </w:tc>
        <w:tc>
          <w:tcPr>
            <w:tcW w:w="8526" w:type="dxa"/>
            <w:gridSpan w:val="2"/>
            <w:shd w:val="clear" w:color="auto" w:fill="FFFFFF" w:themeFill="background1"/>
          </w:tcPr>
          <w:p w14:paraId="6752CA6F" w14:textId="77777777" w:rsidR="00DD3EFA" w:rsidRPr="005A0E7C" w:rsidRDefault="00DD3EFA" w:rsidP="00B15ECB">
            <w:pPr>
              <w:rPr>
                <w:rFonts w:eastAsiaTheme="majorEastAsia"/>
                <w:b/>
              </w:rPr>
            </w:pPr>
            <w:r w:rsidRPr="005A0E7C">
              <w:rPr>
                <w:rFonts w:eastAsiaTheme="majorEastAsia"/>
                <w:b/>
              </w:rPr>
              <w:t xml:space="preserve">Zhodnocení dosavadního využití podpory tematické oblasti z ESIF (tj. v období 2014 – 2020, příp. 2007 – 2013). </w:t>
            </w:r>
          </w:p>
          <w:p w14:paraId="6E2CEDF8" w14:textId="77777777" w:rsidR="00DD3EFA" w:rsidRPr="005A0E7C" w:rsidRDefault="00DD3EFA" w:rsidP="00B15ECB">
            <w:pPr>
              <w:rPr>
                <w:rFonts w:eastAsiaTheme="majorEastAsia"/>
                <w:b/>
              </w:rPr>
            </w:pPr>
          </w:p>
          <w:p w14:paraId="4CB247A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6E7344DA" w14:textId="77777777" w:rsidR="00DD3EFA" w:rsidRPr="005A0E7C" w:rsidRDefault="00DD3EFA" w:rsidP="00B15ECB">
            <w:pPr>
              <w:rPr>
                <w:b/>
              </w:rPr>
            </w:pPr>
          </w:p>
        </w:tc>
      </w:tr>
      <w:tr w:rsidR="00DD3EFA" w:rsidRPr="005A0E7C" w14:paraId="7C76F46A" w14:textId="77777777" w:rsidTr="00B15ECB">
        <w:trPr>
          <w:trHeight w:val="1258"/>
        </w:trPr>
        <w:tc>
          <w:tcPr>
            <w:tcW w:w="249" w:type="dxa"/>
            <w:tcBorders>
              <w:top w:val="nil"/>
              <w:bottom w:val="nil"/>
              <w:right w:val="nil"/>
            </w:tcBorders>
            <w:shd w:val="clear" w:color="auto" w:fill="66CCFF"/>
          </w:tcPr>
          <w:p w14:paraId="4F7081BC" w14:textId="77777777" w:rsidR="00DD3EFA" w:rsidRPr="005A0E7C" w:rsidRDefault="00DD3EFA" w:rsidP="00B15ECB">
            <w:pPr>
              <w:rPr>
                <w:b/>
              </w:rPr>
            </w:pPr>
          </w:p>
        </w:tc>
        <w:tc>
          <w:tcPr>
            <w:tcW w:w="2548" w:type="dxa"/>
            <w:shd w:val="clear" w:color="auto" w:fill="FFFFFF" w:themeFill="background1"/>
          </w:tcPr>
          <w:p w14:paraId="2A2DEF5A" w14:textId="77777777" w:rsidR="00DD3EFA" w:rsidRPr="005A0E7C" w:rsidRDefault="00DD3EFA" w:rsidP="00B15ECB">
            <w:pPr>
              <w:rPr>
                <w:rFonts w:eastAsiaTheme="majorEastAsia"/>
                <w:b/>
              </w:rPr>
            </w:pPr>
            <w:r w:rsidRPr="005A0E7C">
              <w:rPr>
                <w:rFonts w:eastAsiaTheme="majorEastAsia"/>
                <w:b/>
              </w:rPr>
              <w:t>Věcný posun oblasti</w:t>
            </w:r>
          </w:p>
          <w:p w14:paraId="3F44124F"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317F268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Z IOP byly podporovány Územně analytické podklady ORP a krajů a územní plány obcí, v IROP byly podporovány územní plány, regulační plány a územní studie ORP (okrajově skrze MAS i obcí). V novém programovém období je podpora soustředěna do digitalizace vybraných výstupů územního plánování s cílem soustředit tyto dokumenty na jedno veřejné místo v otevřeném výměnném formátu a jednotném standardu.</w:t>
            </w:r>
            <w:r w:rsidRPr="005A0E7C">
              <w:rPr>
                <w:rFonts w:ascii="Times New Roman" w:hAnsi="Times New Roman"/>
                <w:i/>
              </w:rPr>
              <w:t xml:space="preserve"> </w:t>
            </w:r>
          </w:p>
        </w:tc>
        <w:tc>
          <w:tcPr>
            <w:tcW w:w="249" w:type="dxa"/>
            <w:tcBorders>
              <w:top w:val="nil"/>
              <w:left w:val="nil"/>
              <w:bottom w:val="nil"/>
            </w:tcBorders>
            <w:shd w:val="clear" w:color="auto" w:fill="66CCFF"/>
          </w:tcPr>
          <w:p w14:paraId="75F61455" w14:textId="77777777" w:rsidR="00DD3EFA" w:rsidRPr="005A0E7C" w:rsidRDefault="00DD3EFA" w:rsidP="00B15ECB">
            <w:pPr>
              <w:rPr>
                <w:b/>
              </w:rPr>
            </w:pPr>
          </w:p>
        </w:tc>
      </w:tr>
      <w:tr w:rsidR="00DD3EFA" w:rsidRPr="005A0E7C" w14:paraId="2A430694" w14:textId="77777777" w:rsidTr="00B15ECB">
        <w:trPr>
          <w:trHeight w:val="1258"/>
        </w:trPr>
        <w:tc>
          <w:tcPr>
            <w:tcW w:w="249" w:type="dxa"/>
            <w:tcBorders>
              <w:top w:val="nil"/>
              <w:bottom w:val="nil"/>
              <w:right w:val="nil"/>
            </w:tcBorders>
            <w:shd w:val="clear" w:color="auto" w:fill="66CCFF"/>
          </w:tcPr>
          <w:p w14:paraId="7A8B8A4E" w14:textId="77777777" w:rsidR="00DD3EFA" w:rsidRPr="005A0E7C" w:rsidRDefault="00DD3EFA" w:rsidP="00B15ECB">
            <w:pPr>
              <w:rPr>
                <w:b/>
              </w:rPr>
            </w:pPr>
          </w:p>
        </w:tc>
        <w:tc>
          <w:tcPr>
            <w:tcW w:w="2548" w:type="dxa"/>
            <w:shd w:val="clear" w:color="auto" w:fill="FFFFFF" w:themeFill="background1"/>
          </w:tcPr>
          <w:p w14:paraId="5645BFA8" w14:textId="77777777" w:rsidR="00DD3EFA" w:rsidRPr="005A0E7C" w:rsidRDefault="00DD3EFA" w:rsidP="00B15ECB">
            <w:pPr>
              <w:rPr>
                <w:rFonts w:eastAsiaTheme="majorEastAsia"/>
                <w:b/>
              </w:rPr>
            </w:pPr>
            <w:r w:rsidRPr="005A0E7C">
              <w:rPr>
                <w:rFonts w:eastAsiaTheme="majorEastAsia"/>
                <w:b/>
              </w:rPr>
              <w:t>Synergické a multiplikační efekty</w:t>
            </w:r>
          </w:p>
          <w:p w14:paraId="4CD66A78"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58BF60A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Nástroje územního plánování zajišťují ochranu a rozvoj přírodních, kulturních a civilizačních hodnot území, jsou podkladem pro rozhodování o změnách v území, mají tedy zásadní vliv na budoucí podobu území. Na základě těchto dokumentů dochází k transparentnějšímu rozhodování státní správy při rozhodování v území.   </w:t>
            </w:r>
          </w:p>
        </w:tc>
        <w:tc>
          <w:tcPr>
            <w:tcW w:w="249" w:type="dxa"/>
            <w:tcBorders>
              <w:top w:val="nil"/>
              <w:left w:val="nil"/>
              <w:bottom w:val="nil"/>
            </w:tcBorders>
            <w:shd w:val="clear" w:color="auto" w:fill="66CCFF"/>
          </w:tcPr>
          <w:p w14:paraId="40EB9F17" w14:textId="77777777" w:rsidR="00DD3EFA" w:rsidRPr="005A0E7C" w:rsidRDefault="00DD3EFA" w:rsidP="00B15ECB">
            <w:pPr>
              <w:rPr>
                <w:b/>
              </w:rPr>
            </w:pPr>
          </w:p>
        </w:tc>
      </w:tr>
      <w:tr w:rsidR="00DD3EFA" w:rsidRPr="005A0E7C" w14:paraId="3CA5B00E" w14:textId="77777777" w:rsidTr="00B15ECB">
        <w:trPr>
          <w:trHeight w:val="180"/>
        </w:trPr>
        <w:tc>
          <w:tcPr>
            <w:tcW w:w="249" w:type="dxa"/>
            <w:tcBorders>
              <w:top w:val="nil"/>
              <w:bottom w:val="nil"/>
              <w:right w:val="nil"/>
            </w:tcBorders>
            <w:shd w:val="clear" w:color="auto" w:fill="66CCFF"/>
          </w:tcPr>
          <w:p w14:paraId="686031B5"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4D5FD3B4"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0499042" w14:textId="77777777" w:rsidR="00DD3EFA" w:rsidRPr="005A0E7C" w:rsidRDefault="00DD3EFA" w:rsidP="00B15ECB">
            <w:pPr>
              <w:rPr>
                <w:b/>
              </w:rPr>
            </w:pPr>
          </w:p>
        </w:tc>
        <w:tc>
          <w:tcPr>
            <w:tcW w:w="249" w:type="dxa"/>
            <w:tcBorders>
              <w:top w:val="nil"/>
              <w:left w:val="nil"/>
              <w:bottom w:val="nil"/>
            </w:tcBorders>
            <w:shd w:val="clear" w:color="auto" w:fill="66CCFF"/>
          </w:tcPr>
          <w:p w14:paraId="51301515" w14:textId="77777777" w:rsidR="00DD3EFA" w:rsidRPr="005A0E7C" w:rsidRDefault="00DD3EFA" w:rsidP="00B15ECB">
            <w:pPr>
              <w:rPr>
                <w:b/>
              </w:rPr>
            </w:pPr>
          </w:p>
        </w:tc>
      </w:tr>
      <w:tr w:rsidR="00DD3EFA" w:rsidRPr="005A0E7C" w14:paraId="013000B8" w14:textId="77777777" w:rsidTr="00B15ECB">
        <w:trPr>
          <w:trHeight w:val="990"/>
        </w:trPr>
        <w:tc>
          <w:tcPr>
            <w:tcW w:w="249" w:type="dxa"/>
            <w:tcBorders>
              <w:top w:val="nil"/>
              <w:bottom w:val="nil"/>
            </w:tcBorders>
            <w:shd w:val="clear" w:color="auto" w:fill="66CCFF"/>
          </w:tcPr>
          <w:p w14:paraId="3B5FD25E" w14:textId="77777777" w:rsidR="00DD3EFA" w:rsidRPr="005A0E7C" w:rsidRDefault="00DD3EFA" w:rsidP="00B15ECB">
            <w:pPr>
              <w:rPr>
                <w:b/>
              </w:rPr>
            </w:pPr>
          </w:p>
        </w:tc>
        <w:tc>
          <w:tcPr>
            <w:tcW w:w="8526" w:type="dxa"/>
            <w:gridSpan w:val="2"/>
            <w:tcBorders>
              <w:bottom w:val="single" w:sz="4" w:space="0" w:color="auto"/>
            </w:tcBorders>
            <w:shd w:val="clear" w:color="auto" w:fill="FFFFFF" w:themeFill="background1"/>
          </w:tcPr>
          <w:p w14:paraId="66162C59" w14:textId="77777777" w:rsidR="00DD3EFA" w:rsidRPr="005A0E7C" w:rsidRDefault="00DD3EFA" w:rsidP="00B15ECB">
            <w:pPr>
              <w:spacing w:before="60" w:after="60"/>
              <w:rPr>
                <w:rFonts w:eastAsiaTheme="majorEastAsia"/>
                <w:i/>
                <w:u w:val="single"/>
              </w:rPr>
            </w:pPr>
            <w:r w:rsidRPr="005A0E7C">
              <w:rPr>
                <w:rFonts w:eastAsiaTheme="majorEastAsia"/>
                <w:b/>
              </w:rPr>
              <w:t>Absorpční kapacita</w:t>
            </w:r>
            <w:r w:rsidRPr="005A0E7C">
              <w:rPr>
                <w:rFonts w:eastAsiaTheme="majorEastAsia"/>
                <w:i/>
                <w:u w:val="single"/>
              </w:rPr>
              <w:t xml:space="preserve"> </w:t>
            </w:r>
          </w:p>
          <w:p w14:paraId="7BB0481E"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34CB956B" w14:textId="77777777" w:rsidR="00DD3EFA" w:rsidRPr="005A0E7C" w:rsidRDefault="00DD3EFA" w:rsidP="00B15ECB">
            <w:pPr>
              <w:rPr>
                <w:b/>
              </w:rPr>
            </w:pPr>
          </w:p>
        </w:tc>
      </w:tr>
      <w:tr w:rsidR="00DD3EFA" w:rsidRPr="005A0E7C" w14:paraId="09FBE0C4" w14:textId="77777777" w:rsidTr="00B15ECB">
        <w:trPr>
          <w:trHeight w:val="1260"/>
        </w:trPr>
        <w:tc>
          <w:tcPr>
            <w:tcW w:w="249" w:type="dxa"/>
            <w:tcBorders>
              <w:top w:val="nil"/>
              <w:bottom w:val="nil"/>
            </w:tcBorders>
            <w:shd w:val="clear" w:color="auto" w:fill="66CCFF"/>
          </w:tcPr>
          <w:p w14:paraId="299833F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F0E492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7219018B" w14:textId="77777777" w:rsidR="00DD3EFA" w:rsidRPr="005A0E7C" w:rsidRDefault="00DD3EFA" w:rsidP="00B15ECB">
            <w:pPr>
              <w:spacing w:before="60" w:after="60"/>
              <w:rPr>
                <w:rFonts w:eastAsiaTheme="majorEastAsia"/>
              </w:rPr>
            </w:pPr>
            <w:r w:rsidRPr="005A0E7C">
              <w:rPr>
                <w:rFonts w:eastAsiaTheme="majorEastAsia"/>
              </w:rPr>
              <w:t>Z IOP byly realizovány projekty na podporu územně analytických podkladů (z 205 ORP využilo tuto možnost 170 obcí, v rámci krajů využilo tuto možnost ze 14 krajů 9) a územních plánů.</w:t>
            </w:r>
          </w:p>
          <w:p w14:paraId="445D25A3" w14:textId="77777777" w:rsidR="00DD3EFA" w:rsidRPr="005A0E7C" w:rsidRDefault="00DD3EFA" w:rsidP="00B15ECB">
            <w:pPr>
              <w:spacing w:before="60" w:after="60"/>
              <w:rPr>
                <w:rFonts w:eastAsiaTheme="majorEastAsia"/>
                <w:i/>
              </w:rPr>
            </w:pPr>
            <w:r w:rsidRPr="005A0E7C">
              <w:rPr>
                <w:rFonts w:eastAsiaTheme="majorEastAsia"/>
              </w:rPr>
              <w:t xml:space="preserve">V minulém programovém období v rámci IROP byli u SC 3.3 příjemci jen obce s rozšířenou působností, přestože původně byli navrhováni jako příjemci obce i kraje. Vzhledem k omezení příjemců pouze na ORP, byla alokace u některých podporovaných aktivit čerpána méně, neboť většina obcí s rozšířenou působností např. již měla hotové územní plány. Avšak u podporované aktivity na územní studie zájem předčil možnou alokaci výzvy. </w:t>
            </w:r>
          </w:p>
        </w:tc>
        <w:tc>
          <w:tcPr>
            <w:tcW w:w="249" w:type="dxa"/>
            <w:tcBorders>
              <w:top w:val="nil"/>
              <w:bottom w:val="nil"/>
            </w:tcBorders>
            <w:shd w:val="clear" w:color="auto" w:fill="66CCFF"/>
          </w:tcPr>
          <w:p w14:paraId="4479A6AC" w14:textId="77777777" w:rsidR="00DD3EFA" w:rsidRPr="005A0E7C" w:rsidRDefault="00DD3EFA" w:rsidP="00B15ECB">
            <w:pPr>
              <w:rPr>
                <w:b/>
              </w:rPr>
            </w:pPr>
          </w:p>
        </w:tc>
      </w:tr>
      <w:tr w:rsidR="00DD3EFA" w:rsidRPr="005A0E7C" w14:paraId="4C911422" w14:textId="77777777" w:rsidTr="00B15ECB">
        <w:trPr>
          <w:trHeight w:val="850"/>
        </w:trPr>
        <w:tc>
          <w:tcPr>
            <w:tcW w:w="249" w:type="dxa"/>
            <w:tcBorders>
              <w:top w:val="nil"/>
              <w:bottom w:val="nil"/>
            </w:tcBorders>
            <w:shd w:val="clear" w:color="auto" w:fill="66CCFF"/>
          </w:tcPr>
          <w:p w14:paraId="1EEA6F3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2BA14D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57BE0685" w14:textId="77777777" w:rsidR="00DD3EFA" w:rsidRPr="005A0E7C" w:rsidRDefault="00DD3EFA" w:rsidP="00B15ECB">
            <w:pPr>
              <w:spacing w:before="60" w:after="60"/>
              <w:rPr>
                <w:rFonts w:eastAsiaTheme="majorEastAsia"/>
              </w:rPr>
            </w:pPr>
            <w:r w:rsidRPr="005A0E7C">
              <w:rPr>
                <w:rFonts w:eastAsiaTheme="majorEastAsia"/>
              </w:rPr>
              <w:t xml:space="preserve">V rámci elektronizace výkonu stavebních agend se předpokládá poptávka ze strany všech úřadů, které zajišťují výkon agend stavebního práva (mělo by se jednat o datově propojený systém, který zajistí oprávněným osobám přístup ke všem potřebným dokumentům a datům). </w:t>
            </w:r>
          </w:p>
          <w:p w14:paraId="300CFFAC" w14:textId="77777777" w:rsidR="00DD3EFA" w:rsidRPr="005A0E7C" w:rsidRDefault="00DD3EFA" w:rsidP="00B15ECB">
            <w:pPr>
              <w:spacing w:before="60" w:after="60"/>
              <w:rPr>
                <w:rFonts w:eastAsiaTheme="majorEastAsia"/>
              </w:rPr>
            </w:pPr>
            <w:r w:rsidRPr="005A0E7C">
              <w:rPr>
                <w:rFonts w:eastAsiaTheme="majorEastAsia"/>
              </w:rPr>
              <w:t>Standardizace výstupů územního plánování je logickým vyústěním v rámci digitalizace veřejné správy. Poptávka je očekávána u všech potenciálních příjemců (zejména příslušných orgánů územního plánování).</w:t>
            </w:r>
          </w:p>
          <w:p w14:paraId="7DB93DC6"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4683E265" w14:textId="77777777" w:rsidR="00DD3EFA" w:rsidRPr="005A0E7C" w:rsidRDefault="00DD3EFA" w:rsidP="00B15ECB">
            <w:pPr>
              <w:rPr>
                <w:b/>
              </w:rPr>
            </w:pPr>
          </w:p>
        </w:tc>
      </w:tr>
      <w:tr w:rsidR="00DD3EFA" w:rsidRPr="005A0E7C" w14:paraId="3DA906CA" w14:textId="77777777" w:rsidTr="00B15ECB">
        <w:trPr>
          <w:trHeight w:val="925"/>
        </w:trPr>
        <w:tc>
          <w:tcPr>
            <w:tcW w:w="249" w:type="dxa"/>
            <w:tcBorders>
              <w:top w:val="nil"/>
              <w:bottom w:val="nil"/>
            </w:tcBorders>
            <w:shd w:val="clear" w:color="auto" w:fill="66CCFF"/>
          </w:tcPr>
          <w:p w14:paraId="74BE353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00C692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372AE5D8" w14:textId="77777777" w:rsidR="00DD3EFA" w:rsidRPr="005A0E7C" w:rsidRDefault="00DD3EFA" w:rsidP="00B15ECB">
            <w:pPr>
              <w:spacing w:before="60" w:after="60"/>
              <w:rPr>
                <w:rFonts w:eastAsiaTheme="majorEastAsia"/>
              </w:rPr>
            </w:pPr>
            <w:r w:rsidRPr="005A0E7C">
              <w:rPr>
                <w:rFonts w:eastAsiaTheme="majorEastAsia"/>
              </w:rPr>
              <w:t>Příprava projektových záměrů se v tuto chvíli neprovádí, avšak přípravu a samotnou realizace lze časově zvládnout v rámci jednoho programového období. Výběr zpracovatelů pro digitalizaci dokumentů a dodavatelů pro programové a technické vybavení nepožaduje významnou časovou přípravu.</w:t>
            </w:r>
          </w:p>
          <w:p w14:paraId="03C05FCC"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0627BDCD" w14:textId="77777777" w:rsidR="00DD3EFA" w:rsidRPr="005A0E7C" w:rsidRDefault="00DD3EFA" w:rsidP="00B15ECB">
            <w:pPr>
              <w:rPr>
                <w:b/>
              </w:rPr>
            </w:pPr>
          </w:p>
        </w:tc>
      </w:tr>
      <w:tr w:rsidR="00DD3EFA" w:rsidRPr="005A0E7C" w14:paraId="6FD531AD" w14:textId="77777777" w:rsidTr="00B15ECB">
        <w:trPr>
          <w:trHeight w:val="1001"/>
        </w:trPr>
        <w:tc>
          <w:tcPr>
            <w:tcW w:w="249" w:type="dxa"/>
            <w:tcBorders>
              <w:top w:val="nil"/>
              <w:bottom w:val="nil"/>
            </w:tcBorders>
            <w:shd w:val="clear" w:color="auto" w:fill="66CCFF"/>
          </w:tcPr>
          <w:p w14:paraId="1876386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A5E3956"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5BCA4606" w14:textId="77777777" w:rsidR="00DD3EFA" w:rsidRPr="005A0E7C" w:rsidRDefault="00DD3EFA" w:rsidP="00B15ECB">
            <w:pPr>
              <w:spacing w:before="60" w:after="60"/>
              <w:rPr>
                <w:rFonts w:eastAsiaTheme="majorEastAsia"/>
              </w:rPr>
            </w:pPr>
            <w:r w:rsidRPr="005A0E7C">
              <w:rPr>
                <w:rFonts w:eastAsiaTheme="majorEastAsia"/>
              </w:rPr>
              <w:t>Elektronizace výkonu stavebních agend bude vyžadovat významné legislativní úpravy v rámci veřejného stavebního práva.</w:t>
            </w:r>
          </w:p>
          <w:p w14:paraId="79ED2D57" w14:textId="77777777" w:rsidR="00DD3EFA" w:rsidRPr="005A0E7C" w:rsidRDefault="00DD3EFA" w:rsidP="00B15ECB">
            <w:pPr>
              <w:spacing w:before="60" w:after="60"/>
              <w:rPr>
                <w:rFonts w:eastAsiaTheme="majorEastAsia"/>
              </w:rPr>
            </w:pPr>
            <w:r w:rsidRPr="005A0E7C">
              <w:rPr>
                <w:rFonts w:eastAsiaTheme="majorEastAsia"/>
              </w:rPr>
              <w:t xml:space="preserve">Standardizace výstupů územních plánů bude vyžadovat nezbytně součinnost obcí, které o pořízení a vydání této dokumentace rozhodují. </w:t>
            </w:r>
          </w:p>
          <w:p w14:paraId="1AF168A8" w14:textId="77777777" w:rsidR="00DD3EFA" w:rsidRPr="005A0E7C" w:rsidRDefault="00DD3EFA" w:rsidP="00B15ECB">
            <w:pPr>
              <w:spacing w:before="60" w:after="60"/>
              <w:rPr>
                <w:rFonts w:eastAsiaTheme="majorEastAsia"/>
              </w:rPr>
            </w:pPr>
            <w:r w:rsidRPr="005A0E7C">
              <w:rPr>
                <w:rFonts w:eastAsiaTheme="majorEastAsia"/>
              </w:rPr>
              <w:t xml:space="preserve">V současné době bude vláda projednávat novelu stavebního zákona, která řeší částečně agendu elektronizace a standardizace, zároveň je problematika komplexně řešena v rámci připravované rekodifikace veřejného stavebního práva. </w:t>
            </w:r>
          </w:p>
          <w:p w14:paraId="3A48A6DC" w14:textId="77777777" w:rsidR="00DD3EFA" w:rsidRPr="005A0E7C" w:rsidRDefault="00DD3EFA" w:rsidP="00B15ECB">
            <w:pPr>
              <w:spacing w:before="60" w:after="60"/>
              <w:rPr>
                <w:rFonts w:eastAsiaTheme="majorEastAsia"/>
              </w:rPr>
            </w:pPr>
            <w:r w:rsidRPr="005A0E7C">
              <w:rPr>
                <w:rFonts w:eastAsiaTheme="majorEastAsia"/>
              </w:rPr>
              <w:t xml:space="preserve">V rámci novely stavebního zákona resp. v rámci rekodifikace veřejného stavebního práva bude ukotvena povinnost zpracovávat vybrané výstupy územního plánování ve standardizované podobě pro potřeby národního geoportálu územního plánování, tím by mělo dojít k významné pozitivní motivaci obcí a dalších příslušných subjektů se do projektu standardizace zapojit.  </w:t>
            </w:r>
          </w:p>
          <w:p w14:paraId="103617BF"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0639BB5A" w14:textId="77777777" w:rsidR="00DD3EFA" w:rsidRPr="005A0E7C" w:rsidRDefault="00DD3EFA" w:rsidP="00B15ECB">
            <w:pPr>
              <w:rPr>
                <w:b/>
              </w:rPr>
            </w:pPr>
          </w:p>
        </w:tc>
      </w:tr>
      <w:tr w:rsidR="00DD3EFA" w:rsidRPr="005A0E7C" w14:paraId="226CFEE9"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60DFACB6"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FF1AD7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5997969"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1BD3ABA8" w14:textId="77777777" w:rsidR="00DD3EFA" w:rsidRPr="005A0E7C" w:rsidRDefault="00DD3EFA" w:rsidP="00B15ECB">
            <w:pPr>
              <w:rPr>
                <w:b/>
              </w:rPr>
            </w:pPr>
          </w:p>
        </w:tc>
      </w:tr>
      <w:tr w:rsidR="00DD3EFA" w:rsidRPr="005A0E7C" w14:paraId="3111E11B" w14:textId="77777777" w:rsidTr="00B15ECB">
        <w:trPr>
          <w:trHeight w:val="1559"/>
        </w:trPr>
        <w:tc>
          <w:tcPr>
            <w:tcW w:w="249" w:type="dxa"/>
            <w:tcBorders>
              <w:top w:val="single" w:sz="4" w:space="0" w:color="auto"/>
              <w:bottom w:val="nil"/>
            </w:tcBorders>
            <w:shd w:val="clear" w:color="auto" w:fill="66CCFF"/>
          </w:tcPr>
          <w:p w14:paraId="4A7BF0EF" w14:textId="77777777" w:rsidR="00DD3EFA" w:rsidRPr="005A0E7C" w:rsidRDefault="00DD3EFA" w:rsidP="00B15ECB">
            <w:pPr>
              <w:rPr>
                <w:b/>
              </w:rPr>
            </w:pPr>
          </w:p>
        </w:tc>
        <w:tc>
          <w:tcPr>
            <w:tcW w:w="8526" w:type="dxa"/>
            <w:gridSpan w:val="2"/>
            <w:tcBorders>
              <w:top w:val="single" w:sz="4" w:space="0" w:color="auto"/>
            </w:tcBorders>
            <w:shd w:val="clear" w:color="auto" w:fill="FFFFFF" w:themeFill="background1"/>
          </w:tcPr>
          <w:p w14:paraId="0FD6D4D2" w14:textId="77777777" w:rsidR="00DD3EFA" w:rsidRPr="005A0E7C" w:rsidRDefault="00DD3EFA" w:rsidP="00B15ECB">
            <w:pPr>
              <w:spacing w:before="60" w:after="60"/>
              <w:rPr>
                <w:rFonts w:eastAsiaTheme="majorEastAsia"/>
                <w:b/>
              </w:rPr>
            </w:pPr>
            <w:r w:rsidRPr="005A0E7C">
              <w:rPr>
                <w:rFonts w:eastAsiaTheme="majorEastAsia"/>
                <w:b/>
              </w:rPr>
              <w:t>Alternativní zdroje</w:t>
            </w:r>
          </w:p>
          <w:p w14:paraId="3FAF4784"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42577AE1" w14:textId="77777777" w:rsidR="00DD3EFA" w:rsidRPr="005A0E7C" w:rsidRDefault="00DD3EFA" w:rsidP="00B15ECB">
            <w:pPr>
              <w:rPr>
                <w:b/>
              </w:rPr>
            </w:pPr>
          </w:p>
        </w:tc>
      </w:tr>
      <w:tr w:rsidR="00DD3EFA" w:rsidRPr="005A0E7C" w14:paraId="4DB1BC9A" w14:textId="77777777" w:rsidTr="00B15ECB">
        <w:trPr>
          <w:trHeight w:val="1968"/>
        </w:trPr>
        <w:tc>
          <w:tcPr>
            <w:tcW w:w="249" w:type="dxa"/>
            <w:tcBorders>
              <w:top w:val="nil"/>
              <w:bottom w:val="nil"/>
            </w:tcBorders>
            <w:shd w:val="clear" w:color="auto" w:fill="66CCFF"/>
          </w:tcPr>
          <w:p w14:paraId="15F59AB5" w14:textId="77777777" w:rsidR="00DD3EFA" w:rsidRPr="005A0E7C" w:rsidRDefault="00DD3EFA" w:rsidP="00B15ECB">
            <w:pPr>
              <w:rPr>
                <w:b/>
              </w:rPr>
            </w:pPr>
          </w:p>
        </w:tc>
        <w:tc>
          <w:tcPr>
            <w:tcW w:w="2548" w:type="dxa"/>
            <w:tcBorders>
              <w:top w:val="nil"/>
            </w:tcBorders>
            <w:shd w:val="clear" w:color="auto" w:fill="FFFFFF" w:themeFill="background1"/>
          </w:tcPr>
          <w:p w14:paraId="0A3CD9B0" w14:textId="77777777" w:rsidR="00DD3EFA" w:rsidRPr="005A0E7C" w:rsidRDefault="00DD3EFA" w:rsidP="00B15ECB">
            <w:pPr>
              <w:spacing w:before="60" w:after="6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5B77F6CC" w14:textId="77777777" w:rsidR="00DD3EFA" w:rsidRPr="005A0E7C" w:rsidRDefault="00DD3EFA" w:rsidP="00B15ECB">
            <w:pPr>
              <w:spacing w:before="60" w:after="60"/>
              <w:rPr>
                <w:rFonts w:eastAsiaTheme="majorEastAsia"/>
              </w:rPr>
            </w:pPr>
            <w:r w:rsidRPr="005A0E7C">
              <w:rPr>
                <w:rFonts w:eastAsiaTheme="majorEastAsia"/>
              </w:rPr>
              <w:t xml:space="preserve">Program pro podporu strukturálních reforem – tento program bude využit v roce 2019 na projekt Analýza a doporučení pro rekodifikaci veřejného stavebného práva v oblasti územního plánování tak, aby byly v dostatečném předstihu zajištěny všechny potřebné legislativní úpravy ve vazbě na plánovanou digitalizaci územního plánování. Program nezahrnuje podporu standardizace výstupů územního plánování, tedy vznik potřebné datové základny. </w:t>
            </w:r>
          </w:p>
          <w:p w14:paraId="2443E35A" w14:textId="77777777" w:rsidR="00DD3EFA" w:rsidRPr="005A0E7C" w:rsidRDefault="00DD3EFA" w:rsidP="00B15ECB">
            <w:pPr>
              <w:spacing w:before="60" w:after="60"/>
              <w:rPr>
                <w:rFonts w:eastAsiaTheme="majorEastAsia"/>
              </w:rPr>
            </w:pPr>
            <w:r w:rsidRPr="005A0E7C">
              <w:rPr>
                <w:rFonts w:eastAsiaTheme="majorEastAsia"/>
              </w:rPr>
              <w:t>Digitální Evropa – mezi hlavní témata patří vysoce výkonná výpočetní technika, umělá inteligence, kybernetická bezpečnost a pokročilé digitální dovednosti, v tomto smyslu je potenciál tohoto programu ve vazbě na elektronizaci výkonu stavební agendy a standardizaci územního plánování omezený.</w:t>
            </w:r>
          </w:p>
        </w:tc>
        <w:tc>
          <w:tcPr>
            <w:tcW w:w="249" w:type="dxa"/>
            <w:tcBorders>
              <w:top w:val="nil"/>
              <w:bottom w:val="nil"/>
            </w:tcBorders>
            <w:shd w:val="clear" w:color="auto" w:fill="66CCFF"/>
          </w:tcPr>
          <w:p w14:paraId="5B75B51B" w14:textId="77777777" w:rsidR="00DD3EFA" w:rsidRPr="005A0E7C" w:rsidRDefault="00DD3EFA" w:rsidP="00B15ECB">
            <w:pPr>
              <w:rPr>
                <w:b/>
              </w:rPr>
            </w:pPr>
          </w:p>
        </w:tc>
      </w:tr>
      <w:tr w:rsidR="00DD3EFA" w:rsidRPr="005A0E7C" w14:paraId="54911BB6" w14:textId="77777777" w:rsidTr="00B15ECB">
        <w:trPr>
          <w:trHeight w:val="1471"/>
        </w:trPr>
        <w:tc>
          <w:tcPr>
            <w:tcW w:w="249" w:type="dxa"/>
            <w:tcBorders>
              <w:top w:val="nil"/>
              <w:bottom w:val="nil"/>
            </w:tcBorders>
            <w:shd w:val="clear" w:color="auto" w:fill="66CCFF"/>
          </w:tcPr>
          <w:p w14:paraId="369D3A16" w14:textId="77777777" w:rsidR="00DD3EFA" w:rsidRPr="005A0E7C" w:rsidRDefault="00DD3EFA" w:rsidP="00B15ECB">
            <w:pPr>
              <w:rPr>
                <w:b/>
              </w:rPr>
            </w:pPr>
          </w:p>
        </w:tc>
        <w:tc>
          <w:tcPr>
            <w:tcW w:w="2548" w:type="dxa"/>
            <w:tcBorders>
              <w:top w:val="nil"/>
            </w:tcBorders>
            <w:shd w:val="clear" w:color="auto" w:fill="FFFFFF" w:themeFill="background1"/>
          </w:tcPr>
          <w:p w14:paraId="48CA252D" w14:textId="77777777" w:rsidR="00DD3EFA" w:rsidRPr="005A0E7C" w:rsidRDefault="00DD3EFA" w:rsidP="00B15ECB">
            <w:pPr>
              <w:spacing w:before="60" w:after="6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0E00F842" w14:textId="77777777" w:rsidR="00DD3EFA" w:rsidRPr="005A0E7C" w:rsidRDefault="00DD3EFA" w:rsidP="00B15ECB">
            <w:pPr>
              <w:spacing w:before="60" w:after="60"/>
              <w:rPr>
                <w:rFonts w:eastAsiaTheme="majorEastAsia"/>
              </w:rPr>
            </w:pPr>
            <w:r w:rsidRPr="005A0E7C">
              <w:rPr>
                <w:rFonts w:eastAsiaTheme="majorEastAsia"/>
              </w:rPr>
              <w:t xml:space="preserve">Výkon agend stavebního práva je primárně řešen ze státního rozpočtu, elektronizace a digitalizace celého systému si však vyžádá zvýšené jednorázové náklady, které v případě financování pouze ze státního rozpočtu bude nezbytně nutné rozložit do velmi dlouhého časového období, což by způsobilo další zaostávání České republiky za digitálně se rozvíjející Evropskou unii. Pokud se podaří systémy vytvořit, údržba systému bude již následně plně financována ze státního rozpočtu. </w:t>
            </w:r>
          </w:p>
          <w:p w14:paraId="5640A556" w14:textId="77777777" w:rsidR="00DD3EFA" w:rsidRPr="005A0E7C" w:rsidRDefault="00DD3EFA" w:rsidP="00B15ECB">
            <w:pPr>
              <w:spacing w:before="60" w:after="60"/>
              <w:rPr>
                <w:rFonts w:eastAsiaTheme="majorEastAsia"/>
              </w:rPr>
            </w:pPr>
            <w:r w:rsidRPr="005A0E7C">
              <w:rPr>
                <w:rFonts w:eastAsiaTheme="majorEastAsia"/>
              </w:rPr>
              <w:t xml:space="preserve">Existující národní program 117D05 Podpora územně plánovacích činností obcí primárně podporuje zpracování územních plánů malých obcí. Vzhledem k nízké alokaci programu 20 mil. Kč/rok nelze předpokládat zajištění širokého pokrytí území dokumentací v jednotném standardu v potřebné době. </w:t>
            </w:r>
          </w:p>
        </w:tc>
        <w:tc>
          <w:tcPr>
            <w:tcW w:w="249" w:type="dxa"/>
            <w:tcBorders>
              <w:top w:val="nil"/>
              <w:bottom w:val="nil"/>
            </w:tcBorders>
            <w:shd w:val="clear" w:color="auto" w:fill="66CCFF"/>
          </w:tcPr>
          <w:p w14:paraId="0913B846" w14:textId="77777777" w:rsidR="00DD3EFA" w:rsidRPr="005A0E7C" w:rsidRDefault="00DD3EFA" w:rsidP="00B15ECB">
            <w:pPr>
              <w:rPr>
                <w:b/>
              </w:rPr>
            </w:pPr>
          </w:p>
        </w:tc>
      </w:tr>
      <w:tr w:rsidR="00DD3EFA" w:rsidRPr="005A0E7C" w14:paraId="1C1F2D4E" w14:textId="77777777" w:rsidTr="00B15ECB">
        <w:trPr>
          <w:trHeight w:val="1252"/>
        </w:trPr>
        <w:tc>
          <w:tcPr>
            <w:tcW w:w="249" w:type="dxa"/>
            <w:tcBorders>
              <w:top w:val="nil"/>
              <w:bottom w:val="nil"/>
            </w:tcBorders>
            <w:shd w:val="clear" w:color="auto" w:fill="66CCFF"/>
          </w:tcPr>
          <w:p w14:paraId="5DE0FD7E" w14:textId="77777777" w:rsidR="00DD3EFA" w:rsidRPr="005A0E7C" w:rsidRDefault="00DD3EFA" w:rsidP="00B15ECB">
            <w:pPr>
              <w:rPr>
                <w:b/>
              </w:rPr>
            </w:pPr>
          </w:p>
        </w:tc>
        <w:tc>
          <w:tcPr>
            <w:tcW w:w="2548" w:type="dxa"/>
            <w:tcBorders>
              <w:top w:val="nil"/>
            </w:tcBorders>
            <w:shd w:val="clear" w:color="auto" w:fill="FFFFFF" w:themeFill="background1"/>
          </w:tcPr>
          <w:p w14:paraId="1B69A597" w14:textId="77777777" w:rsidR="00DD3EFA" w:rsidRPr="005A0E7C" w:rsidRDefault="00DD3EFA" w:rsidP="00B15ECB">
            <w:pPr>
              <w:spacing w:before="60" w:after="60"/>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3F024B07" w14:textId="77777777" w:rsidR="00DD3EFA" w:rsidRPr="005A0E7C" w:rsidRDefault="00DD3EFA" w:rsidP="00B15ECB">
            <w:pPr>
              <w:spacing w:before="60" w:after="60"/>
              <w:rPr>
                <w:rFonts w:eastAsiaTheme="majorEastAsia"/>
                <w:i/>
              </w:rPr>
            </w:pPr>
            <w:r w:rsidRPr="005A0E7C">
              <w:rPr>
                <w:rFonts w:eastAsiaTheme="majorEastAsia"/>
              </w:rPr>
              <w:t>Nepředpokládá se, jedná se o výstupy činnosti veřejné správy.</w:t>
            </w:r>
          </w:p>
        </w:tc>
        <w:tc>
          <w:tcPr>
            <w:tcW w:w="249" w:type="dxa"/>
            <w:tcBorders>
              <w:top w:val="nil"/>
              <w:bottom w:val="nil"/>
            </w:tcBorders>
            <w:shd w:val="clear" w:color="auto" w:fill="66CCFF"/>
          </w:tcPr>
          <w:p w14:paraId="560515B9" w14:textId="77777777" w:rsidR="00DD3EFA" w:rsidRPr="005A0E7C" w:rsidRDefault="00DD3EFA" w:rsidP="00B15ECB">
            <w:pPr>
              <w:rPr>
                <w:b/>
              </w:rPr>
            </w:pPr>
          </w:p>
        </w:tc>
      </w:tr>
      <w:tr w:rsidR="00DD3EFA" w:rsidRPr="005A0E7C" w14:paraId="36F2D86D" w14:textId="77777777" w:rsidTr="00B15ECB">
        <w:trPr>
          <w:trHeight w:val="567"/>
        </w:trPr>
        <w:tc>
          <w:tcPr>
            <w:tcW w:w="249" w:type="dxa"/>
            <w:tcBorders>
              <w:top w:val="nil"/>
              <w:bottom w:val="nil"/>
            </w:tcBorders>
            <w:shd w:val="clear" w:color="auto" w:fill="66CCFF"/>
          </w:tcPr>
          <w:p w14:paraId="7319CDAB" w14:textId="77777777" w:rsidR="00DD3EFA" w:rsidRPr="005A0E7C" w:rsidRDefault="00DD3EFA" w:rsidP="00B15ECB">
            <w:pPr>
              <w:rPr>
                <w:b/>
              </w:rPr>
            </w:pPr>
          </w:p>
        </w:tc>
        <w:tc>
          <w:tcPr>
            <w:tcW w:w="2548" w:type="dxa"/>
            <w:tcBorders>
              <w:top w:val="nil"/>
            </w:tcBorders>
            <w:shd w:val="clear" w:color="auto" w:fill="FFFFFF" w:themeFill="background1"/>
          </w:tcPr>
          <w:p w14:paraId="3FF40C23" w14:textId="77777777" w:rsidR="00DD3EFA" w:rsidRPr="005A0E7C" w:rsidRDefault="00DD3EFA" w:rsidP="00B15ECB">
            <w:pPr>
              <w:spacing w:before="60" w:after="60"/>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10826DAA"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76B5C927" w14:textId="77777777" w:rsidR="00DD3EFA" w:rsidRPr="005A0E7C" w:rsidRDefault="00DD3EFA" w:rsidP="00B15ECB">
            <w:pPr>
              <w:rPr>
                <w:b/>
              </w:rPr>
            </w:pPr>
          </w:p>
        </w:tc>
      </w:tr>
      <w:tr w:rsidR="00DD3EFA" w:rsidRPr="005A0E7C" w14:paraId="089A4180" w14:textId="77777777" w:rsidTr="00B15ECB">
        <w:trPr>
          <w:trHeight w:val="150"/>
        </w:trPr>
        <w:tc>
          <w:tcPr>
            <w:tcW w:w="249" w:type="dxa"/>
            <w:tcBorders>
              <w:top w:val="nil"/>
              <w:right w:val="nil"/>
            </w:tcBorders>
            <w:shd w:val="clear" w:color="auto" w:fill="66CCFF"/>
          </w:tcPr>
          <w:p w14:paraId="1D659FCC" w14:textId="77777777" w:rsidR="00DD3EFA" w:rsidRPr="005A0E7C" w:rsidRDefault="00DD3EFA" w:rsidP="00B15ECB">
            <w:pPr>
              <w:rPr>
                <w:b/>
              </w:rPr>
            </w:pPr>
          </w:p>
        </w:tc>
        <w:tc>
          <w:tcPr>
            <w:tcW w:w="2548" w:type="dxa"/>
            <w:tcBorders>
              <w:left w:val="nil"/>
              <w:right w:val="nil"/>
            </w:tcBorders>
            <w:shd w:val="clear" w:color="auto" w:fill="66CCFF"/>
          </w:tcPr>
          <w:p w14:paraId="5EB0128D" w14:textId="77777777" w:rsidR="00DD3EFA" w:rsidRPr="005A0E7C" w:rsidRDefault="00DD3EFA" w:rsidP="00B15ECB">
            <w:pPr>
              <w:rPr>
                <w:b/>
              </w:rPr>
            </w:pPr>
          </w:p>
        </w:tc>
        <w:tc>
          <w:tcPr>
            <w:tcW w:w="5978" w:type="dxa"/>
            <w:tcBorders>
              <w:left w:val="nil"/>
              <w:right w:val="nil"/>
            </w:tcBorders>
            <w:shd w:val="clear" w:color="auto" w:fill="66CCFF"/>
          </w:tcPr>
          <w:p w14:paraId="23C482F7" w14:textId="77777777" w:rsidR="00DD3EFA" w:rsidRPr="005A0E7C" w:rsidRDefault="00DD3EFA" w:rsidP="00B15ECB">
            <w:pPr>
              <w:rPr>
                <w:b/>
              </w:rPr>
            </w:pPr>
          </w:p>
        </w:tc>
        <w:tc>
          <w:tcPr>
            <w:tcW w:w="249" w:type="dxa"/>
            <w:tcBorders>
              <w:top w:val="nil"/>
              <w:left w:val="nil"/>
            </w:tcBorders>
            <w:shd w:val="clear" w:color="auto" w:fill="66CCFF"/>
          </w:tcPr>
          <w:p w14:paraId="44E10C1B" w14:textId="77777777" w:rsidR="00DD3EFA" w:rsidRPr="005A0E7C" w:rsidRDefault="00DD3EFA" w:rsidP="00B15ECB">
            <w:pPr>
              <w:rPr>
                <w:b/>
              </w:rPr>
            </w:pPr>
          </w:p>
        </w:tc>
      </w:tr>
    </w:tbl>
    <w:p w14:paraId="20CF8F3D" w14:textId="77777777" w:rsidR="00DD3EFA" w:rsidRPr="005A0E7C" w:rsidRDefault="00DD3EFA" w:rsidP="00B15ECB">
      <w:pPr>
        <w:rPr>
          <w:rFonts w:ascii="Times New Roman" w:hAnsi="Times New Roman" w:cs="Times New Roman"/>
          <w:sz w:val="20"/>
          <w:szCs w:val="20"/>
        </w:rPr>
      </w:pPr>
    </w:p>
    <w:p w14:paraId="55B6D26D" w14:textId="77777777" w:rsidR="00DD3EFA" w:rsidRPr="005A0E7C" w:rsidRDefault="00DD3EFA" w:rsidP="00B15ECB">
      <w:pPr>
        <w:rPr>
          <w:rFonts w:ascii="Times New Roman" w:hAnsi="Times New Roman" w:cs="Times New Roman"/>
          <w:sz w:val="20"/>
          <w:szCs w:val="20"/>
        </w:rPr>
      </w:pPr>
    </w:p>
    <w:p w14:paraId="61B3936F" w14:textId="77777777" w:rsidR="00DD3EFA" w:rsidRPr="005A0E7C" w:rsidRDefault="00DD3EFA" w:rsidP="00B15ECB">
      <w:pPr>
        <w:rPr>
          <w:rFonts w:ascii="Times New Roman" w:hAnsi="Times New Roman" w:cs="Times New Roman"/>
          <w:sz w:val="20"/>
          <w:szCs w:val="20"/>
        </w:rPr>
      </w:pPr>
    </w:p>
    <w:p w14:paraId="412C027C" w14:textId="77777777" w:rsidR="00DD3EFA" w:rsidRPr="005A0E7C" w:rsidRDefault="00DD3EFA" w:rsidP="00B15ECB">
      <w:pPr>
        <w:rPr>
          <w:rFonts w:ascii="Times New Roman" w:hAnsi="Times New Roman" w:cs="Times New Roman"/>
          <w:sz w:val="20"/>
          <w:szCs w:val="20"/>
        </w:rPr>
      </w:pPr>
    </w:p>
    <w:p w14:paraId="50681DDF" w14:textId="77777777" w:rsidR="00DD3EFA" w:rsidRPr="005A0E7C" w:rsidRDefault="00DD3EFA" w:rsidP="00B15ECB">
      <w:pPr>
        <w:spacing w:after="0"/>
        <w:contextualSpacing/>
        <w:rPr>
          <w:rFonts w:ascii="Times New Roman" w:hAnsi="Times New Roman" w:cs="Times New Roman"/>
          <w:color w:val="000000" w:themeColor="text1"/>
          <w:sz w:val="20"/>
          <w:szCs w:val="20"/>
        </w:rPr>
      </w:pPr>
    </w:p>
    <w:p w14:paraId="454ED126" w14:textId="77777777" w:rsidR="00DD3EFA" w:rsidRPr="005A0E7C" w:rsidRDefault="00DD3EFA" w:rsidP="00B15ECB">
      <w:pPr>
        <w:pStyle w:val="TextA"/>
        <w:tabs>
          <w:tab w:val="center" w:pos="851"/>
        </w:tabs>
        <w:ind w:left="567"/>
        <w:rPr>
          <w:sz w:val="20"/>
          <w:szCs w:val="20"/>
        </w:rPr>
      </w:pPr>
    </w:p>
    <w:p w14:paraId="7BBA702C" w14:textId="77777777" w:rsidR="00DD3EFA" w:rsidRPr="005A0E7C" w:rsidRDefault="00DD3EFA" w:rsidP="00B15ECB">
      <w:pPr>
        <w:rPr>
          <w:rFonts w:ascii="Times New Roman" w:hAnsi="Times New Roman" w:cs="Times New Roman"/>
          <w:sz w:val="20"/>
          <w:szCs w:val="20"/>
        </w:rPr>
      </w:pPr>
    </w:p>
    <w:p w14:paraId="3A6E523A" w14:textId="77777777" w:rsidR="00DD3EFA" w:rsidRPr="005A0E7C" w:rsidRDefault="00DD3EFA" w:rsidP="00B15ECB">
      <w:pPr>
        <w:rPr>
          <w:rFonts w:ascii="Times New Roman" w:hAnsi="Times New Roman" w:cs="Times New Roman"/>
          <w:sz w:val="20"/>
          <w:szCs w:val="20"/>
        </w:rPr>
      </w:pPr>
    </w:p>
    <w:p w14:paraId="355559DB" w14:textId="77777777" w:rsidR="00DD3EFA" w:rsidRPr="005A0E7C" w:rsidRDefault="00DD3EFA" w:rsidP="00B15ECB">
      <w:pPr>
        <w:rPr>
          <w:rFonts w:ascii="Times New Roman" w:hAnsi="Times New Roman" w:cs="Times New Roman"/>
          <w:sz w:val="20"/>
          <w:szCs w:val="20"/>
        </w:rPr>
      </w:pPr>
    </w:p>
    <w:p w14:paraId="2664F7C8"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p w14:paraId="0A82899A" w14:textId="77777777" w:rsidR="00D762E9" w:rsidRPr="00C107A7" w:rsidRDefault="00D762E9" w:rsidP="00391907">
      <w:pPr>
        <w:pStyle w:val="Nadpis1"/>
        <w:numPr>
          <w:ilvl w:val="0"/>
          <w:numId w:val="1"/>
        </w:numPr>
        <w:rPr>
          <w:rFonts w:ascii="Times New Roman" w:hAnsi="Times New Roman" w:cs="Times New Roman"/>
        </w:rPr>
      </w:pPr>
      <w:bookmarkStart w:id="27" w:name="_Toc9511884"/>
      <w:r w:rsidRPr="00C107A7">
        <w:rPr>
          <w:rFonts w:ascii="Times New Roman" w:hAnsi="Times New Roman" w:cs="Times New Roman"/>
        </w:rPr>
        <w:t>Výzkumný a inovační systém</w:t>
      </w:r>
      <w:bookmarkEnd w:id="27"/>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2EAEA085" w14:textId="77777777" w:rsidTr="00B15ECB">
        <w:trPr>
          <w:trHeight w:val="180"/>
        </w:trPr>
        <w:tc>
          <w:tcPr>
            <w:tcW w:w="249" w:type="dxa"/>
            <w:tcBorders>
              <w:bottom w:val="nil"/>
              <w:right w:val="nil"/>
            </w:tcBorders>
            <w:shd w:val="clear" w:color="auto" w:fill="66CCFF"/>
          </w:tcPr>
          <w:p w14:paraId="4CE59988" w14:textId="77777777" w:rsidR="00DD3EFA" w:rsidRPr="005A0E7C" w:rsidRDefault="00DD3EFA" w:rsidP="00B15ECB">
            <w:pPr>
              <w:rPr>
                <w:b/>
              </w:rPr>
            </w:pPr>
          </w:p>
        </w:tc>
        <w:tc>
          <w:tcPr>
            <w:tcW w:w="2548" w:type="dxa"/>
            <w:tcBorders>
              <w:left w:val="nil"/>
              <w:right w:val="nil"/>
            </w:tcBorders>
            <w:shd w:val="clear" w:color="auto" w:fill="66CCFF"/>
          </w:tcPr>
          <w:p w14:paraId="1F3FE647" w14:textId="77777777" w:rsidR="00DD3EFA" w:rsidRPr="005A0E7C" w:rsidRDefault="00DD3EFA" w:rsidP="00B15ECB">
            <w:pPr>
              <w:rPr>
                <w:b/>
              </w:rPr>
            </w:pPr>
          </w:p>
        </w:tc>
        <w:tc>
          <w:tcPr>
            <w:tcW w:w="5978" w:type="dxa"/>
            <w:tcBorders>
              <w:left w:val="nil"/>
              <w:right w:val="nil"/>
            </w:tcBorders>
            <w:shd w:val="clear" w:color="auto" w:fill="66CCFF"/>
          </w:tcPr>
          <w:p w14:paraId="7171EC89" w14:textId="77777777" w:rsidR="00DD3EFA" w:rsidRPr="005A0E7C" w:rsidRDefault="00DD3EFA" w:rsidP="00B15ECB">
            <w:pPr>
              <w:rPr>
                <w:b/>
              </w:rPr>
            </w:pPr>
          </w:p>
        </w:tc>
        <w:tc>
          <w:tcPr>
            <w:tcW w:w="249" w:type="dxa"/>
            <w:tcBorders>
              <w:left w:val="nil"/>
              <w:bottom w:val="nil"/>
            </w:tcBorders>
            <w:shd w:val="clear" w:color="auto" w:fill="66CCFF"/>
          </w:tcPr>
          <w:p w14:paraId="3A8C2D32" w14:textId="77777777" w:rsidR="00DD3EFA" w:rsidRPr="005A0E7C" w:rsidRDefault="00DD3EFA" w:rsidP="00B15ECB">
            <w:pPr>
              <w:rPr>
                <w:b/>
              </w:rPr>
            </w:pPr>
          </w:p>
        </w:tc>
      </w:tr>
      <w:tr w:rsidR="00DD3EFA" w:rsidRPr="005A0E7C" w14:paraId="458C3DC6" w14:textId="77777777" w:rsidTr="00B15ECB">
        <w:trPr>
          <w:trHeight w:val="561"/>
        </w:trPr>
        <w:tc>
          <w:tcPr>
            <w:tcW w:w="249" w:type="dxa"/>
            <w:tcBorders>
              <w:top w:val="nil"/>
              <w:bottom w:val="nil"/>
            </w:tcBorders>
            <w:shd w:val="clear" w:color="auto" w:fill="66CCFF"/>
          </w:tcPr>
          <w:p w14:paraId="7C50E17C" w14:textId="77777777" w:rsidR="00DD3EFA" w:rsidRPr="005A0E7C" w:rsidRDefault="00DD3EFA" w:rsidP="00B15ECB">
            <w:pPr>
              <w:rPr>
                <w:b/>
              </w:rPr>
            </w:pPr>
          </w:p>
        </w:tc>
        <w:tc>
          <w:tcPr>
            <w:tcW w:w="2548" w:type="dxa"/>
            <w:shd w:val="clear" w:color="auto" w:fill="0070C0"/>
          </w:tcPr>
          <w:p w14:paraId="45E743B7"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w:t>
            </w:r>
            <w:r w:rsidRPr="005A0E7C">
              <w:rPr>
                <w:b/>
                <w:color w:val="FFFFFF" w:themeColor="background1"/>
              </w:rPr>
              <w:t>VÝZKUMNÝ A INOVAČNÍ SYSTÉM zvyšující konkurenceschopnost společnosti v kontextu technologické změny</w:t>
            </w:r>
          </w:p>
        </w:tc>
        <w:tc>
          <w:tcPr>
            <w:tcW w:w="5978" w:type="dxa"/>
            <w:shd w:val="clear" w:color="auto" w:fill="0070C0"/>
          </w:tcPr>
          <w:p w14:paraId="541D8C16"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b/>
                <w:color w:val="FFFFFF" w:themeColor="background1"/>
                <w:u w:val="single"/>
              </w:rPr>
              <w:footnoteReference w:id="39"/>
            </w:r>
            <w:r w:rsidRPr="005A0E7C">
              <w:rPr>
                <w:rFonts w:eastAsiaTheme="majorEastAsia"/>
                <w:b/>
                <w:color w:val="FFFFFF" w:themeColor="background1"/>
                <w:u w:val="single"/>
              </w:rPr>
              <w:t xml:space="preserve">: </w:t>
            </w:r>
          </w:p>
          <w:p w14:paraId="25257968"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ROZVOJ ZÁZEMÍ PRO KVALITNÍ a RELEVANTNÍ VÝZKUM</w:t>
            </w:r>
          </w:p>
        </w:tc>
        <w:tc>
          <w:tcPr>
            <w:tcW w:w="249" w:type="dxa"/>
            <w:tcBorders>
              <w:top w:val="nil"/>
              <w:bottom w:val="nil"/>
            </w:tcBorders>
            <w:shd w:val="clear" w:color="auto" w:fill="66CCFF"/>
          </w:tcPr>
          <w:p w14:paraId="29AF4F91" w14:textId="77777777" w:rsidR="00DD3EFA" w:rsidRPr="005A0E7C" w:rsidRDefault="00DD3EFA" w:rsidP="00B15ECB">
            <w:pPr>
              <w:rPr>
                <w:b/>
              </w:rPr>
            </w:pPr>
          </w:p>
        </w:tc>
      </w:tr>
      <w:tr w:rsidR="00DD3EFA" w:rsidRPr="005A0E7C" w14:paraId="208EE01D" w14:textId="77777777" w:rsidTr="00B15ECB">
        <w:trPr>
          <w:trHeight w:val="180"/>
        </w:trPr>
        <w:tc>
          <w:tcPr>
            <w:tcW w:w="249" w:type="dxa"/>
            <w:tcBorders>
              <w:top w:val="nil"/>
              <w:bottom w:val="nil"/>
              <w:right w:val="nil"/>
            </w:tcBorders>
            <w:shd w:val="clear" w:color="auto" w:fill="66CCFF"/>
          </w:tcPr>
          <w:p w14:paraId="302AB570" w14:textId="77777777" w:rsidR="00DD3EFA" w:rsidRPr="005A0E7C" w:rsidRDefault="00DD3EFA" w:rsidP="00B15ECB">
            <w:pPr>
              <w:rPr>
                <w:b/>
              </w:rPr>
            </w:pPr>
          </w:p>
        </w:tc>
        <w:tc>
          <w:tcPr>
            <w:tcW w:w="2548" w:type="dxa"/>
            <w:tcBorders>
              <w:left w:val="nil"/>
              <w:right w:val="nil"/>
            </w:tcBorders>
            <w:shd w:val="clear" w:color="auto" w:fill="66CCFF"/>
          </w:tcPr>
          <w:p w14:paraId="717F61BA" w14:textId="77777777" w:rsidR="00DD3EFA" w:rsidRPr="005A0E7C" w:rsidRDefault="00DD3EFA" w:rsidP="00B15ECB">
            <w:pPr>
              <w:rPr>
                <w:b/>
              </w:rPr>
            </w:pPr>
          </w:p>
        </w:tc>
        <w:tc>
          <w:tcPr>
            <w:tcW w:w="5978" w:type="dxa"/>
            <w:tcBorders>
              <w:left w:val="nil"/>
              <w:right w:val="nil"/>
            </w:tcBorders>
            <w:shd w:val="clear" w:color="auto" w:fill="66CCFF"/>
          </w:tcPr>
          <w:p w14:paraId="3ED506D2" w14:textId="77777777" w:rsidR="00DD3EFA" w:rsidRPr="005A0E7C" w:rsidRDefault="00DD3EFA" w:rsidP="00B15ECB">
            <w:pPr>
              <w:rPr>
                <w:b/>
              </w:rPr>
            </w:pPr>
          </w:p>
        </w:tc>
        <w:tc>
          <w:tcPr>
            <w:tcW w:w="249" w:type="dxa"/>
            <w:tcBorders>
              <w:top w:val="nil"/>
              <w:left w:val="nil"/>
              <w:bottom w:val="nil"/>
            </w:tcBorders>
            <w:shd w:val="clear" w:color="auto" w:fill="66CCFF"/>
          </w:tcPr>
          <w:p w14:paraId="0D736FA6" w14:textId="77777777" w:rsidR="00DD3EFA" w:rsidRPr="005A0E7C" w:rsidRDefault="00DD3EFA" w:rsidP="00B15ECB">
            <w:pPr>
              <w:rPr>
                <w:b/>
              </w:rPr>
            </w:pPr>
          </w:p>
        </w:tc>
      </w:tr>
      <w:tr w:rsidR="00DD3EFA" w:rsidRPr="005A0E7C" w14:paraId="046D6D03" w14:textId="77777777" w:rsidTr="00B15ECB">
        <w:trPr>
          <w:trHeight w:val="892"/>
        </w:trPr>
        <w:tc>
          <w:tcPr>
            <w:tcW w:w="249" w:type="dxa"/>
            <w:tcBorders>
              <w:top w:val="nil"/>
              <w:bottom w:val="nil"/>
            </w:tcBorders>
            <w:shd w:val="clear" w:color="auto" w:fill="66CCFF"/>
          </w:tcPr>
          <w:p w14:paraId="243883D7" w14:textId="77777777" w:rsidR="00DD3EFA" w:rsidRPr="005A0E7C" w:rsidRDefault="00DD3EFA" w:rsidP="00B15ECB">
            <w:pPr>
              <w:rPr>
                <w:b/>
              </w:rPr>
            </w:pPr>
          </w:p>
        </w:tc>
        <w:tc>
          <w:tcPr>
            <w:tcW w:w="2548" w:type="dxa"/>
            <w:shd w:val="clear" w:color="auto" w:fill="FFFFFF" w:themeFill="background1"/>
          </w:tcPr>
          <w:p w14:paraId="272697A3"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0E941B77" w14:textId="77777777" w:rsidR="00DD3EFA" w:rsidRPr="005A0E7C" w:rsidRDefault="00DD3EFA" w:rsidP="00B15ECB">
            <w:r w:rsidRPr="005A0E7C">
              <w:t>Specifický cíl je tvořen následujícími částmi:</w:t>
            </w:r>
          </w:p>
          <w:p w14:paraId="62EE5023" w14:textId="77777777" w:rsidR="00DD3EFA" w:rsidRPr="005A0E7C" w:rsidRDefault="00DD3EFA" w:rsidP="00B15ECB"/>
          <w:p w14:paraId="6B85397C" w14:textId="77777777" w:rsidR="00DD3EFA" w:rsidRPr="005A0E7C" w:rsidRDefault="00DD3EFA" w:rsidP="00B15ECB">
            <w:pPr>
              <w:spacing w:before="60" w:after="60"/>
              <w:rPr>
                <w:lang w:eastAsia="cs-CZ"/>
              </w:rPr>
            </w:pPr>
            <w:r w:rsidRPr="005A0E7C">
              <w:rPr>
                <w:lang w:eastAsia="cs-CZ"/>
              </w:rPr>
              <w:t>- Excelence ve výzkumu</w:t>
            </w:r>
          </w:p>
          <w:p w14:paraId="70FB4407" w14:textId="77777777" w:rsidR="00DD3EFA" w:rsidRPr="005A0E7C" w:rsidRDefault="00DD3EFA" w:rsidP="00B15ECB">
            <w:pPr>
              <w:spacing w:before="60" w:after="60"/>
              <w:rPr>
                <w:lang w:eastAsia="cs-CZ"/>
              </w:rPr>
            </w:pPr>
            <w:r w:rsidRPr="005A0E7C">
              <w:rPr>
                <w:lang w:eastAsia="cs-CZ"/>
              </w:rPr>
              <w:t>- Infrastruktura VaVaI</w:t>
            </w:r>
          </w:p>
          <w:p w14:paraId="726DB5A7" w14:textId="77777777" w:rsidR="00DD3EFA" w:rsidRPr="005A0E7C" w:rsidRDefault="00DD3EFA" w:rsidP="00B15ECB">
            <w:pPr>
              <w:spacing w:before="60" w:after="60"/>
              <w:rPr>
                <w:lang w:eastAsia="cs-CZ"/>
              </w:rPr>
            </w:pPr>
            <w:r w:rsidRPr="005A0E7C">
              <w:rPr>
                <w:lang w:eastAsia="cs-CZ"/>
              </w:rPr>
              <w:t>- Lidský potenciál ve výzkumu</w:t>
            </w:r>
          </w:p>
          <w:p w14:paraId="75DEC445" w14:textId="77777777" w:rsidR="00DD3EFA" w:rsidRPr="005A0E7C" w:rsidRDefault="00DD3EFA" w:rsidP="00B15ECB">
            <w:pPr>
              <w:spacing w:before="60" w:after="60"/>
              <w:rPr>
                <w:lang w:eastAsia="cs-CZ"/>
              </w:rPr>
            </w:pPr>
            <w:r w:rsidRPr="005A0E7C">
              <w:rPr>
                <w:lang w:eastAsia="cs-CZ"/>
              </w:rPr>
              <w:t>- Institucionální prostředí výzkumných organizací</w:t>
            </w:r>
          </w:p>
          <w:p w14:paraId="7E1C8DF6" w14:textId="77777777" w:rsidR="00DD3EFA" w:rsidRPr="005A0E7C" w:rsidRDefault="00DD3EFA" w:rsidP="00B15ECB">
            <w:pPr>
              <w:spacing w:before="60" w:after="60"/>
              <w:rPr>
                <w:lang w:eastAsia="cs-CZ"/>
              </w:rPr>
            </w:pPr>
            <w:r w:rsidRPr="005A0E7C">
              <w:rPr>
                <w:lang w:eastAsia="cs-CZ"/>
              </w:rPr>
              <w:t>- Internacionalizace výzkumu.</w:t>
            </w:r>
          </w:p>
          <w:p w14:paraId="287F2329" w14:textId="77777777" w:rsidR="00DD3EFA" w:rsidRPr="005A0E7C" w:rsidRDefault="00DD3EFA" w:rsidP="00B15ECB">
            <w:pPr>
              <w:spacing w:before="60" w:after="60"/>
              <w:rPr>
                <w:lang w:eastAsia="cs-CZ"/>
              </w:rPr>
            </w:pPr>
            <w:r w:rsidRPr="005A0E7C">
              <w:rPr>
                <w:lang w:eastAsia="cs-CZ"/>
              </w:rPr>
              <w:t xml:space="preserve">Jejich bližší popis je uveden v části Dílčí cíle podpory. </w:t>
            </w:r>
          </w:p>
        </w:tc>
        <w:tc>
          <w:tcPr>
            <w:tcW w:w="249" w:type="dxa"/>
            <w:tcBorders>
              <w:top w:val="nil"/>
              <w:bottom w:val="nil"/>
            </w:tcBorders>
            <w:shd w:val="clear" w:color="auto" w:fill="66CCFF"/>
          </w:tcPr>
          <w:p w14:paraId="30749B0F" w14:textId="77777777" w:rsidR="00DD3EFA" w:rsidRPr="005A0E7C" w:rsidRDefault="00DD3EFA" w:rsidP="00B15ECB">
            <w:pPr>
              <w:rPr>
                <w:b/>
              </w:rPr>
            </w:pPr>
          </w:p>
        </w:tc>
      </w:tr>
      <w:tr w:rsidR="00DD3EFA" w:rsidRPr="005A0E7C" w14:paraId="4CB5307D" w14:textId="77777777" w:rsidTr="00B15ECB">
        <w:trPr>
          <w:trHeight w:val="46"/>
        </w:trPr>
        <w:tc>
          <w:tcPr>
            <w:tcW w:w="249" w:type="dxa"/>
            <w:tcBorders>
              <w:top w:val="nil"/>
              <w:bottom w:val="nil"/>
              <w:right w:val="nil"/>
            </w:tcBorders>
            <w:shd w:val="clear" w:color="auto" w:fill="66CCFF"/>
          </w:tcPr>
          <w:p w14:paraId="74FBC867"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7A442015"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228FD1D2" w14:textId="77777777" w:rsidR="00DD3EFA" w:rsidRPr="005A0E7C" w:rsidRDefault="00DD3EFA" w:rsidP="00B15ECB">
            <w:pPr>
              <w:rPr>
                <w:b/>
              </w:rPr>
            </w:pPr>
          </w:p>
        </w:tc>
        <w:tc>
          <w:tcPr>
            <w:tcW w:w="249" w:type="dxa"/>
            <w:tcBorders>
              <w:top w:val="nil"/>
              <w:left w:val="nil"/>
              <w:bottom w:val="nil"/>
            </w:tcBorders>
            <w:shd w:val="clear" w:color="auto" w:fill="66CCFF"/>
          </w:tcPr>
          <w:p w14:paraId="02713970" w14:textId="77777777" w:rsidR="00DD3EFA" w:rsidRPr="005A0E7C" w:rsidRDefault="00DD3EFA" w:rsidP="00B15ECB">
            <w:pPr>
              <w:rPr>
                <w:b/>
              </w:rPr>
            </w:pPr>
          </w:p>
        </w:tc>
      </w:tr>
      <w:tr w:rsidR="00DD3EFA" w:rsidRPr="005A0E7C" w14:paraId="6B27793A" w14:textId="77777777" w:rsidTr="00B15ECB">
        <w:trPr>
          <w:trHeight w:val="1274"/>
        </w:trPr>
        <w:tc>
          <w:tcPr>
            <w:tcW w:w="249" w:type="dxa"/>
            <w:tcBorders>
              <w:top w:val="nil"/>
              <w:bottom w:val="nil"/>
            </w:tcBorders>
            <w:shd w:val="clear" w:color="auto" w:fill="66CCFF"/>
          </w:tcPr>
          <w:p w14:paraId="5E120B1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54086D6"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4781A7E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Tento cíl umožňuje rozvoj komplexních podmínek pro podporu kvalitního výzkumu se všemi jeho nutnými aspekty, které tvoří odborníci ve výzkumných organizacích, současné materiální vybavení a kvalitní způsob řízení výzkumných organizací. Rozvoj těchto podmínek povede ke kvalitním vyprodukovaným a využitelným výsledkům výzkumu a k mezinárodní spolupráci a otevřenosti výzkumu v ČR.  </w:t>
            </w:r>
          </w:p>
          <w:p w14:paraId="5412C24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Kvalitní výzkum je zásadním zdrojem nových znalostí, které rozšiřují dosažitelné technologické možnosti využitelné pro inovace. Výzkumná činnost a výchova výzkumníků, zajišťuje schopnost společnosti a hospodářství osvojit si a využívat zvětšující se objem existujících a již dostupných znalostí vyprodukovaných v globálním měřítku. Schopnost udržovat vysokou znalostní úroveň v ekonomice je důležitým zdrojem inovací a předpokladem pro schopnost ekonomiky obstát v mezinárodní konkurenceschopnosti. Hlavní strategické dokumenty ČR vnímají vhodné podmínky pro kvalitní veřejný výzkum jako jednu za zásadních podmínek konkurenceschopnosti a z dlouhodobého hlediska ji považují za jednu z klíčových podmínek inovační výkonnosti ekonomiky.</w:t>
            </w:r>
          </w:p>
          <w:p w14:paraId="6EB2E4B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Pro rozvoj systému VaVaI odpovídajícího potřebám ČR je zapotřebí nejen podporovat vznik a rozvoj velkých výzkumných infrastruktur v ČR, ale i rozvinout podmínky pro koncentraci špičkových výzkumníků a podpořit vazby na klíčové infrastruktury a instituce v zahraničí, stejně jako zajistit fungování a zvýšení výkonnosti dalších stávajících infrastruktur. Je také nezbytné zvýšit intenzitu spolupráce s aplikačním a podnikatelským sektorem. </w:t>
            </w:r>
          </w:p>
          <w:p w14:paraId="5FFD4E0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Kvalitní výzkumná pracoviště realizující špičkový základní výzkum i aplikovaný výzkum a vývoj, jehož výsledky nacházejí uplatnění v podnikových inovacích, jsou základním předpokladem pro transformaci ČR na znalostní ekonomiku, kde zdrojem konkurenceschopnosti je využívání poznatků VaV v nových produktech a procesech.</w:t>
            </w:r>
          </w:p>
          <w:p w14:paraId="13A6F44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Ke splnění stanovených cílů přispěje i vyšší zapojení ČR do mezinárodních výzkumných programů, struktur iniciativ, což bude mít dopad na zvýšení prestiže ČR a posílení její pozice na mezinárodní úrovni. Veřejné finanční prostředky musí být využívány i pro podporu účasti výzkumných týmů z ČR (výzkumných organizací z veřejného sektoru i podniků) v mezinárodních programech a iniciativách, jejichž zaměření odpovídá stanoveným prioritním oblastem. Otevřený a dostatečně pružný trh práce vytváří podmínky pro realizaci projektově financovaného VaVaI a pro mezinárodní mobilitu výzkumných pracovníků. Proto je nezbytné vytvořit takové podmínky pro zaměstnávání výzkumníků, ve kterých bude možné pružně reagovat na podmínky financování výzkumu a budou stimulovat k oboustrannému mezinárodnímu pohybu výzkumníků a pracovníků ve VaVaI. Zároveň bude třeba podpořit i stabilizaci zejména mladých výzkumných pracovníků ve VO.</w:t>
            </w:r>
          </w:p>
          <w:p w14:paraId="06F709B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Aktivity navržené v této oblasti budou mít značný dopad na zvýšení otevřenosti veřejného výzkumu mezinárodní spolupráci i spolupráci s aplikačním sektorem. Výzkumná centra disponující moderní a kvalitní výzkumnou infrastrukturou budou vytvářet vhodné podmínky pro realizaci náročného VaV v mezinárodní spolupráci zaměřeného na řešení aktuálních výzev evropské společnosti (které není možné řešit pouze na národní úrovni). Zaměření těchto pracovišť a nastavení podpory z ESIF bude zároveň stimulovat výzkumné organizace k tomu, aby své VaV aktivity orientovaly ve vazbě na aktuální i budoucí potřeby společnosti a globální megatrendy, což bude mít pozitivní dopad na socioekonomický rozvoj české i evropské společnosti, například v souvislosti s vývojem a implementací moderních perspektivních technologií (ICT a digitální technologie, nanotechnologie, biotechnologie apod.) nebo globálními klimatickými změnami, či znečišťováním životního prostředí či stárnutím populace.</w:t>
            </w:r>
          </w:p>
          <w:p w14:paraId="4E3B650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Pro rozvoj lidských zdrojů a pro udržení moderního stavu infrastruktury pro VaV je účelné využít prostředků ESIF, které představují vhodný nástroj podpory pro tento typ aktivit. V tomto ohledu je potřebné vytvořit a využívat relevantní podpůrné mechanismy, které budou směřovat ke zvyšování kvality lidských zdrojů na různých úrovních.</w:t>
            </w:r>
          </w:p>
          <w:p w14:paraId="579E967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Navržené aktivity jsou v souladu s Národní politikou výzkumu, vývoje a inovací České republiky pro roky 2016-2020 a dalšími národními i evropskými strategicko-koncepčními dokumenty pro oblast výzkumu, vývoje a inovací. </w:t>
            </w:r>
          </w:p>
          <w:p w14:paraId="79FEB7BB" w14:textId="77777777" w:rsidR="00DD3EFA" w:rsidRPr="005A0E7C" w:rsidRDefault="00DD3EFA" w:rsidP="00B15ECB">
            <w:pPr>
              <w:spacing w:before="60" w:after="60"/>
              <w:rPr>
                <w:rFonts w:eastAsiaTheme="majorEastAsia"/>
                <w:i/>
                <w:u w:val="single"/>
              </w:rPr>
            </w:pPr>
            <w:r w:rsidRPr="005A0E7C">
              <w:t xml:space="preserve">Tato podoblast konkrétně naplňuje oblasti podporované na evropské úrovni (otevřená a excelentní věda, aktivní rozvoj mezinárodní spolupráce, otevřená inovace a zapojení různých aktérů do výzkumných a inovačních aktivit, kde je třeba posílit spolupráci mezi výzkumnými organizacemi, podniky, veřejnou správou, neziskovými organizacemi a uživateli  uvedené v European Research Area Roadmap 2015 – 2020). Rovněž je v souladu s trendem posilování synergií mezi různými zdroji financování prezentované tzv. Pečetí excelence představenou poprvé v Horizontu 2020 a již platným nástrojem zahrnutým do přípravy Horizon Europe, chystaného 9. rámcového programu. Vyšší zapojení do mezinárodního výzkumu také umožní lépe a efektivnějši využívat finanční prostředky z unijních programů i dalších mezinárodních zdrojů na podporu výzkumu, vývoje a inovací. </w:t>
            </w:r>
          </w:p>
        </w:tc>
        <w:tc>
          <w:tcPr>
            <w:tcW w:w="249" w:type="dxa"/>
            <w:tcBorders>
              <w:top w:val="nil"/>
              <w:bottom w:val="nil"/>
            </w:tcBorders>
            <w:shd w:val="clear" w:color="auto" w:fill="66CCFF"/>
          </w:tcPr>
          <w:p w14:paraId="3BDB67BC" w14:textId="77777777" w:rsidR="00DD3EFA" w:rsidRPr="005A0E7C" w:rsidRDefault="00DD3EFA" w:rsidP="00B15ECB">
            <w:pPr>
              <w:rPr>
                <w:b/>
              </w:rPr>
            </w:pPr>
          </w:p>
        </w:tc>
      </w:tr>
      <w:tr w:rsidR="00DD3EFA" w:rsidRPr="005A0E7C" w14:paraId="6CFDDF0A" w14:textId="77777777" w:rsidTr="00B15ECB">
        <w:trPr>
          <w:trHeight w:val="1274"/>
        </w:trPr>
        <w:tc>
          <w:tcPr>
            <w:tcW w:w="249" w:type="dxa"/>
            <w:tcBorders>
              <w:top w:val="nil"/>
              <w:bottom w:val="nil"/>
            </w:tcBorders>
            <w:shd w:val="clear" w:color="auto" w:fill="66CCFF"/>
          </w:tcPr>
          <w:p w14:paraId="64628F6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424E4B2"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06665EED" w14:textId="77777777" w:rsidR="00DD3EFA" w:rsidRPr="005A0E7C" w:rsidRDefault="00DD3EFA" w:rsidP="00B15ECB">
            <w:pPr>
              <w:spacing w:before="60" w:after="60"/>
              <w:rPr>
                <w:lang w:eastAsia="cs-CZ"/>
              </w:rPr>
            </w:pPr>
            <w:r w:rsidRPr="005A0E7C">
              <w:rPr>
                <w:lang w:eastAsia="cs-CZ"/>
              </w:rPr>
              <w:t>Tento specifický cíl bude řešit zejména tyto problémy:</w:t>
            </w:r>
          </w:p>
          <w:p w14:paraId="205470E8"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Uzavřenost domácího výzkumného systému mezinárodní spolupráci</w:t>
            </w:r>
          </w:p>
          <w:p w14:paraId="627C40B5"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Nižší zapojení výzkumných týmů do mezinárodních výzkumných programů, organizací, struktur a iniciativ; </w:t>
            </w:r>
          </w:p>
          <w:p w14:paraId="53CB4415"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Omezený počet výzkumných pracovišť/týmů, kde by vznikaly špičkové výsledky ve světovém měřítku a kvalitní a vysoce citované vědecké práce s významným dopadem;</w:t>
            </w:r>
          </w:p>
          <w:p w14:paraId="37FFBBC9"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Problémy se zajištěním dostatečného počtu výzkumných pracovníků a odborníků pro náročné profese v podnikatelském i veřejném sektoru;</w:t>
            </w:r>
          </w:p>
          <w:p w14:paraId="68D3E5E9"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Nízká atraktivita výzkumné kariéry pro talenty z ČR i zahraničí;</w:t>
            </w:r>
          </w:p>
          <w:p w14:paraId="2427F7F5"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Nižší podíl žen ve výzkumu a relativně nízký podíl zahraničních výzkumníků v porovnání se západoevropskými státy;</w:t>
            </w:r>
          </w:p>
          <w:p w14:paraId="2C604374"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Vysoká míra studijní neúspěšnosti doktorského studia a prodlužování průměrné délky tohoto studia, a s tím spojené negativní ekonomické i sociální dopady;</w:t>
            </w:r>
          </w:p>
          <w:p w14:paraId="04087DA1"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Uzavřenost výzkumných organizací, přetrvávající inbreeding;</w:t>
            </w:r>
          </w:p>
          <w:p w14:paraId="54C83DB6"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Nedostatečné zapojení zástupců z ČR v mezinárodní strukturách VaVaI;  </w:t>
            </w:r>
          </w:p>
          <w:p w14:paraId="20F4601C"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Vysoká administrativní zátěž výzkumných pracovníků. </w:t>
            </w:r>
          </w:p>
          <w:p w14:paraId="5A17E8B6" w14:textId="77777777" w:rsidR="00DD3EFA" w:rsidRPr="005A0E7C" w:rsidRDefault="00DD3EFA" w:rsidP="00B15ECB">
            <w:pPr>
              <w:spacing w:before="60" w:after="60"/>
              <w:rPr>
                <w:lang w:eastAsia="cs-CZ"/>
              </w:rPr>
            </w:pPr>
          </w:p>
        </w:tc>
        <w:tc>
          <w:tcPr>
            <w:tcW w:w="249" w:type="dxa"/>
            <w:tcBorders>
              <w:top w:val="nil"/>
              <w:bottom w:val="nil"/>
            </w:tcBorders>
            <w:shd w:val="clear" w:color="auto" w:fill="66CCFF"/>
          </w:tcPr>
          <w:p w14:paraId="62478673" w14:textId="77777777" w:rsidR="00DD3EFA" w:rsidRPr="005A0E7C" w:rsidRDefault="00DD3EFA" w:rsidP="00B15ECB">
            <w:pPr>
              <w:rPr>
                <w:b/>
              </w:rPr>
            </w:pPr>
          </w:p>
        </w:tc>
      </w:tr>
      <w:tr w:rsidR="00DD3EFA" w:rsidRPr="005A0E7C" w14:paraId="25762363" w14:textId="77777777" w:rsidTr="00B15ECB">
        <w:trPr>
          <w:trHeight w:val="1274"/>
        </w:trPr>
        <w:tc>
          <w:tcPr>
            <w:tcW w:w="249" w:type="dxa"/>
            <w:tcBorders>
              <w:top w:val="nil"/>
              <w:bottom w:val="nil"/>
            </w:tcBorders>
            <w:shd w:val="clear" w:color="auto" w:fill="66CCFF"/>
          </w:tcPr>
          <w:p w14:paraId="626266B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40C2DE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124A27E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1E97DE4" w14:textId="77777777" w:rsidR="00DD3EFA" w:rsidRPr="005A0E7C" w:rsidRDefault="00DD3EFA" w:rsidP="00B15ECB">
            <w:pPr>
              <w:spacing w:before="60" w:after="60"/>
              <w:rPr>
                <w:rFonts w:eastAsiaTheme="majorEastAsia"/>
              </w:rPr>
            </w:pPr>
            <w:r w:rsidRPr="005A0E7C">
              <w:rPr>
                <w:rFonts w:eastAsiaTheme="majorEastAsia"/>
              </w:rPr>
              <w:t xml:space="preserve">Cílem navrhovaných aktivit v tomto specifickém cíli NKR je: </w:t>
            </w:r>
          </w:p>
          <w:p w14:paraId="358F7DC7"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 xml:space="preserve">Realizovat kvalitní výzkum, jehož provádění a výstupy jsou mezinárodně konkurenceschopné; </w:t>
            </w:r>
          </w:p>
          <w:p w14:paraId="5CD90EFD"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 xml:space="preserve">Zvýšit participaci českých týmů v mezinárodních projektech VaVaI; </w:t>
            </w:r>
          </w:p>
          <w:p w14:paraId="0E20D5A2"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 xml:space="preserve">Nabídnout up-to-date infrastrukturu pro provádění výzkumu; </w:t>
            </w:r>
          </w:p>
          <w:p w14:paraId="1CB0538A"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Zajistit dostatečný počet kvalitních výzkumných pracovníků a vysoce kvalifikovaných odborníků ve VaV;</w:t>
            </w:r>
          </w:p>
          <w:p w14:paraId="338184A3"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 xml:space="preserve"> Zatraktivnit výzkumnou kariéru pro studenty a talenty;</w:t>
            </w:r>
          </w:p>
          <w:p w14:paraId="0ACA4134"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 xml:space="preserve">Zlepšit institucionální prostředí výzkumných organizací tak, aby se staly atraktivními pracovišti pro výzkumné pracovníky z ČR i zahraničí; </w:t>
            </w:r>
          </w:p>
          <w:p w14:paraId="0C340F28"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 xml:space="preserve">Etablovat Českou republiku jako atraktivní místo pro výzkumníky ze zahraničí; </w:t>
            </w:r>
          </w:p>
          <w:p w14:paraId="44362BE7" w14:textId="77777777" w:rsidR="00DD3EFA" w:rsidRPr="005A0E7C" w:rsidRDefault="00DD3EFA" w:rsidP="00391907">
            <w:pPr>
              <w:pStyle w:val="Odstavecseseznamem"/>
              <w:numPr>
                <w:ilvl w:val="0"/>
                <w:numId w:val="63"/>
              </w:numPr>
              <w:spacing w:before="60" w:after="60"/>
              <w:jc w:val="both"/>
              <w:rPr>
                <w:rFonts w:eastAsiaTheme="majorEastAsia"/>
                <w:i/>
                <w:u w:val="single"/>
              </w:rPr>
            </w:pPr>
            <w:r w:rsidRPr="005A0E7C">
              <w:rPr>
                <w:rFonts w:eastAsiaTheme="majorEastAsia"/>
              </w:rPr>
              <w:t>Zvýšit otevřenost výzkumného systému mezinárodní spoluprací a zlepšení zapojení výzkumhých týmů z ČR do mezinárodní výzkumu.</w:t>
            </w:r>
          </w:p>
        </w:tc>
        <w:tc>
          <w:tcPr>
            <w:tcW w:w="249" w:type="dxa"/>
            <w:tcBorders>
              <w:top w:val="nil"/>
              <w:bottom w:val="nil"/>
            </w:tcBorders>
            <w:shd w:val="clear" w:color="auto" w:fill="66CCFF"/>
          </w:tcPr>
          <w:p w14:paraId="6D3F037F" w14:textId="77777777" w:rsidR="00DD3EFA" w:rsidRPr="005A0E7C" w:rsidRDefault="00DD3EFA" w:rsidP="00B15ECB">
            <w:pPr>
              <w:rPr>
                <w:b/>
              </w:rPr>
            </w:pPr>
          </w:p>
        </w:tc>
      </w:tr>
      <w:tr w:rsidR="00DD3EFA" w:rsidRPr="005A0E7C" w14:paraId="7E59600F" w14:textId="77777777" w:rsidTr="00B15ECB">
        <w:trPr>
          <w:trHeight w:val="1274"/>
        </w:trPr>
        <w:tc>
          <w:tcPr>
            <w:tcW w:w="249" w:type="dxa"/>
            <w:tcBorders>
              <w:top w:val="nil"/>
              <w:bottom w:val="nil"/>
            </w:tcBorders>
            <w:shd w:val="clear" w:color="auto" w:fill="66CCFF"/>
          </w:tcPr>
          <w:p w14:paraId="4038575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C7C9926"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630C2523" w14:textId="77777777" w:rsidR="00DD3EFA" w:rsidRPr="005A0E7C" w:rsidRDefault="00DD3EFA" w:rsidP="00B15ECB">
            <w:pPr>
              <w:spacing w:before="60" w:after="60"/>
              <w:rPr>
                <w:lang w:eastAsia="cs-CZ"/>
              </w:rPr>
            </w:pPr>
            <w:r w:rsidRPr="005A0E7C">
              <w:rPr>
                <w:lang w:eastAsia="cs-CZ"/>
              </w:rPr>
              <w:t>Očekávané výsledky/dopady intervencí</w:t>
            </w:r>
          </w:p>
          <w:p w14:paraId="63F9A3DA" w14:textId="77777777" w:rsidR="00DD3EFA" w:rsidRPr="005A0E7C" w:rsidRDefault="00DD3EFA" w:rsidP="00391907">
            <w:pPr>
              <w:pStyle w:val="Odstavecseseznamem"/>
              <w:numPr>
                <w:ilvl w:val="0"/>
                <w:numId w:val="63"/>
              </w:numPr>
              <w:spacing w:before="60" w:after="60"/>
              <w:ind w:left="356" w:hanging="284"/>
              <w:jc w:val="both"/>
              <w:rPr>
                <w:lang w:eastAsia="cs-CZ"/>
              </w:rPr>
            </w:pPr>
            <w:r w:rsidRPr="005A0E7C">
              <w:rPr>
                <w:lang w:eastAsia="cs-CZ"/>
              </w:rPr>
              <w:t xml:space="preserve">Podpora poskytnutá z ESIF přispěje k podstatnému zvýšení kvality výzkumu a vývoje realizovaného ve výzkumných organizacích. Ve vazbě na poskytnutou podporu budou svoji činnost rozvíjet špičková výzkumná pracoviště, jejichž výsledky budou přispívat k rozvoji světové vědy a zároveň přispějí ke zvýšení prestiže českého výzkumu ve světové vědecké komunitě. </w:t>
            </w:r>
          </w:p>
          <w:p w14:paraId="7B0FD0DC" w14:textId="77777777" w:rsidR="00DD3EFA" w:rsidRPr="005A0E7C" w:rsidRDefault="00DD3EFA" w:rsidP="00391907">
            <w:pPr>
              <w:pStyle w:val="Odstavecseseznamem"/>
              <w:numPr>
                <w:ilvl w:val="0"/>
                <w:numId w:val="63"/>
              </w:numPr>
              <w:spacing w:before="60" w:after="60"/>
              <w:ind w:left="356" w:hanging="284"/>
              <w:jc w:val="both"/>
              <w:rPr>
                <w:lang w:eastAsia="cs-CZ"/>
              </w:rPr>
            </w:pPr>
            <w:r w:rsidRPr="005A0E7C">
              <w:rPr>
                <w:lang w:eastAsia="cs-CZ"/>
              </w:rPr>
              <w:t xml:space="preserve">Podpora poskytnutá z ESIF bude nastavena tak, aby se výzkumná centra a organizace (včetně výzkumných infrastruktur) stala atraktivními partnery pro zahraniční výzkumné týmy, což přispěje zlepšení vazeb mezi výzkumnými organizacemi v ČR a zahraničí. </w:t>
            </w:r>
          </w:p>
          <w:p w14:paraId="28CC92FE" w14:textId="77777777" w:rsidR="00DD3EFA" w:rsidRPr="005A0E7C" w:rsidRDefault="00DD3EFA" w:rsidP="00391907">
            <w:pPr>
              <w:pStyle w:val="Odstavecseseznamem"/>
              <w:numPr>
                <w:ilvl w:val="0"/>
                <w:numId w:val="63"/>
              </w:numPr>
              <w:spacing w:before="60" w:after="60"/>
              <w:ind w:left="356" w:hanging="284"/>
              <w:jc w:val="both"/>
              <w:rPr>
                <w:lang w:eastAsia="cs-CZ"/>
              </w:rPr>
            </w:pPr>
            <w:r w:rsidRPr="005A0E7C">
              <w:rPr>
                <w:lang w:eastAsia="cs-CZ"/>
              </w:rPr>
              <w:t>Finanční prostředky ESIF také napomohou ke zlepšení zapojení výzkumných týmů z ČR do evropských výzkumných programů (současný rámcový program Horizont 2020 a nově připravovaný program Horizon Europe) a dalších mezinárodních VaV aktivit, organizací, struktur a iniciativ.</w:t>
            </w:r>
          </w:p>
          <w:p w14:paraId="4B2FD28B" w14:textId="77777777" w:rsidR="00DD3EFA" w:rsidRPr="005A0E7C" w:rsidRDefault="00DD3EFA" w:rsidP="00391907">
            <w:pPr>
              <w:pStyle w:val="Odstavecseseznamem"/>
              <w:numPr>
                <w:ilvl w:val="0"/>
                <w:numId w:val="63"/>
              </w:numPr>
              <w:spacing w:before="60" w:after="60"/>
              <w:ind w:left="356" w:hanging="284"/>
              <w:jc w:val="both"/>
              <w:rPr>
                <w:lang w:eastAsia="cs-CZ"/>
              </w:rPr>
            </w:pPr>
            <w:r w:rsidRPr="005A0E7C">
              <w:rPr>
                <w:lang w:eastAsia="cs-CZ"/>
              </w:rPr>
              <w:t xml:space="preserve">Poskytnutá podpora napomůže i k rozvoji institucionálního prostředí ve výzkumných organizacích ČR, což je základním předpokladem pro realizaci excelentního základního výzkumu i kvalitního aplikovaného výzkumu vývoje s výsledky uplatňujícími se v podnikových inovacích. </w:t>
            </w:r>
          </w:p>
          <w:p w14:paraId="04AD0826" w14:textId="77777777" w:rsidR="00DD3EFA" w:rsidRPr="005A0E7C" w:rsidRDefault="00DD3EFA" w:rsidP="00B15ECB">
            <w:pPr>
              <w:spacing w:before="60" w:after="60"/>
              <w:rPr>
                <w:color w:val="FF0000"/>
              </w:rPr>
            </w:pPr>
            <w:r w:rsidRPr="005A0E7C">
              <w:rPr>
                <w:lang w:eastAsia="cs-CZ"/>
              </w:rPr>
              <w:t>Intervence z prostředků ESIF budou mít značný dopad i na zkvalitnění doktorských studií a přispějí i k rozvoji lidských zdrojů pro výzkum, vývoj a inovace. Kromě zajištění kvalitních výzkumných pracovníků, které je nezbytné pro další rozvoj výzkumného systému ČR, napomohou prostředky ESIF i k zajištění vysoce kvalifikovaných pracovníků pro další sektory ekonomiky. Důraz bude položen i na to, aby absolventi škol byli schopni řešit náročné činnosti ve vazbě na nové perspektivní technologie (ICT a digitální technologie, biotechnologie, nanotechnologie a progresivní materiály apod.) a globální megatrendy (například globální klimatické změny a znečišťování životního prostředí).</w:t>
            </w:r>
          </w:p>
          <w:p w14:paraId="7D1E519F"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0F2E4D55" w14:textId="77777777" w:rsidR="00DD3EFA" w:rsidRPr="005A0E7C" w:rsidRDefault="00DD3EFA" w:rsidP="00B15ECB">
            <w:pPr>
              <w:rPr>
                <w:b/>
              </w:rPr>
            </w:pPr>
          </w:p>
        </w:tc>
      </w:tr>
      <w:tr w:rsidR="00DD3EFA" w:rsidRPr="005A0E7C" w14:paraId="57A3DDB7" w14:textId="77777777" w:rsidTr="00B15ECB">
        <w:trPr>
          <w:trHeight w:val="1274"/>
        </w:trPr>
        <w:tc>
          <w:tcPr>
            <w:tcW w:w="249" w:type="dxa"/>
            <w:tcBorders>
              <w:top w:val="nil"/>
              <w:bottom w:val="nil"/>
            </w:tcBorders>
            <w:shd w:val="clear" w:color="auto" w:fill="66CCFF"/>
          </w:tcPr>
          <w:p w14:paraId="45C729C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9A2A0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294B48FA" w14:textId="77777777" w:rsidR="00DD3EFA" w:rsidRPr="005A0E7C" w:rsidRDefault="00DD3EFA" w:rsidP="00B15ECB">
            <w:pPr>
              <w:spacing w:before="60" w:after="60"/>
              <w:rPr>
                <w:rFonts w:eastAsiaTheme="majorEastAsia"/>
              </w:rPr>
            </w:pPr>
            <w:r w:rsidRPr="005A0E7C">
              <w:rPr>
                <w:rFonts w:eastAsiaTheme="majorEastAsia"/>
              </w:rPr>
              <w:t xml:space="preserve">S ohledem na chybějící aktuální informace o konkrétní výši ESIF na jednotlivé politické cíle, specifické cíle apod., vychází odhadovaná hodnota z současných informací o ESIF a znalosti výše státního rozpočtu na tuto oblast, včetně předpokladů na reálnost možného navýšení. </w:t>
            </w:r>
          </w:p>
          <w:p w14:paraId="483B7104" w14:textId="77777777" w:rsidR="00DD3EFA" w:rsidRPr="005A0E7C" w:rsidRDefault="00DD3EFA" w:rsidP="00B15ECB">
            <w:pPr>
              <w:spacing w:before="60" w:after="60"/>
              <w:rPr>
                <w:rFonts w:eastAsiaTheme="majorEastAsia"/>
                <w:color w:val="FF0000"/>
                <w:u w:val="single"/>
              </w:rPr>
            </w:pPr>
            <w:r w:rsidRPr="005A0E7C">
              <w:rPr>
                <w:rFonts w:eastAsiaTheme="majorEastAsia"/>
              </w:rPr>
              <w:t>S ohledem na znalost výdajů státního rozpočtu na obdobné aktivity tohoto specifického cíle NKR, omezení jednotlivých programů podpory lze předpokládat, že předpokládaný podíl ESIF na plnění tohoto specifického cíle NKR bude poměrně významný.</w:t>
            </w:r>
            <w:r w:rsidRPr="005A0E7C">
              <w:rPr>
                <w:rFonts w:eastAsiaTheme="majorEastAsia"/>
                <w:u w:val="single"/>
              </w:rPr>
              <w:t xml:space="preserve"> </w:t>
            </w:r>
            <w:r w:rsidRPr="005A0E7C">
              <w:t>Z prostředků státního rozpočtu dochází k financování základních aktivit (např. členské poplatky v mezinárodních organizacích VaV, udržitelnost projektů, financování projektů na základě bilaterálních smluv mezi státy, institucionální podpora výzkumných organizací či spolufinancování ESIF projektů). Další část rozpočtu je alokována na podporu aplikovaného výzkumu a experimentálního vývoje, který není předmětem tohoto specifického cíle. Zbývající část rozpočtu je alokována na podporu konkrétních výzkumných a vývojových aktivit, včetně aktivit obdobného charakteru jako jsou aktivity předpokládané k podpoře z tohoto specifického cíle. Bohužel alokace na tyto aktivity je omezená a proto je rovněž velmi limitován jejich kvalitativní posun, což činí financování z ESIF důležité (např. při modernizaci výzkumného vybavení, které je ze státního rozpočtu velmi omezené). S ohledem na tyto faktory lze proto předpokládat, že předpokládaný podíl ESIF na plnění tohoto specifického cíle NKR bude vůči podílu státního rozpočtu významně převládat.</w:t>
            </w:r>
          </w:p>
        </w:tc>
        <w:tc>
          <w:tcPr>
            <w:tcW w:w="249" w:type="dxa"/>
            <w:tcBorders>
              <w:top w:val="nil"/>
              <w:bottom w:val="nil"/>
            </w:tcBorders>
            <w:shd w:val="clear" w:color="auto" w:fill="66CCFF"/>
          </w:tcPr>
          <w:p w14:paraId="2B6B8A42" w14:textId="77777777" w:rsidR="00DD3EFA" w:rsidRPr="005A0E7C" w:rsidRDefault="00DD3EFA" w:rsidP="00B15ECB">
            <w:pPr>
              <w:rPr>
                <w:b/>
              </w:rPr>
            </w:pPr>
          </w:p>
        </w:tc>
      </w:tr>
      <w:tr w:rsidR="00DD3EFA" w:rsidRPr="005A0E7C" w14:paraId="3E008F34" w14:textId="77777777" w:rsidTr="00B15ECB">
        <w:trPr>
          <w:trHeight w:val="1274"/>
        </w:trPr>
        <w:tc>
          <w:tcPr>
            <w:tcW w:w="249" w:type="dxa"/>
            <w:tcBorders>
              <w:top w:val="nil"/>
              <w:bottom w:val="nil"/>
            </w:tcBorders>
            <w:shd w:val="clear" w:color="auto" w:fill="66CCFF"/>
          </w:tcPr>
          <w:p w14:paraId="447DAA3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3F8000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7C261D0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Nové aktivity budou zpravidla organicky navázány na aktivity z období 2007-2013 a 2014-2020. Zaměřeny budou na zlepšování výzkumného prostředí, zkvalitnění výzkumu, zvýšení otevřenosti výzkumného systému, rozvoj lidských zdrojů, rozvoj infrastruktury pro VaV apod., přičemž důraz bude kladen na výrazný kvalitativní posun a nové trendy, např. aktivity ve vazbě na Průmysl 4.0 a v souladu s </w:t>
            </w:r>
            <w:r w:rsidRPr="005A0E7C" w:rsidDel="009258AA">
              <w:rPr>
                <w:rFonts w:ascii="Times New Roman" w:hAnsi="Times New Roman"/>
              </w:rPr>
              <w:t xml:space="preserve"> </w:t>
            </w:r>
            <w:r w:rsidRPr="005A0E7C">
              <w:rPr>
                <w:rFonts w:ascii="Times New Roman" w:hAnsi="Times New Roman"/>
              </w:rPr>
              <w:t>aktualizacemi RIS3 strategií na národní i krajských úrovních. Nepředpokládá se vznik nových center VaV, ale rozvoj stávajících center s velkým potenciálem.</w:t>
            </w:r>
          </w:p>
          <w:p w14:paraId="5D3390F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Ohledně investic do infrastrukturního zázemí, kterým výzkumné organizace ČR disponují, v dosavadních obdobích čerpání zdrojů politiky soudržnosti EU v letech 2007 až 2013, resp. 2014 až 2020, došlo, resp. dochází k podstatnému rozšíření kapacit pro realizaci excelentního výzkumu, vývoje a inovací. Nicméně pokud má být toto infrastrukturní zázemí udrženo na mezinárodně srovnatelné úrovni v dlouhodobém horizontu, je potřeba provádět i nezbytné investice (zejména do přístrojového vybavení). Cílem je proto udržet nejmodernější úroveň technického a technologického vybavení za využití ESIF také v období let dalšího programového období 2021 až 2027. Co se dále týká institucionálního prostředí výzkumných organizací ČR a rozvoje lidských zdrojů pro výzkum, vývoj a inovace, uvedené intervence jsou zamýšleny jako kultivační s cílem vyrovnat se mezinárodním špičkovým výzkumným institucím a zvýšit úroveň jejich strategického řízení. Zpětnou vazbu budou institucím poskytovat úspěšnost jednotlivých institucí (např. v získávání kvalitních výzkumníků ze zahraničí, v získávání projektů či finančních zdrojů), aktivity spojené se získáním/udržováním značky HR Award či od roku 2020 plně implementovaná metodika hodnocení výzkumných organizací ČR. Internacionalizace výzkumu, vývoje a inovací v ČR je jako jedna z navrhovaných intervencí zamýšlena zejména z důvodu setrvale nízké úspěšnosti ČR ve srovnání s tzv. starými členskými státy, a pouze pomalého nárůstu účasti ČR v rámcových programech EU pro výzkum, vývoj a inovace, nyní Horizontu 2020 (2014-2020). Dané je důsledkem zřejmého strukturálního deficitu výzkumných organizací ČR, co se týká jejich schopnosti intenzivněji se zapojovat do mezinárodní spolupráce ve výzkumu, vývoji a inovacích. Uvedené intervence by měly v rámci vzájemně komplementární sady opatření pomoci k dalšímu zlepšení podmínek k rozvoji excelence ve výzkumných organizacích ČR.</w:t>
            </w:r>
          </w:p>
        </w:tc>
        <w:tc>
          <w:tcPr>
            <w:tcW w:w="249" w:type="dxa"/>
            <w:tcBorders>
              <w:top w:val="nil"/>
              <w:bottom w:val="nil"/>
            </w:tcBorders>
            <w:shd w:val="clear" w:color="auto" w:fill="66CCFF"/>
          </w:tcPr>
          <w:p w14:paraId="1E4E5431" w14:textId="77777777" w:rsidR="00DD3EFA" w:rsidRPr="005A0E7C" w:rsidRDefault="00DD3EFA" w:rsidP="00B15ECB">
            <w:pPr>
              <w:rPr>
                <w:b/>
              </w:rPr>
            </w:pPr>
          </w:p>
        </w:tc>
      </w:tr>
      <w:tr w:rsidR="00DD3EFA" w:rsidRPr="005A0E7C" w14:paraId="4DF47AD4" w14:textId="77777777" w:rsidTr="00B15ECB">
        <w:trPr>
          <w:trHeight w:val="272"/>
        </w:trPr>
        <w:tc>
          <w:tcPr>
            <w:tcW w:w="249" w:type="dxa"/>
            <w:tcBorders>
              <w:top w:val="nil"/>
              <w:bottom w:val="nil"/>
              <w:right w:val="nil"/>
            </w:tcBorders>
            <w:shd w:val="clear" w:color="auto" w:fill="66CCFF"/>
          </w:tcPr>
          <w:p w14:paraId="36828898"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8BF0CBB"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4582FC8"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262E014C" w14:textId="77777777" w:rsidR="00DD3EFA" w:rsidRPr="005A0E7C" w:rsidRDefault="00DD3EFA" w:rsidP="00B15ECB">
            <w:pPr>
              <w:rPr>
                <w:b/>
              </w:rPr>
            </w:pPr>
          </w:p>
        </w:tc>
      </w:tr>
      <w:tr w:rsidR="00DD3EFA" w:rsidRPr="005A0E7C" w14:paraId="3AA0F23A" w14:textId="77777777" w:rsidTr="00B15ECB">
        <w:trPr>
          <w:trHeight w:val="835"/>
        </w:trPr>
        <w:tc>
          <w:tcPr>
            <w:tcW w:w="249" w:type="dxa"/>
            <w:tcBorders>
              <w:top w:val="nil"/>
              <w:bottom w:val="nil"/>
            </w:tcBorders>
            <w:shd w:val="clear" w:color="auto" w:fill="66CCFF"/>
          </w:tcPr>
          <w:p w14:paraId="3718F607"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53A32A4E"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359AE248"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11E7A5DF" w14:textId="77777777" w:rsidR="00DD3EFA" w:rsidRPr="005A0E7C" w:rsidRDefault="00DD3EFA" w:rsidP="00B15ECB">
            <w:pPr>
              <w:spacing w:before="60" w:after="60"/>
              <w:rPr>
                <w:b/>
                <w:lang w:eastAsia="cs-CZ"/>
              </w:rPr>
            </w:pPr>
            <w:r w:rsidRPr="005A0E7C">
              <w:rPr>
                <w:b/>
                <w:lang w:eastAsia="cs-CZ"/>
              </w:rPr>
              <w:t>Excelence ve výzkumu</w:t>
            </w:r>
          </w:p>
          <w:p w14:paraId="7ED31AF3" w14:textId="77777777" w:rsidR="00DD3EFA" w:rsidRPr="005A0E7C" w:rsidRDefault="00DD3EFA" w:rsidP="00B15ECB">
            <w:pPr>
              <w:spacing w:before="60" w:after="60"/>
              <w:rPr>
                <w:lang w:eastAsia="cs-CZ"/>
              </w:rPr>
            </w:pPr>
            <w:r w:rsidRPr="005A0E7C">
              <w:rPr>
                <w:lang w:eastAsia="cs-CZ"/>
              </w:rPr>
              <w:t>Cílem je zvýšení kvality VaV a rozvoj výzkumných pracovišť a týmů, které budou realizovat výzkum excelentní ve světovém měřítku. Opatření budou zaměřená zejména na:</w:t>
            </w:r>
          </w:p>
          <w:p w14:paraId="03BDCC4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vytvoření podmínek pro rozvoj omezeného počtu excelentních pracovišť, v nichž bude realizován špičkový mezinárodně konkurenceschopný výzkum s významným dopadem na rozvoj světové vědy;</w:t>
            </w:r>
          </w:p>
          <w:p w14:paraId="2353485E"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podporu zapojení do mezinárodního výzkumu.</w:t>
            </w:r>
          </w:p>
          <w:p w14:paraId="4D0BFFEF" w14:textId="77777777" w:rsidR="00DD3EFA" w:rsidRPr="005A0E7C" w:rsidRDefault="00DD3EFA" w:rsidP="00B15ECB">
            <w:pPr>
              <w:spacing w:before="60" w:after="60"/>
              <w:rPr>
                <w:b/>
                <w:lang w:eastAsia="cs-CZ"/>
              </w:rPr>
            </w:pPr>
            <w:r w:rsidRPr="005A0E7C">
              <w:rPr>
                <w:b/>
                <w:lang w:eastAsia="cs-CZ"/>
              </w:rPr>
              <w:t>Infrastruktura VaV</w:t>
            </w:r>
          </w:p>
          <w:p w14:paraId="60666018" w14:textId="77777777" w:rsidR="00DD3EFA" w:rsidRPr="005A0E7C" w:rsidRDefault="00DD3EFA" w:rsidP="00B15ECB">
            <w:pPr>
              <w:spacing w:before="60" w:after="60"/>
              <w:rPr>
                <w:lang w:eastAsia="cs-CZ"/>
              </w:rPr>
            </w:pPr>
            <w:r w:rsidRPr="005A0E7C">
              <w:rPr>
                <w:lang w:eastAsia="cs-CZ"/>
              </w:rPr>
              <w:t>Cílem je zkvalitňovat infrastrukturu VaV tak, aby umožňovala realizovat špičkový VaV. Opatření budou zaměřená zejména na:</w:t>
            </w:r>
          </w:p>
          <w:p w14:paraId="5281649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Rozvoj podpůrné infrastruktury VaV a zkvalitňování výzkumného vybavení ve výzkumných organizacích, výzkumných centrech a podnicích;</w:t>
            </w:r>
          </w:p>
          <w:p w14:paraId="48FDCA74"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Investice do „velkých výzkumných infrastruktur“</w:t>
            </w:r>
            <w:r w:rsidRPr="005A0E7C">
              <w:rPr>
                <w:vertAlign w:val="superscript"/>
                <w:lang w:eastAsia="cs-CZ"/>
              </w:rPr>
              <w:footnoteReference w:id="40"/>
            </w:r>
            <w:r w:rsidRPr="005A0E7C">
              <w:rPr>
                <w:lang w:eastAsia="cs-CZ"/>
              </w:rPr>
              <w:t>, které budou využívány výzkumnými týmy z ČR i zahraničí na principu otevřeného přístupu.</w:t>
            </w:r>
          </w:p>
          <w:p w14:paraId="55E81142" w14:textId="77777777" w:rsidR="00DD3EFA" w:rsidRPr="005A0E7C" w:rsidRDefault="00DD3EFA" w:rsidP="00B15ECB">
            <w:pPr>
              <w:spacing w:before="60" w:after="60"/>
              <w:rPr>
                <w:b/>
                <w:lang w:eastAsia="cs-CZ"/>
              </w:rPr>
            </w:pPr>
            <w:r w:rsidRPr="005A0E7C">
              <w:rPr>
                <w:b/>
                <w:lang w:eastAsia="cs-CZ"/>
              </w:rPr>
              <w:t>Lidský potenciál ve výzkumu</w:t>
            </w:r>
          </w:p>
          <w:p w14:paraId="42EAFE5F" w14:textId="77777777" w:rsidR="00DD3EFA" w:rsidRPr="005A0E7C" w:rsidRDefault="00DD3EFA" w:rsidP="00B15ECB">
            <w:pPr>
              <w:spacing w:before="60" w:after="60"/>
              <w:rPr>
                <w:lang w:eastAsia="cs-CZ"/>
              </w:rPr>
            </w:pPr>
            <w:r w:rsidRPr="005A0E7C">
              <w:rPr>
                <w:lang w:eastAsia="cs-CZ"/>
              </w:rPr>
              <w:t>Cílem je zajištění dostatečného počtu kvalitních výzkumných pracovníků a vysoce kvalifikovaných odborníků ve VaV. Opatření budou zaměřená na:</w:t>
            </w:r>
          </w:p>
          <w:p w14:paraId="4C2D63D8"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zvyšování kvality doktorských studií, zejména ve vazbě na aktuální a nastupující technologické a společenské trendy;</w:t>
            </w:r>
          </w:p>
          <w:p w14:paraId="045C2D70"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zvyšování odborností výzkumných pracovníků ve výzkumných organizacích, vytvoření předpokladů pro jejich kariérní růst, rozvoj systémů dalšího vzdělávání a celoživotního učení;</w:t>
            </w:r>
          </w:p>
          <w:p w14:paraId="5F47DE9A"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zajištění dostatečného počtu výzkumných pracovníků a odborníků pro podnikový sektor, zejména ve vazbě na perspektivní technologie, které se budou stále více uplatňovat v budoucnosti (zejména technologie pro Průmysl 4.0, nanotechnogie, pokročilé materiály, mikroelektronika, biotechnologie apod.);</w:t>
            </w:r>
          </w:p>
          <w:p w14:paraId="6333ADA2"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Vytvoření podmínek pro návrat žen/rodičů z mateřských/rodičovských dovolených a jejich zapojení do výzkumných aktivit;</w:t>
            </w:r>
          </w:p>
          <w:p w14:paraId="50990B13"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Vytvoření podmínek pro výchovu, získání, rozvoj a udržení kvalitních lidských zdrojů ve VaVaI, včetně odborníků ze zahraničí</w:t>
            </w:r>
          </w:p>
          <w:p w14:paraId="1A4AAEF9" w14:textId="77777777" w:rsidR="00DD3EFA" w:rsidRPr="005A0E7C" w:rsidRDefault="00DD3EFA" w:rsidP="00B15ECB">
            <w:pPr>
              <w:spacing w:before="60" w:after="60"/>
              <w:ind w:left="352"/>
              <w:rPr>
                <w:lang w:eastAsia="cs-CZ"/>
              </w:rPr>
            </w:pPr>
          </w:p>
          <w:p w14:paraId="3E273C7B" w14:textId="77777777" w:rsidR="00DD3EFA" w:rsidRPr="005A0E7C" w:rsidRDefault="00DD3EFA" w:rsidP="00B15ECB">
            <w:pPr>
              <w:spacing w:before="60" w:after="60"/>
              <w:rPr>
                <w:b/>
                <w:lang w:eastAsia="cs-CZ"/>
              </w:rPr>
            </w:pPr>
            <w:r w:rsidRPr="005A0E7C">
              <w:rPr>
                <w:b/>
                <w:lang w:eastAsia="cs-CZ"/>
              </w:rPr>
              <w:t>Institucionální prostředí výzkumných organizací</w:t>
            </w:r>
          </w:p>
          <w:p w14:paraId="0248131A" w14:textId="77777777" w:rsidR="00DD3EFA" w:rsidRPr="005A0E7C" w:rsidRDefault="00DD3EFA" w:rsidP="00B15ECB">
            <w:pPr>
              <w:spacing w:before="60" w:after="60"/>
              <w:rPr>
                <w:lang w:eastAsia="cs-CZ"/>
              </w:rPr>
            </w:pPr>
            <w:r w:rsidRPr="005A0E7C">
              <w:rPr>
                <w:lang w:eastAsia="cs-CZ"/>
              </w:rPr>
              <w:t>Cílem je zlepšit institucionální prostředí ve výzkumných organizacích tak, aby se staly atraktivními pracovišti pro výzkumné pracovníky z ČR i zahraničí. Opatření budou zaměřená na:</w:t>
            </w:r>
          </w:p>
          <w:p w14:paraId="22118CD0"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zlepšování strategického řízení a managementu výzkumných organizací, zejména v oblasti rozvoje mezisektorové spolupráce, mezinárodních vazeb a lidských zdrojů pro VaV;</w:t>
            </w:r>
          </w:p>
          <w:p w14:paraId="1653BC2B"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zlepšování strategického řízení a managementu výzkumných organizací tak, aby došlo k posílení spolupráce s aplikační sférou, zlepšení aplikovatelnosti výsledků výzkumu a zefektivnění spolupráce mezi výzkumnými organizacemi, podniky a dalšími uživateli výsledků výzkumu; </w:t>
            </w:r>
          </w:p>
          <w:p w14:paraId="2566755F"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rozvíjení institucionálního prostředí ve VO tak, aby dokázaly nabídnout špičkovým zahraničním výzkumným pracovníkům a perspektivním mladým výzkumným pracovníkům plně srovnatelné a konkurenceschopné podmínky pro rozvoj jejich vědeckých kariér;</w:t>
            </w:r>
          </w:p>
          <w:p w14:paraId="66B17661"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zajištění přístupu k výzkumné infrastruktuře pro výzkumné týmy z ČR a zahraničí na principu otevřeného přístupu.</w:t>
            </w:r>
          </w:p>
          <w:p w14:paraId="41176245"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otevření a zatraktivnění výzkumného prostředí pro zahraniční studenty doktorských programů a výzkumné pracovníky, a to včetně obsazování vedoucích pozic v otevřených výběrových řízeních;</w:t>
            </w:r>
          </w:p>
          <w:p w14:paraId="3921D4A6"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vysílání domácích výzkumných pracovníků na zahraniční stáže a vytvoření podmínek pro jejich návrat do ČR;</w:t>
            </w:r>
          </w:p>
          <w:p w14:paraId="61E7A724"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vytváření profesorských míst pro špičkové odborníky z průmyslu (zejména v oblasti perspektivních technologií); </w:t>
            </w:r>
          </w:p>
          <w:p w14:paraId="0F03EAD2"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vytvoření podmínek ve výzkumných organizacích, které umožňují výzkumníkům věnovat se především výzkumu.</w:t>
            </w:r>
          </w:p>
          <w:p w14:paraId="24542C7E" w14:textId="77777777" w:rsidR="00DD3EFA" w:rsidRPr="005A0E7C" w:rsidRDefault="00DD3EFA" w:rsidP="00B15ECB">
            <w:pPr>
              <w:spacing w:before="60" w:after="60"/>
              <w:rPr>
                <w:b/>
                <w:lang w:eastAsia="cs-CZ"/>
              </w:rPr>
            </w:pPr>
            <w:r w:rsidRPr="005A0E7C">
              <w:rPr>
                <w:b/>
                <w:lang w:eastAsia="cs-CZ"/>
              </w:rPr>
              <w:t>Internacionalizace výzkumu</w:t>
            </w:r>
          </w:p>
          <w:p w14:paraId="4C3BAC13" w14:textId="77777777" w:rsidR="00DD3EFA" w:rsidRPr="005A0E7C" w:rsidRDefault="00DD3EFA" w:rsidP="00B15ECB">
            <w:pPr>
              <w:spacing w:before="60" w:after="60"/>
              <w:rPr>
                <w:lang w:eastAsia="cs-CZ"/>
              </w:rPr>
            </w:pPr>
            <w:r w:rsidRPr="005A0E7C">
              <w:rPr>
                <w:lang w:eastAsia="cs-CZ"/>
              </w:rPr>
              <w:t>Cílem je zvýšit otevřenost výzkumného systému mezinárodní spolupráci, zlepšení zapojení výzkumných týmů z ČR do mezinárodního výzkumu a posílení pozice ČR v ERA. Opatření budou zaměřená na:</w:t>
            </w:r>
          </w:p>
          <w:p w14:paraId="284527A0"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Posílení internacionalizace systému VaV a otevřenosti veřejného výzkumu pro mezinárodní spolupráci ve VaV;</w:t>
            </w:r>
          </w:p>
          <w:p w14:paraId="000DECFC"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Posílení oboustranné mezinárodní mobility pracovníků ve VaV a manažerů výzkumných organizací ve všech etapách kariérního rozvoje;</w:t>
            </w:r>
          </w:p>
          <w:p w14:paraId="31493A71"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Podporu aktivit, které budou napomáhat zapojení ČR do mezinárodního výzkumu a povedou k aktivnější účasti výzkumných týmů z ČR v mezinárodních výzkumných programech, organizacích, dalších strukturách a iniciativách.</w:t>
            </w:r>
          </w:p>
          <w:p w14:paraId="6153D20C"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Podporu měkkých služeb pro příchod zahraničních výzkumníků a studentů do ČR</w:t>
            </w:r>
          </w:p>
          <w:p w14:paraId="67AE0B65" w14:textId="77777777" w:rsidR="00DD3EFA" w:rsidRPr="005A0E7C" w:rsidRDefault="00DD3EFA" w:rsidP="00391907">
            <w:pPr>
              <w:numPr>
                <w:ilvl w:val="0"/>
                <w:numId w:val="63"/>
              </w:numPr>
              <w:spacing w:before="60" w:after="60"/>
              <w:ind w:left="352" w:hanging="284"/>
              <w:jc w:val="both"/>
              <w:rPr>
                <w:rFonts w:eastAsiaTheme="majorEastAsia"/>
                <w:i/>
              </w:rPr>
            </w:pPr>
            <w:r w:rsidRPr="005A0E7C">
              <w:rPr>
                <w:lang w:eastAsia="cs-CZ"/>
              </w:rPr>
              <w:t>Podporu aktivit na zlepšení grantové podpory zejména v případě mezinárodních grantů (např. grant offices u výzkumných organizací)</w:t>
            </w:r>
          </w:p>
        </w:tc>
        <w:tc>
          <w:tcPr>
            <w:tcW w:w="249" w:type="dxa"/>
            <w:tcBorders>
              <w:top w:val="nil"/>
              <w:bottom w:val="nil"/>
            </w:tcBorders>
            <w:shd w:val="clear" w:color="auto" w:fill="66CCFF"/>
          </w:tcPr>
          <w:p w14:paraId="1AF81742" w14:textId="77777777" w:rsidR="00DD3EFA" w:rsidRPr="005A0E7C" w:rsidRDefault="00DD3EFA" w:rsidP="00B15ECB">
            <w:pPr>
              <w:rPr>
                <w:b/>
              </w:rPr>
            </w:pPr>
          </w:p>
        </w:tc>
      </w:tr>
      <w:tr w:rsidR="00DD3EFA" w:rsidRPr="002D2123" w14:paraId="3C0ED1AD" w14:textId="77777777" w:rsidTr="00B15ECB">
        <w:trPr>
          <w:trHeight w:val="377"/>
        </w:trPr>
        <w:tc>
          <w:tcPr>
            <w:tcW w:w="249" w:type="dxa"/>
            <w:tcBorders>
              <w:top w:val="nil"/>
              <w:bottom w:val="nil"/>
              <w:right w:val="nil"/>
            </w:tcBorders>
            <w:shd w:val="clear" w:color="auto" w:fill="66CCFF"/>
          </w:tcPr>
          <w:p w14:paraId="4B797E33"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0EEB5049" w14:textId="77777777" w:rsidR="00DD3EFA" w:rsidRPr="002D2123"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473A741" w14:textId="77777777" w:rsidR="00DD3EFA" w:rsidRPr="002D2123"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13E4654C" w14:textId="77777777" w:rsidR="00DD3EFA" w:rsidRPr="002D2123" w:rsidRDefault="00DD3EFA" w:rsidP="00B15ECB">
            <w:pPr>
              <w:rPr>
                <w:b/>
                <w:sz w:val="10"/>
                <w:szCs w:val="10"/>
              </w:rPr>
            </w:pPr>
          </w:p>
        </w:tc>
      </w:tr>
      <w:tr w:rsidR="00DD3EFA" w:rsidRPr="002D2123" w14:paraId="1A10CD66" w14:textId="77777777" w:rsidTr="00B15ECB">
        <w:trPr>
          <w:trHeight w:val="607"/>
        </w:trPr>
        <w:tc>
          <w:tcPr>
            <w:tcW w:w="249" w:type="dxa"/>
            <w:tcBorders>
              <w:top w:val="nil"/>
              <w:bottom w:val="nil"/>
            </w:tcBorders>
            <w:shd w:val="clear" w:color="auto" w:fill="66CCFF"/>
          </w:tcPr>
          <w:p w14:paraId="1F8EB51D" w14:textId="77777777" w:rsidR="00DD3EFA" w:rsidRPr="002D2123" w:rsidRDefault="00DD3EFA" w:rsidP="00B15ECB">
            <w:pPr>
              <w:rPr>
                <w:b/>
                <w:sz w:val="10"/>
                <w:szCs w:val="10"/>
              </w:rPr>
            </w:pPr>
          </w:p>
        </w:tc>
        <w:tc>
          <w:tcPr>
            <w:tcW w:w="2548" w:type="dxa"/>
            <w:tcBorders>
              <w:top w:val="single" w:sz="4" w:space="0" w:color="auto"/>
              <w:bottom w:val="single" w:sz="4" w:space="0" w:color="auto"/>
            </w:tcBorders>
            <w:shd w:val="clear" w:color="auto" w:fill="FFFFFF" w:themeFill="background1"/>
          </w:tcPr>
          <w:p w14:paraId="40C6D627" w14:textId="77777777" w:rsidR="00DD3EFA" w:rsidRPr="002D2123" w:rsidRDefault="00DD3EFA" w:rsidP="00B15ECB">
            <w:pPr>
              <w:spacing w:before="60" w:after="60"/>
              <w:rPr>
                <w:rFonts w:eastAsiaTheme="majorEastAsia"/>
                <w:b/>
              </w:rPr>
            </w:pPr>
            <w:r w:rsidRPr="002D2123">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27126DFC" w14:textId="77777777" w:rsidR="00DD3EFA" w:rsidRPr="002D2123" w:rsidRDefault="00DD3EFA" w:rsidP="00B15ECB">
            <w:pPr>
              <w:spacing w:before="60" w:after="60"/>
              <w:rPr>
                <w:rFonts w:eastAsiaTheme="majorEastAsia"/>
                <w:i/>
              </w:rPr>
            </w:pPr>
          </w:p>
        </w:tc>
        <w:tc>
          <w:tcPr>
            <w:tcW w:w="249" w:type="dxa"/>
            <w:tcBorders>
              <w:top w:val="nil"/>
              <w:bottom w:val="nil"/>
            </w:tcBorders>
            <w:shd w:val="clear" w:color="auto" w:fill="66CCFF"/>
          </w:tcPr>
          <w:p w14:paraId="091231E5" w14:textId="77777777" w:rsidR="00DD3EFA" w:rsidRPr="002D2123" w:rsidRDefault="00DD3EFA" w:rsidP="00B15ECB">
            <w:pPr>
              <w:rPr>
                <w:b/>
                <w:sz w:val="10"/>
                <w:szCs w:val="10"/>
              </w:rPr>
            </w:pPr>
          </w:p>
        </w:tc>
      </w:tr>
      <w:tr w:rsidR="00DD3EFA" w:rsidRPr="005A0E7C" w14:paraId="3353F505" w14:textId="77777777" w:rsidTr="00B15ECB">
        <w:trPr>
          <w:trHeight w:val="1202"/>
        </w:trPr>
        <w:tc>
          <w:tcPr>
            <w:tcW w:w="249" w:type="dxa"/>
            <w:tcBorders>
              <w:top w:val="nil"/>
              <w:bottom w:val="nil"/>
            </w:tcBorders>
            <w:shd w:val="clear" w:color="auto" w:fill="66CCFF"/>
          </w:tcPr>
          <w:p w14:paraId="11A4862B"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6FBBD75D"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Územní dimenze</w:t>
            </w:r>
          </w:p>
          <w:p w14:paraId="14421063"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57B5458" w14:textId="77777777" w:rsidR="00DD3EFA" w:rsidRPr="005A0E7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5A0E7C">
              <w:rPr>
                <w:rFonts w:ascii="Times New Roman" w:eastAsiaTheme="majorEastAsia" w:hAnsi="Times New Roman"/>
              </w:rPr>
              <w:t xml:space="preserve">S ohledem na charakter výzkumu a vývoje, který je, jakožto kvartérní sektor ekonomiky výrazně koncentrován do největších sídel je nereálná možnost dosažení plné konvergence sídel, či regionů. Velmi kvalitní výzkum vždy bude prováděn v omezeném počtu institucí, které budou většinově koncentrované do větších center. Tomu odpovídá také dlouhodobě prostorově koncentrované financování výzkumných infrastruktur a kapacit v oblasti VaV (viz např. VaVpI centra, VVV infrastrukturní projekty, i kolaborativní projekty). Snaha o změnu takového stavu by narážela na limity dostupné kvalitní infrastruktury, kvalitních lidských zdrojů dostupných v místě apod. Kapacity pro výzkum a inovace jsou dlouhodobě silně územně koncentrované do funkčních celků metropolí a aglomerací. Z druhé strany pokud konkrétní výzkum řeší téma relevantní pro určitý region, je tento výzkum důležitý bez ohledu na místo, kde k výzkumným aktivitám dochází. Výsledky výzkumu jsou geograficky přenositelné, což je prokázáno stále rostoucí mezinárodní výzkumnou spoluprací a zároveň místně adaptovatelné, na příklad v případě sociovědního výzkumu. Do rozvoje sídel a regionů mohou zasáhnout i výsledky výzkumu zdánlivě nesouvisející s regionálním rozvojem (příkladem může být rozvoj elektromobilů, nutnost jejich nabíjení ve městech, vybudování příslušných stanic apod.)  </w:t>
            </w:r>
          </w:p>
          <w:p w14:paraId="275F9E85"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1A511309" w14:textId="77777777" w:rsidR="00DD3EFA" w:rsidRPr="005A0E7C" w:rsidRDefault="00DD3EFA" w:rsidP="00B15ECB">
            <w:pPr>
              <w:rPr>
                <w:b/>
              </w:rPr>
            </w:pPr>
          </w:p>
        </w:tc>
      </w:tr>
      <w:tr w:rsidR="00DD3EFA" w:rsidRPr="005A0E7C" w14:paraId="67ACC899" w14:textId="77777777" w:rsidTr="00B15ECB">
        <w:trPr>
          <w:trHeight w:val="1202"/>
        </w:trPr>
        <w:tc>
          <w:tcPr>
            <w:tcW w:w="249" w:type="dxa"/>
            <w:tcBorders>
              <w:top w:val="nil"/>
              <w:bottom w:val="nil"/>
            </w:tcBorders>
            <w:shd w:val="clear" w:color="auto" w:fill="66CCFF"/>
          </w:tcPr>
          <w:p w14:paraId="36EB95DC"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6E0F8FC"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Adaptace na změnu klimatu</w:t>
            </w:r>
          </w:p>
          <w:p w14:paraId="7FBC89C6"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EFE73E7" w14:textId="77777777" w:rsidR="00DD3EFA" w:rsidRPr="005A0E7C" w:rsidRDefault="00DD3EFA">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Podpora poskytovaná v této oblasti bude směřována i na rozvoj výzkumných kapacit a zkvalitnění VaV v souladu s RIS strategií mj. v oborech souvisejících se snižováním emisí skleníkových plynů, rozvojem využívání obnovitelných zdrojů energie, efektivním využívání energie apod., což je v souladu s klíčovými odvětvími aplikací a aplikačních tématech identifikovaných v RIS3 strategii (př. Přírodní zdroje, udržitelné zemědělství a potravinová bezpečnost a dostatečnost; Udržitelná a bezpečná výroba a distribuce el. energie; Výroba dopravních prostředků, udržitelnost a bezpečnost dopravy; Pokročilé a úsporné strojírenství a automatizace). </w:t>
            </w:r>
          </w:p>
        </w:tc>
        <w:tc>
          <w:tcPr>
            <w:tcW w:w="249" w:type="dxa"/>
            <w:tcBorders>
              <w:top w:val="nil"/>
              <w:bottom w:val="nil"/>
            </w:tcBorders>
            <w:shd w:val="clear" w:color="auto" w:fill="66CCFF"/>
          </w:tcPr>
          <w:p w14:paraId="02B1523E" w14:textId="77777777" w:rsidR="00DD3EFA" w:rsidRPr="005A0E7C" w:rsidRDefault="00DD3EFA" w:rsidP="00B15ECB">
            <w:pPr>
              <w:rPr>
                <w:b/>
              </w:rPr>
            </w:pPr>
          </w:p>
        </w:tc>
      </w:tr>
      <w:tr w:rsidR="00DD3EFA" w:rsidRPr="005A0E7C" w14:paraId="62EA4260" w14:textId="77777777" w:rsidTr="00B15ECB">
        <w:trPr>
          <w:trHeight w:val="1202"/>
        </w:trPr>
        <w:tc>
          <w:tcPr>
            <w:tcW w:w="249" w:type="dxa"/>
            <w:tcBorders>
              <w:top w:val="nil"/>
              <w:bottom w:val="nil"/>
            </w:tcBorders>
            <w:shd w:val="clear" w:color="auto" w:fill="66CCFF"/>
          </w:tcPr>
          <w:p w14:paraId="6A9878A3"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7658FB00"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Společnost 4.0</w:t>
            </w:r>
          </w:p>
        </w:tc>
        <w:tc>
          <w:tcPr>
            <w:tcW w:w="5978" w:type="dxa"/>
            <w:tcBorders>
              <w:bottom w:val="single" w:sz="4" w:space="0" w:color="auto"/>
            </w:tcBorders>
            <w:shd w:val="clear" w:color="auto" w:fill="FFFFFF" w:themeFill="background1"/>
          </w:tcPr>
          <w:p w14:paraId="4EA21D85" w14:textId="77777777" w:rsidR="00DD3EFA" w:rsidRPr="005A0E7C" w:rsidRDefault="00DD3EFA">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Podpora poskytovaná v této oblasti bude mj. směřována i na rozvoj výzkumných kapacit a zkvalitnění VaV v oborech souvisejících s  Průmyslem 4.0 a RIS3 strategií. Podpora bude směřována do rozvoje technologií a částečně do vzdělávání (lidské zdroje pro VaV), což jsou jedny z agend Společnosti 4.0, a které úzce souvisí s agendou vzniku a podstatou nových pracovních pozic. RIS 3 bude základní strategií pro nastavení národních priorit v rámci chytré specializace a chytrých řešeních v definovaných generických znalostních doménách a/nebo klíčových aplikačních odvětvích. Ve vztahu k </w:t>
            </w:r>
            <w:r w:rsidRPr="005A0E7C" w:rsidDel="009258AA">
              <w:rPr>
                <w:rFonts w:ascii="Times New Roman" w:hAnsi="Times New Roman"/>
              </w:rPr>
              <w:t xml:space="preserve"> </w:t>
            </w:r>
            <w:r w:rsidRPr="005A0E7C">
              <w:rPr>
                <w:rFonts w:ascii="Times New Roman" w:hAnsi="Times New Roman"/>
              </w:rPr>
              <w:t>Průmyslu 4.0 bude zohledněn zejména jejich inovační potenciál.</w:t>
            </w:r>
          </w:p>
        </w:tc>
        <w:tc>
          <w:tcPr>
            <w:tcW w:w="249" w:type="dxa"/>
            <w:tcBorders>
              <w:top w:val="nil"/>
              <w:bottom w:val="nil"/>
            </w:tcBorders>
            <w:shd w:val="clear" w:color="auto" w:fill="66CCFF"/>
          </w:tcPr>
          <w:p w14:paraId="3C534E29" w14:textId="77777777" w:rsidR="00DD3EFA" w:rsidRPr="005A0E7C" w:rsidRDefault="00DD3EFA" w:rsidP="00B15ECB">
            <w:pPr>
              <w:rPr>
                <w:b/>
              </w:rPr>
            </w:pPr>
          </w:p>
        </w:tc>
      </w:tr>
      <w:tr w:rsidR="00DD3EFA" w:rsidRPr="005A0E7C" w14:paraId="6B4EA6AA" w14:textId="77777777" w:rsidTr="00B15ECB">
        <w:trPr>
          <w:trHeight w:val="1202"/>
        </w:trPr>
        <w:tc>
          <w:tcPr>
            <w:tcW w:w="249" w:type="dxa"/>
            <w:tcBorders>
              <w:top w:val="nil"/>
              <w:bottom w:val="nil"/>
            </w:tcBorders>
            <w:shd w:val="clear" w:color="auto" w:fill="66CCFF"/>
          </w:tcPr>
          <w:p w14:paraId="500141A7"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5B408945"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Vazba na megatrendy</w:t>
            </w:r>
          </w:p>
          <w:p w14:paraId="55DF0198"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74D02C7" w14:textId="77777777" w:rsidR="00DD3EFA" w:rsidRPr="005A0E7C" w:rsidRDefault="00DD3EFA" w:rsidP="00B15ECB">
            <w:pPr>
              <w:spacing w:before="60" w:after="60"/>
              <w:rPr>
                <w:rFonts w:eastAsiaTheme="majorEastAsia"/>
              </w:rPr>
            </w:pPr>
            <w:r w:rsidRPr="005A0E7C">
              <w:rPr>
                <w:rFonts w:eastAsiaTheme="majorEastAsia"/>
              </w:rPr>
              <w:t xml:space="preserve">Tento specifický cíl NKR je navázán na velkou většinu megatrendů, pouze provazba je dvojího typu. První typ je jasná nezpochybnitelná provazba na megatrendy týkající se výzkumu a vývoje a technologického pokroku, který probíhá, kdy samotný výzkum definuje dané megatrendy. Tato provazba se týká megatrendů </w:t>
            </w:r>
            <w:r w:rsidRPr="005A0E7C">
              <w:rPr>
                <w:rFonts w:eastAsiaTheme="majorEastAsia"/>
                <w:b/>
              </w:rPr>
              <w:t xml:space="preserve">Rostoucí přístup k informacím, Virtualizace světa, Zvyšující se dostupnost technologií </w:t>
            </w:r>
            <w:r w:rsidRPr="005A0E7C">
              <w:rPr>
                <w:rFonts w:eastAsiaTheme="majorEastAsia"/>
              </w:rPr>
              <w:t xml:space="preserve">a </w:t>
            </w:r>
            <w:r w:rsidRPr="005A0E7C">
              <w:rPr>
                <w:rFonts w:eastAsiaTheme="majorEastAsia"/>
                <w:b/>
              </w:rPr>
              <w:t>Zvyšující se rychlost technologické změny</w:t>
            </w:r>
            <w:r w:rsidRPr="005A0E7C">
              <w:rPr>
                <w:rFonts w:eastAsiaTheme="majorEastAsia"/>
              </w:rPr>
              <w:t xml:space="preserve">. Druhý typ je provazba výzkumu konkrétní oblasti, jehož existence a výsledky jsou nutné pro řešení daného megatrendu, příkladem je nutnost výzkumu v oblasti medicíny, biologie, epidemiologie atd. pro řešení Civilizačních chorob. Vzhledem ke skutečnosti, že Národní RIS3 strategie, která definuje oblasti inteligentní specializace ČR a tedy zdůrazňuje oblasti, ve kterých by měl probíhat výzkum v ČR, je relevantní porovnání zaměření těchto oblastí s megatrendy. Zde lze jasně najít provazbu na megatrend </w:t>
            </w:r>
            <w:r w:rsidRPr="005A0E7C">
              <w:rPr>
                <w:rFonts w:eastAsiaTheme="majorEastAsia"/>
                <w:b/>
              </w:rPr>
              <w:t>Rostoucí mobilitu</w:t>
            </w:r>
            <w:r w:rsidRPr="005A0E7C">
              <w:rPr>
                <w:rFonts w:eastAsiaTheme="majorEastAsia"/>
              </w:rPr>
              <w:t xml:space="preserve"> přes podporu Dopravních prostředků pro 21. století, provazbu na megatrendy </w:t>
            </w:r>
            <w:r w:rsidRPr="005A0E7C">
              <w:rPr>
                <w:rFonts w:eastAsiaTheme="majorEastAsia"/>
                <w:b/>
              </w:rPr>
              <w:t>Degradace ekosystémů, Potravinová bezpečnost, Rostoucí populace, Rostoucí spotřeba, Změna klimatu a její dopady, Zvyšující se soutěž o zdroje</w:t>
            </w:r>
            <w:r w:rsidRPr="005A0E7C">
              <w:rPr>
                <w:rFonts w:eastAsiaTheme="majorEastAsia"/>
              </w:rPr>
              <w:t xml:space="preserve"> přes Zemědělství a životní prostředí, provazbu na megatrendy </w:t>
            </w:r>
            <w:r w:rsidRPr="005A0E7C">
              <w:rPr>
                <w:rFonts w:eastAsiaTheme="majorEastAsia"/>
                <w:b/>
              </w:rPr>
              <w:t>Civilizační choroby, Globální stárnutí, Zdravý životní styl</w:t>
            </w:r>
            <w:r w:rsidRPr="005A0E7C">
              <w:rPr>
                <w:rFonts w:eastAsiaTheme="majorEastAsia"/>
              </w:rPr>
              <w:t xml:space="preserve"> přes Péči o zdraví a pokročilou medicínu a přes Společenské výzvy atd. Podpora výzkumu, který bude v souladu s Národní RIS3 strategií, tak přispěje k těmto jednotlivým megatrendů vždy s ohledem na oblast, které se konkrétní výzkumných projekt bude týkat. Tento specifický cíl tedy reaguje na všechny megatrendy, neboť když budou vytvořeny pro kvalitní výzkum, tak společnost bude schopná rychleji megatrendy identifikovat a zároveň se s nimi snaději vyrovnávat či na ně reagovat.  </w:t>
            </w:r>
          </w:p>
          <w:p w14:paraId="10706EFA" w14:textId="77777777" w:rsidR="00DD3EFA" w:rsidRPr="005A0E7C" w:rsidRDefault="00DD3EFA" w:rsidP="00B15ECB">
            <w:pPr>
              <w:spacing w:before="40"/>
              <w:rPr>
                <w:rFonts w:eastAsiaTheme="majorEastAsia"/>
              </w:rPr>
            </w:pPr>
          </w:p>
        </w:tc>
        <w:tc>
          <w:tcPr>
            <w:tcW w:w="249" w:type="dxa"/>
            <w:tcBorders>
              <w:top w:val="nil"/>
              <w:bottom w:val="nil"/>
            </w:tcBorders>
            <w:shd w:val="clear" w:color="auto" w:fill="66CCFF"/>
          </w:tcPr>
          <w:p w14:paraId="445E28C3" w14:textId="77777777" w:rsidR="00DD3EFA" w:rsidRPr="005A0E7C" w:rsidRDefault="00DD3EFA" w:rsidP="00B15ECB">
            <w:pPr>
              <w:rPr>
                <w:b/>
              </w:rPr>
            </w:pPr>
          </w:p>
        </w:tc>
      </w:tr>
      <w:tr w:rsidR="00DD3EFA" w:rsidRPr="005A0E7C" w14:paraId="610E109B" w14:textId="77777777" w:rsidTr="00B15ECB">
        <w:trPr>
          <w:trHeight w:val="1202"/>
        </w:trPr>
        <w:tc>
          <w:tcPr>
            <w:tcW w:w="249" w:type="dxa"/>
            <w:tcBorders>
              <w:top w:val="nil"/>
              <w:bottom w:val="nil"/>
            </w:tcBorders>
            <w:shd w:val="clear" w:color="auto" w:fill="66CCFF"/>
          </w:tcPr>
          <w:p w14:paraId="435CC231"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5892A425"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0CB01130" w14:textId="77777777" w:rsidR="00DD3EFA" w:rsidRPr="005A0E7C" w:rsidRDefault="00DD3EFA" w:rsidP="00B15ECB">
            <w:pPr>
              <w:spacing w:before="60" w:after="60"/>
              <w:rPr>
                <w:rFonts w:eastAsiaTheme="majorEastAsia"/>
              </w:rPr>
            </w:pPr>
            <w:r w:rsidRPr="005A0E7C">
              <w:rPr>
                <w:rFonts w:eastAsiaTheme="majorEastAsia"/>
                <w:b/>
              </w:rPr>
              <w:t>Politický cíl ON:</w:t>
            </w:r>
            <w:r w:rsidRPr="005A0E7C">
              <w:rPr>
                <w:rFonts w:eastAsiaTheme="majorEastAsia"/>
              </w:rPr>
              <w:t xml:space="preserve"> </w:t>
            </w:r>
          </w:p>
          <w:p w14:paraId="59900792"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 xml:space="preserve">CP1 Inteligentnější Evropa díky podpoře inovativní a inteligentní ekonomické transformace. </w:t>
            </w:r>
          </w:p>
          <w:p w14:paraId="057F6188" w14:textId="77777777" w:rsidR="00DD3EFA" w:rsidRPr="005A0E7C" w:rsidRDefault="00DD3EFA" w:rsidP="00B15ECB">
            <w:pPr>
              <w:spacing w:before="60" w:after="60"/>
              <w:rPr>
                <w:rFonts w:eastAsiaTheme="majorEastAsia"/>
              </w:rPr>
            </w:pPr>
            <w:r w:rsidRPr="005A0E7C">
              <w:rPr>
                <w:rFonts w:eastAsiaTheme="majorEastAsia"/>
                <w:b/>
              </w:rPr>
              <w:t>Specifický cíl ERDF:</w:t>
            </w:r>
            <w:r w:rsidRPr="005A0E7C">
              <w:rPr>
                <w:rFonts w:eastAsiaTheme="majorEastAsia"/>
              </w:rPr>
              <w:t xml:space="preserve"> </w:t>
            </w:r>
          </w:p>
          <w:p w14:paraId="02CD4AB1" w14:textId="77777777" w:rsidR="00DD3EFA" w:rsidRPr="005A0E7C" w:rsidRDefault="00DD3EFA" w:rsidP="00391907">
            <w:pPr>
              <w:pStyle w:val="Odstavecseseznamem"/>
              <w:numPr>
                <w:ilvl w:val="0"/>
                <w:numId w:val="2"/>
              </w:numPr>
              <w:spacing w:before="60" w:after="60"/>
              <w:rPr>
                <w:rFonts w:eastAsiaTheme="majorEastAsia"/>
              </w:rPr>
            </w:pPr>
            <w:r w:rsidRPr="005A0E7C">
              <w:t xml:space="preserve">i) </w:t>
            </w:r>
            <w:r w:rsidRPr="005A0E7C">
              <w:rPr>
                <w:rFonts w:eastAsiaTheme="majorEastAsia"/>
              </w:rPr>
              <w:t xml:space="preserve">Posílení výzkumných a inovačních kapacit a zavádění pokročilých technologií.  </w:t>
            </w:r>
          </w:p>
          <w:p w14:paraId="18B72931" w14:textId="77777777" w:rsidR="00DD3EFA" w:rsidRPr="005A0E7C" w:rsidRDefault="00DD3EFA" w:rsidP="00B15ECB">
            <w:pPr>
              <w:spacing w:before="60" w:after="60"/>
              <w:rPr>
                <w:rFonts w:eastAsiaTheme="majorEastAsia"/>
              </w:rPr>
            </w:pPr>
            <w:r w:rsidRPr="005A0E7C">
              <w:rPr>
                <w:rFonts w:eastAsiaTheme="majorEastAsia"/>
                <w:b/>
              </w:rPr>
              <w:t>Specifické cíle ESF+:</w:t>
            </w:r>
            <w:r w:rsidRPr="005A0E7C">
              <w:rPr>
                <w:rFonts w:eastAsiaTheme="majorEastAsia"/>
              </w:rPr>
              <w:t xml:space="preserve"> </w:t>
            </w:r>
          </w:p>
          <w:p w14:paraId="45B3FBD1"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 xml:space="preserve">iii) prosazovat účast žen na trhu práce, lepší rovnováhu mezi prací a osobním životem – včetně přístupu k péči o děti, zdarvého a přiměřeného pracovního prostředí s ohledem na zdravotní rizika a přizpůsobení pracovníků, podniků a podnikatelů změnám – a aktivní a zdravé stárnutí – s ohledem na větší zapojení výzkumnic a usnadnění návratu výzkumníků a výzkumnic z rodičovské dovolené; </w:t>
            </w:r>
          </w:p>
          <w:p w14:paraId="24D0688E" w14:textId="77777777" w:rsidR="00DD3EFA" w:rsidRPr="005A0E7C" w:rsidRDefault="00DD3EFA" w:rsidP="00391907">
            <w:pPr>
              <w:pStyle w:val="Odstavecseseznamem"/>
              <w:numPr>
                <w:ilvl w:val="0"/>
                <w:numId w:val="2"/>
              </w:numPr>
              <w:spacing w:before="60" w:after="60"/>
              <w:rPr>
                <w:rFonts w:eastAsiaTheme="majorEastAsia"/>
              </w:rPr>
            </w:pPr>
            <w:r w:rsidRPr="005A0E7C">
              <w:rPr>
                <w:rFonts w:eastAsiaTheme="majorEastAsia"/>
              </w:rPr>
              <w:t xml:space="preserve">iv) zvýšit kvalitu, účinnost a relevantnost systémů vzdělávání a odborné přípravy na trhu práce, aby se podpořilo získávání klíčových kompetencí včetně digitálních dovedností; </w:t>
            </w:r>
          </w:p>
          <w:p w14:paraId="6A47CB14" w14:textId="77777777" w:rsidR="00DD3EFA" w:rsidRPr="005A0E7C" w:rsidRDefault="00DD3EFA" w:rsidP="00391907">
            <w:pPr>
              <w:pStyle w:val="Odstavecseseznamem"/>
              <w:numPr>
                <w:ilvl w:val="0"/>
                <w:numId w:val="2"/>
              </w:numPr>
              <w:spacing w:before="60" w:after="60"/>
              <w:rPr>
                <w:rFonts w:eastAsiaTheme="majorEastAsia"/>
                <w:i/>
              </w:rPr>
            </w:pPr>
            <w:r w:rsidRPr="005A0E7C">
              <w:rPr>
                <w:rFonts w:eastAsiaTheme="majorEastAsia"/>
              </w:rPr>
              <w:t xml:space="preserve">vi) podporovat celoživotní učení, zejména flexibilní možnosti rozšiřování dovedností a rekvalifikace pro všechny s ohledem na digitální dovednosti, lépe předvídat změny a nové požadavky na dovednosti vycházející z potřeb trhu práce, usnadnit přechody mezi zaměstnáními a podporovat profesní mobilitu, </w:t>
            </w:r>
          </w:p>
          <w:p w14:paraId="5F46A0A5" w14:textId="77777777" w:rsidR="00DD3EFA" w:rsidRPr="005A0E7C" w:rsidRDefault="00DD3EFA" w:rsidP="00B15ECB">
            <w:pPr>
              <w:spacing w:before="60" w:after="60"/>
              <w:rPr>
                <w:rFonts w:eastAsiaTheme="majorEastAsia"/>
                <w:i/>
              </w:rPr>
            </w:pPr>
            <w:r w:rsidRPr="005A0E7C">
              <w:rPr>
                <w:rFonts w:eastAsiaTheme="majorEastAsia"/>
              </w:rPr>
              <w:t>tak jak je uvedeno v nařízení ESF+, že prostřednictvím činností, které spadají pod složku ESF+, ESF+ přispívá rovněž k dalším cílům politiky, zejména inteligentnější Evropa tím, že budou rozvíjet i odbornou přípravu výzkumných pracovníků, navazování kontaktů a partnerství mezi vysokoškolskými institucemi, institucemi odborního vzdělávání a přípravy, výzkumnými a technologickými středisky a podniky a klastry.</w:t>
            </w:r>
            <w:r w:rsidRPr="005A0E7C">
              <w:rPr>
                <w:rFonts w:eastAsiaTheme="majorEastAsia"/>
                <w:i/>
              </w:rPr>
              <w:t xml:space="preserve"> </w:t>
            </w:r>
          </w:p>
        </w:tc>
        <w:tc>
          <w:tcPr>
            <w:tcW w:w="249" w:type="dxa"/>
            <w:tcBorders>
              <w:top w:val="nil"/>
              <w:bottom w:val="nil"/>
            </w:tcBorders>
            <w:shd w:val="clear" w:color="auto" w:fill="66CCFF"/>
          </w:tcPr>
          <w:p w14:paraId="338DC6BD" w14:textId="77777777" w:rsidR="00DD3EFA" w:rsidRPr="005A0E7C" w:rsidRDefault="00DD3EFA" w:rsidP="00B15ECB">
            <w:pPr>
              <w:rPr>
                <w:b/>
              </w:rPr>
            </w:pPr>
          </w:p>
        </w:tc>
      </w:tr>
      <w:tr w:rsidR="00DD3EFA" w:rsidRPr="005A0E7C" w14:paraId="3CD1876D" w14:textId="77777777" w:rsidTr="00B15ECB">
        <w:trPr>
          <w:trHeight w:val="1202"/>
        </w:trPr>
        <w:tc>
          <w:tcPr>
            <w:tcW w:w="249" w:type="dxa"/>
            <w:tcBorders>
              <w:top w:val="nil"/>
              <w:bottom w:val="nil"/>
            </w:tcBorders>
            <w:shd w:val="clear" w:color="auto" w:fill="66CCFF"/>
          </w:tcPr>
          <w:p w14:paraId="73A0033D"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5CA941CE"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SDR</w:t>
            </w:r>
          </w:p>
        </w:tc>
        <w:tc>
          <w:tcPr>
            <w:tcW w:w="5978" w:type="dxa"/>
            <w:tcBorders>
              <w:bottom w:val="single" w:sz="4" w:space="0" w:color="auto"/>
            </w:tcBorders>
            <w:shd w:val="clear" w:color="auto" w:fill="FFFFFF" w:themeFill="background1"/>
          </w:tcPr>
          <w:p w14:paraId="644E6568" w14:textId="77777777" w:rsidR="00DD3EFA" w:rsidRPr="005A0E7C" w:rsidRDefault="00DD3EFA" w:rsidP="00B15ECB">
            <w:pPr>
              <w:spacing w:before="60" w:after="60"/>
              <w:rPr>
                <w:rFonts w:eastAsiaTheme="majorEastAsia"/>
                <w:i/>
              </w:rPr>
            </w:pPr>
            <w:r w:rsidRPr="005A0E7C">
              <w:rPr>
                <w:rFonts w:eastAsiaTheme="majorEastAsia"/>
                <w:i/>
              </w:rPr>
              <w:t>Prosíme o doplnění, vazba na specifická doporučení Rady pro ČR (poslední aktuální).</w:t>
            </w:r>
          </w:p>
          <w:p w14:paraId="2E95445D" w14:textId="77777777" w:rsidR="00DD3EFA" w:rsidRPr="005A0E7C" w:rsidRDefault="00DD3EFA" w:rsidP="00B15ECB">
            <w:pPr>
              <w:spacing w:before="60" w:after="60"/>
            </w:pPr>
            <w:r w:rsidRPr="005A0E7C">
              <w:t xml:space="preserve">Specifický cíl NKR souvisí s doporučením CSR 2018, které vidí prostor pro zlepšení kvality veřejné vědecké základy v ČR a dále vidí prostor pro zlepšení výkonnosti veřejné vědecké základy pomocí opatření s cílem vytvářet vazby mezi vysokými školami a podniky. </w:t>
            </w:r>
          </w:p>
          <w:p w14:paraId="2F6C67BF"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CD4DA8F" w14:textId="77777777" w:rsidR="00DD3EFA" w:rsidRPr="005A0E7C" w:rsidRDefault="00DD3EFA" w:rsidP="00B15ECB">
            <w:pPr>
              <w:rPr>
                <w:b/>
              </w:rPr>
            </w:pPr>
          </w:p>
        </w:tc>
      </w:tr>
      <w:tr w:rsidR="00DD3EFA" w:rsidRPr="005A0E7C" w14:paraId="115D553A" w14:textId="77777777" w:rsidTr="00B15ECB">
        <w:trPr>
          <w:trHeight w:val="180"/>
        </w:trPr>
        <w:tc>
          <w:tcPr>
            <w:tcW w:w="249" w:type="dxa"/>
            <w:tcBorders>
              <w:top w:val="nil"/>
              <w:bottom w:val="nil"/>
              <w:right w:val="nil"/>
            </w:tcBorders>
            <w:shd w:val="clear" w:color="auto" w:fill="66CCFF"/>
          </w:tcPr>
          <w:p w14:paraId="4D453497" w14:textId="77777777" w:rsidR="00DD3EFA" w:rsidRPr="002D2123" w:rsidRDefault="00DD3EFA" w:rsidP="00B15ECB">
            <w:pPr>
              <w:rPr>
                <w:b/>
                <w:sz w:val="10"/>
                <w:szCs w:val="10"/>
              </w:rPr>
            </w:pPr>
          </w:p>
        </w:tc>
        <w:tc>
          <w:tcPr>
            <w:tcW w:w="2548" w:type="dxa"/>
            <w:tcBorders>
              <w:left w:val="nil"/>
              <w:right w:val="nil"/>
            </w:tcBorders>
            <w:shd w:val="clear" w:color="auto" w:fill="66CCFF"/>
          </w:tcPr>
          <w:p w14:paraId="72FF7672" w14:textId="77777777" w:rsidR="00DD3EFA" w:rsidRPr="002D2123" w:rsidRDefault="00DD3EFA" w:rsidP="00B15ECB">
            <w:pPr>
              <w:rPr>
                <w:b/>
                <w:sz w:val="10"/>
                <w:szCs w:val="10"/>
              </w:rPr>
            </w:pPr>
          </w:p>
        </w:tc>
        <w:tc>
          <w:tcPr>
            <w:tcW w:w="5978" w:type="dxa"/>
            <w:tcBorders>
              <w:left w:val="nil"/>
              <w:right w:val="nil"/>
            </w:tcBorders>
            <w:shd w:val="clear" w:color="auto" w:fill="66CCFF"/>
          </w:tcPr>
          <w:p w14:paraId="4D6FDB57" w14:textId="77777777" w:rsidR="00DD3EFA" w:rsidRPr="005A0E7C" w:rsidRDefault="00DD3EFA" w:rsidP="00B15ECB">
            <w:pPr>
              <w:rPr>
                <w:b/>
              </w:rPr>
            </w:pPr>
          </w:p>
        </w:tc>
        <w:tc>
          <w:tcPr>
            <w:tcW w:w="249" w:type="dxa"/>
            <w:tcBorders>
              <w:top w:val="nil"/>
              <w:left w:val="nil"/>
              <w:bottom w:val="nil"/>
            </w:tcBorders>
            <w:shd w:val="clear" w:color="auto" w:fill="66CCFF"/>
          </w:tcPr>
          <w:p w14:paraId="573E700C" w14:textId="77777777" w:rsidR="00DD3EFA" w:rsidRPr="005A0E7C" w:rsidRDefault="00DD3EFA" w:rsidP="00B15ECB">
            <w:pPr>
              <w:rPr>
                <w:b/>
              </w:rPr>
            </w:pPr>
          </w:p>
        </w:tc>
      </w:tr>
      <w:tr w:rsidR="00DD3EFA" w:rsidRPr="005A0E7C" w14:paraId="4D5FFE71" w14:textId="77777777" w:rsidTr="00B15ECB">
        <w:trPr>
          <w:trHeight w:val="938"/>
        </w:trPr>
        <w:tc>
          <w:tcPr>
            <w:tcW w:w="249" w:type="dxa"/>
            <w:tcBorders>
              <w:top w:val="nil"/>
              <w:bottom w:val="nil"/>
            </w:tcBorders>
            <w:shd w:val="clear" w:color="auto" w:fill="66CCFF"/>
          </w:tcPr>
          <w:p w14:paraId="449B55E1"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163A8157" w14:textId="77777777" w:rsidR="00DD3EFA" w:rsidRPr="002D2123" w:rsidRDefault="00DD3EFA" w:rsidP="00B15ECB">
            <w:pPr>
              <w:spacing w:before="60" w:after="60"/>
              <w:rPr>
                <w:rFonts w:eastAsiaTheme="majorEastAsia"/>
                <w:b/>
              </w:rPr>
            </w:pPr>
            <w:r w:rsidRPr="002D2123">
              <w:rPr>
                <w:rFonts w:eastAsiaTheme="majorEastAsia"/>
                <w:b/>
              </w:rPr>
              <w:t>Strategický dokument pro daný cíl pro období 2020+; v případě více dokumentů identifikujte strategii dominantní ve vztahu k cíli.</w:t>
            </w:r>
          </w:p>
          <w:p w14:paraId="5D80AFF5" w14:textId="77777777" w:rsidR="00DD3EFA" w:rsidRPr="002D2123"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2CEB438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588AD06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u w:val="single"/>
              </w:rPr>
            </w:pPr>
            <w:r w:rsidRPr="005A0E7C">
              <w:rPr>
                <w:rFonts w:ascii="Times New Roman" w:hAnsi="Times New Roman"/>
                <w:b/>
                <w:u w:val="single"/>
              </w:rPr>
              <w:t xml:space="preserve">Národní politika výzkumu, vývoje a inovací České republiky 2021+ </w:t>
            </w:r>
          </w:p>
          <w:p w14:paraId="606B2137" w14:textId="77777777" w:rsidR="00DD3EFA" w:rsidRPr="005A0E7C" w:rsidRDefault="00DD3EFA" w:rsidP="00391907">
            <w:pPr>
              <w:pStyle w:val="slovanodstavec"/>
              <w:numPr>
                <w:ilvl w:val="0"/>
                <w:numId w:val="73"/>
              </w:numPr>
              <w:tabs>
                <w:tab w:val="clear" w:pos="567"/>
                <w:tab w:val="left" w:pos="284"/>
              </w:tabs>
              <w:suppressAutoHyphens/>
              <w:spacing w:line="240" w:lineRule="auto"/>
              <w:ind w:left="356"/>
              <w:jc w:val="left"/>
              <w:rPr>
                <w:rFonts w:ascii="Times New Roman" w:hAnsi="Times New Roman"/>
                <w:b/>
                <w:u w:val="single"/>
              </w:rPr>
            </w:pPr>
            <w:r w:rsidRPr="005A0E7C">
              <w:rPr>
                <w:rFonts w:ascii="Times New Roman" w:hAnsi="Times New Roman"/>
              </w:rPr>
              <w:t xml:space="preserve">v období 2019 – VI/2020 bude připravena nová Národní politika výzkumu, vývoje a inovací České republiky pro období 2021+; dojde k realizaci kulatých stolů, projednávání s relevantními partnery </w:t>
            </w:r>
          </w:p>
          <w:p w14:paraId="08E63498" w14:textId="77777777" w:rsidR="00DD3EFA" w:rsidRPr="005A0E7C" w:rsidRDefault="00DD3EFA" w:rsidP="00391907">
            <w:pPr>
              <w:pStyle w:val="slovanodstavec"/>
              <w:numPr>
                <w:ilvl w:val="0"/>
                <w:numId w:val="73"/>
              </w:numPr>
              <w:tabs>
                <w:tab w:val="clear" w:pos="567"/>
                <w:tab w:val="left" w:pos="284"/>
              </w:tabs>
              <w:suppressAutoHyphens/>
              <w:spacing w:line="240" w:lineRule="auto"/>
              <w:ind w:left="356"/>
              <w:jc w:val="left"/>
              <w:rPr>
                <w:rFonts w:ascii="Times New Roman" w:hAnsi="Times New Roman"/>
                <w:b/>
                <w:u w:val="single"/>
              </w:rPr>
            </w:pPr>
            <w:r w:rsidRPr="005A0E7C">
              <w:rPr>
                <w:rFonts w:ascii="Times New Roman" w:hAnsi="Times New Roman"/>
              </w:rPr>
              <w:t xml:space="preserve">VI/2020 dojde ke schválení nového strategického dokumentu vládou ČR </w:t>
            </w:r>
          </w:p>
          <w:p w14:paraId="027C572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u w:val="single"/>
              </w:rPr>
            </w:pPr>
            <w:r w:rsidRPr="005A0E7C">
              <w:rPr>
                <w:rFonts w:ascii="Times New Roman" w:hAnsi="Times New Roman"/>
                <w:b/>
                <w:u w:val="single"/>
              </w:rPr>
              <w:t>Národní výzkumná a inovační strategie pro inteligentní specializaci 2021+</w:t>
            </w:r>
          </w:p>
          <w:p w14:paraId="77275165" w14:textId="77777777" w:rsidR="00DD3EFA" w:rsidRPr="005A0E7C" w:rsidRDefault="00DD3EFA" w:rsidP="00391907">
            <w:pPr>
              <w:pStyle w:val="slovanodstavec"/>
              <w:numPr>
                <w:ilvl w:val="0"/>
                <w:numId w:val="2"/>
              </w:numPr>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u w:val="single"/>
              </w:rPr>
              <w:t>v období III/2019 – III/2020 bude realizována veřejná zakázka na vypracování nové vstupní analýzy bariér aplikovaného a orientovaného výzkumu, experimentálního vývoje a inovací v České republice a návrh implementace nastavených opatření v programovém období 2021 – 2027</w:t>
            </w:r>
          </w:p>
          <w:p w14:paraId="3A6A89AD" w14:textId="77777777" w:rsidR="00DD3EFA" w:rsidRPr="005A0E7C" w:rsidRDefault="00DD3EFA" w:rsidP="00391907">
            <w:pPr>
              <w:pStyle w:val="slovanodstavec"/>
              <w:numPr>
                <w:ilvl w:val="0"/>
                <w:numId w:val="2"/>
              </w:numPr>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u w:val="single"/>
              </w:rPr>
              <w:t>VI/2019 - předání předběžného konceptu v zadané struktuře; XI/2019 - předání předběžného závěrečného dokumentu; III/2020 - předání finálních výstupů (zástupce MMR-NOK bude členem pracovní expertní skupiny, která bude odborným garantem veřejné zakázky)</w:t>
            </w:r>
          </w:p>
          <w:p w14:paraId="243097AD" w14:textId="77777777" w:rsidR="00DD3EFA" w:rsidRPr="005A0E7C" w:rsidRDefault="00DD3EFA" w:rsidP="00391907">
            <w:pPr>
              <w:pStyle w:val="slovanodstavec"/>
              <w:numPr>
                <w:ilvl w:val="0"/>
                <w:numId w:val="2"/>
              </w:numPr>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u w:val="single"/>
              </w:rPr>
              <w:t>IV/2020 – VIII/2020: kompletace výsledné Národní RIS3 strategie 2021+ (propojení horizontálních a vertikálních cílů; nastavení pravidel vertikalizace; úprava evaluačních a monitorovacích mechanismů; ukotvení priorit z krajské úrovně)</w:t>
            </w:r>
          </w:p>
          <w:p w14:paraId="77379BEA" w14:textId="77777777" w:rsidR="00DD3EFA" w:rsidRPr="005A0E7C" w:rsidRDefault="00DD3EFA" w:rsidP="00391907">
            <w:pPr>
              <w:pStyle w:val="slovanodstavec"/>
              <w:numPr>
                <w:ilvl w:val="0"/>
                <w:numId w:val="2"/>
              </w:numPr>
              <w:tabs>
                <w:tab w:val="clear" w:pos="567"/>
                <w:tab w:val="left" w:pos="284"/>
              </w:tabs>
              <w:suppressAutoHyphens/>
              <w:spacing w:line="240" w:lineRule="auto"/>
              <w:jc w:val="left"/>
              <w:rPr>
                <w:rFonts w:ascii="Times New Roman" w:hAnsi="Times New Roman"/>
                <w:u w:val="single"/>
              </w:rPr>
            </w:pPr>
            <w:r w:rsidRPr="005A0E7C">
              <w:rPr>
                <w:rFonts w:ascii="Times New Roman" w:hAnsi="Times New Roman"/>
                <w:u w:val="single"/>
              </w:rPr>
              <w:t>IX – XII/2020 schvalovací proces</w:t>
            </w:r>
          </w:p>
          <w:p w14:paraId="2B65589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6A03968E" w14:textId="77777777" w:rsidR="00DD3EFA" w:rsidRPr="005A0E7C" w:rsidRDefault="00DD3EFA" w:rsidP="00B15ECB">
            <w:pPr>
              <w:rPr>
                <w:b/>
              </w:rPr>
            </w:pPr>
            <w:r w:rsidRPr="005A0E7C">
              <w:rPr>
                <w:b/>
              </w:rPr>
              <w:t>Národní politika výzkumu, vývoje a inovací České republiky pro roky 2016-2020</w:t>
            </w:r>
          </w:p>
          <w:p w14:paraId="26B3A44C" w14:textId="77777777" w:rsidR="00DD3EFA" w:rsidRPr="005A0E7C" w:rsidRDefault="00DD3EFA" w:rsidP="00391907">
            <w:pPr>
              <w:pStyle w:val="Odstavecseseznamem"/>
              <w:numPr>
                <w:ilvl w:val="0"/>
                <w:numId w:val="64"/>
              </w:numPr>
              <w:jc w:val="both"/>
            </w:pPr>
            <w:r w:rsidRPr="005A0E7C">
              <w:t>V roce 2018 proběhlo vyhodnocení NP VaVaI a aktualizace stávajícího dokumentu</w:t>
            </w:r>
          </w:p>
          <w:p w14:paraId="54B2C1DD" w14:textId="77777777" w:rsidR="00DD3EFA" w:rsidRPr="005A0E7C" w:rsidRDefault="00DD3EFA" w:rsidP="00391907">
            <w:pPr>
              <w:pStyle w:val="Odstavecseseznamem"/>
              <w:numPr>
                <w:ilvl w:val="0"/>
                <w:numId w:val="64"/>
              </w:numPr>
              <w:jc w:val="both"/>
            </w:pPr>
            <w:r w:rsidRPr="005A0E7C">
              <w:t>V období 2019 – 2020 bude připravována nová národní politika pro navazující období od roku 2021 – navazující na NP VaVaI, která bude pokrývat celé budoucí programové období</w:t>
            </w:r>
          </w:p>
          <w:p w14:paraId="68C41559" w14:textId="77777777" w:rsidR="00DD3EFA" w:rsidRPr="005A0E7C" w:rsidRDefault="00DD3EFA" w:rsidP="00B15ECB">
            <w:pPr>
              <w:rPr>
                <w:b/>
              </w:rPr>
            </w:pPr>
            <w:r w:rsidRPr="005A0E7C">
              <w:rPr>
                <w:b/>
              </w:rPr>
              <w:t>Národní výzkumná a inovační strategie pro inteligentní specializaci (2014-2020)</w:t>
            </w:r>
          </w:p>
          <w:p w14:paraId="4573DDE9" w14:textId="77777777" w:rsidR="00DD3EFA" w:rsidRPr="005A0E7C" w:rsidRDefault="00DD3EFA" w:rsidP="00391907">
            <w:pPr>
              <w:pStyle w:val="Odstavecseseznamem"/>
              <w:numPr>
                <w:ilvl w:val="0"/>
                <w:numId w:val="65"/>
              </w:numPr>
              <w:jc w:val="both"/>
            </w:pPr>
            <w:r w:rsidRPr="005A0E7C">
              <w:t>V roce 2018 proběhla poslední aktualizace dokumentu</w:t>
            </w:r>
          </w:p>
          <w:p w14:paraId="091500AD" w14:textId="77777777" w:rsidR="00DD3EFA" w:rsidRPr="005A0E7C" w:rsidRDefault="00DD3EFA" w:rsidP="00391907">
            <w:pPr>
              <w:pStyle w:val="Odstavecseseznamem"/>
              <w:numPr>
                <w:ilvl w:val="0"/>
                <w:numId w:val="65"/>
              </w:numPr>
              <w:jc w:val="both"/>
            </w:pPr>
          </w:p>
          <w:p w14:paraId="05C795D6" w14:textId="77777777" w:rsidR="00DD3EFA" w:rsidRPr="005A0E7C" w:rsidRDefault="00DD3EFA" w:rsidP="00B15ECB">
            <w:pPr>
              <w:rPr>
                <w:b/>
              </w:rPr>
            </w:pPr>
            <w:r w:rsidRPr="005A0E7C">
              <w:rPr>
                <w:b/>
              </w:rPr>
              <w:t>Inovační strategie ČR 2019-2030</w:t>
            </w:r>
          </w:p>
          <w:p w14:paraId="54CBF3EE" w14:textId="77777777" w:rsidR="00DD3EFA" w:rsidRPr="005A0E7C" w:rsidRDefault="00DD3EFA" w:rsidP="00391907">
            <w:pPr>
              <w:pStyle w:val="Odstavecseseznamem"/>
              <w:numPr>
                <w:ilvl w:val="0"/>
                <w:numId w:val="77"/>
              </w:numPr>
              <w:jc w:val="both"/>
            </w:pPr>
            <w:r w:rsidRPr="005A0E7C">
              <w:t>Dokument schválen vládou ČR 4. 2. 2019</w:t>
            </w:r>
          </w:p>
          <w:p w14:paraId="2F59CC5A" w14:textId="77777777" w:rsidR="00DD3EFA" w:rsidRPr="005A0E7C" w:rsidRDefault="00DD3EFA" w:rsidP="00391907">
            <w:pPr>
              <w:pStyle w:val="Odstavecseseznamem"/>
              <w:numPr>
                <w:ilvl w:val="0"/>
                <w:numId w:val="77"/>
              </w:numPr>
              <w:jc w:val="both"/>
            </w:pPr>
            <w:r w:rsidRPr="005A0E7C">
              <w:t xml:space="preserve">Očekávaná každoroční příprava akčních plánů jako prováděcích dokumentů strategie a jejich vyhodnocování </w:t>
            </w:r>
          </w:p>
          <w:p w14:paraId="230158D6" w14:textId="77777777" w:rsidR="00DD3EFA" w:rsidRPr="005A0E7C" w:rsidRDefault="00DD3EFA" w:rsidP="00B15ECB">
            <w:pPr>
              <w:rPr>
                <w:b/>
              </w:rPr>
            </w:pPr>
            <w:r w:rsidRPr="005A0E7C">
              <w:rPr>
                <w:b/>
              </w:rPr>
              <w:t xml:space="preserve">Národní priority orientovaného výzkumu, experimentálního vývoje a inovací </w:t>
            </w:r>
          </w:p>
          <w:p w14:paraId="05B9CFCE" w14:textId="77777777" w:rsidR="00DD3EFA" w:rsidRPr="005A0E7C" w:rsidRDefault="00DD3EFA" w:rsidP="00391907">
            <w:pPr>
              <w:pStyle w:val="Odstavecseseznamem"/>
              <w:numPr>
                <w:ilvl w:val="1"/>
                <w:numId w:val="67"/>
              </w:numPr>
              <w:ind w:left="781"/>
              <w:jc w:val="both"/>
            </w:pPr>
            <w:r w:rsidRPr="005A0E7C">
              <w:t xml:space="preserve">Dokument je platný na období 2012-2030 </w:t>
            </w:r>
          </w:p>
          <w:p w14:paraId="4465BEF1" w14:textId="77777777" w:rsidR="00DD3EFA" w:rsidRPr="005A0E7C" w:rsidRDefault="00DD3EFA" w:rsidP="00391907">
            <w:pPr>
              <w:pStyle w:val="Odstavecseseznamem"/>
              <w:numPr>
                <w:ilvl w:val="1"/>
                <w:numId w:val="67"/>
              </w:numPr>
              <w:ind w:left="781"/>
              <w:jc w:val="both"/>
            </w:pPr>
            <w:r w:rsidRPr="005A0E7C">
              <w:t>V současné době se neplánuje aktualizace tohoto dokumentu v nejbližší době</w:t>
            </w:r>
          </w:p>
          <w:p w14:paraId="0E5B0ABB" w14:textId="77777777" w:rsidR="00DD3EFA" w:rsidRPr="005A0E7C" w:rsidRDefault="00DD3EFA" w:rsidP="00B15ECB">
            <w:pPr>
              <w:rPr>
                <w:b/>
              </w:rPr>
            </w:pPr>
            <w:r w:rsidRPr="005A0E7C">
              <w:rPr>
                <w:b/>
              </w:rPr>
              <w:t xml:space="preserve">Strategie mezinárodní konkurenceschopnosti České republiky pro období 2012 až 2020  </w:t>
            </w:r>
          </w:p>
          <w:p w14:paraId="55B75FFB" w14:textId="77777777" w:rsidR="00DD3EFA" w:rsidRPr="005A0E7C" w:rsidRDefault="00DD3EFA" w:rsidP="00391907">
            <w:pPr>
              <w:pStyle w:val="Odstavecseseznamem"/>
              <w:numPr>
                <w:ilvl w:val="0"/>
                <w:numId w:val="68"/>
              </w:numPr>
              <w:jc w:val="both"/>
            </w:pPr>
            <w:r w:rsidRPr="005A0E7C">
              <w:t>V současné době se neplánuje aktualizace tohoto dokumentu v nejbližší době</w:t>
            </w:r>
          </w:p>
          <w:p w14:paraId="76E9F4ED" w14:textId="77777777" w:rsidR="00DD3EFA" w:rsidRPr="005A0E7C" w:rsidRDefault="00DD3EFA" w:rsidP="00B15ECB">
            <w:pPr>
              <w:keepNext/>
              <w:rPr>
                <w:rStyle w:val="Siln"/>
                <w:b w:val="0"/>
              </w:rPr>
            </w:pPr>
            <w:r w:rsidRPr="005A0E7C">
              <w:rPr>
                <w:rStyle w:val="Siln"/>
              </w:rPr>
              <w:t>Národní ERA Roadmap ČR pro léta 2016-2020</w:t>
            </w:r>
          </w:p>
          <w:p w14:paraId="086612A6" w14:textId="77777777" w:rsidR="00DD3EFA" w:rsidRPr="005A0E7C" w:rsidRDefault="00DD3EFA" w:rsidP="00391907">
            <w:pPr>
              <w:pStyle w:val="Odstavecseseznamem"/>
              <w:keepNext/>
              <w:numPr>
                <w:ilvl w:val="1"/>
                <w:numId w:val="23"/>
              </w:numPr>
              <w:ind w:left="781"/>
              <w:jc w:val="both"/>
              <w:rPr>
                <w:rStyle w:val="Siln"/>
                <w:b w:val="0"/>
                <w:bCs w:val="0"/>
              </w:rPr>
            </w:pPr>
            <w:r w:rsidRPr="005A0E7C">
              <w:t>V současné době se neplánuje aktualizace tohoto dokumentu v nejbližší době</w:t>
            </w:r>
          </w:p>
          <w:p w14:paraId="4EE6292B" w14:textId="77777777" w:rsidR="00DD3EFA" w:rsidRPr="005A0E7C" w:rsidRDefault="00DD3EFA" w:rsidP="00B15ECB">
            <w:pPr>
              <w:rPr>
                <w:rStyle w:val="Siln"/>
                <w:b w:val="0"/>
                <w:bCs w:val="0"/>
              </w:rPr>
            </w:pPr>
            <w:r w:rsidRPr="005A0E7C">
              <w:rPr>
                <w:rStyle w:val="Siln"/>
              </w:rPr>
              <w:t>Cestovní mapa ČR velkých výzkumných infrastruktur pro léta 2016 až 2022</w:t>
            </w:r>
          </w:p>
          <w:p w14:paraId="6EC63FAB" w14:textId="77777777" w:rsidR="00DD3EFA" w:rsidRPr="005A0E7C" w:rsidRDefault="00DD3EFA" w:rsidP="00391907">
            <w:pPr>
              <w:pStyle w:val="Odstavecseseznamem"/>
              <w:numPr>
                <w:ilvl w:val="0"/>
                <w:numId w:val="66"/>
              </w:numPr>
              <w:jc w:val="both"/>
              <w:rPr>
                <w:rStyle w:val="Siln"/>
                <w:b w:val="0"/>
                <w:bCs w:val="0"/>
              </w:rPr>
            </w:pPr>
            <w:r w:rsidRPr="005A0E7C">
              <w:rPr>
                <w:rStyle w:val="Siln"/>
              </w:rPr>
              <w:t>Aktualizace dokumentu proběhne v roce 2018-2019, na základě hodnocení, které proběhlo v roce 2017</w:t>
            </w:r>
          </w:p>
          <w:p w14:paraId="46857649" w14:textId="77777777" w:rsidR="00DD3EFA" w:rsidRPr="005A0E7C" w:rsidRDefault="00DD3EFA" w:rsidP="00391907">
            <w:pPr>
              <w:pStyle w:val="Odstavecseseznamem"/>
              <w:numPr>
                <w:ilvl w:val="0"/>
                <w:numId w:val="66"/>
              </w:numPr>
              <w:jc w:val="both"/>
              <w:rPr>
                <w:rStyle w:val="Siln"/>
                <w:b w:val="0"/>
                <w:bCs w:val="0"/>
              </w:rPr>
            </w:pPr>
            <w:r w:rsidRPr="005A0E7C">
              <w:rPr>
                <w:rStyle w:val="Siln"/>
              </w:rPr>
              <w:t xml:space="preserve">Předpokládá se zrušení časového omezení dokumentu během chystané aktualizace. Následně bude docházet k pravidelné aktualizaci dokumentu. </w:t>
            </w:r>
          </w:p>
          <w:p w14:paraId="0917AF68" w14:textId="77777777" w:rsidR="00DD3EFA" w:rsidRPr="005A0E7C" w:rsidRDefault="00DD3EFA" w:rsidP="00B15ECB">
            <w:pPr>
              <w:rPr>
                <w:b/>
              </w:rPr>
            </w:pPr>
            <w:r w:rsidRPr="005A0E7C">
              <w:rPr>
                <w:b/>
              </w:rPr>
              <w:t>Akční plán rozvoje lidských zdrojů pro výzkum, vývoj a inovace a genderové rovnosti ve výzkumu, vývoji a inovacích v ČR na léta 2018-2020</w:t>
            </w:r>
          </w:p>
          <w:p w14:paraId="6CB0D6EF" w14:textId="77777777" w:rsidR="00DD3EFA" w:rsidRPr="005A0E7C" w:rsidRDefault="00DD3EFA" w:rsidP="00391907">
            <w:pPr>
              <w:pStyle w:val="Odstavecseseznamem"/>
              <w:numPr>
                <w:ilvl w:val="1"/>
                <w:numId w:val="23"/>
              </w:numPr>
              <w:ind w:left="639"/>
              <w:jc w:val="both"/>
            </w:pPr>
            <w:r w:rsidRPr="005A0E7C">
              <w:t xml:space="preserve">Předpokládá se začlenění problematiky do nové Národní politiky VaVaI na navazující období </w:t>
            </w:r>
          </w:p>
          <w:p w14:paraId="57328AD4" w14:textId="77777777" w:rsidR="00DD3EFA" w:rsidRPr="005A0E7C" w:rsidRDefault="00DD3EFA" w:rsidP="00B15ECB">
            <w:pPr>
              <w:rPr>
                <w:b/>
              </w:rPr>
            </w:pPr>
            <w:r w:rsidRPr="005A0E7C">
              <w:rPr>
                <w:b/>
              </w:rPr>
              <w:t>Akční plán rozvoje mezinárodní spolupráce ČR ve výzkumu a vývoji a internacionalizace prostředí výzkumu a vývoje v ČR na léta 2017-2020</w:t>
            </w:r>
          </w:p>
          <w:p w14:paraId="4904D888" w14:textId="77777777" w:rsidR="00DD3EFA" w:rsidRPr="005A0E7C" w:rsidRDefault="00DD3EFA" w:rsidP="00391907">
            <w:pPr>
              <w:pStyle w:val="Odstavecseseznamem"/>
              <w:numPr>
                <w:ilvl w:val="1"/>
                <w:numId w:val="23"/>
              </w:numPr>
              <w:ind w:left="639"/>
              <w:jc w:val="both"/>
            </w:pPr>
            <w:r w:rsidRPr="005A0E7C">
              <w:t xml:space="preserve">Předpokládá se začlenění problematiky do nové Národní politiky VaVaI na navazující období </w:t>
            </w:r>
          </w:p>
          <w:p w14:paraId="59F3BA5D" w14:textId="77777777" w:rsidR="00DD3EFA" w:rsidRPr="005A0E7C" w:rsidRDefault="00DD3EFA" w:rsidP="00B15ECB">
            <w:pPr>
              <w:rPr>
                <w:b/>
              </w:rPr>
            </w:pPr>
            <w:r w:rsidRPr="005A0E7C">
              <w:rPr>
                <w:b/>
              </w:rPr>
              <w:t>Dlouhodobý záměr vzdělávací a vědecké, výzkumné, vývojové a inovační, umělecké a další tvůrčí činnosti pro oblast vysokých škol na období 2016-2020</w:t>
            </w:r>
          </w:p>
          <w:p w14:paraId="76415D45" w14:textId="77777777" w:rsidR="00DD3EFA" w:rsidRPr="005A0E7C" w:rsidRDefault="00DD3EFA" w:rsidP="00391907">
            <w:pPr>
              <w:pStyle w:val="Odstavecseseznamem"/>
              <w:numPr>
                <w:ilvl w:val="1"/>
                <w:numId w:val="23"/>
              </w:numPr>
              <w:ind w:left="639"/>
              <w:jc w:val="both"/>
            </w:pPr>
            <w:r w:rsidRPr="005A0E7C">
              <w:t xml:space="preserve">Příprava nového dokumentu na navazující období se bude připravovat v roce 2019 </w:t>
            </w:r>
          </w:p>
          <w:p w14:paraId="44A417F4" w14:textId="77777777" w:rsidR="00DD3EFA" w:rsidRPr="005A0E7C" w:rsidRDefault="00DD3EFA" w:rsidP="00B15ECB">
            <w:pPr>
              <w:rPr>
                <w:b/>
              </w:rPr>
            </w:pPr>
            <w:r w:rsidRPr="005A0E7C">
              <w:rPr>
                <w:b/>
              </w:rPr>
              <w:t xml:space="preserve">Iniciativa Průmysl 4.0 </w:t>
            </w:r>
          </w:p>
          <w:p w14:paraId="6637B717" w14:textId="77777777" w:rsidR="00DD3EFA" w:rsidRPr="005A0E7C" w:rsidRDefault="00DD3EFA" w:rsidP="00391907">
            <w:pPr>
              <w:pStyle w:val="Odstavecseseznamem"/>
              <w:numPr>
                <w:ilvl w:val="1"/>
                <w:numId w:val="23"/>
              </w:numPr>
              <w:ind w:left="639"/>
              <w:jc w:val="both"/>
              <w:rPr>
                <w:u w:val="single"/>
              </w:rPr>
            </w:pPr>
            <w:r w:rsidRPr="005A0E7C">
              <w:rPr>
                <w:u w:val="single"/>
              </w:rPr>
              <w:t>Dokument schválen v roce 2016</w:t>
            </w:r>
          </w:p>
        </w:tc>
        <w:tc>
          <w:tcPr>
            <w:tcW w:w="249" w:type="dxa"/>
            <w:tcBorders>
              <w:top w:val="nil"/>
              <w:bottom w:val="nil"/>
            </w:tcBorders>
            <w:shd w:val="clear" w:color="auto" w:fill="66CCFF"/>
          </w:tcPr>
          <w:p w14:paraId="0277EA31" w14:textId="77777777" w:rsidR="00DD3EFA" w:rsidRPr="005A0E7C" w:rsidRDefault="00DD3EFA" w:rsidP="00B15ECB">
            <w:pPr>
              <w:rPr>
                <w:b/>
              </w:rPr>
            </w:pPr>
          </w:p>
        </w:tc>
      </w:tr>
      <w:tr w:rsidR="00DD3EFA" w:rsidRPr="005A0E7C" w14:paraId="7B74FC5C" w14:textId="77777777" w:rsidTr="00B15ECB">
        <w:trPr>
          <w:trHeight w:val="938"/>
        </w:trPr>
        <w:tc>
          <w:tcPr>
            <w:tcW w:w="249" w:type="dxa"/>
            <w:tcBorders>
              <w:top w:val="nil"/>
              <w:bottom w:val="nil"/>
            </w:tcBorders>
            <w:shd w:val="clear" w:color="auto" w:fill="66CCFF"/>
          </w:tcPr>
          <w:p w14:paraId="76B10812"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08F9547" w14:textId="77777777" w:rsidR="00DD3EFA" w:rsidRPr="002D2123" w:rsidRDefault="00DD3EFA" w:rsidP="00391907">
            <w:pPr>
              <w:pStyle w:val="Odstavecseseznamem"/>
              <w:numPr>
                <w:ilvl w:val="0"/>
                <w:numId w:val="3"/>
              </w:numPr>
              <w:spacing w:before="60" w:after="60"/>
              <w:rPr>
                <w:rFonts w:eastAsiaTheme="majorEastAsia"/>
                <w:b/>
              </w:rPr>
            </w:pPr>
            <w:r w:rsidRPr="002D2123">
              <w:rPr>
                <w:rFonts w:eastAsiaTheme="majorEastAsia"/>
                <w:b/>
              </w:rPr>
              <w:t>analýza problémů a potřeb</w:t>
            </w:r>
          </w:p>
          <w:p w14:paraId="1F5E664A"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386DFC8" w14:textId="77777777" w:rsidR="00DD3EFA" w:rsidRPr="005A0E7C" w:rsidRDefault="00DD3EFA" w:rsidP="00B15ECB">
            <w:pPr>
              <w:rPr>
                <w:b/>
              </w:rPr>
            </w:pPr>
            <w:r w:rsidRPr="005A0E7C">
              <w:rPr>
                <w:b/>
              </w:rPr>
              <w:t>Národní politika výzkumu, vývoje a inovací České republiky pro roky 2016-2020</w:t>
            </w:r>
          </w:p>
          <w:p w14:paraId="6843B1CA" w14:textId="77777777" w:rsidR="00DD3EFA" w:rsidRPr="005A0E7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aktualizace 2019-2020 proběhla především na základě analytických dokumentů Analýza stavu výzkumu, vývoje a inovací v ČR a jejich srovnání se zahraničím v roce 2017, statistických dat, European Innovation Scoreboard, Global Innovation Index a Innovation Output Indicator. </w:t>
            </w:r>
          </w:p>
          <w:p w14:paraId="0808887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b/>
              </w:rPr>
              <w:t>Národní výzkumná a inovační strategie pro inteligentní specializaci (2014 – 2020), aktualizace 2018:</w:t>
            </w:r>
          </w:p>
          <w:p w14:paraId="4A66D7A6"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eastAsiaTheme="minorHAnsi" w:hAnsi="Times New Roman"/>
                <w:noProof/>
              </w:rPr>
            </w:pPr>
            <w:r w:rsidRPr="005A0E7C">
              <w:rPr>
                <w:rFonts w:ascii="Times New Roman" w:hAnsi="Times New Roman"/>
              </w:rPr>
              <w:t>východiska: hodnocení konkurenceschopnosti - pořadí v kvalitě podmínek pro podnikání, nejproblematičtější faktory pro podnikání, podíl vysoce znalostních odvětví a služeb na celkové zaměstnanosti; struktura výdajů na HDP a jeho průměrný reálný roční růst, stav přímých zahraničních investic, struktura exportu; světové trendy - globalizace a rozložení znalostní sítě, globální spotřební megatrendy (zdrojové napětí planety, technologie pro budoucnost, urbanizace světa, nové stárnutí, ad.).</w:t>
            </w:r>
          </w:p>
          <w:p w14:paraId="666BE686"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eastAsiaTheme="minorHAnsi" w:hAnsi="Times New Roman"/>
                <w:noProof/>
              </w:rPr>
            </w:pPr>
            <w:r w:rsidRPr="005A0E7C">
              <w:rPr>
                <w:rFonts w:ascii="Times New Roman" w:eastAsiaTheme="minorHAnsi" w:hAnsi="Times New Roman"/>
                <w:noProof/>
              </w:rPr>
              <w:t xml:space="preserve">problémový okruh Výzkum a vývoj (Nevyrovnaná kvalita veřejného výzkumu; Rizika digitální agendy ve veřejném výzkumu; Nízká </w:t>
            </w:r>
            <w:r w:rsidRPr="005A0E7C">
              <w:rPr>
                <w:rFonts w:ascii="Times New Roman" w:hAnsi="Times New Roman"/>
              </w:rPr>
              <w:t>r</w:t>
            </w:r>
            <w:r w:rsidRPr="005A0E7C">
              <w:rPr>
                <w:rFonts w:ascii="Times New Roman" w:eastAsiaTheme="minorHAnsi" w:hAnsi="Times New Roman"/>
                <w:noProof/>
              </w:rPr>
              <w:t>elevance a m</w:t>
            </w:r>
            <w:r w:rsidRPr="005A0E7C">
              <w:rPr>
                <w:rFonts w:ascii="Times New Roman" w:eastAsiaTheme="minorHAnsi" w:hAnsi="Times New Roman"/>
              </w:rPr>
              <w:t>álo rozvinutá spolupráce veřej</w:t>
            </w:r>
            <w:r w:rsidRPr="005A0E7C">
              <w:rPr>
                <w:rFonts w:ascii="Times New Roman" w:eastAsiaTheme="minorHAnsi" w:hAnsi="Times New Roman"/>
                <w:noProof/>
              </w:rPr>
              <w:t>ného výzkumu s aplikační sférou;</w:t>
            </w:r>
            <w:r w:rsidRPr="005A0E7C">
              <w:rPr>
                <w:rFonts w:ascii="Times New Roman" w:eastAsiaTheme="minorHAnsi" w:hAnsi="Times New Roman"/>
              </w:rPr>
              <w:t xml:space="preserve"> Nedostatečná mezinárodní otevřenost</w:t>
            </w:r>
            <w:r w:rsidRPr="005A0E7C">
              <w:rPr>
                <w:rFonts w:ascii="Times New Roman" w:eastAsiaTheme="minorHAnsi" w:hAnsi="Times New Roman"/>
                <w:noProof/>
              </w:rPr>
              <w:t xml:space="preserve">; Nedostatky v řízení a správě v oblasti politiky VaVaI) a problémový okruh Lidské zdroje (Nefunkční systém identifikace talentů a práce s nimi; </w:t>
            </w:r>
            <w:r w:rsidRPr="005A0E7C">
              <w:rPr>
                <w:rFonts w:ascii="Times New Roman" w:eastAsiaTheme="minorHAnsi" w:hAnsi="Times New Roman"/>
              </w:rPr>
              <w:t>Nedostatek kvalitních lidských zdrojů pro výzkum a vývoj</w:t>
            </w:r>
            <w:r w:rsidRPr="005A0E7C">
              <w:rPr>
                <w:rFonts w:ascii="Times New Roman" w:eastAsiaTheme="minorHAnsi" w:hAnsi="Times New Roman"/>
                <w:noProof/>
              </w:rPr>
              <w:t xml:space="preserve">; Průměrná kvalita výstupů vzdělávacího systému; Nedostatečná podpora digitální agendy v lidských zdrojích) </w:t>
            </w:r>
          </w:p>
          <w:p w14:paraId="5477A01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Celá kapitola 4 Národní výzkumné a inovační strategie pro inteligentní specializaci (2014-2020), aktualizace 2018 se věnuje analýze problémů a potřeb relevantních pro tento specifický cíl. </w:t>
            </w:r>
          </w:p>
        </w:tc>
        <w:tc>
          <w:tcPr>
            <w:tcW w:w="249" w:type="dxa"/>
            <w:tcBorders>
              <w:top w:val="nil"/>
              <w:bottom w:val="nil"/>
            </w:tcBorders>
            <w:shd w:val="clear" w:color="auto" w:fill="66CCFF"/>
          </w:tcPr>
          <w:p w14:paraId="0C462E90" w14:textId="77777777" w:rsidR="00DD3EFA" w:rsidRPr="005A0E7C" w:rsidRDefault="00DD3EFA" w:rsidP="00B15ECB">
            <w:pPr>
              <w:rPr>
                <w:b/>
              </w:rPr>
            </w:pPr>
          </w:p>
        </w:tc>
      </w:tr>
      <w:tr w:rsidR="00DD3EFA" w:rsidRPr="005A0E7C" w14:paraId="7E32540B" w14:textId="77777777" w:rsidTr="00B15ECB">
        <w:trPr>
          <w:trHeight w:val="938"/>
        </w:trPr>
        <w:tc>
          <w:tcPr>
            <w:tcW w:w="249" w:type="dxa"/>
            <w:tcBorders>
              <w:top w:val="nil"/>
              <w:bottom w:val="nil"/>
            </w:tcBorders>
            <w:shd w:val="clear" w:color="auto" w:fill="66CCFF"/>
          </w:tcPr>
          <w:p w14:paraId="52026283"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408A16A1" w14:textId="77777777" w:rsidR="00DD3EFA" w:rsidRPr="002D2123" w:rsidRDefault="00DD3EFA" w:rsidP="00391907">
            <w:pPr>
              <w:pStyle w:val="Odstavecseseznamem"/>
              <w:numPr>
                <w:ilvl w:val="0"/>
                <w:numId w:val="3"/>
              </w:numPr>
              <w:spacing w:before="60" w:after="60"/>
              <w:rPr>
                <w:rFonts w:eastAsiaTheme="majorEastAsia"/>
                <w:b/>
              </w:rPr>
            </w:pPr>
            <w:r w:rsidRPr="002D2123">
              <w:rPr>
                <w:rFonts w:eastAsiaTheme="majorEastAsia"/>
                <w:b/>
              </w:rPr>
              <w:t>jasně definované cíle a opatření</w:t>
            </w:r>
          </w:p>
          <w:p w14:paraId="0C92EC91"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B8A347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i/>
              </w:rPr>
              <w:t>Prosíme, doplnit základní údaje z hlavní, případně ostatních strategických dokumentů daných pro tento specifický cíl.</w:t>
            </w:r>
          </w:p>
          <w:p w14:paraId="000C99FF" w14:textId="77777777" w:rsidR="00DD3EFA" w:rsidRPr="005A0E7C" w:rsidRDefault="00DD3EFA" w:rsidP="00B15ECB">
            <w:pPr>
              <w:rPr>
                <w:b/>
              </w:rPr>
            </w:pPr>
            <w:r w:rsidRPr="005A0E7C">
              <w:rPr>
                <w:b/>
              </w:rPr>
              <w:t>Národní politika výzkumu, vývoje a inovací České republiky pro roky 2016-2020</w:t>
            </w:r>
          </w:p>
          <w:p w14:paraId="7E7C8567" w14:textId="77777777" w:rsidR="00DD3EFA" w:rsidRPr="005A0E7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b/>
              </w:rPr>
            </w:pPr>
            <w:r w:rsidRPr="005A0E7C">
              <w:rPr>
                <w:rFonts w:ascii="Times New Roman" w:hAnsi="Times New Roman"/>
              </w:rPr>
              <w:t>aktualizace 2018-2019 má uvedená cíle a opatření v kap. 4 dokumentu, tohoto specifického cíle se týkají především kap. 4.2, 4.3 a 4.5</w:t>
            </w:r>
          </w:p>
          <w:p w14:paraId="0A16C259" w14:textId="77777777" w:rsidR="00DD3EFA" w:rsidRPr="005A0E7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příklady opatření: Zabezpečit stabilní podmínky pro dlouhodobě udržitelných rozvoj velkých výzkumných infrastruktur ČR provozovaných na principu politiky otevřeného přístupu k jejich kapacitám a podporovat jejich intenzivní integraci do mezinárodních výzkumných infrastruktur makro-regionálního, panevropského a globálního významu; Rozvíjet světově excelentní výzkumná pracoviště; Podporovat zapojení výzkumných týmů a podniků z ČR do mezinárodní spolupráce ve VaVaI; Stimulovat příchod kvalitních výzkumných a vysoce kvalifikovaných odborných pracovníků a vytvořit vhodné podmínky pro pracovní i rodinný život </w:t>
            </w:r>
          </w:p>
          <w:p w14:paraId="262A903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49EC9867"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B1 - Zlepšit kvalitu a problémovou orientaci výzkumu (Zajistit stabilní podmínky pro dlouhodobý rozvoj kvalitních výzkumných pracovišť; Zvýšit mezinárodní otevřenost veřejného výzkumu v ČR)</w:t>
            </w:r>
          </w:p>
          <w:p w14:paraId="149F8741"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C1 - Zvýšit relevanci výzkumu (Posílit spolupráci a interakci mezi VO a aplikační sférou; Zvýšit komerční využití výsledků VaV a znalostí VO)</w:t>
            </w:r>
          </w:p>
          <w:p w14:paraId="4714884D"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D1, D2 – Zvýšit kvalitu absolventů škol, Identifikovat a využít talenty</w:t>
            </w:r>
          </w:p>
          <w:p w14:paraId="79BDDAF2"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i/>
              </w:rPr>
            </w:pPr>
            <w:r w:rsidRPr="005A0E7C">
              <w:rPr>
                <w:rFonts w:ascii="Times New Roman" w:hAnsi="Times New Roman"/>
              </w:rPr>
              <w:t>D3 - Zvýšit kvalitu pracovníků ve VaV (Zvýšit atraktivitu výzkumné kariéry a kvalitu přípravy výzkumných pracovníků; Zavést efektivní systém řízení lidských zdrojů ve VO a VŠ)</w:t>
            </w:r>
          </w:p>
          <w:p w14:paraId="0385621D"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E3 – Rozvoj Infrastruktury v ICT (Rozvoj ICT sloužící pro výzkum a vývoj)</w:t>
            </w:r>
          </w:p>
          <w:p w14:paraId="2F11B11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Vertikální cíle Národní RIS3 stategie (tzv. domény inteligentní specializace – přehled viz tzv. Vertikalizační matice (kap. 8.3.1.5 Národní RIS3 strategie), detailní přehled prioritních výzkumných a inovačních témat v jednotlivých aplikačních odvětvích/oblastech je dále zpřehledněn v kap. 8.1 Národní RIS3 strategie.</w:t>
            </w:r>
          </w:p>
        </w:tc>
        <w:tc>
          <w:tcPr>
            <w:tcW w:w="249" w:type="dxa"/>
            <w:tcBorders>
              <w:top w:val="nil"/>
              <w:bottom w:val="nil"/>
            </w:tcBorders>
            <w:shd w:val="clear" w:color="auto" w:fill="66CCFF"/>
          </w:tcPr>
          <w:p w14:paraId="54C3FF9F" w14:textId="77777777" w:rsidR="00DD3EFA" w:rsidRPr="005A0E7C" w:rsidRDefault="00DD3EFA" w:rsidP="00B15ECB">
            <w:pPr>
              <w:rPr>
                <w:b/>
              </w:rPr>
            </w:pPr>
          </w:p>
        </w:tc>
      </w:tr>
      <w:tr w:rsidR="00DD3EFA" w:rsidRPr="005A0E7C" w14:paraId="02F34A01" w14:textId="77777777" w:rsidTr="00B15ECB">
        <w:trPr>
          <w:trHeight w:val="938"/>
        </w:trPr>
        <w:tc>
          <w:tcPr>
            <w:tcW w:w="249" w:type="dxa"/>
            <w:tcBorders>
              <w:top w:val="nil"/>
              <w:bottom w:val="nil"/>
            </w:tcBorders>
            <w:shd w:val="clear" w:color="auto" w:fill="66CCFF"/>
          </w:tcPr>
          <w:p w14:paraId="6BCF2FAA"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6648EC3" w14:textId="77777777" w:rsidR="00DD3EFA" w:rsidRPr="002D2123" w:rsidRDefault="00DD3EFA" w:rsidP="00391907">
            <w:pPr>
              <w:pStyle w:val="Odstavecseseznamem"/>
              <w:numPr>
                <w:ilvl w:val="0"/>
                <w:numId w:val="3"/>
              </w:numPr>
              <w:spacing w:before="60" w:after="60"/>
              <w:rPr>
                <w:rFonts w:eastAsiaTheme="majorEastAsia"/>
                <w:b/>
              </w:rPr>
            </w:pPr>
            <w:r w:rsidRPr="002D2123">
              <w:rPr>
                <w:rFonts w:eastAsiaTheme="majorEastAsia"/>
                <w:b/>
              </w:rPr>
              <w:t>implementační mechanismus</w:t>
            </w:r>
          </w:p>
          <w:p w14:paraId="5AC58802"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6FFA54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i/>
              </w:rPr>
              <w:t>Prosíme, doplnit základní údaje z hlavní, případně ostatních strategických dokumentů daných pro tento specifický cíl.</w:t>
            </w:r>
          </w:p>
          <w:p w14:paraId="78741B29" w14:textId="77777777" w:rsidR="00DD3EFA" w:rsidRPr="005A0E7C" w:rsidRDefault="00DD3EFA" w:rsidP="00B15ECB">
            <w:pPr>
              <w:rPr>
                <w:b/>
              </w:rPr>
            </w:pPr>
            <w:r w:rsidRPr="005A0E7C">
              <w:rPr>
                <w:b/>
              </w:rPr>
              <w:t>Národní politika výzkumu, vývoje a inovací České republiky pro roky 2016-2020</w:t>
            </w:r>
          </w:p>
          <w:p w14:paraId="1942DE9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aktualizace 2018-2019 má vždy u každého cíle a opatření uvedené gesce daného opatření a zásadní milníky jeho implementace </w:t>
            </w:r>
          </w:p>
          <w:p w14:paraId="356239D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1452F2E3"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i/>
              </w:rPr>
            </w:pPr>
            <w:r w:rsidRPr="005A0E7C">
              <w:rPr>
                <w:rFonts w:ascii="Times New Roman" w:hAnsi="Times New Roman"/>
              </w:rPr>
              <w:t>Hlavním řídicím prvkem je Řídicí výbor RIS3, který spolupracuje zejména s ústředními správními úřady a dalšími institucemi v oblasti podpory výzkumu, vývoje a inovací. Stěžejními partnery pro činnost výboru jsou řídicí orgány operačních programů a poskytovatelé národních programů podpory, popř. rezortních programů. Předsedou výboru je náměstek pro řízení sekce digitalizace a inovací MPO, členy výboru jsou také zástupce Rady pro výzkum, vývoj a inovace a zástupce MMR-NOK.  Nezbytnou roli v procesu řízení sehrává Národní RIS3 manažer, který je tajemníkem výboru a vedoucím analytického týmu (Oddělení strategie S3 MPO) zajišťujícím přípravu, tvorbu a proces implementace Národní RIS3 strategie v ČR. Ve vztahu k regionálním RIS3 strategiím má národní úroveň úlohu koordinační.</w:t>
            </w:r>
          </w:p>
          <w:p w14:paraId="4D3C9DE5"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i/>
              </w:rPr>
            </w:pPr>
            <w:r w:rsidRPr="005A0E7C">
              <w:rPr>
                <w:rFonts w:ascii="Times New Roman" w:hAnsi="Times New Roman"/>
              </w:rPr>
              <w:t>každoroční implementační plán schvalovaný Řídicím výborem RIS3 obsahuje indikativní seznam plánovaných intervencí (název, stručný popis intervence a jejích cílů, gestor/organizace zodpovědná za přípravu a řízení, finančního odhad s uvedením zdroje; očekávané výsledky - způsob a míra přispění k cílům RIS3 strategie; časový plán) a přehled dalších strategických aktivit.</w:t>
            </w:r>
          </w:p>
        </w:tc>
        <w:tc>
          <w:tcPr>
            <w:tcW w:w="249" w:type="dxa"/>
            <w:tcBorders>
              <w:top w:val="nil"/>
              <w:bottom w:val="nil"/>
            </w:tcBorders>
            <w:shd w:val="clear" w:color="auto" w:fill="66CCFF"/>
          </w:tcPr>
          <w:p w14:paraId="29823335" w14:textId="77777777" w:rsidR="00DD3EFA" w:rsidRPr="005A0E7C" w:rsidRDefault="00DD3EFA" w:rsidP="00B15ECB">
            <w:pPr>
              <w:rPr>
                <w:b/>
              </w:rPr>
            </w:pPr>
          </w:p>
        </w:tc>
      </w:tr>
      <w:tr w:rsidR="00DD3EFA" w:rsidRPr="005A0E7C" w14:paraId="64D45190" w14:textId="77777777" w:rsidTr="00B15ECB">
        <w:trPr>
          <w:trHeight w:val="938"/>
        </w:trPr>
        <w:tc>
          <w:tcPr>
            <w:tcW w:w="249" w:type="dxa"/>
            <w:tcBorders>
              <w:top w:val="nil"/>
              <w:bottom w:val="nil"/>
            </w:tcBorders>
            <w:shd w:val="clear" w:color="auto" w:fill="66CCFF"/>
          </w:tcPr>
          <w:p w14:paraId="4A6AC25C"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7CAF0D86"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monitoring a evaluace</w:t>
            </w:r>
          </w:p>
        </w:tc>
        <w:tc>
          <w:tcPr>
            <w:tcW w:w="5978" w:type="dxa"/>
            <w:tcBorders>
              <w:bottom w:val="single" w:sz="4" w:space="0" w:color="auto"/>
            </w:tcBorders>
            <w:shd w:val="clear" w:color="auto" w:fill="FFFFFF" w:themeFill="background1"/>
          </w:tcPr>
          <w:p w14:paraId="62A6D72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color w:val="FF0000"/>
              </w:rPr>
            </w:pPr>
            <w:r w:rsidRPr="005A0E7C">
              <w:rPr>
                <w:rFonts w:ascii="Times New Roman" w:hAnsi="Times New Roman"/>
                <w:i/>
              </w:rPr>
              <w:t>Prosíme, doplnit základní údaje z hlavní, případně ostatních strategických dokumentů daných pro tento specifický cíl.</w:t>
            </w:r>
            <w:r w:rsidRPr="005A0E7C">
              <w:rPr>
                <w:rFonts w:ascii="Times New Roman" w:hAnsi="Times New Roman"/>
                <w:i/>
                <w:color w:val="FF0000"/>
              </w:rPr>
              <w:t xml:space="preserve"> </w:t>
            </w:r>
          </w:p>
          <w:p w14:paraId="359998D0" w14:textId="77777777" w:rsidR="00DD3EFA" w:rsidRPr="005A0E7C" w:rsidRDefault="00DD3EFA" w:rsidP="00B15ECB">
            <w:pPr>
              <w:rPr>
                <w:b/>
              </w:rPr>
            </w:pPr>
            <w:r w:rsidRPr="005A0E7C">
              <w:rPr>
                <w:b/>
              </w:rPr>
              <w:t>Národní politika výzkumu, vývoje a inovací České republiky pro roky 2016-2020</w:t>
            </w:r>
          </w:p>
          <w:p w14:paraId="608837A1" w14:textId="77777777" w:rsidR="00DD3EFA" w:rsidRPr="005A0E7C" w:rsidRDefault="00DD3EFA" w:rsidP="00391907">
            <w:pPr>
              <w:pStyle w:val="slovanodstavec"/>
              <w:numPr>
                <w:ilvl w:val="0"/>
                <w:numId w:val="74"/>
              </w:numPr>
              <w:tabs>
                <w:tab w:val="clear" w:pos="567"/>
                <w:tab w:val="left" w:pos="284"/>
              </w:tabs>
              <w:suppressAutoHyphens/>
              <w:spacing w:line="240" w:lineRule="auto"/>
              <w:jc w:val="left"/>
              <w:rPr>
                <w:rFonts w:ascii="Times New Roman" w:hAnsi="Times New Roman"/>
                <w:i/>
              </w:rPr>
            </w:pPr>
            <w:r w:rsidRPr="005A0E7C">
              <w:rPr>
                <w:rFonts w:ascii="Times New Roman" w:hAnsi="Times New Roman"/>
              </w:rPr>
              <w:t xml:space="preserve">dochází k pravidelné aktualizaci dokumentu a jeho vyhodnocování, zároveň dochází k pravidelnému každoročnímu vyhodnocování analýzy stavu VaVaI v ČR a jejich srovnání se zahraničním, které realizuje RVVI  </w:t>
            </w:r>
          </w:p>
          <w:p w14:paraId="64CB140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5DCCF42A" w14:textId="77777777" w:rsidR="00DD3EFA" w:rsidRPr="005A0E7C" w:rsidRDefault="00DD3EFA" w:rsidP="00391907">
            <w:pPr>
              <w:pStyle w:val="slovanodstavec"/>
              <w:numPr>
                <w:ilvl w:val="0"/>
                <w:numId w:val="70"/>
              </w:numPr>
              <w:tabs>
                <w:tab w:val="clear" w:pos="567"/>
                <w:tab w:val="left" w:pos="284"/>
              </w:tabs>
              <w:suppressAutoHyphens/>
              <w:spacing w:line="240" w:lineRule="auto"/>
              <w:rPr>
                <w:rFonts w:ascii="Times New Roman" w:hAnsi="Times New Roman"/>
                <w:i/>
              </w:rPr>
            </w:pPr>
            <w:r w:rsidRPr="005A0E7C">
              <w:rPr>
                <w:rFonts w:ascii="Times New Roman" w:hAnsi="Times New Roman"/>
              </w:rPr>
              <w:t xml:space="preserve">Monitoring se zaměřuje zejména na čerpání prostředků u realizovaných intervencí v členění podle horizontálních a vertikálních cílů strategie a naplňování indikátorů strategie v členění podle strategických a specifických cílů strategie. Řídicí orgány operačních programů poskytují analytickému týmu informace o relevantních realizovaných a podaných projektech ve stanovené datové struktuře, na jejímž základě je vytvořena vlastní databáze Národní RIS3 strategie. Souhrnně je každoročně zveřejňován ve Zprávě o realizaci Národní RIS3 strategie, která je k 30. červnu předkládána ke schválení Řídicímu výboru RIS3. </w:t>
            </w:r>
          </w:p>
          <w:p w14:paraId="1ABFC700" w14:textId="77777777" w:rsidR="00DD3EFA" w:rsidRPr="005A0E7C" w:rsidRDefault="00DD3EFA" w:rsidP="00391907">
            <w:pPr>
              <w:pStyle w:val="slovanodstavec"/>
              <w:numPr>
                <w:ilvl w:val="0"/>
                <w:numId w:val="70"/>
              </w:numPr>
              <w:tabs>
                <w:tab w:val="clear" w:pos="567"/>
                <w:tab w:val="left" w:pos="284"/>
              </w:tabs>
              <w:suppressAutoHyphens/>
              <w:spacing w:line="240" w:lineRule="auto"/>
              <w:rPr>
                <w:rFonts w:ascii="Times New Roman" w:hAnsi="Times New Roman"/>
                <w:i/>
              </w:rPr>
            </w:pPr>
            <w:r w:rsidRPr="005A0E7C">
              <w:rPr>
                <w:rFonts w:ascii="Times New Roman" w:hAnsi="Times New Roman"/>
              </w:rPr>
              <w:t>Evaluace se zaměřuje na informace získané v rámci pravidelného monitoringu strategie i mimo něj a interpretace těchto informací, formulace závěrů ve vztahu k dlouhodobé strategické vizi a vnitřním řídícím procesům, doporučení ke zlepšení implementace a celkového strategického nastavení. Na základě věcné souvislosti s operačními programy je přihlíženo k evropské legislativě pro programy realizované s podporou ESIF v průběhu programového období 2014 – 2020, doporučením S3-Platform a k Metodickému pokynu pro evaluace programovacího období 2014 - 2020. Dále jsou respektovány závěry evaluací všech relevantních poskytovatelů podpory VaVaI. Hodnotící zpráva je zpracována každé dva roky, schvalována Řídicím výborem RIS3 a k 30. červnu předkládána vládě ČR. Nejbližší (mid-term) evaluace bude předložena vládě k 30. červnu 2019.</w:t>
            </w:r>
          </w:p>
        </w:tc>
        <w:tc>
          <w:tcPr>
            <w:tcW w:w="249" w:type="dxa"/>
            <w:tcBorders>
              <w:top w:val="nil"/>
              <w:bottom w:val="nil"/>
            </w:tcBorders>
            <w:shd w:val="clear" w:color="auto" w:fill="66CCFF"/>
          </w:tcPr>
          <w:p w14:paraId="4A421960" w14:textId="77777777" w:rsidR="00DD3EFA" w:rsidRPr="005A0E7C" w:rsidRDefault="00DD3EFA" w:rsidP="00B15ECB">
            <w:pPr>
              <w:rPr>
                <w:b/>
              </w:rPr>
            </w:pPr>
          </w:p>
        </w:tc>
      </w:tr>
      <w:tr w:rsidR="00DD3EFA" w:rsidRPr="005A0E7C" w14:paraId="1289395B" w14:textId="77777777" w:rsidTr="00B15ECB">
        <w:trPr>
          <w:trHeight w:val="130"/>
        </w:trPr>
        <w:tc>
          <w:tcPr>
            <w:tcW w:w="249" w:type="dxa"/>
            <w:tcBorders>
              <w:top w:val="nil"/>
              <w:bottom w:val="nil"/>
              <w:right w:val="nil"/>
            </w:tcBorders>
            <w:shd w:val="clear" w:color="auto" w:fill="66CCFF"/>
          </w:tcPr>
          <w:p w14:paraId="4049EB69" w14:textId="77777777" w:rsidR="00DD3EFA" w:rsidRPr="002D2123" w:rsidRDefault="00DD3EFA" w:rsidP="00B15ECB">
            <w:pPr>
              <w:rPr>
                <w:b/>
                <w:sz w:val="10"/>
                <w:szCs w:val="10"/>
              </w:rPr>
            </w:pPr>
          </w:p>
        </w:tc>
        <w:tc>
          <w:tcPr>
            <w:tcW w:w="2548" w:type="dxa"/>
            <w:tcBorders>
              <w:left w:val="nil"/>
              <w:right w:val="nil"/>
            </w:tcBorders>
            <w:shd w:val="clear" w:color="auto" w:fill="66CCFF"/>
          </w:tcPr>
          <w:p w14:paraId="6ED8FCC6" w14:textId="77777777" w:rsidR="00DD3EFA" w:rsidRPr="002D2123" w:rsidRDefault="00DD3EFA" w:rsidP="00B15ECB">
            <w:pPr>
              <w:rPr>
                <w:b/>
                <w:sz w:val="10"/>
                <w:szCs w:val="10"/>
              </w:rPr>
            </w:pPr>
          </w:p>
        </w:tc>
        <w:tc>
          <w:tcPr>
            <w:tcW w:w="5978" w:type="dxa"/>
            <w:tcBorders>
              <w:left w:val="nil"/>
              <w:right w:val="nil"/>
            </w:tcBorders>
            <w:shd w:val="clear" w:color="auto" w:fill="66CCFF"/>
          </w:tcPr>
          <w:p w14:paraId="15662BC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0BA9F784" w14:textId="77777777" w:rsidR="00DD3EFA" w:rsidRPr="005A0E7C" w:rsidRDefault="00DD3EFA" w:rsidP="00B15ECB">
            <w:pPr>
              <w:rPr>
                <w:b/>
              </w:rPr>
            </w:pPr>
          </w:p>
        </w:tc>
      </w:tr>
      <w:tr w:rsidR="00DD3EFA" w:rsidRPr="005A0E7C" w14:paraId="332B74ED" w14:textId="77777777" w:rsidTr="00B15ECB">
        <w:trPr>
          <w:trHeight w:val="1258"/>
        </w:trPr>
        <w:tc>
          <w:tcPr>
            <w:tcW w:w="249" w:type="dxa"/>
            <w:tcBorders>
              <w:top w:val="nil"/>
              <w:bottom w:val="nil"/>
              <w:right w:val="nil"/>
            </w:tcBorders>
            <w:shd w:val="clear" w:color="auto" w:fill="66CCFF"/>
          </w:tcPr>
          <w:p w14:paraId="356A0697" w14:textId="77777777" w:rsidR="00DD3EFA" w:rsidRPr="002D2123" w:rsidRDefault="00DD3EFA" w:rsidP="00B15ECB">
            <w:pPr>
              <w:rPr>
                <w:b/>
                <w:sz w:val="10"/>
                <w:szCs w:val="10"/>
              </w:rPr>
            </w:pPr>
          </w:p>
        </w:tc>
        <w:tc>
          <w:tcPr>
            <w:tcW w:w="2548" w:type="dxa"/>
            <w:shd w:val="clear" w:color="auto" w:fill="FFFFFF" w:themeFill="background1"/>
          </w:tcPr>
          <w:p w14:paraId="3F8BA0FA" w14:textId="77777777" w:rsidR="00DD3EFA" w:rsidRPr="002D2123" w:rsidRDefault="00DD3EFA" w:rsidP="00B15ECB">
            <w:pPr>
              <w:rPr>
                <w:b/>
                <w:sz w:val="10"/>
                <w:szCs w:val="10"/>
              </w:rPr>
            </w:pPr>
            <w:r w:rsidRPr="002D2123">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6AAB73A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Výdaje na VaV i počet výzkumných pracovníků ve veřejném sektoru postupně narůstají. Dopady intervencí je možné vyhodnocovat až s větším časovým odstupem, k dispozici jsou tak zejména vyhodnocení (evaluace) období 2007-2013.</w:t>
            </w:r>
          </w:p>
          <w:p w14:paraId="4E80CFE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Intervence z období 2007–2013 směřovaly k budování či dokončení kapacit pro VaV (OP VaVpI – výstavba řady výzkumných center, posílení zejména infrastrukturní základny). </w:t>
            </w:r>
          </w:p>
          <w:p w14:paraId="3EB45231"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 evaluace OP VaVpI vyplývá, že intervence do VaV zcela pokryly původní předpoklady týkající se nutnosti řešení roztříštěné VaV infrastruktury a potřeby posílit konkurenceschopnost VaV na mezinárodní úrovni. Na základě zjištění bylo konstatováno, že díky podpoře z OP VaVpI došlo k „nastartování“ výzkumných týmů, které mají potenciál být soběstačnými a konkurenceschopnými na národní úrovni a v delším časovém horizontu i na úrovni mezinárodní.</w:t>
            </w:r>
          </w:p>
          <w:p w14:paraId="26C1FF03" w14:textId="77777777" w:rsidR="00DD3EFA" w:rsidRPr="005A0E7C" w:rsidRDefault="00DD3EFA" w:rsidP="00B15ECB">
            <w:pPr>
              <w:pStyle w:val="slovanodstavec"/>
              <w:tabs>
                <w:tab w:val="left" w:pos="284"/>
              </w:tabs>
              <w:suppressAutoHyphens/>
              <w:spacing w:after="0" w:line="240" w:lineRule="auto"/>
              <w:rPr>
                <w:rFonts w:ascii="Times New Roman" w:hAnsi="Times New Roman"/>
              </w:rPr>
            </w:pPr>
            <w:r w:rsidRPr="005A0E7C">
              <w:rPr>
                <w:rFonts w:ascii="Times New Roman" w:hAnsi="Times New Roman"/>
              </w:rPr>
              <w:t xml:space="preserve">Z hodnocení jednotlivých VaV center podpořených z OP VaVpI vyplynulo, že všechna VaV centra byla realizována v souladu s vytyčenými strategickými cíli a že podpořená VaV centra odpovídají potřebám odvětví, v rámci nichž provádí svou činnost, stejně tak potřebám cílových skupin, ať už se jedná o uživatele výstupů, mateřské instituce či partnery. Evaluátoři často konstatovali, že rozvoj unikátního vybavení a infrastruktury spolu se schopnostmi a motivací pracovníků center, které v rámci návštěv zaznamenali, může centra postavit do pozice konkurence i s tzv. „velkými hráči“ v Evropě. Evaluační tým často vysoce oceňoval možnosti rozvoje, které se centrům/institutům dostaly. </w:t>
            </w:r>
          </w:p>
          <w:p w14:paraId="7B60EE6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Nebezpečím pro dobře nastartovaný rozvoj a zvyšování konkurenceschopnosti výzkumných center je dle závěrů evaluace nedostatek prostředků na rozvoj pořízené infrastruktury. </w:t>
            </w:r>
          </w:p>
          <w:p w14:paraId="50A7D1B8"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Závěrem evaluace OP VaVpI je mj. zjištění, že VaV pracoviště díky programovým intervencím vytvořily podmínky pro právní podporu vědeckých týmů, avšak až na výjimky se nepovedlo navázat s aplikační sférou silné a oboustranně výhodné funkční spojení. Proto právě spolupráci, která je podmíněna celou řadou faktorů (např. soulad mezi nabídkou výzkumu a poptávkou firem, zasíťování v národních a mezinárodních odborných a výzkumných sítích a v neposlední řadě vzájemnou důvěrou), je potřebné budovat a rozvíjet dlouhodobě.</w:t>
            </w:r>
          </w:p>
          <w:p w14:paraId="51255F1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 hodnocení intervencí OP VK vyplývá, že mobilita pracovníků mezi sektorem VaV a veřejným sektorem, resp. podnikatelskou sférou byla ovlivněna dílčím způsobem a měla spíše mírný vliv na transfer znalostí VaV do veřejné sféry, než do sféry podnikatelské.</w:t>
            </w:r>
          </w:p>
          <w:p w14:paraId="21BD56F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Za účelem vyhodnocení výsledků podpory v oblasti VaV byla z úrovně MMR-NOK realizovaná „Ex-post evaluace programového období 2007 – 2013 v oblasti výzkumu a vývoje“, jejíž výsledky byly zveřejněny v říjnu 2018. </w:t>
            </w:r>
          </w:p>
          <w:p w14:paraId="77BCF26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 ohledem na charakter výzkumných projektů OP VVV realizovaných v rámci programového období 2014-2020 a možnosti hodnocení jejich výsledků až s časovým odstupem jsou první evaluace výsledků intervencí OP VVV do VaV naplánovány nejdříve na rok 2020.</w:t>
            </w:r>
          </w:p>
          <w:p w14:paraId="26AC429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Na základě intervencí dochází i ke zvyšování počtu výsledků VaV a zapojení výzkumných týmů do mezinárodního výzkumu (internacionalizaci). Prostředky ESIF přispěly i k rozvoji lidských zdrojů pro VaVaI.</w:t>
            </w:r>
          </w:p>
          <w:p w14:paraId="3984822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rámci evaluace OP VK byl pozitivně hodnocen příspěvek projektů OP VK ke zlepšování pracovních podmínek a k motivaci pracovníků VaV. Projekty např. umožňovaly zajištění financování (mzdové prostředky) pro dlouhodobé působení zahraničních vědeckých pracovníků v ČR. Kolem zahraničních odborníků byly vytvářeny týmy z českých VaV pracovníků a studentů – velmi pozitivní dopad na úroveň VaV. Z hodnocení zároveň vyplývá, že intervence OP VK zvýšily atraktivitu tuzemského VaV prostředí a napomáhaly ke snížení odlivu mozků z ČR do zahraničí, zároveň přispívaly ke zvýšení přílivu zahraničních výzkumníků do ČR.</w:t>
            </w:r>
            <w:r w:rsidRPr="005A0E7C">
              <w:rPr>
                <w:rFonts w:ascii="Times New Roman" w:hAnsi="Times New Roman"/>
                <w:b/>
              </w:rPr>
              <w:t xml:space="preserve"> </w:t>
            </w:r>
            <w:r w:rsidRPr="005A0E7C">
              <w:rPr>
                <w:rFonts w:ascii="Times New Roman" w:hAnsi="Times New Roman"/>
              </w:rPr>
              <w:t>Vzhledem ke „startovacímu“ charakteru intervencí v OP VK na podporu rozvoje lidského kapitálu pro VaV existuje však v této fázi riziko, že bez navazující finanční podpory nemusí být tento efekt dlouhodobý.</w:t>
            </w:r>
          </w:p>
          <w:p w14:paraId="2B81514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současném programovém období jsou již výzkumná centra v provozu, či je jejich budování finalizováno. Intervence z období 2014–2020 (OP PIK, OP VVV) vedly v návaznosti na vynaložené finanční prostředky z OP VaVpI k dalšímu výraznému rozšíření a modernizaci kapacit a infrastrukturního vybavení pro výzkum a vývoj. Na jedné straně tato centra vytváří významný potenciál pro realizaci kvalitního výzkumu, zároveň je třeba soustředit se na udržení kvality, rozvoj a dlouhodobou udržitelnost. Možnými významnými zdroji pro zajištění udržitelnosti jsou získání příjmů ze zahraničí a ze smluvního výzkumu v souladu s dodržením pravidel veřejné podpory. </w:t>
            </w:r>
          </w:p>
          <w:p w14:paraId="1B180575" w14:textId="77777777" w:rsidR="00DD3EFA" w:rsidRPr="005A0E7C" w:rsidRDefault="00DD3EFA" w:rsidP="00B15ECB">
            <w:pPr>
              <w:rPr>
                <w:b/>
              </w:rPr>
            </w:pPr>
            <w:r w:rsidRPr="005A0E7C">
              <w:t>Obecně lze konstatovat, že o intervence z PO 1 OP VVV Posilování kapacit pro kvalitní výzkum je mezi žadateli veliký zájem. Výzvy jsou pravidelně a často významně přeplňovány, a to jak v Praze, tak i v méně rozvinutých regionech.</w:t>
            </w:r>
          </w:p>
        </w:tc>
        <w:tc>
          <w:tcPr>
            <w:tcW w:w="249" w:type="dxa"/>
            <w:tcBorders>
              <w:top w:val="nil"/>
              <w:left w:val="nil"/>
              <w:bottom w:val="nil"/>
            </w:tcBorders>
            <w:shd w:val="clear" w:color="auto" w:fill="66CCFF"/>
          </w:tcPr>
          <w:p w14:paraId="03962C3B" w14:textId="77777777" w:rsidR="00DD3EFA" w:rsidRPr="005A0E7C" w:rsidRDefault="00DD3EFA" w:rsidP="00B15ECB">
            <w:pPr>
              <w:rPr>
                <w:b/>
              </w:rPr>
            </w:pPr>
          </w:p>
        </w:tc>
      </w:tr>
      <w:tr w:rsidR="00DD3EFA" w:rsidRPr="005A0E7C" w14:paraId="56B79D72" w14:textId="77777777" w:rsidTr="00B15ECB">
        <w:trPr>
          <w:trHeight w:val="1258"/>
        </w:trPr>
        <w:tc>
          <w:tcPr>
            <w:tcW w:w="249" w:type="dxa"/>
            <w:tcBorders>
              <w:top w:val="nil"/>
              <w:bottom w:val="nil"/>
              <w:right w:val="nil"/>
            </w:tcBorders>
            <w:shd w:val="clear" w:color="auto" w:fill="66CCFF"/>
          </w:tcPr>
          <w:p w14:paraId="2531895B" w14:textId="77777777" w:rsidR="00DD3EFA" w:rsidRPr="002D2123" w:rsidRDefault="00DD3EFA" w:rsidP="00B15ECB">
            <w:pPr>
              <w:rPr>
                <w:b/>
                <w:sz w:val="10"/>
                <w:szCs w:val="10"/>
              </w:rPr>
            </w:pPr>
          </w:p>
        </w:tc>
        <w:tc>
          <w:tcPr>
            <w:tcW w:w="2548" w:type="dxa"/>
            <w:shd w:val="clear" w:color="auto" w:fill="FFFFFF" w:themeFill="background1"/>
          </w:tcPr>
          <w:p w14:paraId="786F390E" w14:textId="77777777" w:rsidR="00DD3EFA" w:rsidRPr="002D2123" w:rsidRDefault="00DD3EFA" w:rsidP="00B15ECB">
            <w:pPr>
              <w:rPr>
                <w:rFonts w:eastAsiaTheme="majorEastAsia"/>
                <w:b/>
              </w:rPr>
            </w:pPr>
            <w:r w:rsidRPr="002D2123">
              <w:rPr>
                <w:rFonts w:eastAsiaTheme="majorEastAsia"/>
                <w:b/>
              </w:rPr>
              <w:t>Věcný posun oblasti</w:t>
            </w:r>
          </w:p>
          <w:p w14:paraId="5DECB57C" w14:textId="77777777" w:rsidR="00DD3EFA" w:rsidRPr="002D2123" w:rsidRDefault="00DD3EFA" w:rsidP="00B15ECB">
            <w:pPr>
              <w:rPr>
                <w:rFonts w:eastAsiaTheme="majorEastAsia"/>
                <w:b/>
              </w:rPr>
            </w:pPr>
            <w:r w:rsidRPr="002D2123">
              <w:rPr>
                <w:rFonts w:eastAsiaTheme="majorEastAsia"/>
                <w:b/>
              </w:rPr>
              <w:t>(tj. v období 2014 – 2020, příp. 2007 – 2013)</w:t>
            </w:r>
          </w:p>
        </w:tc>
        <w:tc>
          <w:tcPr>
            <w:tcW w:w="5978" w:type="dxa"/>
            <w:shd w:val="clear" w:color="auto" w:fill="FFFFFF" w:themeFill="background1"/>
          </w:tcPr>
          <w:p w14:paraId="5CFB495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Hodnocení účelnosti a účinnosti intervencí v oblasti výzkumu a vývoje je relevantní především z dlouhodobého hlediska. Zásadní vliv na věcný posun oblasti VaV mělo řešení výrazných infrastrukturních a přístrojových nedostatků v období 2007 – 2013. Pomocí podpory z OP VaVpI bylo vybudováno 8 center excelence a 40 regionálních výzkumných center, které se co do kvality vybavení mohly srovnávat s nejrozvinutějšími evropskými zeměmi (jak bylo potvrzeno v průběhu peer review evaluací za účasti zahraničních evaluátorů). Vyrovnání tohoto hendikepu vůči rozvinutým západním zemím jednoznačně přispělo ke zvýšení atraktivity a konkurenceschopnosti českého VaV, zejména s ohledem na jeho postupnou internacionalizaci. </w:t>
            </w:r>
          </w:p>
          <w:p w14:paraId="2F3A3D2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Výzkumným centrům se postupně daří etablovat na mezinárodní úrovni a roste tak počet prestižních mezinárodních výzkumných projektů, do kterých jsou česká výzkumná centra zapojena. S nabídkou kvalitního infrastrukturního a přístrojového vybavení je spojen i rostoucí podíl zahraničních výzkumných pracovníků působících v českých VaV institucích. </w:t>
            </w:r>
          </w:p>
          <w:p w14:paraId="68495FE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Cs/>
              </w:rPr>
            </w:pPr>
            <w:r w:rsidRPr="005A0E7C">
              <w:rPr>
                <w:rFonts w:ascii="Times New Roman" w:hAnsi="Times New Roman"/>
                <w:iCs/>
              </w:rPr>
              <w:t>V souvislosti s intervencemi OP VaVpI je možné konstatovat, že v České republice existují vědecká pracoviště, která díky podpoře OP VaVpI kvalitativně zvýšila svůj výkon.</w:t>
            </w:r>
          </w:p>
          <w:p w14:paraId="61F207F9"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Intervence na podporu VaV se projevují v několika směrech. Jak již bylo uvedeno, vybudování moderní infrastruktury mělo pozitivní vliv na zvýšení počtu pracovních míst ve VaV a na podíl zahraničních výzkumných pracovníků působících u nás. V důsledku toho dochází ke zvýšení kvality výstupů. Data z Rejstříku informací o výsledcích (RIV) dokládají postupné zvyšování podílu institucí s VaVpI centrem na celkovém počtu vydaných publikací a patentů. Instituce s VaVpI centrem jen od roku 2010 do roku 2014 zvýšily svůj podíl na počtu publikovaných článků z 65 % na 71 %. </w:t>
            </w:r>
          </w:p>
          <w:p w14:paraId="1D28C57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Nabídka moderní infrastruktury zahraničním partnerům se projevuje také větším zapojením výzkumných center do mezinárodních projektů a ve zvýšení úspěšnosti v prestižních mezinárodních soutěžích. Obecně byl tento trend zatím potvrzen například ziskem 5 ERC Starting Grants pro Českou republiku v srpnu 2018.</w:t>
            </w:r>
          </w:p>
          <w:p w14:paraId="402CDA5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 programovém období 2014 – 2020 je podpora Operačního programu Výzkum, vývoj a vzdělávání (OP VVV) směřovaná do všech regionů České republiky včetně hlavního města Prahy, a to zejména s ohledem na odstraněním disparit, které se týkaly zejm. podfinancování VaV v Praze v důsledku pravidel předchozích operačních programů (nemožnost podpory VaV z OP VaVpI v Praze, případně v její minimálním rozsahu). </w:t>
            </w:r>
          </w:p>
          <w:p w14:paraId="13C159E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p>
        </w:tc>
        <w:tc>
          <w:tcPr>
            <w:tcW w:w="249" w:type="dxa"/>
            <w:tcBorders>
              <w:top w:val="nil"/>
              <w:left w:val="nil"/>
              <w:bottom w:val="nil"/>
            </w:tcBorders>
            <w:shd w:val="clear" w:color="auto" w:fill="66CCFF"/>
          </w:tcPr>
          <w:p w14:paraId="7BA3D1E1" w14:textId="77777777" w:rsidR="00DD3EFA" w:rsidRPr="005A0E7C" w:rsidRDefault="00DD3EFA" w:rsidP="00B15ECB">
            <w:pPr>
              <w:rPr>
                <w:b/>
              </w:rPr>
            </w:pPr>
          </w:p>
        </w:tc>
      </w:tr>
      <w:tr w:rsidR="00DD3EFA" w:rsidRPr="005A0E7C" w14:paraId="49399912" w14:textId="77777777" w:rsidTr="00B15ECB">
        <w:trPr>
          <w:trHeight w:val="1258"/>
        </w:trPr>
        <w:tc>
          <w:tcPr>
            <w:tcW w:w="249" w:type="dxa"/>
            <w:tcBorders>
              <w:top w:val="nil"/>
              <w:bottom w:val="nil"/>
              <w:right w:val="nil"/>
            </w:tcBorders>
            <w:shd w:val="clear" w:color="auto" w:fill="66CCFF"/>
          </w:tcPr>
          <w:p w14:paraId="5D20103B" w14:textId="77777777" w:rsidR="00DD3EFA" w:rsidRPr="002D2123" w:rsidRDefault="00DD3EFA" w:rsidP="00B15ECB">
            <w:pPr>
              <w:rPr>
                <w:b/>
                <w:sz w:val="10"/>
                <w:szCs w:val="10"/>
              </w:rPr>
            </w:pPr>
          </w:p>
        </w:tc>
        <w:tc>
          <w:tcPr>
            <w:tcW w:w="2548" w:type="dxa"/>
            <w:shd w:val="clear" w:color="auto" w:fill="FFFFFF" w:themeFill="background1"/>
          </w:tcPr>
          <w:p w14:paraId="321B7DE7" w14:textId="77777777" w:rsidR="00DD3EFA" w:rsidRPr="002D2123" w:rsidRDefault="00DD3EFA" w:rsidP="00B15ECB">
            <w:pPr>
              <w:rPr>
                <w:rFonts w:eastAsiaTheme="majorEastAsia"/>
                <w:b/>
              </w:rPr>
            </w:pPr>
            <w:r w:rsidRPr="002D2123">
              <w:rPr>
                <w:rFonts w:eastAsiaTheme="majorEastAsia"/>
                <w:b/>
              </w:rPr>
              <w:t>Synergické a multiplikační efekty</w:t>
            </w:r>
          </w:p>
          <w:p w14:paraId="63B9D1EB" w14:textId="77777777" w:rsidR="00DD3EFA" w:rsidRPr="002D2123" w:rsidRDefault="00DD3EFA" w:rsidP="00B15ECB">
            <w:pPr>
              <w:rPr>
                <w:rFonts w:eastAsiaTheme="majorEastAsia"/>
                <w:b/>
              </w:rPr>
            </w:pPr>
            <w:r w:rsidRPr="002D2123">
              <w:rPr>
                <w:rFonts w:eastAsiaTheme="majorEastAsia"/>
                <w:b/>
              </w:rPr>
              <w:t>(tj. v období 2014 – 2020, příp. 2007 – 2013)</w:t>
            </w:r>
          </w:p>
        </w:tc>
        <w:tc>
          <w:tcPr>
            <w:tcW w:w="5978" w:type="dxa"/>
            <w:shd w:val="clear" w:color="auto" w:fill="FFFFFF" w:themeFill="background1"/>
          </w:tcPr>
          <w:p w14:paraId="6AB71DC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 programové období 2014-2020 došlo k podpoře synergií nejen vnitřních v rámci samotného OP, ale zároveň byly podpořeny synergie a komplementarity s jiným OP, národními zdroji a dokonce došlo k synergické podpoře s unijními programy. </w:t>
            </w:r>
          </w:p>
          <w:p w14:paraId="0DFD58D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Mechanismus koordinace řízení synergických a komplementárních vazeb mezi dotčenými ŘO operačních programů a dalšími programy vymezenými v příloze H. Programového dokumentu OP VVV je systémově vhodně nastaven. Vhodné nastavení tohoto mechanismu z hlediska prevence duplicit bylo v rámci externí Průběžné evaluace OP VVV potvrzeno jak procesní analýzou, tak i na základě ověření funkčnosti jednotlivých procesů a činností s relevantními pracovníky ŘO. Koordinace synergických a komplementárních vazeb je využívána zejména v případě programů, se kterými má ŘO uzavřené memorandum o spolupráci a dohodu o spolupráci – OP PIK, IROP, OP Z a OP  PPR (podrobněji viz dále).</w:t>
            </w:r>
          </w:p>
          <w:p w14:paraId="4B46273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 rámci podpory samotného OP došlo k synergické podpoře aktivit financovaných z ESF a ERDF, kdy např. došlo k podpoře velmi kvalitních výzkumných projektů na výzkumných institucích a zároveň došlo k podpoře institucionálního prostředí těchto institucí. </w:t>
            </w:r>
          </w:p>
          <w:p w14:paraId="5D5C480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Dále byly vyhlášeny výzvy (např. na podporu kapacit pro transfer technologií či na předaplikační výzkum), na které navazovaly výzvy či programy jiných OP (OP PIK, OP PPR). Konkrétně program na proof-of-concept, který umožňuje prakticky dále rozvíjet realizovaný předaplikační výzkum. Rovněž získané znalosti v oblasti transferu technologií mohou být prakticky využité v programech aplikovaného výzkumu a jeho následné komercializace podporovanými především z OP PIK. </w:t>
            </w:r>
          </w:p>
          <w:p w14:paraId="3843C12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 programové období 2014-2020 relevantní unijní program, Horizont 2020, představil koncept tzv. Pečeti excelence, kdy projekty, které byly hodnoceny velmi kvalitně, ale nezbyla na ně alokace unijního programu, obdržely tuto Pečeť a mohly si zažádat o financování bez dalšího hodnocení v národních zdrojích, nebo v národním operačním programu. V oblasti výzkumu tak byla v OP VVV opakovaně vyhlášena výzva na podporu projektů MSCA z Horizontu 2020, které prokázaly kvalitu, ale nedosáhly na financování. Aktuálně se čeká třetí opakování této výzvy a předpokládá se ještě opakování v dalších letech před koncem programového období. </w:t>
            </w:r>
          </w:p>
          <w:p w14:paraId="1A54FC9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Jinou formou synergie s unijním programem Horizont 2020 bylo vyhlášení výzev Teaming v OP VVV na doplňkové financování z ESIF v nákladech, které nejsou z Horizontu 2020 způsobilé. </w:t>
            </w:r>
          </w:p>
          <w:p w14:paraId="496BBC8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Rovněž při podpoře výzkumných infrastruktur z OP VVV došlo z ESIF ke komplementární podpoře projektů financovaných z národní zdrojů. </w:t>
            </w:r>
          </w:p>
          <w:p w14:paraId="452D127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Jako multiplikační efekt mající původ již v minulém programovém období (2007 – 2013) lze vnímat „přerod“ některých regionálních výzkumných center v centra excelence – jedním z očekávaných výsledků podpory center excelence byla mimo jiné větší míra internacionalizace výzkumu, zatímco u regionálních výzkumných center se jednalo o spolupráci spíše na národní úrovni a v aplikační sféře. Díky impulzu v podobě špičkového vybavení se však oproti původnímu očekávání některá regionální centra začala soustředit také na excelentní základní výzkum a mezinárodní spolupráci.</w:t>
            </w:r>
          </w:p>
          <w:p w14:paraId="6D2A1D4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současném programovém období představuje dobrý základ pro vznik multiplikačních efektů multifondovost OP VVV. Právě možnost kombinovat podporu z ESF a ERDF je dle provedených evaluačních šetření oceňována ze strany příjemců, kteří jsou následně schopni popsat konkrétní efekty doplňkovosti ESF a ERDF intervencí na úrovni výzkumné organizace.</w:t>
            </w:r>
          </w:p>
          <w:p w14:paraId="03B1C93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Obecně se jedná o kombinaci investic podporujících modernizaci a upgrade výzkumné infrastruktury s neinvestičními aktivitami, které podporují rozvoj lidských zdrojů v oblasti výzkumu a vývoje např. formou výjezdů a příjezdů výzkumných pracovníků. </w:t>
            </w:r>
          </w:p>
          <w:p w14:paraId="568030A5" w14:textId="77777777" w:rsidR="00DD3EFA" w:rsidRPr="005A0E7C" w:rsidRDefault="00DD3EFA">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Konkrétně v této souvislosti zástupci výzkumných organizací uvedli, že možnost pořízení moderního a unikátního přístrojového vybavení výrazně podnítila zájem zahraničních výzkumných pracovníků.</w:t>
            </w:r>
          </w:p>
          <w:p w14:paraId="0ED70D99" w14:textId="77777777" w:rsidR="00DD3EFA" w:rsidRPr="005A0E7C" w:rsidRDefault="00DD3EFA">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Jinde se díky uvedení konkrétních excelentních pracovníků výzkumného centra jako budoucích mentorů postdoců podařilo vyvolat významně větší zájem výzkumných pracovníků ze zahraničí i českých výzkumných pracovníků působících v zahraničí o vypsanou pozici v rámci příjezdové mobility. Výzkumné pracovníky financované v rámci mobilit bylo následně možné zapojit přímo či nepřímo do výzkumných aktivit centra včetně projektů excelentního výzkumu. </w:t>
            </w:r>
          </w:p>
          <w:p w14:paraId="6B31706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Další posun VaV organizací lze deklarovat příkladem, kdy v návaznosti na udělení HR Award a zvýšenou míru internacionalizace v důsledku příjezdu zahraničních VaV pracovníků byl v rámci výzkumného centra zaveden anglický jazyk jako druhý komunikační jazyk.</w:t>
            </w:r>
          </w:p>
        </w:tc>
        <w:tc>
          <w:tcPr>
            <w:tcW w:w="249" w:type="dxa"/>
            <w:tcBorders>
              <w:top w:val="nil"/>
              <w:left w:val="nil"/>
              <w:bottom w:val="nil"/>
            </w:tcBorders>
            <w:shd w:val="clear" w:color="auto" w:fill="66CCFF"/>
          </w:tcPr>
          <w:p w14:paraId="62B15C95" w14:textId="77777777" w:rsidR="00DD3EFA" w:rsidRPr="005A0E7C" w:rsidRDefault="00DD3EFA" w:rsidP="00B15ECB">
            <w:pPr>
              <w:rPr>
                <w:b/>
              </w:rPr>
            </w:pPr>
          </w:p>
        </w:tc>
      </w:tr>
      <w:tr w:rsidR="00DD3EFA" w:rsidRPr="005A0E7C" w14:paraId="2E867CB9" w14:textId="77777777" w:rsidTr="00B15ECB">
        <w:trPr>
          <w:trHeight w:val="180"/>
        </w:trPr>
        <w:tc>
          <w:tcPr>
            <w:tcW w:w="249" w:type="dxa"/>
            <w:tcBorders>
              <w:top w:val="nil"/>
              <w:bottom w:val="nil"/>
              <w:right w:val="nil"/>
            </w:tcBorders>
            <w:shd w:val="clear" w:color="auto" w:fill="66CCFF"/>
          </w:tcPr>
          <w:p w14:paraId="41B21251" w14:textId="77777777" w:rsidR="00DD3EFA" w:rsidRPr="002D2123" w:rsidRDefault="00DD3EFA" w:rsidP="00B15ECB">
            <w:pPr>
              <w:rPr>
                <w:b/>
                <w:sz w:val="10"/>
                <w:szCs w:val="10"/>
              </w:rPr>
            </w:pPr>
          </w:p>
        </w:tc>
        <w:tc>
          <w:tcPr>
            <w:tcW w:w="2548" w:type="dxa"/>
            <w:tcBorders>
              <w:left w:val="nil"/>
              <w:bottom w:val="single" w:sz="4" w:space="0" w:color="auto"/>
              <w:right w:val="nil"/>
            </w:tcBorders>
            <w:shd w:val="clear" w:color="auto" w:fill="66CCFF"/>
          </w:tcPr>
          <w:p w14:paraId="677591E7" w14:textId="77777777" w:rsidR="00DD3EFA" w:rsidRPr="002D2123" w:rsidRDefault="00DD3EFA" w:rsidP="00B15ECB">
            <w:pPr>
              <w:rPr>
                <w:b/>
                <w:sz w:val="10"/>
                <w:szCs w:val="10"/>
              </w:rPr>
            </w:pPr>
          </w:p>
        </w:tc>
        <w:tc>
          <w:tcPr>
            <w:tcW w:w="5978" w:type="dxa"/>
            <w:tcBorders>
              <w:left w:val="nil"/>
              <w:bottom w:val="single" w:sz="4" w:space="0" w:color="auto"/>
              <w:right w:val="nil"/>
            </w:tcBorders>
            <w:shd w:val="clear" w:color="auto" w:fill="66CCFF"/>
          </w:tcPr>
          <w:p w14:paraId="246B3B03" w14:textId="77777777" w:rsidR="00DD3EFA" w:rsidRPr="005A0E7C" w:rsidRDefault="00DD3EFA" w:rsidP="00B15ECB">
            <w:pPr>
              <w:rPr>
                <w:b/>
              </w:rPr>
            </w:pPr>
          </w:p>
        </w:tc>
        <w:tc>
          <w:tcPr>
            <w:tcW w:w="249" w:type="dxa"/>
            <w:tcBorders>
              <w:top w:val="nil"/>
              <w:left w:val="nil"/>
              <w:bottom w:val="nil"/>
            </w:tcBorders>
            <w:shd w:val="clear" w:color="auto" w:fill="66CCFF"/>
          </w:tcPr>
          <w:p w14:paraId="40C3B1BD" w14:textId="77777777" w:rsidR="00DD3EFA" w:rsidRPr="005A0E7C" w:rsidRDefault="00DD3EFA" w:rsidP="00B15ECB">
            <w:pPr>
              <w:rPr>
                <w:b/>
              </w:rPr>
            </w:pPr>
          </w:p>
        </w:tc>
      </w:tr>
      <w:tr w:rsidR="00DD3EFA" w:rsidRPr="005A0E7C" w14:paraId="6F41AD7B" w14:textId="77777777" w:rsidTr="00B15ECB">
        <w:trPr>
          <w:trHeight w:val="990"/>
        </w:trPr>
        <w:tc>
          <w:tcPr>
            <w:tcW w:w="249" w:type="dxa"/>
            <w:tcBorders>
              <w:top w:val="nil"/>
              <w:bottom w:val="nil"/>
            </w:tcBorders>
            <w:shd w:val="clear" w:color="auto" w:fill="66CCFF"/>
          </w:tcPr>
          <w:p w14:paraId="786B8F9C"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51713BAC" w14:textId="77777777" w:rsidR="00DD3EFA" w:rsidRPr="002D2123" w:rsidRDefault="00DD3EFA" w:rsidP="00B15ECB">
            <w:pPr>
              <w:spacing w:before="60" w:after="60"/>
              <w:rPr>
                <w:rFonts w:eastAsiaTheme="majorEastAsia"/>
                <w:b/>
              </w:rPr>
            </w:pPr>
            <w:r w:rsidRPr="002D2123">
              <w:rPr>
                <w:rFonts w:eastAsiaTheme="majorEastAsia"/>
                <w:b/>
              </w:rPr>
              <w:t>Absorpční kapacita</w:t>
            </w:r>
          </w:p>
        </w:tc>
        <w:tc>
          <w:tcPr>
            <w:tcW w:w="5978" w:type="dxa"/>
            <w:tcBorders>
              <w:bottom w:val="single" w:sz="4" w:space="0" w:color="auto"/>
            </w:tcBorders>
            <w:shd w:val="clear" w:color="auto" w:fill="FFFFFF" w:themeFill="background1"/>
          </w:tcPr>
          <w:p w14:paraId="000B13D3" w14:textId="77777777" w:rsidR="00DD3EFA" w:rsidRPr="005A0E7C" w:rsidRDefault="00DD3EFA" w:rsidP="00B15ECB">
            <w:pPr>
              <w:rPr>
                <w:rFonts w:eastAsiaTheme="majorEastAsia"/>
              </w:rPr>
            </w:pPr>
            <w:r w:rsidRPr="005A0E7C">
              <w:t xml:space="preserve">Absorpční kapacita v tomto specifickém cíli je s ohledem na zkušenosti z programového období 2007-2013 a především 2014-2020 dostatečná. V relevantních výzvách v OP VVV byl žadateli projeven obrovský zájem a do velké většiny výzev bylo přihlášeno více projektů, někdy i několikanásobně, než mohlo být podpořeno. Blíže je uvedeno v jednotlivých podbodech dále. </w:t>
            </w:r>
          </w:p>
        </w:tc>
        <w:tc>
          <w:tcPr>
            <w:tcW w:w="249" w:type="dxa"/>
            <w:tcBorders>
              <w:top w:val="nil"/>
              <w:bottom w:val="nil"/>
            </w:tcBorders>
            <w:shd w:val="clear" w:color="auto" w:fill="66CCFF"/>
          </w:tcPr>
          <w:p w14:paraId="44042D11" w14:textId="77777777" w:rsidR="00DD3EFA" w:rsidRPr="005A0E7C" w:rsidRDefault="00DD3EFA" w:rsidP="00B15ECB">
            <w:pPr>
              <w:rPr>
                <w:b/>
              </w:rPr>
            </w:pPr>
          </w:p>
        </w:tc>
      </w:tr>
      <w:tr w:rsidR="00DD3EFA" w:rsidRPr="005A0E7C" w14:paraId="0810CB70" w14:textId="77777777" w:rsidTr="00B15ECB">
        <w:trPr>
          <w:trHeight w:val="1260"/>
        </w:trPr>
        <w:tc>
          <w:tcPr>
            <w:tcW w:w="249" w:type="dxa"/>
            <w:tcBorders>
              <w:top w:val="nil"/>
              <w:bottom w:val="nil"/>
            </w:tcBorders>
            <w:shd w:val="clear" w:color="auto" w:fill="66CCFF"/>
          </w:tcPr>
          <w:p w14:paraId="45A93A06"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823D937"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6250CF12" w14:textId="77777777" w:rsidR="00DD3EFA" w:rsidRPr="005A0E7C" w:rsidRDefault="00DD3EFA" w:rsidP="00B15ECB">
            <w:pPr>
              <w:spacing w:before="60" w:after="60"/>
              <w:rPr>
                <w:rFonts w:eastAsiaTheme="majorEastAsia"/>
              </w:rPr>
            </w:pPr>
            <w:r w:rsidRPr="005A0E7C">
              <w:rPr>
                <w:rFonts w:eastAsiaTheme="majorEastAsia"/>
              </w:rPr>
              <w:t>V programovém období 2007-2013 byla absorpční kapacita naplněna dle předpokladů, vzniklo nebo bylo dobudováno 48 výzkumných center, došlo k vytvoření a rozvoji 9 center transferu technologií, k rozvoji 9 center popularizace výzkumu a vývoje, podpoře podmínek pro studium výzkumně zaměřených studijnních programů napříč univerzitami, rozvoji lidských zdrojů pro výzkum a vývoj. Velkým handicapem období 2007-2013 bylo omezení podpory pro hlavní město Prahu, které však koncentruje významné množství jak vzdělávacích, tak výzkumných institucí. To bylo napraveno v programovém období 2014-2020.</w:t>
            </w:r>
          </w:p>
          <w:p w14:paraId="5124D94D" w14:textId="77777777" w:rsidR="00DD3EFA" w:rsidRPr="005A0E7C" w:rsidRDefault="00DD3EFA" w:rsidP="00B15ECB">
            <w:pPr>
              <w:spacing w:before="60" w:after="60"/>
              <w:rPr>
                <w:rFonts w:eastAsiaTheme="majorEastAsia"/>
              </w:rPr>
            </w:pPr>
            <w:r w:rsidRPr="005A0E7C">
              <w:rPr>
                <w:rFonts w:eastAsiaTheme="majorEastAsia"/>
              </w:rPr>
              <w:t>Výzvy zaměřené na podporu podmínek pro kvalitní výzkum zaznamenávaly v programovém období 2014-2020 obrovský zájem ze strany příjemců. Do velké většiny výzev bylo přihlášeno (někdy i několikanásobně) více projektů, než mohlo být podpořeno.</w:t>
            </w:r>
          </w:p>
          <w:p w14:paraId="0DB1512B" w14:textId="77777777" w:rsidR="00DD3EFA" w:rsidRPr="005A0E7C" w:rsidRDefault="00DD3EFA" w:rsidP="00B15ECB">
            <w:pPr>
              <w:spacing w:before="60" w:after="60"/>
              <w:rPr>
                <w:rFonts w:eastAsiaTheme="majorEastAsia"/>
              </w:rPr>
            </w:pPr>
            <w:r w:rsidRPr="005A0E7C">
              <w:rPr>
                <w:rFonts w:eastAsiaTheme="majorEastAsia"/>
              </w:rPr>
              <w:t>Největší zájem byl zaznamenán v případě komplexních výzev na podporu realizace konkrétních výzkumných záměrů, kdy se předpokládala podpora jak rozvoje lidských zdrojů, potřebné infrastruktury i podpora samotné realizace výzkumných záměrů. V případě výzev Podpora excelentních výzkumných týmů a Excelentní výzkum došlo k předložení žádostí v úhrnné výši požadovaných prostředků více než šestkrát převyšující původně stanovenou alokaci výzev. Z důvodu velkého množství vysoce kvalitních projektů přistoupil Řídicí orgán OP VVV k výraznému navýšení alokace u obou těchto výzev, i tak však zůstalo velké množství projektů (i těch, které byly nezávislými experty hodnoceny velmi kladně) neuspokojeno. Obdobně velký zájem byl pak zaznamenán i v případě výzev Předaplikační výzkum a Dlouhodobá mezisektorová spolupráce, kdy souhrnná výše žadateli požadovaných prostředků dosahovala 650 % (v případě výzvy Předaplikační výzkum), respektive 300 % (v případě výzvy Dlouhodobá mezisektorová spolupráce) alokací výzev.</w:t>
            </w:r>
          </w:p>
          <w:p w14:paraId="66838B34" w14:textId="77777777" w:rsidR="00DD3EFA" w:rsidRPr="005A0E7C" w:rsidRDefault="00DD3EFA" w:rsidP="00B15ECB">
            <w:pPr>
              <w:spacing w:before="60" w:after="60"/>
              <w:rPr>
                <w:rFonts w:eastAsiaTheme="majorEastAsia"/>
              </w:rPr>
            </w:pPr>
            <w:r w:rsidRPr="005A0E7C">
              <w:rPr>
                <w:rFonts w:eastAsiaTheme="majorEastAsia"/>
              </w:rPr>
              <w:t>Řídicí orgán OP VVV si byl vědom velkého zájmu terénu o výzvy zaměřené na podporu podmínek pro kvalitní výzkum, z důvodu omezeného objemu prostředků a v zájmu podpory těch nejkvalitnějších projektů tak nastavil soutěžní podmínky tak, aby podpořeny byly ty nejlepší projekty. Aniž by ŘO omezoval projekty dle místa jejich realizace, předložené i úspěšné projekty pocházejí z výzkumných organizací napříč Českou republikou, kdy projekty z Prahy představují průměrně zhruba 15-20 % úspěšných projektů dané výzvy.</w:t>
            </w:r>
          </w:p>
          <w:p w14:paraId="5F8026A6" w14:textId="77777777" w:rsidR="00DD3EFA" w:rsidRPr="005A0E7C" w:rsidRDefault="00DD3EFA" w:rsidP="00B15ECB">
            <w:pPr>
              <w:spacing w:before="60" w:after="60"/>
              <w:rPr>
                <w:rFonts w:eastAsiaTheme="majorEastAsia"/>
              </w:rPr>
            </w:pPr>
            <w:r w:rsidRPr="005A0E7C">
              <w:rPr>
                <w:rFonts w:eastAsiaTheme="majorEastAsia"/>
              </w:rPr>
              <w:t xml:space="preserve"> </w:t>
            </w:r>
          </w:p>
        </w:tc>
        <w:tc>
          <w:tcPr>
            <w:tcW w:w="249" w:type="dxa"/>
            <w:tcBorders>
              <w:top w:val="nil"/>
              <w:bottom w:val="nil"/>
            </w:tcBorders>
            <w:shd w:val="clear" w:color="auto" w:fill="66CCFF"/>
          </w:tcPr>
          <w:p w14:paraId="5257A990" w14:textId="77777777" w:rsidR="00DD3EFA" w:rsidRPr="005A0E7C" w:rsidRDefault="00DD3EFA" w:rsidP="00B15ECB">
            <w:pPr>
              <w:rPr>
                <w:b/>
              </w:rPr>
            </w:pPr>
          </w:p>
        </w:tc>
      </w:tr>
      <w:tr w:rsidR="00DD3EFA" w:rsidRPr="005A0E7C" w14:paraId="53AED578" w14:textId="77777777" w:rsidTr="00B15ECB">
        <w:trPr>
          <w:trHeight w:val="850"/>
        </w:trPr>
        <w:tc>
          <w:tcPr>
            <w:tcW w:w="249" w:type="dxa"/>
            <w:tcBorders>
              <w:top w:val="nil"/>
              <w:bottom w:val="nil"/>
            </w:tcBorders>
            <w:shd w:val="clear" w:color="auto" w:fill="66CCFF"/>
          </w:tcPr>
          <w:p w14:paraId="07593E2A"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5B286C3"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Poptávka příjemců</w:t>
            </w:r>
          </w:p>
        </w:tc>
        <w:tc>
          <w:tcPr>
            <w:tcW w:w="5978" w:type="dxa"/>
            <w:tcBorders>
              <w:bottom w:val="single" w:sz="4" w:space="0" w:color="auto"/>
            </w:tcBorders>
            <w:shd w:val="clear" w:color="auto" w:fill="FFFFFF" w:themeFill="background1"/>
          </w:tcPr>
          <w:p w14:paraId="2CE88E7A" w14:textId="77777777" w:rsidR="00DD3EFA" w:rsidRPr="005A0E7C" w:rsidRDefault="00DD3EFA" w:rsidP="00B15ECB">
            <w:pPr>
              <w:spacing w:before="60" w:after="60"/>
              <w:rPr>
                <w:rFonts w:eastAsiaTheme="majorEastAsia"/>
              </w:rPr>
            </w:pPr>
            <w:r w:rsidRPr="005A0E7C">
              <w:rPr>
                <w:rFonts w:eastAsiaTheme="majorEastAsia"/>
              </w:rPr>
              <w:t xml:space="preserve">Do budoucna lze s jistotou očekávat stále obrovský zájem ze strany potenciálních žadatelů o intervence na podporu podmínek pro kvalitní výzkum, a to jak na základě dosavadních zkušeností s těmito intervencemi, tak na základě průběžných kontaktů s příjemci i velmi četných dotazů na možnosti dalších dotačních titulů na podporu VaV ze strany výzkumných organizací. </w:t>
            </w:r>
          </w:p>
          <w:p w14:paraId="70AEBB87" w14:textId="77777777" w:rsidR="00DD3EFA" w:rsidRPr="005A0E7C" w:rsidRDefault="00DD3EFA" w:rsidP="00B15ECB">
            <w:pPr>
              <w:spacing w:before="60" w:after="60"/>
              <w:rPr>
                <w:rFonts w:eastAsiaTheme="majorEastAsia"/>
              </w:rPr>
            </w:pPr>
            <w:r w:rsidRPr="005A0E7C">
              <w:rPr>
                <w:rFonts w:eastAsiaTheme="majorEastAsia"/>
              </w:rPr>
              <w:t>Největší zájem žadatelů o podporu je zejména o tzv. komplexní výzvy, z nichž je možné podpořit komplex aktivit souvisejících s realizací konkrétních výzkumných záměrů (tj. podpora budování týmů výzkumných pracovníků, jejich rozvoj, mobilita, spolupráce se zahraničními institucemi či podniky, investice do potřebné infrastruktury i konkrétní realizace výzkumného záměru). Velká poptávka je obecně po up-grade výzkumných infrastruktur (a to zejména těch, jež tvoří páteřní síť tzv. velkých výzkumných infastruktur ČR, ale také těch infrastruktur, které jednotlivé VO potřebují k realizaci výzkumu tak, aby bylo možné se přizpůsobit novým výzvám a aby VO byly konkurenceschopné) i po rozvoji internacionalizace a rozvoji lidského kapitálu (mobility výzkumných pracovníků, lákání a podpora udržení výzkumníků ze zahraničí atp.).</w:t>
            </w:r>
          </w:p>
          <w:p w14:paraId="7A5D28BE" w14:textId="77777777" w:rsidR="00DD3EFA" w:rsidRPr="005A0E7C" w:rsidRDefault="00DD3EFA" w:rsidP="00B15ECB">
            <w:pPr>
              <w:spacing w:before="60" w:after="60"/>
              <w:rPr>
                <w:rFonts w:eastAsiaTheme="majorEastAsia"/>
              </w:rPr>
            </w:pPr>
            <w:r w:rsidRPr="005A0E7C">
              <w:rPr>
                <w:rFonts w:eastAsiaTheme="majorEastAsia"/>
              </w:rPr>
              <w:t xml:space="preserve">Konkrétní data k absorpční kapacitě pro budoucí programové období je však nutné ověřit na základě rosáhlého průzkumu, a to již se znalostí konkrétních podmínek budoucího programového období. MŠMT předpokládá realizaci takového šetření v průběhu roku 2019-2020. Konkrétní absorpční kapacitu budou ovlivňovat i upřesněné podmínky čerpání v budoucím období, především možnost/nutnost spolufinancování ze strany příjemců a konkrétní výše tohoto spolufinancování. </w:t>
            </w:r>
          </w:p>
        </w:tc>
        <w:tc>
          <w:tcPr>
            <w:tcW w:w="249" w:type="dxa"/>
            <w:tcBorders>
              <w:top w:val="nil"/>
              <w:bottom w:val="nil"/>
            </w:tcBorders>
            <w:shd w:val="clear" w:color="auto" w:fill="66CCFF"/>
          </w:tcPr>
          <w:p w14:paraId="62F10738" w14:textId="77777777" w:rsidR="00DD3EFA" w:rsidRPr="005A0E7C" w:rsidRDefault="00DD3EFA" w:rsidP="00B15ECB">
            <w:pPr>
              <w:rPr>
                <w:b/>
              </w:rPr>
            </w:pPr>
          </w:p>
        </w:tc>
      </w:tr>
      <w:tr w:rsidR="00DD3EFA" w:rsidRPr="005A0E7C" w14:paraId="0EF76CBD" w14:textId="77777777" w:rsidTr="00B15ECB">
        <w:trPr>
          <w:trHeight w:val="925"/>
        </w:trPr>
        <w:tc>
          <w:tcPr>
            <w:tcW w:w="249" w:type="dxa"/>
            <w:tcBorders>
              <w:top w:val="nil"/>
              <w:bottom w:val="nil"/>
            </w:tcBorders>
            <w:shd w:val="clear" w:color="auto" w:fill="66CCFF"/>
          </w:tcPr>
          <w:p w14:paraId="75404C89"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3EC50BD8"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Příprava projektových záměrů</w:t>
            </w:r>
          </w:p>
        </w:tc>
        <w:tc>
          <w:tcPr>
            <w:tcW w:w="5978" w:type="dxa"/>
            <w:tcBorders>
              <w:bottom w:val="single" w:sz="4" w:space="0" w:color="auto"/>
            </w:tcBorders>
            <w:shd w:val="clear" w:color="auto" w:fill="FFFFFF" w:themeFill="background1"/>
          </w:tcPr>
          <w:p w14:paraId="286442D9" w14:textId="77777777" w:rsidR="00DD3EFA" w:rsidRPr="005A0E7C" w:rsidRDefault="00DD3EFA" w:rsidP="00B15ECB">
            <w:pPr>
              <w:spacing w:before="60" w:after="60"/>
              <w:rPr>
                <w:rFonts w:eastAsiaTheme="majorEastAsia"/>
              </w:rPr>
            </w:pPr>
            <w:r w:rsidRPr="005A0E7C">
              <w:rPr>
                <w:rFonts w:eastAsiaTheme="majorEastAsia"/>
              </w:rPr>
              <w:t>Většina potenciálních příjemců v případě intervencí na podporu rozvoje podmínek pro kvalitní výzkum disponuje rámcovými projektovými záměry, které mohou v relativně krátkém čáse dopracovat dle konkrétních podmínek dotačního titulu. Je to tak zejména z toho důvodu, že výzkumné organizace průběžně pracují na svých strategiích rozvoje a případné projektové záměry tak často mají k dispozici ve formě fiší, návrhů, nápadů, často pak jsou součástí strategie rozvoje přímo. V případě projektů, které jsou založeny na konkrétních výzkumných záměrech, opět lze hovořit o velké míře připravenosti případných příjemců – výzkumné organizace a jednotlivé jejich součásti (výzkumné jednotky, týmy) průběžně budují spolupráci s dalšími subjekty a průběžně připravují možné projekty pro budoucí rozvoj, na které však aktuálně nemají dostatek finančních prostředků.</w:t>
            </w:r>
          </w:p>
          <w:p w14:paraId="29654F75" w14:textId="77777777" w:rsidR="00DD3EFA" w:rsidRPr="005A0E7C" w:rsidRDefault="00DD3EFA" w:rsidP="00B15ECB">
            <w:pPr>
              <w:spacing w:before="60" w:after="60"/>
              <w:rPr>
                <w:rFonts w:eastAsiaTheme="majorEastAsia"/>
              </w:rPr>
            </w:pPr>
            <w:r w:rsidRPr="005A0E7C">
              <w:rPr>
                <w:rFonts w:eastAsiaTheme="majorEastAsia"/>
              </w:rPr>
              <w:t>Lze tedy předpokládat rámcovou připravenost projektových záměrů, konkrétní projekty pak budou zpracovány / dopracovány na základě konkrétních podmínek konkrétních výzev.</w:t>
            </w:r>
          </w:p>
          <w:p w14:paraId="2EA60011" w14:textId="77777777" w:rsidR="00DD3EFA" w:rsidRPr="005A0E7C" w:rsidRDefault="00DD3EFA" w:rsidP="00B15ECB">
            <w:pPr>
              <w:spacing w:before="60" w:after="60"/>
              <w:rPr>
                <w:rFonts w:eastAsiaTheme="majorEastAsia"/>
              </w:rPr>
            </w:pPr>
            <w:r w:rsidRPr="005A0E7C">
              <w:rPr>
                <w:rFonts w:eastAsiaTheme="majorEastAsia"/>
              </w:rPr>
              <w:t>Pro případ tzv. strategických projektů, projektů komplexních a finančně objemných zveřejnilo MŠMT tzv. prescreening strategických projektů pro budoucí programové období, a to s cílem umožnit dostatečný časový prostor pro přípravu těchto projektů, které jsou často nejen finančně objemné, ale také organizačně a časově náročné na přípravu. MŠMT předpokládá vyhodnocení tohoto prescreeningu nejpozději v polovině roku 2019. Projekty by tak měly být připraveny k předložení a následné realizaci již s počátkem programového období.</w:t>
            </w:r>
          </w:p>
          <w:p w14:paraId="315D475F" w14:textId="77777777" w:rsidR="00DD3EFA" w:rsidRPr="005A0E7C" w:rsidRDefault="00DD3EFA" w:rsidP="00B15ECB">
            <w:pPr>
              <w:spacing w:before="60" w:after="60"/>
              <w:rPr>
                <w:rFonts w:eastAsiaTheme="majorEastAsia"/>
              </w:rPr>
            </w:pPr>
            <w:r w:rsidRPr="005A0E7C">
              <w:rPr>
                <w:rFonts w:eastAsiaTheme="majorEastAsia"/>
              </w:rPr>
              <w:t>Screening ostatních (běžných) projektů se předpokládá v průběhu 2019-2020, a to v návaznosti na konkretizaci budoucích opatření.</w:t>
            </w:r>
          </w:p>
        </w:tc>
        <w:tc>
          <w:tcPr>
            <w:tcW w:w="249" w:type="dxa"/>
            <w:tcBorders>
              <w:top w:val="nil"/>
              <w:bottom w:val="nil"/>
            </w:tcBorders>
            <w:shd w:val="clear" w:color="auto" w:fill="66CCFF"/>
          </w:tcPr>
          <w:p w14:paraId="6287CE04" w14:textId="77777777" w:rsidR="00DD3EFA" w:rsidRPr="005A0E7C" w:rsidRDefault="00DD3EFA" w:rsidP="00B15ECB">
            <w:pPr>
              <w:rPr>
                <w:b/>
              </w:rPr>
            </w:pPr>
          </w:p>
        </w:tc>
      </w:tr>
      <w:tr w:rsidR="00DD3EFA" w:rsidRPr="005A0E7C" w14:paraId="7F6804B9" w14:textId="77777777" w:rsidTr="00B15ECB">
        <w:trPr>
          <w:trHeight w:val="1001"/>
        </w:trPr>
        <w:tc>
          <w:tcPr>
            <w:tcW w:w="249" w:type="dxa"/>
            <w:tcBorders>
              <w:top w:val="nil"/>
              <w:bottom w:val="nil"/>
            </w:tcBorders>
            <w:shd w:val="clear" w:color="auto" w:fill="66CCFF"/>
          </w:tcPr>
          <w:p w14:paraId="451336BF"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D281E0C"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Bariéry</w:t>
            </w:r>
          </w:p>
        </w:tc>
        <w:tc>
          <w:tcPr>
            <w:tcW w:w="5978" w:type="dxa"/>
            <w:tcBorders>
              <w:bottom w:val="single" w:sz="4" w:space="0" w:color="auto"/>
            </w:tcBorders>
            <w:shd w:val="clear" w:color="auto" w:fill="FFFFFF" w:themeFill="background1"/>
          </w:tcPr>
          <w:p w14:paraId="571571F9" w14:textId="77777777" w:rsidR="00DD3EFA" w:rsidRPr="005A0E7C" w:rsidRDefault="00DD3EFA" w:rsidP="00B15ECB">
            <w:pPr>
              <w:spacing w:before="60" w:after="60"/>
              <w:rPr>
                <w:rFonts w:eastAsiaTheme="majorEastAsia"/>
              </w:rPr>
            </w:pPr>
            <w:r w:rsidRPr="005A0E7C">
              <w:rPr>
                <w:rFonts w:eastAsiaTheme="majorEastAsia"/>
              </w:rPr>
              <w:t>Z četných evaluací, studií i rozhovorů s příjemci vyplývá několik základních a opakujících se komplikací pro realizaci projektů výzkumu a vývoje z ESIF, a to:</w:t>
            </w:r>
          </w:p>
          <w:p w14:paraId="6CC23F76" w14:textId="77777777" w:rsidR="00DD3EFA" w:rsidRPr="005A0E7C" w:rsidRDefault="00DD3EFA" w:rsidP="00391907">
            <w:pPr>
              <w:pStyle w:val="Odstavecseseznamem"/>
              <w:numPr>
                <w:ilvl w:val="0"/>
                <w:numId w:val="23"/>
              </w:numPr>
              <w:spacing w:before="60" w:after="60"/>
              <w:rPr>
                <w:rFonts w:eastAsiaTheme="majorEastAsia"/>
              </w:rPr>
            </w:pPr>
            <w:r w:rsidRPr="005A0E7C">
              <w:rPr>
                <w:rFonts w:eastAsiaTheme="majorEastAsia"/>
              </w:rPr>
              <w:t>Administrativní zátěž – nejedná se o bariéru, která by realizaci projektů znemožňovala, spíše o komplikaci, na níž příjemci dotací často poukazují s odkazem na snížení efektivity vynaložených prostředků. ŘO OP VVV se snaží administrativní zátěž snižovat na nutné minimum.</w:t>
            </w:r>
          </w:p>
          <w:p w14:paraId="7309822F" w14:textId="77777777" w:rsidR="00DD3EFA" w:rsidRPr="005A0E7C" w:rsidRDefault="00DD3EFA" w:rsidP="00391907">
            <w:pPr>
              <w:pStyle w:val="Odstavecseseznamem"/>
              <w:numPr>
                <w:ilvl w:val="0"/>
                <w:numId w:val="23"/>
              </w:numPr>
              <w:spacing w:before="60" w:after="60"/>
              <w:rPr>
                <w:rFonts w:eastAsiaTheme="majorEastAsia"/>
              </w:rPr>
            </w:pPr>
            <w:r w:rsidRPr="005A0E7C">
              <w:rPr>
                <w:rFonts w:eastAsiaTheme="majorEastAsia"/>
              </w:rPr>
              <w:t xml:space="preserve">Veřejná podpora – nejedná se o bariéru, která by plně znemožňovala realizaci projektů, nicméně o významnou komplikaci. Příjemci poukazují na stále se vyvíjející výklad k oblasti veřejné podpory ve výzkumu a vývoji a také na velkou odlišnost podmínek stanovených unijními programy (které jsou z veřejné podpory vyloučeny) a ESIF. Zejména je komplikace pociťována v případě komplementarit či synergií s unijními programy (zejména Horizon 2020 / Horizon Europe) – synergických, komplementárních projektů či financování projektů disponujících tzv. Pečetí excelence. ŘO OP VVV průběžně řeší sporné otázky s externími odborníky či přímo s ÚOHS, dále apeluje na sladění podmínek ESIF do budoucího programového období s podmínkami určenými pro unijní programy. ŘO OP VVV se účastní příslušných národních či unijních jednání s cílem dojednat sladění podmínek ESIF a unijních programů. </w:t>
            </w:r>
          </w:p>
          <w:p w14:paraId="4ED429B4" w14:textId="77777777" w:rsidR="00DD3EFA" w:rsidRPr="005A0E7C" w:rsidRDefault="00DD3EFA" w:rsidP="00391907">
            <w:pPr>
              <w:pStyle w:val="Odstavecseseznamem"/>
              <w:numPr>
                <w:ilvl w:val="0"/>
                <w:numId w:val="23"/>
              </w:numPr>
              <w:spacing w:before="60" w:after="60"/>
              <w:rPr>
                <w:rFonts w:eastAsiaTheme="majorEastAsia"/>
              </w:rPr>
            </w:pPr>
            <w:r w:rsidRPr="005A0E7C">
              <w:rPr>
                <w:rFonts w:eastAsiaTheme="majorEastAsia"/>
              </w:rPr>
              <w:t>Zákon o veřejných zakázkách – časté průtahy na straně úřadů či odvolání se neúspěšných uchazečů může v některých případech, kdy je předmět veřejné zakázky zásadním komponentem projektu, být velkým rizikem realizace projektů. ŘO OP VVV má vytvořeny administrativní procesy na kontrolu veřejných zakázek (včetně kontroly a konzultace ex-ante) tak, aby bylo nežádoucím komplikacím co nejvíce předejito.</w:t>
            </w:r>
          </w:p>
        </w:tc>
        <w:tc>
          <w:tcPr>
            <w:tcW w:w="249" w:type="dxa"/>
            <w:tcBorders>
              <w:top w:val="nil"/>
              <w:bottom w:val="nil"/>
            </w:tcBorders>
            <w:shd w:val="clear" w:color="auto" w:fill="66CCFF"/>
          </w:tcPr>
          <w:p w14:paraId="3C50B622" w14:textId="77777777" w:rsidR="00DD3EFA" w:rsidRPr="005A0E7C" w:rsidRDefault="00DD3EFA" w:rsidP="00B15ECB">
            <w:pPr>
              <w:rPr>
                <w:b/>
              </w:rPr>
            </w:pPr>
          </w:p>
        </w:tc>
      </w:tr>
      <w:tr w:rsidR="00DD3EFA" w:rsidRPr="005A0E7C" w14:paraId="6D1341E2"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48A2D42"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53F72726" w14:textId="77777777" w:rsidR="00DD3EFA" w:rsidRPr="002D2123"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BA5C567"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192F023" w14:textId="77777777" w:rsidR="00DD3EFA" w:rsidRPr="005A0E7C" w:rsidRDefault="00DD3EFA" w:rsidP="00B15ECB">
            <w:pPr>
              <w:rPr>
                <w:b/>
              </w:rPr>
            </w:pPr>
          </w:p>
        </w:tc>
      </w:tr>
      <w:tr w:rsidR="00DD3EFA" w:rsidRPr="005A0E7C" w14:paraId="37C175FF" w14:textId="77777777" w:rsidTr="00B15ECB">
        <w:trPr>
          <w:trHeight w:val="1968"/>
        </w:trPr>
        <w:tc>
          <w:tcPr>
            <w:tcW w:w="249" w:type="dxa"/>
            <w:tcBorders>
              <w:top w:val="single" w:sz="4" w:space="0" w:color="auto"/>
              <w:bottom w:val="nil"/>
            </w:tcBorders>
            <w:shd w:val="clear" w:color="auto" w:fill="66CCFF"/>
          </w:tcPr>
          <w:p w14:paraId="16D36CC5" w14:textId="77777777" w:rsidR="00DD3EFA" w:rsidRPr="002D2123" w:rsidRDefault="00DD3EFA" w:rsidP="00B15ECB">
            <w:pPr>
              <w:rPr>
                <w:b/>
                <w:sz w:val="10"/>
                <w:szCs w:val="10"/>
              </w:rPr>
            </w:pPr>
          </w:p>
        </w:tc>
        <w:tc>
          <w:tcPr>
            <w:tcW w:w="2548" w:type="dxa"/>
            <w:tcBorders>
              <w:top w:val="single" w:sz="4" w:space="0" w:color="auto"/>
            </w:tcBorders>
            <w:shd w:val="clear" w:color="auto" w:fill="FFFFFF" w:themeFill="background1"/>
          </w:tcPr>
          <w:p w14:paraId="48008A2C" w14:textId="77777777" w:rsidR="00DD3EFA" w:rsidRPr="002D2123" w:rsidRDefault="00DD3EFA" w:rsidP="00B15ECB">
            <w:pPr>
              <w:spacing w:before="60" w:after="60"/>
              <w:rPr>
                <w:rFonts w:eastAsiaTheme="majorEastAsia"/>
                <w:b/>
              </w:rPr>
            </w:pPr>
            <w:r w:rsidRPr="002D2123">
              <w:rPr>
                <w:rFonts w:eastAsiaTheme="majorEastAsia"/>
                <w:b/>
              </w:rPr>
              <w:t>Alternativní zdroje</w:t>
            </w:r>
          </w:p>
        </w:tc>
        <w:tc>
          <w:tcPr>
            <w:tcW w:w="5978" w:type="dxa"/>
            <w:tcBorders>
              <w:top w:val="single" w:sz="4" w:space="0" w:color="auto"/>
            </w:tcBorders>
            <w:shd w:val="clear" w:color="auto" w:fill="FFFFFF" w:themeFill="background1"/>
          </w:tcPr>
          <w:p w14:paraId="57C19432" w14:textId="77777777" w:rsidR="00DD3EFA" w:rsidRPr="005A0E7C" w:rsidRDefault="00DD3EFA" w:rsidP="00B15ECB">
            <w:pPr>
              <w:spacing w:before="60" w:after="60"/>
              <w:rPr>
                <w:rFonts w:eastAsiaTheme="majorEastAsia"/>
              </w:rPr>
            </w:pPr>
            <w:r w:rsidRPr="005A0E7C">
              <w:rPr>
                <w:rFonts w:eastAsiaTheme="majorEastAsia"/>
              </w:rPr>
              <w:t>Za alternativní zdroje lze považovat (a) výdaje státního rozpočtu ČR na výzkum, vývoj a inovace a/nebo (b) prostředky rámcového programu EU pro výzkum a inovace Horizont Evropa (2021-2027), který bude na evropské úrovni implementován v období dalšího Víceletého finančního rámce EU. Pro případ nedisponibility ESIF pro účely adresování předjímaných intervencí by tyto musely být financovány z veřejných prostředků, a to primárně v rámci výdajů státního rozpočtu ČR na výzkum, vývoj a inovace. Z prostředků rámcových programů EU pro výzkum, vývoj a inovace zpravidla nelze financovat investiční náklady, a to poté zejména mělo-li by se jednat o investiční náklady směřované do modernizace, resp. pořizování nového přístrojového vybavení. Ze zdrojů rámcových programů EU pro výzkum, vývoj a inovace lze obvykle financovat tzv. „měkké“ výdaje, které souvisí se samotnou realizací projektů výzkumu, vývoje a inovací, a dále např. také mezinárodní mobilitu výzkumných pracovníků a mezinárodní spolupraci všeobecně. Za využití prostředků rámcových programů EU pro výzkum, vývoj a inovace nicméně nelze realizovat kapitálové investice, které by představovaly investice do infrastrukturního zázemí. Dále jsou pak rámcové programy EU pro výzkum, vývoj a inovace zaměřeny na financování projektů, které mají, až na výjimky v podobě tzv. „mono-beneficiary“ projektů, mezinárodní charakter, tj. jsou tak řešeny v rámci rozsáhlých mezinárodních konsorcií. Aktivity, jež jsou prováděny výlučně jednou výzkumnou organizací, bez další mezinárodní spolupráce, tak nemohou být ze zdrojů rámcových programů EU pro výzkum, vývoj a inovace financovány. Návazně na výše uvedené lze za alternativní zdroje financování uvedených intervencí považovat tařka výhradně výdaje státního rozpočtu ČR na výzkum, vývoj a inovace, které jsou však velmi omezeny, nedostačují na potřebnou masivní podporu oblasti výzkumu a vývoje a nelze předpokládat, že by mohly potřeby cílových skupin / potenciálních budoucích příjemců podpory pokrýt.</w:t>
            </w:r>
          </w:p>
        </w:tc>
        <w:tc>
          <w:tcPr>
            <w:tcW w:w="249" w:type="dxa"/>
            <w:tcBorders>
              <w:top w:val="single" w:sz="4" w:space="0" w:color="auto"/>
              <w:bottom w:val="nil"/>
            </w:tcBorders>
            <w:shd w:val="clear" w:color="auto" w:fill="66CCFF"/>
          </w:tcPr>
          <w:p w14:paraId="385F36AE" w14:textId="77777777" w:rsidR="00DD3EFA" w:rsidRPr="005A0E7C" w:rsidRDefault="00DD3EFA" w:rsidP="00B15ECB">
            <w:pPr>
              <w:rPr>
                <w:b/>
              </w:rPr>
            </w:pPr>
          </w:p>
        </w:tc>
      </w:tr>
      <w:tr w:rsidR="00DD3EFA" w:rsidRPr="005A0E7C" w14:paraId="129DF53E" w14:textId="77777777" w:rsidTr="00B15ECB">
        <w:trPr>
          <w:trHeight w:val="1968"/>
        </w:trPr>
        <w:tc>
          <w:tcPr>
            <w:tcW w:w="249" w:type="dxa"/>
            <w:tcBorders>
              <w:top w:val="nil"/>
              <w:bottom w:val="nil"/>
            </w:tcBorders>
            <w:shd w:val="clear" w:color="auto" w:fill="66CCFF"/>
          </w:tcPr>
          <w:p w14:paraId="13D887BD" w14:textId="77777777" w:rsidR="00DD3EFA" w:rsidRPr="002D2123" w:rsidRDefault="00DD3EFA" w:rsidP="00B15ECB">
            <w:pPr>
              <w:rPr>
                <w:b/>
                <w:sz w:val="10"/>
                <w:szCs w:val="10"/>
              </w:rPr>
            </w:pPr>
          </w:p>
        </w:tc>
        <w:tc>
          <w:tcPr>
            <w:tcW w:w="2548" w:type="dxa"/>
            <w:tcBorders>
              <w:top w:val="nil"/>
            </w:tcBorders>
            <w:shd w:val="clear" w:color="auto" w:fill="FFFFFF" w:themeFill="background1"/>
          </w:tcPr>
          <w:p w14:paraId="74DC17CD" w14:textId="77777777" w:rsidR="00DD3EFA" w:rsidRPr="002D2123" w:rsidRDefault="00DD3EFA" w:rsidP="00391907">
            <w:pPr>
              <w:pStyle w:val="Odstavecseseznamem"/>
              <w:numPr>
                <w:ilvl w:val="0"/>
                <w:numId w:val="62"/>
              </w:numPr>
              <w:tabs>
                <w:tab w:val="left" w:pos="301"/>
              </w:tabs>
              <w:spacing w:before="60" w:after="60"/>
              <w:ind w:left="0" w:firstLine="0"/>
              <w:rPr>
                <w:rFonts w:eastAsiaTheme="majorEastAsia"/>
                <w:b/>
              </w:rPr>
            </w:pPr>
            <w:r w:rsidRPr="002D2123">
              <w:rPr>
                <w:rFonts w:eastAsiaTheme="majorEastAsia"/>
                <w:b/>
              </w:rPr>
              <w:t>Unijní programy</w:t>
            </w:r>
          </w:p>
        </w:tc>
        <w:tc>
          <w:tcPr>
            <w:tcW w:w="5978" w:type="dxa"/>
            <w:tcBorders>
              <w:top w:val="nil"/>
            </w:tcBorders>
            <w:shd w:val="clear" w:color="auto" w:fill="FFFFFF" w:themeFill="background1"/>
          </w:tcPr>
          <w:p w14:paraId="3A8A11E1" w14:textId="77777777" w:rsidR="00DD3EFA" w:rsidRPr="005A0E7C" w:rsidRDefault="00DD3EFA" w:rsidP="00B15ECB">
            <w:pPr>
              <w:spacing w:before="60" w:after="60"/>
              <w:rPr>
                <w:rFonts w:eastAsiaTheme="majorEastAsia"/>
                <w:i/>
                <w:color w:val="FF0000"/>
              </w:rPr>
            </w:pPr>
            <w:r w:rsidRPr="005A0E7C">
              <w:rPr>
                <w:rFonts w:eastAsiaTheme="majorEastAsia"/>
              </w:rPr>
              <w:t>Co se týká možnosti využití unijních programů – v případě agendy výzkumu, vývoje a inovací rámcových programů EU realizovaných ve věcně příslušných oblastech – možnost využití jejich zdrojů pro financování zamýšlených intervencí je poměrně limitovaná, jak je uvedeno už v části „Alternativní zdroje“. Existuje potenciál pro tzv. „synergie“, kdy mohou být prostředky rámcových programů EU pro výzkum, vývoj a inovace synergicky doplňovány zdroji ESIF při financování projektů, v jejichž rámci jsou kombinovány vlastní výzkumné, vývojové a inovační aktivity s investičními záměry (tj. (např. projekty „Teaming“). Existuje i potenciál k aplikaci principu tzv. „Seal of Excellence“, kdy mohou být „zásobníkové“ projekty, které uspějí v hodnocení rámcových programů EU pro  výzkum, vývoj a inovace, financovány členskými státy např. za využití ESIF. Co se však týká možnosti financování zamýšlených intervencí ze zdrojů rámcových programů EU pro  výzkum, vývoj a inovace, ta je poměrně limitovaná (a to už s ohledem na mezinárodní rozměr projektů financovaných z rámcových programů EU pro výzkum, vývoj a inovace) a jedná se de facto o ojedinělé příklady (např. mezinárodní mobilita může být v rámcových programech EU pro  výzkum, vývoj a inovace financována prostřednictvím tzv. „Marie Skłodowska-Curie Actions“).</w:t>
            </w:r>
          </w:p>
          <w:p w14:paraId="5DDCA8B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Formování vědecké excelence a posílení konkurenceschopnosti výzkumu EU je v programu Horizont 2020 (H2020) zařazeno v jeho prvé hlavní prioritě (pilíři) </w:t>
            </w:r>
            <w:r w:rsidRPr="005A0E7C">
              <w:rPr>
                <w:rFonts w:ascii="Times New Roman" w:hAnsi="Times New Roman"/>
                <w:i/>
              </w:rPr>
              <w:t>Excelentní věda</w:t>
            </w:r>
            <w:r w:rsidRPr="005A0E7C">
              <w:rPr>
                <w:rFonts w:ascii="Times New Roman" w:hAnsi="Times New Roman"/>
              </w:rPr>
              <w:t xml:space="preserve">, které je rozdělena do čtyř oblastí – </w:t>
            </w:r>
            <w:r w:rsidRPr="005A0E7C">
              <w:rPr>
                <w:rFonts w:ascii="Times New Roman" w:hAnsi="Times New Roman"/>
                <w:i/>
              </w:rPr>
              <w:t>Evropská výzkumná rada</w:t>
            </w:r>
            <w:r w:rsidRPr="005A0E7C">
              <w:rPr>
                <w:rFonts w:ascii="Times New Roman" w:hAnsi="Times New Roman"/>
              </w:rPr>
              <w:t xml:space="preserve"> (ERC), </w:t>
            </w:r>
            <w:r w:rsidRPr="005A0E7C">
              <w:rPr>
                <w:rFonts w:ascii="Times New Roman" w:hAnsi="Times New Roman"/>
                <w:i/>
              </w:rPr>
              <w:t>Budoucí a vznikající technologie</w:t>
            </w:r>
            <w:r w:rsidRPr="005A0E7C">
              <w:rPr>
                <w:rFonts w:ascii="Times New Roman" w:hAnsi="Times New Roman"/>
              </w:rPr>
              <w:t xml:space="preserve"> (FET), </w:t>
            </w:r>
            <w:r w:rsidRPr="005A0E7C">
              <w:rPr>
                <w:rFonts w:ascii="Times New Roman" w:hAnsi="Times New Roman"/>
                <w:i/>
              </w:rPr>
              <w:t>Akce Marie Skłodowska-Curie</w:t>
            </w:r>
            <w:r w:rsidRPr="005A0E7C">
              <w:rPr>
                <w:rFonts w:ascii="Times New Roman" w:hAnsi="Times New Roman"/>
              </w:rPr>
              <w:t xml:space="preserve"> (MSCA) a </w:t>
            </w:r>
            <w:r w:rsidRPr="005A0E7C">
              <w:rPr>
                <w:rFonts w:ascii="Times New Roman" w:hAnsi="Times New Roman"/>
                <w:i/>
              </w:rPr>
              <w:t>Evropské výzkumné infrastruktury včetně e-infrastruktur</w:t>
            </w:r>
            <w:r w:rsidRPr="005A0E7C">
              <w:rPr>
                <w:rFonts w:ascii="Times New Roman" w:hAnsi="Times New Roman"/>
              </w:rPr>
              <w:t xml:space="preserve"> (INFRA). V dosavadním průběhu H2020 (resp. přibližně do poloviny roku 2018) získala ČR celkem 22 grantů </w:t>
            </w:r>
            <w:r w:rsidRPr="005A0E7C">
              <w:rPr>
                <w:rFonts w:ascii="Times New Roman" w:hAnsi="Times New Roman"/>
                <w:i/>
              </w:rPr>
              <w:t>ERC</w:t>
            </w:r>
            <w:r w:rsidRPr="005A0E7C">
              <w:rPr>
                <w:rFonts w:ascii="Times New Roman" w:hAnsi="Times New Roman"/>
              </w:rPr>
              <w:t xml:space="preserve">, ve kterých byly výzkumné týmy z ČR podpořeny částkou přesahující 33 mil €. Do poloviny roku 2018 byli výzkumníci z ČR zapojeni do 87 </w:t>
            </w:r>
            <w:r w:rsidRPr="005A0E7C">
              <w:rPr>
                <w:rFonts w:ascii="Times New Roman" w:hAnsi="Times New Roman"/>
                <w:i/>
              </w:rPr>
              <w:t>Akcí Marie Skłodowska-Curie</w:t>
            </w:r>
            <w:r w:rsidRPr="005A0E7C">
              <w:rPr>
                <w:rFonts w:ascii="Times New Roman" w:hAnsi="Times New Roman"/>
              </w:rPr>
              <w:t xml:space="preserve"> s celkovým příspěvkem EK ve výši 23 mil. €. V uvedeném období bylo podpořeno celkem 13 projektů </w:t>
            </w:r>
            <w:r w:rsidRPr="005A0E7C">
              <w:rPr>
                <w:rFonts w:ascii="Times New Roman" w:hAnsi="Times New Roman"/>
                <w:i/>
              </w:rPr>
              <w:t>FET</w:t>
            </w:r>
            <w:r w:rsidRPr="005A0E7C">
              <w:rPr>
                <w:rFonts w:ascii="Times New Roman" w:hAnsi="Times New Roman"/>
              </w:rPr>
              <w:t xml:space="preserve"> s účastí ČR, přičemž výzkumné týmy z ČR získaly na řešení těchto projektů příspěvek ve výši přibližně 4,6 mil. €. Dále bylo podpořeno 58 infrastrukturních projektů (</w:t>
            </w:r>
            <w:r w:rsidRPr="005A0E7C">
              <w:rPr>
                <w:rFonts w:ascii="Times New Roman" w:hAnsi="Times New Roman"/>
                <w:i/>
              </w:rPr>
              <w:t>INFRA</w:t>
            </w:r>
            <w:r w:rsidRPr="005A0E7C">
              <w:rPr>
                <w:rFonts w:ascii="Times New Roman" w:hAnsi="Times New Roman"/>
              </w:rPr>
              <w:t>), ve kterých účastníci z ČR získaly příspěvek cca 13 mil. €.</w:t>
            </w:r>
          </w:p>
          <w:p w14:paraId="7540AB3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Úspěšnost návrhů projektů s účastníky z ČR (účastnická úspěšnost) je ve srovnání s členskými státy EU-15 povětšinou výrazně nižší. V pilíři </w:t>
            </w:r>
            <w:r w:rsidRPr="005A0E7C">
              <w:rPr>
                <w:rFonts w:ascii="Times New Roman" w:hAnsi="Times New Roman"/>
                <w:i/>
              </w:rPr>
              <w:t>Excelentní věda</w:t>
            </w:r>
            <w:r w:rsidRPr="005A0E7C">
              <w:rPr>
                <w:rFonts w:ascii="Times New Roman" w:hAnsi="Times New Roman"/>
              </w:rPr>
              <w:t xml:space="preserve"> měly nejvyšší úspěšnost návrhy infrastrukturních projektů (</w:t>
            </w:r>
            <w:r w:rsidRPr="005A0E7C">
              <w:rPr>
                <w:rFonts w:ascii="Times New Roman" w:hAnsi="Times New Roman"/>
                <w:i/>
              </w:rPr>
              <w:t>INFRA)</w:t>
            </w:r>
            <w:r w:rsidRPr="005A0E7C">
              <w:rPr>
                <w:rFonts w:ascii="Times New Roman" w:hAnsi="Times New Roman"/>
              </w:rPr>
              <w:t xml:space="preserve">. V ostatních oblastech byla účastnická úspěšnost nižší – pro financování bylo vybráno 9,3 % návrhů </w:t>
            </w:r>
            <w:r w:rsidRPr="005A0E7C">
              <w:rPr>
                <w:rFonts w:ascii="Times New Roman" w:hAnsi="Times New Roman"/>
                <w:i/>
              </w:rPr>
              <w:t>MSCA</w:t>
            </w:r>
            <w:r w:rsidRPr="005A0E7C">
              <w:rPr>
                <w:rFonts w:ascii="Times New Roman" w:hAnsi="Times New Roman"/>
              </w:rPr>
              <w:t xml:space="preserve">, 8,7 % návrhů </w:t>
            </w:r>
            <w:r w:rsidRPr="005A0E7C">
              <w:rPr>
                <w:rFonts w:ascii="Times New Roman" w:hAnsi="Times New Roman"/>
                <w:i/>
              </w:rPr>
              <w:t>ERC</w:t>
            </w:r>
            <w:r w:rsidRPr="005A0E7C">
              <w:rPr>
                <w:rFonts w:ascii="Times New Roman" w:hAnsi="Times New Roman"/>
              </w:rPr>
              <w:t xml:space="preserve"> grantů a 5,4 % návrhů projektů </w:t>
            </w:r>
            <w:r w:rsidRPr="005A0E7C">
              <w:rPr>
                <w:rFonts w:ascii="Times New Roman" w:hAnsi="Times New Roman"/>
                <w:i/>
              </w:rPr>
              <w:t>FET</w:t>
            </w:r>
            <w:r w:rsidRPr="005A0E7C">
              <w:rPr>
                <w:rFonts w:ascii="Times New Roman" w:hAnsi="Times New Roman"/>
              </w:rPr>
              <w:t xml:space="preserve"> s účastí výzkumných týmů z ČR. Ve všech případech byla úspěšnost návrhů projektů týmů z ČR nižší než průměrná úspěšnost účastníků z členských států EU-15. Úspěšnost návrhů s účastí výzkumných týmů z ČR ve všech oblastech pilíře Excelentní věda se v dosavadním průběhu H2020 postupně mírně zvyšovala (tj. se zvyšujícím se počtem realizovaných výzev).</w:t>
            </w:r>
          </w:p>
          <w:p w14:paraId="4CF4AB0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Šíření excelentního výzkumu a překování rozdílů mezi členskými státy či regiony EU je cílem horizontální aktivity Horizontu 2020 zvané </w:t>
            </w:r>
            <w:r w:rsidRPr="005A0E7C">
              <w:rPr>
                <w:rFonts w:ascii="Times New Roman" w:hAnsi="Times New Roman"/>
                <w:i/>
              </w:rPr>
              <w:t>Šíření excelence a rozšiřování účasti</w:t>
            </w:r>
            <w:r w:rsidRPr="005A0E7C">
              <w:rPr>
                <w:rFonts w:ascii="Times New Roman" w:hAnsi="Times New Roman"/>
              </w:rPr>
              <w:t xml:space="preserve">. Tyto aktivity jsou zaměřené na podporu tzv. low research and development performing countries, včetně ČR. Srovnání s tzv. starými členskými státy (EU-15) je, s ohledem na toto zaměření, nerelevantní. ČR byla v dosavadním průběhu H2020 zapojena do tří z celkem šesti nástrojů (opatření), počet projektů je však zatím poměrně nízký. ČR se zapojila do nástroje </w:t>
            </w:r>
            <w:r w:rsidRPr="005A0E7C">
              <w:rPr>
                <w:rFonts w:ascii="Times New Roman" w:hAnsi="Times New Roman"/>
                <w:i/>
              </w:rPr>
              <w:t>WIDESPREAD</w:t>
            </w:r>
            <w:r w:rsidRPr="005A0E7C">
              <w:rPr>
                <w:rFonts w:ascii="Times New Roman" w:hAnsi="Times New Roman"/>
              </w:rPr>
              <w:t xml:space="preserve">, kde účastníci z ČR získali na řešení projektů cca 9 mil. €. V tomto nástroji je povinná spoluúčast z národních zdrojů či ESIF a OP VVV v tomto případě doplňuje zdroje z Horizontu 2020. ČR se rovněž zapojila do nástroje </w:t>
            </w:r>
            <w:r w:rsidRPr="005A0E7C">
              <w:rPr>
                <w:rFonts w:ascii="Times New Roman" w:hAnsi="Times New Roman"/>
                <w:i/>
              </w:rPr>
              <w:t>TWINNING</w:t>
            </w:r>
            <w:r w:rsidRPr="005A0E7C">
              <w:rPr>
                <w:rFonts w:ascii="Times New Roman" w:hAnsi="Times New Roman"/>
              </w:rPr>
              <w:t xml:space="preserve">, kdy celková podpora získaná týmy z ČR činila přibližně 2,6 mil. €. Nízký počet projektů s účastí ČR v horizontální aktivitě </w:t>
            </w:r>
            <w:r w:rsidRPr="005A0E7C">
              <w:rPr>
                <w:rFonts w:ascii="Times New Roman" w:hAnsi="Times New Roman"/>
                <w:i/>
              </w:rPr>
              <w:t>Šíření excelence a rozšiřování účasti</w:t>
            </w:r>
            <w:r w:rsidRPr="005A0E7C">
              <w:rPr>
                <w:rFonts w:ascii="Times New Roman" w:hAnsi="Times New Roman"/>
              </w:rPr>
              <w:t xml:space="preserve"> neumožňuje spolehlivě vyhodnotit trendy ve vývoji účastnické úspěšnosti.</w:t>
            </w:r>
          </w:p>
          <w:p w14:paraId="6151195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 hlediska podpory internacionalizace je ještě dále relevantní nástroj INTNET, kde je podporován přístup kvalitních výzkumníků a inovátorů k mezinárodním sítím, dále nástroj ERA Chairs zaměřený na přijímání vynikajících vědců na univerzity a výzkumné instituce a nástroj NCPNET, kde jsou podporovány mezinárodní sítě národních kontaktních bodů (NCP).</w:t>
            </w:r>
          </w:p>
          <w:p w14:paraId="7F46A9A5" w14:textId="77777777" w:rsidR="00DD3EFA" w:rsidRPr="005A0E7C" w:rsidRDefault="00DD3EFA" w:rsidP="00B15ECB">
            <w:pPr>
              <w:spacing w:before="60" w:after="60"/>
            </w:pPr>
            <w:r w:rsidRPr="005A0E7C">
              <w:t>Výzvy k podávání návrhů projektů jsou vyhlašovány v souladu s pracovními programy pro danou prioritu nebo společenskou výzvu programu H2020. Četnost výzev a jejich finanční objemy jsou v průběhu programu H2020 velmi variabilní a nelze vyhodnotit a zobecnit trendy ve vyhlašování výzev v průběhu realizace rámcového programu. Nelze tak ani předjímat, jak bude struktura a finanční alokace výzev vypadat v následujícím období. Spoléhat se tedy na tento alternativní zdroj znamená vysokou míru rizikovosti pro rozvoj VaV v ČR.</w:t>
            </w:r>
          </w:p>
          <w:p w14:paraId="54E72D3B"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3BF07E0" w14:textId="77777777" w:rsidR="00DD3EFA" w:rsidRPr="005A0E7C" w:rsidRDefault="00DD3EFA" w:rsidP="00B15ECB">
            <w:pPr>
              <w:rPr>
                <w:b/>
              </w:rPr>
            </w:pPr>
          </w:p>
        </w:tc>
      </w:tr>
      <w:tr w:rsidR="00DD3EFA" w:rsidRPr="002D2123" w14:paraId="53D7C159" w14:textId="77777777" w:rsidTr="00B15ECB">
        <w:trPr>
          <w:trHeight w:val="1968"/>
        </w:trPr>
        <w:tc>
          <w:tcPr>
            <w:tcW w:w="249" w:type="dxa"/>
            <w:tcBorders>
              <w:top w:val="nil"/>
              <w:bottom w:val="nil"/>
            </w:tcBorders>
            <w:shd w:val="clear" w:color="auto" w:fill="66CCFF"/>
          </w:tcPr>
          <w:p w14:paraId="50D60F55" w14:textId="77777777" w:rsidR="00DD3EFA" w:rsidRPr="002D2123" w:rsidRDefault="00DD3EFA" w:rsidP="00B15ECB">
            <w:pPr>
              <w:rPr>
                <w:b/>
                <w:sz w:val="10"/>
                <w:szCs w:val="10"/>
              </w:rPr>
            </w:pPr>
          </w:p>
        </w:tc>
        <w:tc>
          <w:tcPr>
            <w:tcW w:w="2548" w:type="dxa"/>
            <w:tcBorders>
              <w:top w:val="nil"/>
            </w:tcBorders>
            <w:shd w:val="clear" w:color="auto" w:fill="FFFFFF" w:themeFill="background1"/>
          </w:tcPr>
          <w:p w14:paraId="3F17187B" w14:textId="77777777" w:rsidR="00DD3EFA" w:rsidRPr="002D2123" w:rsidRDefault="00DD3EFA" w:rsidP="00391907">
            <w:pPr>
              <w:pStyle w:val="Odstavecseseznamem"/>
              <w:numPr>
                <w:ilvl w:val="0"/>
                <w:numId w:val="62"/>
              </w:numPr>
              <w:tabs>
                <w:tab w:val="left" w:pos="326"/>
              </w:tabs>
              <w:spacing w:before="60" w:after="60"/>
              <w:ind w:left="0" w:firstLine="0"/>
              <w:rPr>
                <w:rFonts w:eastAsiaTheme="majorEastAsia"/>
                <w:b/>
              </w:rPr>
            </w:pPr>
            <w:r w:rsidRPr="002D2123">
              <w:rPr>
                <w:rFonts w:eastAsiaTheme="majorEastAsia"/>
                <w:b/>
              </w:rPr>
              <w:t>Státní rozpočet a další národní zdroje</w:t>
            </w:r>
          </w:p>
        </w:tc>
        <w:tc>
          <w:tcPr>
            <w:tcW w:w="5978" w:type="dxa"/>
            <w:tcBorders>
              <w:top w:val="nil"/>
            </w:tcBorders>
            <w:shd w:val="clear" w:color="auto" w:fill="FFFFFF" w:themeFill="background1"/>
          </w:tcPr>
          <w:p w14:paraId="7412F009" w14:textId="77777777" w:rsidR="00DD3EFA" w:rsidRPr="002D2123" w:rsidRDefault="00DD3EFA" w:rsidP="00B15ECB">
            <w:pPr>
              <w:spacing w:before="60" w:after="60"/>
              <w:rPr>
                <w:rFonts w:eastAsiaTheme="majorEastAsia"/>
              </w:rPr>
            </w:pPr>
            <w:r w:rsidRPr="002D2123">
              <w:rPr>
                <w:rFonts w:eastAsiaTheme="majorEastAsia"/>
              </w:rPr>
              <w:t>Intervence zamýšlené k financování za využití ESIF by v případě nedisponibility ESIF musely být financovány za využití výdajů státního rozpočtu ČR na výzkum, vývoj a inovace, který však s masivní podporou těchto oblastí zatím nepočítá. Hlavními dotačními tituly, za jejichž využití by bylo možné zamýšlené intervence realizovat, by přitom byly (nikoliv exkluzivně, avšak) zejména (1) institucionální podpora na dlouhodobý koncepční rozvoj výzkumných organizací, (2) účelová podpora na velké výzkumné infrastruktury, (3) program účelové podpory mezinárodní spolupráce ČR ve výzkumu a vývoji INTER-EXCELLENCE, resp. jeho nástupnický program a (4) pro případ spolupráce veřejného výzkumného sektoru s podnikatelskou sférou dotační tituly implementované Technologickou agenturou ČR, přičemž věcně příslušné dotační tituly by musely být rozpočtově významně posíleny. Eventuálně by musely být vytvořeny dále rovněž zcela nové dotační nástroje, které by reflektovaly poptávku eventuálně nerealizovatelnou prostřednictvím ESIF, a které dosud nebyly financovány za využití výdajů státního rozpočtu ČR na výzkum, vývoj a inovace. V současné době však kapitola MŠMT ani další kapitoly s těmito výdaji nepočítají a je vysoce nepravděpodobné, že by bylo možné pokrýt případný výpadek ESIF na podporu těchto aktivit bez radikálního navýšení státního rozpočtu na VaV. Nemožnost financování z ESIF by tak s vysokou pravděpodobností znamenala nerealizovatelnost opatření.</w:t>
            </w:r>
          </w:p>
          <w:p w14:paraId="158F82CE" w14:textId="77777777" w:rsidR="00DD3EFA" w:rsidRPr="002D2123" w:rsidRDefault="00DD3EFA" w:rsidP="00B15ECB">
            <w:pPr>
              <w:spacing w:before="60" w:after="60"/>
              <w:rPr>
                <w:rFonts w:eastAsiaTheme="majorEastAsia"/>
              </w:rPr>
            </w:pPr>
          </w:p>
        </w:tc>
        <w:tc>
          <w:tcPr>
            <w:tcW w:w="249" w:type="dxa"/>
            <w:tcBorders>
              <w:top w:val="nil"/>
              <w:bottom w:val="nil"/>
            </w:tcBorders>
            <w:shd w:val="clear" w:color="auto" w:fill="66CCFF"/>
          </w:tcPr>
          <w:p w14:paraId="3D99E44A" w14:textId="77777777" w:rsidR="00DD3EFA" w:rsidRPr="002D2123" w:rsidRDefault="00DD3EFA" w:rsidP="00B15ECB">
            <w:pPr>
              <w:rPr>
                <w:b/>
                <w:sz w:val="10"/>
                <w:szCs w:val="10"/>
              </w:rPr>
            </w:pPr>
          </w:p>
        </w:tc>
      </w:tr>
      <w:tr w:rsidR="00DD3EFA" w:rsidRPr="005A0E7C" w14:paraId="17793141" w14:textId="77777777" w:rsidTr="00B15ECB">
        <w:trPr>
          <w:trHeight w:val="1968"/>
        </w:trPr>
        <w:tc>
          <w:tcPr>
            <w:tcW w:w="249" w:type="dxa"/>
            <w:tcBorders>
              <w:top w:val="nil"/>
              <w:bottom w:val="nil"/>
            </w:tcBorders>
            <w:shd w:val="clear" w:color="auto" w:fill="66CCFF"/>
          </w:tcPr>
          <w:p w14:paraId="172164B4" w14:textId="77777777" w:rsidR="00DD3EFA" w:rsidRPr="005A0E7C" w:rsidRDefault="00DD3EFA" w:rsidP="00B15ECB">
            <w:pPr>
              <w:rPr>
                <w:b/>
              </w:rPr>
            </w:pPr>
          </w:p>
        </w:tc>
        <w:tc>
          <w:tcPr>
            <w:tcW w:w="2548" w:type="dxa"/>
            <w:tcBorders>
              <w:top w:val="nil"/>
            </w:tcBorders>
            <w:shd w:val="clear" w:color="auto" w:fill="FFFFFF" w:themeFill="background1"/>
          </w:tcPr>
          <w:p w14:paraId="7720FA0B"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47258217" w14:textId="77777777" w:rsidR="00DD3EFA" w:rsidRPr="005A0E7C" w:rsidRDefault="00DD3EFA" w:rsidP="00B15ECB">
            <w:pPr>
              <w:spacing w:before="60" w:after="60"/>
            </w:pPr>
            <w:r w:rsidRPr="005A0E7C">
              <w:rPr>
                <w:rFonts w:eastAsiaTheme="majorEastAsia"/>
              </w:rPr>
              <w:t>Vzhledem ke skutečnosti, že předjímané intervence mají být, co do jejich cílové skupiny, realizovány výzkumnými organizacemi, zejména pak veřejnými výzkumnými subjekty, nelze očekávat, že by pro dané účely existoval vysoký potenciál k mobilizaci jiných prostředků, než prostředků veřejných rozpočtů.</w:t>
            </w:r>
            <w:r w:rsidRPr="005A0E7C">
              <w:t xml:space="preserve"> Možnosti využití komerčních způsobů financování je v tomto specifickém cíli téměř nulová, neboť se jedná o aktivity, které nejsou pro trh zajímavé vzhledem k příliš velké rizikovosti a velmi dlouhé návratnosti investovaných prostředků.</w:t>
            </w:r>
          </w:p>
          <w:p w14:paraId="04FC7D35"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55C0D5A" w14:textId="77777777" w:rsidR="00DD3EFA" w:rsidRPr="005A0E7C" w:rsidRDefault="00DD3EFA" w:rsidP="00B15ECB">
            <w:pPr>
              <w:rPr>
                <w:b/>
              </w:rPr>
            </w:pPr>
          </w:p>
        </w:tc>
      </w:tr>
      <w:tr w:rsidR="00DD3EFA" w:rsidRPr="005A0E7C" w14:paraId="49B7B20A" w14:textId="77777777" w:rsidTr="00B15ECB">
        <w:trPr>
          <w:trHeight w:val="1968"/>
        </w:trPr>
        <w:tc>
          <w:tcPr>
            <w:tcW w:w="249" w:type="dxa"/>
            <w:tcBorders>
              <w:top w:val="nil"/>
              <w:bottom w:val="nil"/>
            </w:tcBorders>
            <w:shd w:val="clear" w:color="auto" w:fill="66CCFF"/>
          </w:tcPr>
          <w:p w14:paraId="1F63523F" w14:textId="77777777" w:rsidR="00DD3EFA" w:rsidRPr="005A0E7C" w:rsidRDefault="00DD3EFA" w:rsidP="00B15ECB">
            <w:pPr>
              <w:rPr>
                <w:b/>
              </w:rPr>
            </w:pPr>
          </w:p>
        </w:tc>
        <w:tc>
          <w:tcPr>
            <w:tcW w:w="2548" w:type="dxa"/>
            <w:tcBorders>
              <w:top w:val="nil"/>
            </w:tcBorders>
            <w:shd w:val="clear" w:color="auto" w:fill="FFFFFF" w:themeFill="background1"/>
          </w:tcPr>
          <w:p w14:paraId="4057073D"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65BD8C85" w14:textId="77777777" w:rsidR="00DD3EFA" w:rsidRPr="005A0E7C" w:rsidRDefault="00DD3EFA" w:rsidP="00B15ECB">
            <w:pPr>
              <w:spacing w:before="60" w:after="60"/>
              <w:rPr>
                <w:color w:val="000000"/>
              </w:rPr>
            </w:pPr>
            <w:r w:rsidRPr="005A0E7C">
              <w:t xml:space="preserve">ŘO OP VVV si nechal v roce 2018 zpracovat analýzu (zpracovatelem společnost Deloitte Advisory, s.r.o.) s názvem Předběžné posouzení pilotního využití finančních nástrojů v OP VVV, jejímž cílem bylo </w:t>
            </w:r>
            <w:r w:rsidRPr="005A0E7C">
              <w:rPr>
                <w:color w:val="000000"/>
              </w:rPr>
              <w:t>vymezit, zda OP VVV obsahuje oblasti podpory, které jsou vhodné pro zapojení finančních nástrojů a přípdně pro ně navrhnout vhodný finanční nástroj. Z výsledků předběžného posouzení je patrné, že aktivity podporované v PO1 OP VVV zaměřené na podporu rozvoje podmínek pro kvalitní výzkum nejsou vhodnými pro využití finančních nástrojů, a to zejména z toho důvodu, že jejich návratnost má dlouhodobý charakter. Jediné dvě oblasti pokryté intervencemi OP VVV, které byly identifikovány pro potenciální využití finančních nástrojů, se týkají mobilit studentů, kde je jejich prostřednictvím možné dofinancování celkových nákladů na mobilitu (zejména dofinancování prostředků ERASMUS, které nepředstavují dostatečné pokrytí všech nákladů souvisejících se studijní stáží / mobilitou).</w:t>
            </w:r>
          </w:p>
          <w:p w14:paraId="33C4B098" w14:textId="77777777" w:rsidR="00DD3EFA" w:rsidRPr="005A0E7C" w:rsidRDefault="00DD3EFA" w:rsidP="00B15ECB">
            <w:pPr>
              <w:spacing w:before="60" w:after="60"/>
              <w:rPr>
                <w:color w:val="000000"/>
              </w:rPr>
            </w:pPr>
            <w:r w:rsidRPr="005A0E7C">
              <w:rPr>
                <w:color w:val="000000"/>
              </w:rPr>
              <w:t>Vzhledem k výše uvedenému je potenciál pro využití finančních nástrojů v rámci aktivit tohoto specifického cíle NKR minimální.</w:t>
            </w:r>
          </w:p>
          <w:p w14:paraId="1BB78EBD"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BEBA221" w14:textId="77777777" w:rsidR="00DD3EFA" w:rsidRPr="005A0E7C" w:rsidRDefault="00DD3EFA" w:rsidP="00B15ECB">
            <w:pPr>
              <w:rPr>
                <w:b/>
              </w:rPr>
            </w:pPr>
          </w:p>
        </w:tc>
      </w:tr>
      <w:tr w:rsidR="00DD3EFA" w:rsidRPr="005A0E7C" w14:paraId="2A9E72C2" w14:textId="77777777" w:rsidTr="00B15ECB">
        <w:trPr>
          <w:trHeight w:val="150"/>
        </w:trPr>
        <w:tc>
          <w:tcPr>
            <w:tcW w:w="249" w:type="dxa"/>
            <w:tcBorders>
              <w:top w:val="nil"/>
              <w:right w:val="nil"/>
            </w:tcBorders>
            <w:shd w:val="clear" w:color="auto" w:fill="66CCFF"/>
          </w:tcPr>
          <w:p w14:paraId="273612C2" w14:textId="77777777" w:rsidR="00DD3EFA" w:rsidRPr="005A0E7C" w:rsidRDefault="00DD3EFA" w:rsidP="00B15ECB">
            <w:pPr>
              <w:rPr>
                <w:b/>
              </w:rPr>
            </w:pPr>
          </w:p>
        </w:tc>
        <w:tc>
          <w:tcPr>
            <w:tcW w:w="2548" w:type="dxa"/>
            <w:tcBorders>
              <w:left w:val="nil"/>
              <w:right w:val="nil"/>
            </w:tcBorders>
            <w:shd w:val="clear" w:color="auto" w:fill="66CCFF"/>
          </w:tcPr>
          <w:p w14:paraId="607A703F" w14:textId="77777777" w:rsidR="00DD3EFA" w:rsidRPr="005A0E7C" w:rsidRDefault="00DD3EFA" w:rsidP="00B15ECB">
            <w:pPr>
              <w:rPr>
                <w:b/>
              </w:rPr>
            </w:pPr>
          </w:p>
        </w:tc>
        <w:tc>
          <w:tcPr>
            <w:tcW w:w="5978" w:type="dxa"/>
            <w:tcBorders>
              <w:left w:val="nil"/>
              <w:right w:val="nil"/>
            </w:tcBorders>
            <w:shd w:val="clear" w:color="auto" w:fill="66CCFF"/>
          </w:tcPr>
          <w:p w14:paraId="5430FD92" w14:textId="77777777" w:rsidR="00DD3EFA" w:rsidRPr="005A0E7C" w:rsidRDefault="00DD3EFA" w:rsidP="00B15ECB">
            <w:pPr>
              <w:rPr>
                <w:b/>
              </w:rPr>
            </w:pPr>
          </w:p>
        </w:tc>
        <w:tc>
          <w:tcPr>
            <w:tcW w:w="249" w:type="dxa"/>
            <w:tcBorders>
              <w:top w:val="nil"/>
              <w:left w:val="nil"/>
            </w:tcBorders>
            <w:shd w:val="clear" w:color="auto" w:fill="66CCFF"/>
          </w:tcPr>
          <w:p w14:paraId="767CBE53" w14:textId="77777777" w:rsidR="00DD3EFA" w:rsidRPr="005A0E7C" w:rsidRDefault="00DD3EFA" w:rsidP="00B15ECB">
            <w:pPr>
              <w:rPr>
                <w:b/>
              </w:rPr>
            </w:pPr>
          </w:p>
        </w:tc>
      </w:tr>
    </w:tbl>
    <w:p w14:paraId="1BA55904" w14:textId="77777777" w:rsidR="00DD3EFA" w:rsidRPr="005A0E7C" w:rsidRDefault="00DD3EFA">
      <w:pPr>
        <w:rPr>
          <w:rFonts w:ascii="Times New Roman" w:hAnsi="Times New Roman" w:cs="Times New Roman"/>
          <w:sz w:val="20"/>
          <w:szCs w:val="20"/>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B3FC2B3" w14:textId="77777777" w:rsidTr="00B15ECB">
        <w:trPr>
          <w:trHeight w:val="180"/>
        </w:trPr>
        <w:tc>
          <w:tcPr>
            <w:tcW w:w="249" w:type="dxa"/>
            <w:tcBorders>
              <w:bottom w:val="nil"/>
              <w:right w:val="nil"/>
            </w:tcBorders>
            <w:shd w:val="clear" w:color="auto" w:fill="66CCFF"/>
          </w:tcPr>
          <w:p w14:paraId="3154AE71" w14:textId="77777777" w:rsidR="00DD3EFA" w:rsidRPr="005A0E7C" w:rsidRDefault="00DD3EFA" w:rsidP="00B15ECB">
            <w:pPr>
              <w:rPr>
                <w:b/>
              </w:rPr>
            </w:pPr>
          </w:p>
        </w:tc>
        <w:tc>
          <w:tcPr>
            <w:tcW w:w="2548" w:type="dxa"/>
            <w:tcBorders>
              <w:left w:val="nil"/>
              <w:right w:val="nil"/>
            </w:tcBorders>
            <w:shd w:val="clear" w:color="auto" w:fill="66CCFF"/>
          </w:tcPr>
          <w:p w14:paraId="18B5038A" w14:textId="77777777" w:rsidR="00DD3EFA" w:rsidRPr="005A0E7C" w:rsidRDefault="00DD3EFA" w:rsidP="00B15ECB">
            <w:pPr>
              <w:rPr>
                <w:b/>
              </w:rPr>
            </w:pPr>
          </w:p>
        </w:tc>
        <w:tc>
          <w:tcPr>
            <w:tcW w:w="5978" w:type="dxa"/>
            <w:tcBorders>
              <w:left w:val="nil"/>
              <w:right w:val="nil"/>
            </w:tcBorders>
            <w:shd w:val="clear" w:color="auto" w:fill="66CCFF"/>
          </w:tcPr>
          <w:p w14:paraId="73557A7B" w14:textId="77777777" w:rsidR="00DD3EFA" w:rsidRPr="005A0E7C" w:rsidRDefault="00DD3EFA" w:rsidP="00B15ECB">
            <w:pPr>
              <w:rPr>
                <w:b/>
              </w:rPr>
            </w:pPr>
          </w:p>
        </w:tc>
        <w:tc>
          <w:tcPr>
            <w:tcW w:w="249" w:type="dxa"/>
            <w:tcBorders>
              <w:left w:val="nil"/>
              <w:bottom w:val="nil"/>
            </w:tcBorders>
            <w:shd w:val="clear" w:color="auto" w:fill="66CCFF"/>
          </w:tcPr>
          <w:p w14:paraId="3148A71D" w14:textId="77777777" w:rsidR="00DD3EFA" w:rsidRPr="005A0E7C" w:rsidRDefault="00DD3EFA" w:rsidP="00B15ECB">
            <w:pPr>
              <w:rPr>
                <w:b/>
              </w:rPr>
            </w:pPr>
          </w:p>
        </w:tc>
      </w:tr>
      <w:tr w:rsidR="00DD3EFA" w:rsidRPr="005A0E7C" w14:paraId="69B17DA7" w14:textId="77777777" w:rsidTr="00B15ECB">
        <w:trPr>
          <w:trHeight w:val="561"/>
        </w:trPr>
        <w:tc>
          <w:tcPr>
            <w:tcW w:w="249" w:type="dxa"/>
            <w:tcBorders>
              <w:top w:val="nil"/>
              <w:bottom w:val="nil"/>
            </w:tcBorders>
            <w:shd w:val="clear" w:color="auto" w:fill="66CCFF"/>
          </w:tcPr>
          <w:p w14:paraId="681D2B96" w14:textId="77777777" w:rsidR="00DD3EFA" w:rsidRPr="005A0E7C" w:rsidRDefault="00DD3EFA" w:rsidP="00B15ECB">
            <w:pPr>
              <w:rPr>
                <w:b/>
              </w:rPr>
            </w:pPr>
          </w:p>
        </w:tc>
        <w:tc>
          <w:tcPr>
            <w:tcW w:w="2548" w:type="dxa"/>
            <w:shd w:val="clear" w:color="auto" w:fill="0070C0"/>
          </w:tcPr>
          <w:p w14:paraId="421DFC2C"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w:t>
            </w:r>
            <w:r w:rsidRPr="005A0E7C">
              <w:rPr>
                <w:b/>
                <w:color w:val="FFFFFF" w:themeColor="background1"/>
              </w:rPr>
              <w:t>VÝZKUMNÝ A INOVAČNÍ SYSTÉM zvyšující konkurenceschopnost společnosti v kontextu technologické změny</w:t>
            </w:r>
          </w:p>
        </w:tc>
        <w:tc>
          <w:tcPr>
            <w:tcW w:w="5978" w:type="dxa"/>
            <w:shd w:val="clear" w:color="auto" w:fill="0070C0"/>
          </w:tcPr>
          <w:p w14:paraId="1360064B"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b/>
                <w:color w:val="FFFFFF" w:themeColor="background1"/>
                <w:u w:val="single"/>
              </w:rPr>
              <w:t>1</w:t>
            </w:r>
            <w:r w:rsidRPr="005A0E7C">
              <w:rPr>
                <w:rFonts w:eastAsiaTheme="majorEastAsia"/>
                <w:b/>
                <w:color w:val="FFFFFF" w:themeColor="background1"/>
                <w:u w:val="single"/>
              </w:rPr>
              <w:t xml:space="preserve">: </w:t>
            </w:r>
          </w:p>
          <w:p w14:paraId="65DE2AB5" w14:textId="77777777" w:rsidR="00DD3EFA" w:rsidRPr="005A0E7C" w:rsidRDefault="00DD3EFA" w:rsidP="00B15ECB">
            <w:pPr>
              <w:rPr>
                <w:b/>
                <w:color w:val="FFFFFF" w:themeColor="background1"/>
              </w:rPr>
            </w:pPr>
            <w:r w:rsidRPr="005A0E7C">
              <w:rPr>
                <w:b/>
                <w:color w:val="FFFFFF" w:themeColor="background1"/>
              </w:rPr>
              <w:t>PODPORA INOVACE PROSTŘEDNICTVÍM APLIKOVANÉHO VÝZKUMU A EXPERIMENTÁLNÍHO VÝVOJE</w:t>
            </w:r>
          </w:p>
          <w:p w14:paraId="17195C31" w14:textId="77777777" w:rsidR="00DD3EFA" w:rsidRPr="005A0E7C" w:rsidRDefault="00DD3EFA" w:rsidP="00B15ECB">
            <w:pPr>
              <w:spacing w:before="60" w:after="60"/>
              <w:rPr>
                <w:rFonts w:eastAsiaTheme="majorEastAsia"/>
                <w:b/>
                <w:color w:val="FFFFFF" w:themeColor="background1"/>
              </w:rPr>
            </w:pPr>
          </w:p>
        </w:tc>
        <w:tc>
          <w:tcPr>
            <w:tcW w:w="249" w:type="dxa"/>
            <w:tcBorders>
              <w:top w:val="nil"/>
              <w:bottom w:val="nil"/>
            </w:tcBorders>
            <w:shd w:val="clear" w:color="auto" w:fill="66CCFF"/>
          </w:tcPr>
          <w:p w14:paraId="42F26FA2" w14:textId="77777777" w:rsidR="00DD3EFA" w:rsidRPr="005A0E7C" w:rsidRDefault="00DD3EFA" w:rsidP="00B15ECB">
            <w:pPr>
              <w:rPr>
                <w:b/>
              </w:rPr>
            </w:pPr>
          </w:p>
        </w:tc>
      </w:tr>
      <w:tr w:rsidR="00DD3EFA" w:rsidRPr="005A0E7C" w14:paraId="3808CE6D" w14:textId="77777777" w:rsidTr="00B15ECB">
        <w:trPr>
          <w:trHeight w:val="180"/>
        </w:trPr>
        <w:tc>
          <w:tcPr>
            <w:tcW w:w="249" w:type="dxa"/>
            <w:tcBorders>
              <w:top w:val="nil"/>
              <w:bottom w:val="nil"/>
              <w:right w:val="nil"/>
            </w:tcBorders>
            <w:shd w:val="clear" w:color="auto" w:fill="66CCFF"/>
          </w:tcPr>
          <w:p w14:paraId="592E6DC5" w14:textId="77777777" w:rsidR="00DD3EFA" w:rsidRPr="005A0E7C" w:rsidRDefault="00DD3EFA" w:rsidP="00B15ECB">
            <w:pPr>
              <w:rPr>
                <w:b/>
              </w:rPr>
            </w:pPr>
          </w:p>
        </w:tc>
        <w:tc>
          <w:tcPr>
            <w:tcW w:w="2548" w:type="dxa"/>
            <w:tcBorders>
              <w:left w:val="nil"/>
              <w:right w:val="nil"/>
            </w:tcBorders>
            <w:shd w:val="clear" w:color="auto" w:fill="66CCFF"/>
          </w:tcPr>
          <w:p w14:paraId="6536134E" w14:textId="77777777" w:rsidR="00DD3EFA" w:rsidRPr="005A0E7C" w:rsidRDefault="00DD3EFA" w:rsidP="00B15ECB">
            <w:pPr>
              <w:rPr>
                <w:b/>
              </w:rPr>
            </w:pPr>
          </w:p>
        </w:tc>
        <w:tc>
          <w:tcPr>
            <w:tcW w:w="5978" w:type="dxa"/>
            <w:tcBorders>
              <w:left w:val="nil"/>
              <w:right w:val="nil"/>
            </w:tcBorders>
            <w:shd w:val="clear" w:color="auto" w:fill="66CCFF"/>
          </w:tcPr>
          <w:p w14:paraId="668F7106" w14:textId="77777777" w:rsidR="00DD3EFA" w:rsidRPr="005A0E7C" w:rsidRDefault="00DD3EFA" w:rsidP="00B15ECB">
            <w:pPr>
              <w:rPr>
                <w:b/>
              </w:rPr>
            </w:pPr>
          </w:p>
        </w:tc>
        <w:tc>
          <w:tcPr>
            <w:tcW w:w="249" w:type="dxa"/>
            <w:tcBorders>
              <w:top w:val="nil"/>
              <w:left w:val="nil"/>
              <w:bottom w:val="nil"/>
            </w:tcBorders>
            <w:shd w:val="clear" w:color="auto" w:fill="66CCFF"/>
          </w:tcPr>
          <w:p w14:paraId="27EFDD48" w14:textId="77777777" w:rsidR="00DD3EFA" w:rsidRPr="005A0E7C" w:rsidRDefault="00DD3EFA" w:rsidP="00B15ECB">
            <w:pPr>
              <w:rPr>
                <w:b/>
              </w:rPr>
            </w:pPr>
          </w:p>
        </w:tc>
      </w:tr>
      <w:tr w:rsidR="00DD3EFA" w:rsidRPr="005A0E7C" w14:paraId="59357AE5" w14:textId="77777777" w:rsidTr="00B15ECB">
        <w:trPr>
          <w:trHeight w:val="892"/>
        </w:trPr>
        <w:tc>
          <w:tcPr>
            <w:tcW w:w="249" w:type="dxa"/>
            <w:tcBorders>
              <w:top w:val="nil"/>
              <w:bottom w:val="nil"/>
            </w:tcBorders>
            <w:shd w:val="clear" w:color="auto" w:fill="66CCFF"/>
          </w:tcPr>
          <w:p w14:paraId="44E3F913" w14:textId="77777777" w:rsidR="00DD3EFA" w:rsidRPr="005A0E7C" w:rsidRDefault="00DD3EFA" w:rsidP="00B15ECB">
            <w:pPr>
              <w:rPr>
                <w:b/>
              </w:rPr>
            </w:pPr>
          </w:p>
        </w:tc>
        <w:tc>
          <w:tcPr>
            <w:tcW w:w="2548" w:type="dxa"/>
            <w:shd w:val="clear" w:color="auto" w:fill="FFFFFF" w:themeFill="background1"/>
          </w:tcPr>
          <w:p w14:paraId="78D720B2"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700E41D9" w14:textId="77777777" w:rsidR="00DD3EFA" w:rsidRPr="005A0E7C" w:rsidRDefault="00DD3EFA" w:rsidP="00B15ECB">
            <w:r w:rsidRPr="005A0E7C">
              <w:t>Jedná se o následující prvky inovačního systému:</w:t>
            </w:r>
          </w:p>
          <w:p w14:paraId="6E012554" w14:textId="77777777" w:rsidR="00DD3EFA" w:rsidRPr="005A0E7C" w:rsidRDefault="00DD3EFA" w:rsidP="00B15ECB"/>
          <w:p w14:paraId="3D01FF54" w14:textId="77777777" w:rsidR="00DD3EFA" w:rsidRPr="005A0E7C" w:rsidRDefault="00DD3EFA" w:rsidP="00B15ECB">
            <w:pPr>
              <w:spacing w:before="60" w:after="60"/>
              <w:rPr>
                <w:b/>
              </w:rPr>
            </w:pPr>
            <w:r w:rsidRPr="005A0E7C">
              <w:rPr>
                <w:lang w:eastAsia="cs-CZ"/>
              </w:rPr>
              <w:t xml:space="preserve">- </w:t>
            </w:r>
            <w:r w:rsidRPr="005A0E7C">
              <w:t>Vytváření uceleného a funkčního systému pro uplatňování výsledků výzkumu v aplikační sféře.</w:t>
            </w:r>
          </w:p>
          <w:p w14:paraId="10ACFE14" w14:textId="77777777" w:rsidR="00DD3EFA" w:rsidRPr="005A0E7C" w:rsidRDefault="00DD3EFA" w:rsidP="00B15ECB">
            <w:pPr>
              <w:spacing w:before="60" w:after="60"/>
            </w:pPr>
            <w:r w:rsidRPr="005A0E7C">
              <w:t>- Rozvoj výzkumného a inovačního potenciálu firem</w:t>
            </w:r>
          </w:p>
          <w:p w14:paraId="579C0075" w14:textId="77777777" w:rsidR="00DD3EFA" w:rsidRPr="005A0E7C" w:rsidRDefault="00DD3EFA" w:rsidP="00B15ECB">
            <w:pPr>
              <w:spacing w:before="60" w:after="60"/>
              <w:rPr>
                <w:b/>
              </w:rPr>
            </w:pPr>
            <w:r w:rsidRPr="005A0E7C">
              <w:rPr>
                <w:lang w:eastAsia="cs-CZ"/>
              </w:rPr>
              <w:t>- Rozvoj institucionální</w:t>
            </w:r>
            <w:r w:rsidRPr="005A0E7C">
              <w:t xml:space="preserve"> základny aplikovaného výzkumu</w:t>
            </w:r>
          </w:p>
          <w:p w14:paraId="16CA7561" w14:textId="77777777" w:rsidR="00DD3EFA" w:rsidRPr="005A0E7C" w:rsidRDefault="00DD3EFA" w:rsidP="00B15ECB">
            <w:pPr>
              <w:spacing w:before="60" w:after="60"/>
            </w:pPr>
            <w:r w:rsidRPr="005A0E7C">
              <w:t>- Výzkum odpovídající doménám specializace RIS3 strategie</w:t>
            </w:r>
          </w:p>
          <w:p w14:paraId="7005BACA" w14:textId="77777777" w:rsidR="00DD3EFA" w:rsidRPr="005A0E7C" w:rsidRDefault="00DD3EFA" w:rsidP="00B15ECB">
            <w:pPr>
              <w:spacing w:before="60" w:after="60"/>
              <w:rPr>
                <w:lang w:eastAsia="cs-CZ"/>
              </w:rPr>
            </w:pPr>
          </w:p>
        </w:tc>
        <w:tc>
          <w:tcPr>
            <w:tcW w:w="249" w:type="dxa"/>
            <w:tcBorders>
              <w:top w:val="nil"/>
              <w:bottom w:val="nil"/>
            </w:tcBorders>
            <w:shd w:val="clear" w:color="auto" w:fill="66CCFF"/>
          </w:tcPr>
          <w:p w14:paraId="26DBCC33" w14:textId="77777777" w:rsidR="00DD3EFA" w:rsidRPr="005A0E7C" w:rsidRDefault="00DD3EFA" w:rsidP="00B15ECB">
            <w:pPr>
              <w:rPr>
                <w:b/>
              </w:rPr>
            </w:pPr>
          </w:p>
        </w:tc>
      </w:tr>
      <w:tr w:rsidR="00DD3EFA" w:rsidRPr="005A0E7C" w14:paraId="41BD8B37" w14:textId="77777777" w:rsidTr="00B15ECB">
        <w:trPr>
          <w:trHeight w:val="46"/>
        </w:trPr>
        <w:tc>
          <w:tcPr>
            <w:tcW w:w="249" w:type="dxa"/>
            <w:tcBorders>
              <w:top w:val="nil"/>
              <w:bottom w:val="nil"/>
              <w:right w:val="nil"/>
            </w:tcBorders>
            <w:shd w:val="clear" w:color="auto" w:fill="66CCFF"/>
          </w:tcPr>
          <w:p w14:paraId="73B89022"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0A7E6C9B"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2F191A5A" w14:textId="77777777" w:rsidR="00DD3EFA" w:rsidRPr="005A0E7C" w:rsidRDefault="00DD3EFA" w:rsidP="00B15ECB">
            <w:pPr>
              <w:rPr>
                <w:b/>
              </w:rPr>
            </w:pPr>
          </w:p>
        </w:tc>
        <w:tc>
          <w:tcPr>
            <w:tcW w:w="249" w:type="dxa"/>
            <w:tcBorders>
              <w:top w:val="nil"/>
              <w:left w:val="nil"/>
              <w:bottom w:val="nil"/>
            </w:tcBorders>
            <w:shd w:val="clear" w:color="auto" w:fill="66CCFF"/>
          </w:tcPr>
          <w:p w14:paraId="7114B054" w14:textId="77777777" w:rsidR="00DD3EFA" w:rsidRPr="005A0E7C" w:rsidRDefault="00DD3EFA" w:rsidP="00B15ECB">
            <w:pPr>
              <w:rPr>
                <w:b/>
              </w:rPr>
            </w:pPr>
          </w:p>
        </w:tc>
      </w:tr>
      <w:tr w:rsidR="00DD3EFA" w:rsidRPr="005A0E7C" w14:paraId="46F842F0" w14:textId="77777777" w:rsidTr="00B15ECB">
        <w:trPr>
          <w:trHeight w:val="1274"/>
        </w:trPr>
        <w:tc>
          <w:tcPr>
            <w:tcW w:w="249" w:type="dxa"/>
            <w:tcBorders>
              <w:top w:val="nil"/>
              <w:bottom w:val="nil"/>
            </w:tcBorders>
            <w:shd w:val="clear" w:color="auto" w:fill="66CCFF"/>
          </w:tcPr>
          <w:p w14:paraId="1F928AD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3E4DCA7"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0DF1D34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Podnikový VaV a účinné využívání výsledků VaV v inovacích je jedním ze základních předpokladů pro zvýšení mezinárodní konkurenceschopnosti ČR a její transformaci na znalostní ekonomiku. Vzhledem k tomu, že ČR v řadě ukazatelů charakterizujících podnikový VaV, spolupráci VO s podniky a využívání nových poznatků VaV za technologicky vyspělými zeměmi prozatím zaostává, je nezbytné i nadále tyto aktivity podporovat. </w:t>
            </w:r>
          </w:p>
          <w:p w14:paraId="11421D4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Je třeba podpořit rozvoj uceleného „ekosystému“, kde budou fungovat služby a procesy podporující přenos výsledků výzkumu a vývoje do praxe. Zároveň je nutné usilovat o to, aby VO spolupracovaly s podniky ve společných VaV projektech a aby se postupně vytvářela strategická partnerství mezi subjekty z obou sektorů, která budou řešit náročné projekty, jejichž výsledky naleznou uplatnění v přelomových inovacích a přispějí k socioekonomickému rozvoji země. Aktivity navržené v této oblasti a intervence ESIF budou mít pozitivní dopad na posílení VaV aktivit podniků a rozvoj spolupráce podniků s výzkumnými organizacemi, což se pozitivně odrazí na posílení kompetencí podniků a zvýšení jejich ekonomické výkonnosti. Zároveň budou daleko účinněji využívány nové poznatky VaV v podnikových inovacích, což napomůže vývoji nových produktů s vysokou přidanou hodnotou, získání nových trhů a k posílení mezinárodní konkurenceschopnosti domácího podnikového sektoru. Posílení podnikových výzkumných aktivit, včetně VaV realizovaného v mezinárodní spolupráci, zároveň vytvoří podmínky pro posun podniků v globálních hodnotových řetězcích. </w:t>
            </w:r>
          </w:p>
          <w:p w14:paraId="3069531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Posílení kompetencí podniků v oblasti VaV, rozvoj jejich spolupráce s VO  a orientace VaV aktivit na ve vazbě na aktuální i budoucí potřeby společnosti zvýší dopady VaV na mezinárodní konkurenceschopnost ČR a socioekonomický rozvoj společnosti (řešení globálních společenských výzev). Posílení podnikového VaV a inovací zároveň přispěje i ke splnění cílů v jiných oblastech. </w:t>
            </w:r>
          </w:p>
          <w:p w14:paraId="53A5FC6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Vzhledem k tomu, že v minulosti došlo ke značné redukci systému aplikovaného výzkumu (zejména resortních a oborových výzkumných organizací), je také třeba podpořit rozvoj stávajících výzkumných organizací, ve specifických případech podpořit i vznik nových a směrovat jejich zaměření do oblastí, které jsou pro další rozvoj ČR klíčové.</w:t>
            </w:r>
          </w:p>
          <w:p w14:paraId="21D04A0B"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Posílení institucionální základny pro aplikovaný výzkum bude mít pozitivní dopad na zlepšení využívání nových poznatků VaV v podnikových inovacích. Zároveň tak budou vytvořeny podmínky pro realizaci VaV projektů pokrývajících celý inovační cyklus, tj. od základního výzkumu, přes aplikovaný výzkum a vývoj až po využití výsledků tohoto výzkumu v podnikových inovacích. Moderně vybavená centra budou mít potenciál i pro realizaci mezinárodních projektů VaV, která budou přispívat k řešení globálních výzev evropské společnosti (koncentrace výzkumných kapacit a prostředků z více zemí a dosažení kritické masy).</w:t>
            </w:r>
          </w:p>
          <w:p w14:paraId="4EB546E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Intervence ESIF budou zároveň nastaveny tak, aby tato aplikačně zaměřená výzkumná pracoviště realizovala přednostně VaV ve vazbě na potřeby společnosti a globální megatrendy, jako jsou globální klimatické změny, znečištění životního prostředí, zrychlování technologických změn a perspektivní technologie (například ICT, biotechnologie a nanotechnologie apod.).  </w:t>
            </w:r>
          </w:p>
          <w:p w14:paraId="1B6F2ED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Pro podporu aktivit specifikovaných v této oblasti budou komplementárně využívány i zdroje státního rozpočtu ČR. Pro zajištění maximální efektivity veřejných prostředků na splnění cíle stanoveného v této oblasti bude příprava relevantních operačních programů a nástrojů financovaných ze státního rozpočtu ČR koordinována tak, aby bylo dosaženo maximální synergie a zároveň bylo zabráněno možným překryvům i mezerám.</w:t>
            </w:r>
          </w:p>
          <w:p w14:paraId="1364DD27" w14:textId="77777777" w:rsidR="00DD3EFA" w:rsidRPr="005A0E7C" w:rsidRDefault="00DD3EFA" w:rsidP="00B15ECB">
            <w:pPr>
              <w:spacing w:before="60" w:after="60"/>
              <w:rPr>
                <w:rFonts w:eastAsiaTheme="majorEastAsia"/>
                <w:i/>
                <w:u w:val="single"/>
              </w:rPr>
            </w:pPr>
            <w:r w:rsidRPr="005A0E7C">
              <w:t>Navržené aktivity a finanční prostředky z ESIF přispívají k naplnění národních i evropských strategicko-koncepčních dokumentů pro oblast výzkumu, vývoje a inovací a reagují na dlouhodobé slabiny národního inovačního systému ČR v oblasti průmyslového (resp. podnikového) výzkumu a využívání nových poznatků VaV v aplikacích.</w:t>
            </w:r>
          </w:p>
        </w:tc>
        <w:tc>
          <w:tcPr>
            <w:tcW w:w="249" w:type="dxa"/>
            <w:tcBorders>
              <w:top w:val="nil"/>
              <w:bottom w:val="nil"/>
            </w:tcBorders>
            <w:shd w:val="clear" w:color="auto" w:fill="66CCFF"/>
          </w:tcPr>
          <w:p w14:paraId="1F84DBFD" w14:textId="77777777" w:rsidR="00DD3EFA" w:rsidRPr="005A0E7C" w:rsidRDefault="00DD3EFA" w:rsidP="00B15ECB">
            <w:pPr>
              <w:rPr>
                <w:b/>
              </w:rPr>
            </w:pPr>
          </w:p>
        </w:tc>
      </w:tr>
      <w:tr w:rsidR="00DD3EFA" w:rsidRPr="005A0E7C" w14:paraId="7ACAB98C" w14:textId="77777777" w:rsidTr="00B15ECB">
        <w:trPr>
          <w:trHeight w:val="1274"/>
        </w:trPr>
        <w:tc>
          <w:tcPr>
            <w:tcW w:w="249" w:type="dxa"/>
            <w:tcBorders>
              <w:top w:val="nil"/>
              <w:bottom w:val="nil"/>
            </w:tcBorders>
            <w:shd w:val="clear" w:color="auto" w:fill="66CCFF"/>
          </w:tcPr>
          <w:p w14:paraId="3D2CDCB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D1BFEB1"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3606BE91" w14:textId="77777777" w:rsidR="00DD3EFA" w:rsidRPr="005A0E7C" w:rsidRDefault="00DD3EFA" w:rsidP="00B15ECB">
            <w:pPr>
              <w:spacing w:before="60" w:after="60"/>
              <w:rPr>
                <w:lang w:eastAsia="cs-CZ"/>
              </w:rPr>
            </w:pPr>
            <w:r w:rsidRPr="005A0E7C">
              <w:rPr>
                <w:lang w:eastAsia="cs-CZ"/>
              </w:rPr>
              <w:t>Tento specifický cíl bude řešit zejména tyto problémy:</w:t>
            </w:r>
          </w:p>
          <w:p w14:paraId="3BC99AAA"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Omezené VaV aktivity domácích podniků, v mezinárodním srovnání nízká intenzita VaV (zejména domácích MSP);</w:t>
            </w:r>
          </w:p>
          <w:p w14:paraId="403F4B5E"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Dominance podniků se zahraniční účastí ve výzkumných aktivitách podnikatelského sektoru;</w:t>
            </w:r>
          </w:p>
          <w:p w14:paraId="573B264B"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Řada domácích podniků působí na nízkých úrovních dodavatelských řetězců a jejich VaV aktivity jsou ve srovnání se zahraničními firmami omezené;</w:t>
            </w:r>
          </w:p>
          <w:p w14:paraId="13390096"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Nízká absorpční kapacita domácích podniků pro výsledky veřejného VaV, nízká inovační poptávka (zejména v oblasti vyšších řádů inovací);</w:t>
            </w:r>
          </w:p>
          <w:p w14:paraId="0CD83F34"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Většina výdajů na VaV je realizována v odvětvích se střední a nižší technologickou náročností;</w:t>
            </w:r>
          </w:p>
          <w:p w14:paraId="5EFD7705"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Dlouhodobě nízké investice rizikového kapitálu do začínajících podniků (seed a start-up kapitál).</w:t>
            </w:r>
          </w:p>
          <w:p w14:paraId="3CCBDF72"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Uzavřenost výzkumného systému spolupráci s aplikačním sektorem</w:t>
            </w:r>
          </w:p>
          <w:p w14:paraId="7447F014"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Slabě rozvinuté vazby mezi veřejným výzkumem a podniky;</w:t>
            </w:r>
          </w:p>
          <w:p w14:paraId="06D21D0A"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Neúčinný transfer znalostí z veřejného výzkumu a nedostatečné využívání jeho výsledků v podnicích;</w:t>
            </w:r>
          </w:p>
          <w:p w14:paraId="45B0C028"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Nízký počet aplikovaných výsledků VaV ve VO, které by byly z technologického hlediska významné, měly větší komerční potenciál a mohly přispět k realizaci strategicky důležitých (přelomových) inovací;</w:t>
            </w:r>
          </w:p>
          <w:p w14:paraId="28C888D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Nedostatečná základna VO, kde by byl realizován VaV v souladu s reálnými potřebami firem v prioritních oblastech RIS3 strategie;</w:t>
            </w:r>
          </w:p>
          <w:p w14:paraId="303740F5" w14:textId="77777777" w:rsidR="00DD3EFA" w:rsidRPr="005A0E7C" w:rsidRDefault="00DD3EFA" w:rsidP="00391907">
            <w:pPr>
              <w:numPr>
                <w:ilvl w:val="0"/>
                <w:numId w:val="63"/>
              </w:numPr>
              <w:spacing w:before="60" w:after="60"/>
              <w:ind w:left="352" w:hanging="284"/>
              <w:jc w:val="both"/>
              <w:rPr>
                <w:rFonts w:eastAsiaTheme="majorEastAsia"/>
              </w:rPr>
            </w:pPr>
            <w:r w:rsidRPr="005A0E7C">
              <w:rPr>
                <w:lang w:eastAsia="cs-CZ"/>
              </w:rPr>
              <w:t>Nízký počet spin-off z výzkumných organizací založených na nových poznatcích VaV (mj. vzhledem k nejasně stanoveným podmínkám pro rozvoj spin-off aktivit).</w:t>
            </w:r>
          </w:p>
          <w:p w14:paraId="52C3B318" w14:textId="77777777" w:rsidR="00DD3EFA" w:rsidRPr="005A0E7C" w:rsidRDefault="00DD3EFA" w:rsidP="00B15ECB">
            <w:pPr>
              <w:spacing w:before="60" w:after="60"/>
              <w:ind w:left="68"/>
              <w:rPr>
                <w:rFonts w:eastAsiaTheme="majorEastAsia"/>
              </w:rPr>
            </w:pPr>
          </w:p>
          <w:p w14:paraId="38BA937C" w14:textId="77777777" w:rsidR="00DD3EFA" w:rsidRPr="005A0E7C" w:rsidRDefault="00DD3EFA" w:rsidP="00B15ECB">
            <w:pPr>
              <w:spacing w:before="60" w:after="60"/>
              <w:rPr>
                <w:lang w:eastAsia="cs-CZ"/>
              </w:rPr>
            </w:pPr>
            <w:r w:rsidRPr="005A0E7C">
              <w:rPr>
                <w:lang w:eastAsia="cs-CZ"/>
              </w:rPr>
              <w:t>Očekávané výsledky/dopady intervencí</w:t>
            </w:r>
          </w:p>
          <w:p w14:paraId="68B8C7D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Podpora z ESIF výrazným způsobem přispěje k rozvoji výzkumných a inovačních aktivit v domácím podnikovém sektoru (zejména v MSP). Podniky budou s využitím prostředků ESIF stimulovány k realizaci jak interního VaV, tak i k VaV realizovaném ve spolupráci s výzkumnými organizacemi. To zároveň přispěje k lepšímu uplatňování výsledků VaV v nových produktech, což umožní podnikům se prosadit na existujících či nových trzích a vytvoří významné předpoklady pro růst jejich konkurenceschopnosti. Rozvoj VaV aktivit přispěje také ke zvýšení absorpční kapacity podniků pro výsledky VaV z veřejného výzkumu, což napomůže rozvoji vazeb mezi podniky a VO a ke zvýšení účinnosti transferu znalostí z VO do podniků.</w:t>
            </w:r>
          </w:p>
        </w:tc>
        <w:tc>
          <w:tcPr>
            <w:tcW w:w="249" w:type="dxa"/>
            <w:tcBorders>
              <w:top w:val="nil"/>
              <w:bottom w:val="nil"/>
            </w:tcBorders>
            <w:shd w:val="clear" w:color="auto" w:fill="66CCFF"/>
          </w:tcPr>
          <w:p w14:paraId="13D8AF53" w14:textId="77777777" w:rsidR="00DD3EFA" w:rsidRPr="005A0E7C" w:rsidRDefault="00DD3EFA" w:rsidP="00B15ECB">
            <w:pPr>
              <w:rPr>
                <w:b/>
              </w:rPr>
            </w:pPr>
          </w:p>
        </w:tc>
      </w:tr>
      <w:tr w:rsidR="00DD3EFA" w:rsidRPr="005A0E7C" w14:paraId="111AE2D7" w14:textId="77777777" w:rsidTr="00B15ECB">
        <w:trPr>
          <w:trHeight w:val="1274"/>
        </w:trPr>
        <w:tc>
          <w:tcPr>
            <w:tcW w:w="249" w:type="dxa"/>
            <w:tcBorders>
              <w:top w:val="nil"/>
              <w:bottom w:val="nil"/>
            </w:tcBorders>
            <w:shd w:val="clear" w:color="auto" w:fill="66CCFF"/>
          </w:tcPr>
          <w:p w14:paraId="4E3D2B1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BABF01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2E26AC8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CB5686C" w14:textId="77777777" w:rsidR="00DD3EFA" w:rsidRPr="005A0E7C" w:rsidRDefault="00DD3EFA" w:rsidP="00B15ECB">
            <w:pPr>
              <w:spacing w:before="60" w:after="60"/>
              <w:rPr>
                <w:rFonts w:eastAsiaTheme="majorEastAsia"/>
              </w:rPr>
            </w:pPr>
            <w:r w:rsidRPr="005A0E7C">
              <w:rPr>
                <w:rFonts w:eastAsiaTheme="majorEastAsia"/>
              </w:rPr>
              <w:t>Cílovým stavem je existence uceleného a funkčního systému pro uplatňování výsledků výzkumu v aplikační sféře v ČR. Toho bude dosaženo především:</w:t>
            </w:r>
          </w:p>
          <w:p w14:paraId="7673C59B" w14:textId="77777777" w:rsidR="00DD3EFA" w:rsidRPr="005A0E7C" w:rsidRDefault="00DD3EFA" w:rsidP="00391907">
            <w:pPr>
              <w:pStyle w:val="Odstavecseseznamem"/>
              <w:numPr>
                <w:ilvl w:val="0"/>
                <w:numId w:val="76"/>
              </w:numPr>
              <w:spacing w:before="60" w:after="60"/>
              <w:ind w:left="214" w:hanging="214"/>
              <w:contextualSpacing w:val="0"/>
              <w:jc w:val="both"/>
              <w:rPr>
                <w:rFonts w:eastAsiaTheme="majorEastAsia"/>
              </w:rPr>
            </w:pPr>
            <w:r w:rsidRPr="005A0E7C">
              <w:rPr>
                <w:rFonts w:eastAsiaTheme="majorEastAsia"/>
              </w:rPr>
              <w:t xml:space="preserve">Dobudováním funkční institucionální základny aplikovaného výzkumu, sestávající z životaschopných výzkumných organizací financovaných vícezdrojově z veřejných i neveřejných prostředků. Tyto VO tematicky pokrývají všechny relevantní domény RIS3 strategie, provádějí vlastní nezávislý VaV včetně transferu znalostí a disponují dostatečnými kapacitami, jasnou strategií a nabídkou pro spolupráci s podniky. </w:t>
            </w:r>
          </w:p>
          <w:p w14:paraId="5270CB5C" w14:textId="77777777" w:rsidR="00DD3EFA" w:rsidRPr="005A0E7C" w:rsidRDefault="00DD3EFA" w:rsidP="00391907">
            <w:pPr>
              <w:pStyle w:val="Odstavecseseznamem"/>
              <w:numPr>
                <w:ilvl w:val="0"/>
                <w:numId w:val="76"/>
              </w:numPr>
              <w:spacing w:before="60" w:after="60"/>
              <w:ind w:left="214" w:hanging="214"/>
              <w:contextualSpacing w:val="0"/>
              <w:jc w:val="both"/>
              <w:rPr>
                <w:rFonts w:eastAsiaTheme="majorEastAsia"/>
              </w:rPr>
            </w:pPr>
            <w:r w:rsidRPr="005A0E7C">
              <w:rPr>
                <w:rFonts w:eastAsiaTheme="majorEastAsia"/>
              </w:rPr>
              <w:t>Dokončením komplexu podpůrné infrastruktury pro inovující podniky, zaměřené jak na reálné testování a ověřování technologií (testbedy apod.), tak na poskytování služeb v oblasti VaVaI, včetně specializovaných služeb začínajícím podnikatelům, ochrany duševního vlastnictví, účasti v komunitárních a dalších relevantních programech mezinárodní spolupráce atd.</w:t>
            </w:r>
          </w:p>
          <w:p w14:paraId="4C367298" w14:textId="77777777" w:rsidR="00DD3EFA" w:rsidRPr="005A0E7C" w:rsidRDefault="00DD3EFA" w:rsidP="00391907">
            <w:pPr>
              <w:pStyle w:val="Odstavecseseznamem"/>
              <w:numPr>
                <w:ilvl w:val="0"/>
                <w:numId w:val="76"/>
              </w:numPr>
              <w:spacing w:before="60" w:after="60"/>
              <w:ind w:left="214" w:hanging="214"/>
              <w:contextualSpacing w:val="0"/>
              <w:jc w:val="both"/>
              <w:rPr>
                <w:rFonts w:eastAsiaTheme="majorEastAsia"/>
              </w:rPr>
            </w:pPr>
            <w:r w:rsidRPr="005A0E7C">
              <w:rPr>
                <w:rFonts w:eastAsiaTheme="majorEastAsia"/>
              </w:rPr>
              <w:t>Zvýšením podílu inovujících podniků, zejména realizujících inovace vyšších řádů, nabízejících vlastní produkty s vyšší přidanou hodnotou, trvale zapojených do sítí spolupráce.</w:t>
            </w:r>
          </w:p>
          <w:p w14:paraId="5FD719D1" w14:textId="77777777" w:rsidR="00DD3EFA" w:rsidRPr="005A0E7C" w:rsidRDefault="00DD3EFA" w:rsidP="00B15ECB">
            <w:pPr>
              <w:spacing w:before="60" w:after="60"/>
              <w:rPr>
                <w:rFonts w:eastAsiaTheme="majorEastAsia"/>
              </w:rPr>
            </w:pPr>
            <w:r w:rsidRPr="005A0E7C">
              <w:rPr>
                <w:rFonts w:eastAsiaTheme="majorEastAsia"/>
              </w:rPr>
              <w:t>Tyto tři pilíře jsou zapojeny do řízené dlouhodobé spolupráce</w:t>
            </w:r>
            <w:r w:rsidRPr="005A0E7C">
              <w:t xml:space="preserve"> </w:t>
            </w:r>
            <w:r w:rsidRPr="005A0E7C">
              <w:rPr>
                <w:rFonts w:eastAsiaTheme="majorEastAsia"/>
              </w:rPr>
              <w:t>mezi akademickým, podnikatelským a veřejným sektorem, pokrývající celý proces od policy making, přes dlouhodobou strategickou spolupráci až po realizaci konkrétních společných projektů.</w:t>
            </w:r>
          </w:p>
          <w:p w14:paraId="5A0656A5" w14:textId="77777777" w:rsidR="00DD3EFA" w:rsidRPr="005A0E7C" w:rsidRDefault="00DD3EFA" w:rsidP="00B15ECB">
            <w:pPr>
              <w:spacing w:before="60" w:after="60"/>
              <w:rPr>
                <w:rFonts w:eastAsiaTheme="majorEastAsia"/>
                <w:i/>
                <w:u w:val="single"/>
              </w:rPr>
            </w:pPr>
            <w:r w:rsidRPr="005A0E7C">
              <w:rPr>
                <w:rFonts w:eastAsiaTheme="majorEastAsia"/>
              </w:rPr>
              <w:t>Základní změnou by tedy měla být plná připravenost systému VaVaI na všechny relevantní potřeby podniků a zvýšení absorpční kapacity především domácích podniků pro využívání výsledků VaV, schopnosti aktivně se podílet na zrychleném cyklu technologických změn a ambicí na poli inovativního podnikání.</w:t>
            </w:r>
          </w:p>
        </w:tc>
        <w:tc>
          <w:tcPr>
            <w:tcW w:w="249" w:type="dxa"/>
            <w:tcBorders>
              <w:top w:val="nil"/>
              <w:bottom w:val="nil"/>
            </w:tcBorders>
            <w:shd w:val="clear" w:color="auto" w:fill="66CCFF"/>
          </w:tcPr>
          <w:p w14:paraId="4036CB1D" w14:textId="77777777" w:rsidR="00DD3EFA" w:rsidRPr="005A0E7C" w:rsidRDefault="00DD3EFA" w:rsidP="00B15ECB">
            <w:pPr>
              <w:rPr>
                <w:b/>
              </w:rPr>
            </w:pPr>
          </w:p>
        </w:tc>
      </w:tr>
      <w:tr w:rsidR="00DD3EFA" w:rsidRPr="005A0E7C" w14:paraId="2FB9B878" w14:textId="77777777" w:rsidTr="00B15ECB">
        <w:trPr>
          <w:trHeight w:val="1274"/>
        </w:trPr>
        <w:tc>
          <w:tcPr>
            <w:tcW w:w="249" w:type="dxa"/>
            <w:tcBorders>
              <w:top w:val="nil"/>
              <w:bottom w:val="nil"/>
            </w:tcBorders>
            <w:shd w:val="clear" w:color="auto" w:fill="66CCFF"/>
          </w:tcPr>
          <w:p w14:paraId="4F7D1AA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D73B277"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2A922B24" w14:textId="77777777" w:rsidR="00DD3EFA" w:rsidRPr="005A0E7C" w:rsidRDefault="00DD3EFA" w:rsidP="00B15ECB">
            <w:pPr>
              <w:spacing w:before="60" w:after="60"/>
            </w:pPr>
            <w:r w:rsidRPr="005A0E7C">
              <w:t>Výstupy/výsledky:</w:t>
            </w:r>
          </w:p>
          <w:p w14:paraId="448DC87D"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nových nebo podstatně rozšířených výzkumných infrastruktur/organizací/center</w:t>
            </w:r>
          </w:p>
          <w:p w14:paraId="0E513709"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 xml:space="preserve">investice do DHNM pro provádění VaV </w:t>
            </w:r>
          </w:p>
          <w:p w14:paraId="5CB8FCA8"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dosažených výsledků VaV</w:t>
            </w:r>
          </w:p>
          <w:p w14:paraId="3FC18F33"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realizovaných transferů technologií</w:t>
            </w:r>
          </w:p>
          <w:p w14:paraId="7F9F6D04"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nových firem založených na uplatněných výsledcích VaV</w:t>
            </w:r>
          </w:p>
          <w:p w14:paraId="22263C53"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zavedených inovací</w:t>
            </w:r>
          </w:p>
          <w:p w14:paraId="2FE4F805"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subjektů sdružených v klastrech/platformách atd.</w:t>
            </w:r>
          </w:p>
          <w:p w14:paraId="7E0BB6AC"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poskytnutých specializovaných konzultací</w:t>
            </w:r>
          </w:p>
          <w:p w14:paraId="226BE30A" w14:textId="77777777" w:rsidR="00DD3EFA" w:rsidRPr="005A0E7C" w:rsidRDefault="00DD3EFA" w:rsidP="00391907">
            <w:pPr>
              <w:pStyle w:val="Odstavecseseznamem"/>
              <w:numPr>
                <w:ilvl w:val="0"/>
                <w:numId w:val="63"/>
              </w:numPr>
              <w:spacing w:before="60" w:after="60"/>
              <w:jc w:val="both"/>
              <w:rPr>
                <w:rFonts w:eastAsiaTheme="majorEastAsia"/>
              </w:rPr>
            </w:pPr>
            <w:r w:rsidRPr="005A0E7C">
              <w:rPr>
                <w:rFonts w:eastAsiaTheme="majorEastAsia"/>
              </w:rPr>
              <w:t>počet podniků spolupracujících s výzkumnými institucemi</w:t>
            </w:r>
          </w:p>
          <w:p w14:paraId="1FF1C888" w14:textId="77777777" w:rsidR="00DD3EFA" w:rsidRPr="005A0E7C" w:rsidRDefault="00DD3EFA" w:rsidP="00B15ECB">
            <w:pPr>
              <w:rPr>
                <w:rFonts w:eastAsiaTheme="majorEastAsia"/>
              </w:rPr>
            </w:pPr>
            <w:r w:rsidRPr="005A0E7C">
              <w:rPr>
                <w:rFonts w:eastAsiaTheme="majorEastAsia"/>
              </w:rPr>
              <w:t>atd…</w:t>
            </w:r>
          </w:p>
        </w:tc>
        <w:tc>
          <w:tcPr>
            <w:tcW w:w="249" w:type="dxa"/>
            <w:tcBorders>
              <w:top w:val="nil"/>
              <w:bottom w:val="nil"/>
            </w:tcBorders>
            <w:shd w:val="clear" w:color="auto" w:fill="66CCFF"/>
          </w:tcPr>
          <w:p w14:paraId="19A6D157" w14:textId="77777777" w:rsidR="00DD3EFA" w:rsidRPr="005A0E7C" w:rsidRDefault="00DD3EFA" w:rsidP="00B15ECB">
            <w:pPr>
              <w:rPr>
                <w:b/>
              </w:rPr>
            </w:pPr>
          </w:p>
        </w:tc>
      </w:tr>
      <w:tr w:rsidR="00DD3EFA" w:rsidRPr="005A0E7C" w14:paraId="56158E20" w14:textId="77777777" w:rsidTr="00B15ECB">
        <w:trPr>
          <w:trHeight w:val="1274"/>
        </w:trPr>
        <w:tc>
          <w:tcPr>
            <w:tcW w:w="249" w:type="dxa"/>
            <w:tcBorders>
              <w:top w:val="nil"/>
              <w:bottom w:val="nil"/>
            </w:tcBorders>
            <w:shd w:val="clear" w:color="auto" w:fill="66CCFF"/>
          </w:tcPr>
          <w:p w14:paraId="02E6A07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4A7035E"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76391CF1" w14:textId="77777777" w:rsidR="00DD3EFA" w:rsidRPr="005A0E7C" w:rsidRDefault="00DD3EFA" w:rsidP="00B15ECB">
            <w:pPr>
              <w:pStyle w:val="Textkomente"/>
            </w:pPr>
            <w:r w:rsidRPr="005A0E7C">
              <w:t>V každém případě však ESIF podíl bude vyšší než dvoutřetinový (tedy včetně započítání povinné spoluúčasti, která zde asi zůstane poměrně vysoká).</w:t>
            </w:r>
          </w:p>
          <w:p w14:paraId="08183AB2"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24907CEE" w14:textId="77777777" w:rsidR="00DD3EFA" w:rsidRPr="005A0E7C" w:rsidRDefault="00DD3EFA" w:rsidP="00B15ECB">
            <w:pPr>
              <w:rPr>
                <w:b/>
              </w:rPr>
            </w:pPr>
          </w:p>
        </w:tc>
      </w:tr>
      <w:tr w:rsidR="00DD3EFA" w:rsidRPr="005A0E7C" w14:paraId="0BF62FF5" w14:textId="77777777" w:rsidTr="00B15ECB">
        <w:trPr>
          <w:trHeight w:val="1274"/>
        </w:trPr>
        <w:tc>
          <w:tcPr>
            <w:tcW w:w="249" w:type="dxa"/>
            <w:tcBorders>
              <w:top w:val="nil"/>
              <w:bottom w:val="nil"/>
            </w:tcBorders>
            <w:shd w:val="clear" w:color="auto" w:fill="66CCFF"/>
          </w:tcPr>
          <w:p w14:paraId="13FA4F6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C4B381"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09271F3A" w14:textId="77777777" w:rsidR="00DD3EFA" w:rsidRPr="005A0E7C" w:rsidRDefault="00DD3EFA" w:rsidP="00B15ECB">
            <w:r w:rsidRPr="005A0E7C">
              <w:t>Navržené aktivity navazují na podporu poskytovanou v období 2007-2013 a 2014-2020. Poskytovaná podpora bude oproti minulým obdobím více zaměřena na rozvoj podnikového VaV (především v domácích MSP) a stimulaci podniků k realizaci přelomových inovací s vysokým ekonomickým potenciálem. Oproti minulému období bude podpora směřována na vytváření a rozvoj inovačního „ekosystému“, tj. ve prospěch vzájemné provázanosti dosud individuálních aktivit či solitérních institucí.</w:t>
            </w:r>
          </w:p>
          <w:p w14:paraId="3CE5B2DC" w14:textId="77777777" w:rsidR="00DD3EFA" w:rsidRPr="005A0E7C" w:rsidRDefault="00DD3EFA" w:rsidP="00B15ECB">
            <w:r w:rsidRPr="005A0E7C">
              <w:t>Ve srovnání s minulým obdobím bude také podpora více směřovat na nové technologie, které se budou stále více uplatňovat nejen v průmyslové výrobě, ale i v dalších odvětvích a běžném životě. Ve vazbě na identifikované hlavní globální a evropské megatrendy bude podpora zaměřena jak na využití nových příležitostí, které tato dynamicky se rozvíjející se oblast poskytuje, tak i na oblasti, kde lze očekávat značný dopad těchto technologií na celou společnost.</w:t>
            </w:r>
          </w:p>
          <w:p w14:paraId="530B8401" w14:textId="77777777" w:rsidR="00DD3EFA" w:rsidRPr="005A0E7C" w:rsidRDefault="00DD3EFA" w:rsidP="00B15ECB">
            <w:pPr>
              <w:rPr>
                <w:i/>
              </w:rPr>
            </w:pPr>
            <w:r w:rsidRPr="005A0E7C">
              <w:t>Snahou do budoucna bude také více podporu směřovat na oblasti, které odpovídají aktuálním potřebám podnikatelského sektoru i potřebám společnosti (vazba na RIS3 strategie a společenské výzvy).</w:t>
            </w:r>
          </w:p>
        </w:tc>
        <w:tc>
          <w:tcPr>
            <w:tcW w:w="249" w:type="dxa"/>
            <w:tcBorders>
              <w:top w:val="nil"/>
              <w:bottom w:val="nil"/>
            </w:tcBorders>
            <w:shd w:val="clear" w:color="auto" w:fill="66CCFF"/>
          </w:tcPr>
          <w:p w14:paraId="7BD3EB48" w14:textId="77777777" w:rsidR="00DD3EFA" w:rsidRPr="005A0E7C" w:rsidRDefault="00DD3EFA" w:rsidP="00B15ECB">
            <w:pPr>
              <w:rPr>
                <w:b/>
              </w:rPr>
            </w:pPr>
          </w:p>
        </w:tc>
      </w:tr>
      <w:tr w:rsidR="00DD3EFA" w:rsidRPr="005A0E7C" w14:paraId="757C7A17" w14:textId="77777777" w:rsidTr="00B15ECB">
        <w:trPr>
          <w:trHeight w:val="272"/>
        </w:trPr>
        <w:tc>
          <w:tcPr>
            <w:tcW w:w="249" w:type="dxa"/>
            <w:tcBorders>
              <w:top w:val="nil"/>
              <w:bottom w:val="nil"/>
              <w:right w:val="nil"/>
            </w:tcBorders>
            <w:shd w:val="clear" w:color="auto" w:fill="66CCFF"/>
          </w:tcPr>
          <w:p w14:paraId="7E9A74C9"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67F385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9A1E648"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330C2F39" w14:textId="77777777" w:rsidR="00DD3EFA" w:rsidRPr="005A0E7C" w:rsidRDefault="00DD3EFA" w:rsidP="00B15ECB">
            <w:pPr>
              <w:rPr>
                <w:b/>
              </w:rPr>
            </w:pPr>
          </w:p>
        </w:tc>
      </w:tr>
      <w:tr w:rsidR="00DD3EFA" w:rsidRPr="005A0E7C" w14:paraId="516B174E" w14:textId="77777777" w:rsidTr="00B15ECB">
        <w:trPr>
          <w:trHeight w:val="835"/>
        </w:trPr>
        <w:tc>
          <w:tcPr>
            <w:tcW w:w="249" w:type="dxa"/>
            <w:tcBorders>
              <w:top w:val="nil"/>
              <w:bottom w:val="nil"/>
            </w:tcBorders>
            <w:shd w:val="clear" w:color="auto" w:fill="66CCFF"/>
          </w:tcPr>
          <w:p w14:paraId="4364C322"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B9ED615"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6787983A"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57E7D68A" w14:textId="77777777" w:rsidR="00DD3EFA" w:rsidRPr="005A0E7C" w:rsidRDefault="00DD3EFA" w:rsidP="00B15ECB">
            <w:pPr>
              <w:spacing w:before="60" w:after="60"/>
              <w:rPr>
                <w:b/>
              </w:rPr>
            </w:pPr>
            <w:r w:rsidRPr="005A0E7C">
              <w:rPr>
                <w:b/>
              </w:rPr>
              <w:t>Vytváření uceleného a funkčního systému pro uplatňování výsledků výzkumu v aplikační sféře.</w:t>
            </w:r>
          </w:p>
          <w:p w14:paraId="741E546E" w14:textId="77777777" w:rsidR="00DD3EFA" w:rsidRPr="005A0E7C" w:rsidRDefault="00DD3EFA" w:rsidP="00B15ECB">
            <w:pPr>
              <w:spacing w:before="60" w:after="60"/>
            </w:pPr>
            <w:r w:rsidRPr="005A0E7C">
              <w:t>Cílem je vytvoření inovačního „ekosystému“ pro uplatňování výsledků VaVaI v aplikační sféře v místních podmínkách ČR a to ve všech oblastech, nejen v tradičním průmyslu. Opatření budou zaměřená zejména na:</w:t>
            </w:r>
          </w:p>
          <w:p w14:paraId="4A99FA2B"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Zefektivnění šíření a sdílení znalostí z VO a zlepšení činnosti center transferu technologií vytvořených ve VO;</w:t>
            </w:r>
          </w:p>
          <w:p w14:paraId="101F275B"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Vytvoření motivačních vnitřních systémů pro komercializaci VaV a pravidel pro tyto činnosti, které budou výzkumné pracovníky dostatečně motivovat ke komercializaci VaV a spolupráci s aplikačním sektorem. </w:t>
            </w:r>
          </w:p>
          <w:p w14:paraId="16357879"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Posílení strategické spolupráce firem a VO a vytvoření funkčního partnerství mezi veřejným výzkumem a podniky a veřejnou sférou </w:t>
            </w:r>
          </w:p>
          <w:p w14:paraId="1C5B6618"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Vytváření výsledků s potenciálem pro uplatnění v inovacích vyšších řádů;</w:t>
            </w:r>
          </w:p>
          <w:p w14:paraId="796859AB"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Posílení absorpční kapacity domácích podniků (zejména MSP) pro výsledky VaV z veřejného sektoru;</w:t>
            </w:r>
          </w:p>
          <w:p w14:paraId="3344E2BE"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Podporu vzniku nových firem založených na poznatcích VaV a vytvoření podmínek pro jejich počáteční rozvoj, včetně zajištění přístupu k finančním zdrojům (seed a start-up kapitál).</w:t>
            </w:r>
          </w:p>
          <w:p w14:paraId="74BB62F8" w14:textId="77777777" w:rsidR="00DD3EFA" w:rsidRPr="005A0E7C" w:rsidRDefault="00DD3EFA" w:rsidP="00B15ECB">
            <w:pPr>
              <w:spacing w:before="60" w:after="60"/>
              <w:rPr>
                <w:b/>
              </w:rPr>
            </w:pPr>
            <w:r w:rsidRPr="005A0E7C">
              <w:rPr>
                <w:b/>
              </w:rPr>
              <w:t>Rozvoj výzkumného a inovačního potenciálu firem</w:t>
            </w:r>
          </w:p>
          <w:p w14:paraId="53D0BD07" w14:textId="77777777" w:rsidR="00DD3EFA" w:rsidRPr="005A0E7C" w:rsidRDefault="00DD3EFA" w:rsidP="00B15ECB">
            <w:pPr>
              <w:spacing w:before="60" w:after="60"/>
            </w:pPr>
            <w:r w:rsidRPr="005A0E7C">
              <w:t>Cílem je posílení VaV a inovačních aktivit v podnikatelském sektoru (zejména domácích MSP), zavádění inovací vyšších řádů a posun podniků v globálních dodavatelských řetězcích tak, aby co největší část přidané hodnoty zůstala v domácí ekonomice a aby se zde vytvářely přímo produkty určené na trh.</w:t>
            </w:r>
          </w:p>
          <w:p w14:paraId="09F095FB" w14:textId="77777777" w:rsidR="00DD3EFA" w:rsidRPr="005A0E7C" w:rsidRDefault="00DD3EFA" w:rsidP="00B15ECB">
            <w:pPr>
              <w:spacing w:before="60" w:after="60"/>
            </w:pPr>
            <w:r w:rsidRPr="005A0E7C">
              <w:t>Opatření budou zaměřená zejména na:</w:t>
            </w:r>
          </w:p>
          <w:p w14:paraId="6DB668E4"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Stimulaci domácích podniků k zahájení vlastních VaV aktivit a ke spolupráci s výzkumnými organizacemi, včetně poskytování služeb pro podniky bez zkušeností s VaV, které jim se zahájením těchto činností napomohou;</w:t>
            </w:r>
          </w:p>
          <w:p w14:paraId="09E2E133"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Rozvoj infrastruktury pro VaV a inovace, testování a ověřování technologií v podnikatelském sektoru, zejména v MSP (vazba na oblast Podpora podnikání);</w:t>
            </w:r>
          </w:p>
          <w:p w14:paraId="5FE62A6E"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Rozvoj aktivit VaV a inovací v podnicích (zejména domácích MSP), posílení kapacit podniků a jejich schopností realizovat náročný VaV směřující k přelomovým inovacím a dosažení špičky technického, organizačního a obchodního vývoje ve světě;</w:t>
            </w:r>
          </w:p>
          <w:p w14:paraId="1BF6B40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Zefektivnění podnikových procesů a zvýšení připravenosti firem včas reagovat na aktuální trendy, nové příležitosti, měnící se podmínky na trhu a na aktuální i potenciální potřeby společnosti;</w:t>
            </w:r>
          </w:p>
          <w:p w14:paraId="62661463"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Zavádění inovací založených na výsledcích VaV;</w:t>
            </w:r>
          </w:p>
          <w:p w14:paraId="0129069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Poskytování znalostně intenzivních služeb;</w:t>
            </w:r>
          </w:p>
          <w:p w14:paraId="1DEF770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Stimulaci podniků k intenzivnímu zapojení do mezinárodních výzkumných programů a dalších mezinárodních iniciativ a aktivit VaVaI (Společné technologické iniciativy a další);</w:t>
            </w:r>
          </w:p>
          <w:p w14:paraId="06B6E22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Podporu spolupráce domácích podniků s podniky se zahraniční účastí ve VaVaI směřující k jejich začlenění do globálních inovačních sítí a posunu v globálních dodavatelských řetězcích.</w:t>
            </w:r>
          </w:p>
          <w:p w14:paraId="310F9D05" w14:textId="77777777" w:rsidR="00DD3EFA" w:rsidRPr="005A0E7C" w:rsidRDefault="00DD3EFA" w:rsidP="00B15ECB">
            <w:pPr>
              <w:spacing w:before="60" w:after="60"/>
              <w:rPr>
                <w:b/>
              </w:rPr>
            </w:pPr>
            <w:r w:rsidRPr="005A0E7C">
              <w:rPr>
                <w:b/>
              </w:rPr>
              <w:t>Rozvoj institucionální základny aplikovaného výzkumu</w:t>
            </w:r>
          </w:p>
          <w:p w14:paraId="3F07A1A5" w14:textId="77777777" w:rsidR="00DD3EFA" w:rsidRPr="005A0E7C" w:rsidRDefault="00DD3EFA" w:rsidP="00B15ECB">
            <w:pPr>
              <w:spacing w:before="60" w:after="60"/>
            </w:pPr>
            <w:r w:rsidRPr="005A0E7C">
              <w:t>Cílem je posílit institucionální základnu pro aplikovaný VaV.</w:t>
            </w:r>
          </w:p>
          <w:p w14:paraId="22D10A73" w14:textId="77777777" w:rsidR="00DD3EFA" w:rsidRPr="005A0E7C" w:rsidRDefault="00DD3EFA" w:rsidP="00B15ECB">
            <w:pPr>
              <w:spacing w:before="60" w:after="60"/>
            </w:pPr>
            <w:r w:rsidRPr="005A0E7C">
              <w:t>Opatření budou zaměřená zejména na:</w:t>
            </w:r>
          </w:p>
          <w:p w14:paraId="488AB54B"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Posílení institucionální základny aplikovaného výzkumu, transformaci části výzkumných kapacit (výzkumných center) na pracoviště aplikovaného VaV, která budou intenzivně spolupracovat s aplikačním sektorem a kde budou vznikat poznatky s vysokým potenciálem pro přímé uplatnění v inovacích;Rozvoj základny pro aplikovaný VaV v prioritních doménách RIS3 strategie.</w:t>
            </w:r>
          </w:p>
          <w:p w14:paraId="0C59DE15" w14:textId="77777777" w:rsidR="00DD3EFA" w:rsidRPr="005A0E7C" w:rsidRDefault="00DD3EFA" w:rsidP="00B15ECB">
            <w:pPr>
              <w:spacing w:before="60" w:after="60"/>
              <w:rPr>
                <w:b/>
              </w:rPr>
            </w:pPr>
            <w:r w:rsidRPr="005A0E7C">
              <w:rPr>
                <w:b/>
              </w:rPr>
              <w:t>Výzkum odpovídající doménám specializace RIS3 strategie</w:t>
            </w:r>
          </w:p>
          <w:p w14:paraId="6EA98B51" w14:textId="77777777" w:rsidR="00DD3EFA" w:rsidRPr="005A0E7C" w:rsidRDefault="00DD3EFA" w:rsidP="00B15ECB">
            <w:pPr>
              <w:spacing w:before="60" w:after="60"/>
            </w:pPr>
            <w:r w:rsidRPr="005A0E7C">
              <w:t xml:space="preserve">Cílem je podporovat VaV, jehož zaměření odpovídá cílům a doménám specializace v RIS3 strategiích. Dalším cílem je posílení podnikového VaV a inovací v oblasti perspektivních technologií, zejména ve vazbě na Průmysl 4.0 a digitální ekonomiku.  </w:t>
            </w:r>
          </w:p>
          <w:p w14:paraId="79528B66" w14:textId="77777777" w:rsidR="00DD3EFA" w:rsidRPr="005A0E7C" w:rsidRDefault="00DD3EFA" w:rsidP="00B15ECB">
            <w:pPr>
              <w:spacing w:before="60" w:after="60"/>
            </w:pPr>
            <w:r w:rsidRPr="005A0E7C">
              <w:t>Opatření budou zaměřená zejména na:</w:t>
            </w:r>
          </w:p>
          <w:p w14:paraId="6EBAB453"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Podporu VaV a inovací  (zejména realizovaného ve spolupráci podniků s VO) v aplikačních odvětvích RIS3 strategií rozpracovaných na úroveň konkrétních témat (tzv. Národní nebo krajské domény specializace);</w:t>
            </w:r>
          </w:p>
          <w:p w14:paraId="0BA4C021" w14:textId="77777777" w:rsidR="00DD3EFA" w:rsidRPr="005A0E7C" w:rsidRDefault="00DD3EFA" w:rsidP="00391907">
            <w:pPr>
              <w:numPr>
                <w:ilvl w:val="0"/>
                <w:numId w:val="63"/>
              </w:numPr>
              <w:spacing w:before="60" w:after="60"/>
              <w:ind w:left="352" w:hanging="284"/>
              <w:jc w:val="both"/>
              <w:rPr>
                <w:b/>
                <w:lang w:eastAsia="cs-CZ"/>
              </w:rPr>
            </w:pPr>
            <w:r w:rsidRPr="005A0E7C">
              <w:rPr>
                <w:lang w:eastAsia="cs-CZ"/>
              </w:rPr>
              <w:t>Podporu VaV a inovací (zejména realizovaného ve spolupráci podniků s VO) v oblasti perspektivních technologií, a to zejména ve vazbě na Průmysl 4.0 a digitální ekonomiku a další perspektivní technologie (umělá inteligence, HPC, Digital Innovation Hubs, Block-chain, nanotechnologie, biotechnologie, progresivní materiály apod.);</w:t>
            </w:r>
          </w:p>
          <w:p w14:paraId="4A6B5BB9" w14:textId="77777777" w:rsidR="00DD3EFA" w:rsidRPr="005A0E7C" w:rsidRDefault="00DD3EFA" w:rsidP="00391907">
            <w:pPr>
              <w:numPr>
                <w:ilvl w:val="0"/>
                <w:numId w:val="63"/>
              </w:numPr>
              <w:spacing w:before="60" w:after="60"/>
              <w:ind w:left="352" w:hanging="284"/>
              <w:jc w:val="both"/>
              <w:rPr>
                <w:b/>
                <w:lang w:eastAsia="cs-CZ"/>
              </w:rPr>
            </w:pPr>
            <w:r w:rsidRPr="005A0E7C">
              <w:rPr>
                <w:lang w:eastAsia="cs-CZ"/>
              </w:rPr>
              <w:t>Podpora výzkumu a vývoje moderních digitálních řešení, včetně řešení zaměřených na potřeby veřejného sektoru</w:t>
            </w:r>
          </w:p>
          <w:p w14:paraId="13AAA8B8"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Podporu vzniku a chodu tzv. inovačních center na straně podniků (inovační služby podniků pro podniky) </w:t>
            </w:r>
          </w:p>
          <w:p w14:paraId="15174C86" w14:textId="77777777" w:rsidR="00DD3EFA" w:rsidRPr="005A0E7C" w:rsidRDefault="00DD3EFA" w:rsidP="00B15ECB">
            <w:pPr>
              <w:spacing w:before="60" w:after="60"/>
              <w:ind w:left="68"/>
              <w:rPr>
                <w:b/>
                <w:lang w:eastAsia="cs-CZ"/>
              </w:rPr>
            </w:pPr>
            <w:r w:rsidRPr="005A0E7C">
              <w:rPr>
                <w:b/>
                <w:lang w:eastAsia="cs-CZ"/>
              </w:rPr>
              <w:t>Naplňování priorit a záměrů koncepce Digitální ekonomika a společnost</w:t>
            </w:r>
          </w:p>
          <w:p w14:paraId="39DF7491" w14:textId="77777777" w:rsidR="00DD3EFA" w:rsidRPr="005A0E7C" w:rsidRDefault="00DD3EFA" w:rsidP="00B15ECB">
            <w:pPr>
              <w:spacing w:before="60" w:after="60"/>
              <w:ind w:left="68"/>
              <w:rPr>
                <w:lang w:eastAsia="cs-CZ"/>
              </w:rPr>
            </w:pPr>
            <w:r w:rsidRPr="005A0E7C">
              <w:rPr>
                <w:lang w:eastAsia="cs-CZ"/>
              </w:rPr>
              <w:t xml:space="preserve">Cílem je zavádění a rozšiřování digitálních inovačních technologií, zejména v malých a středních podnicích. </w:t>
            </w:r>
          </w:p>
          <w:p w14:paraId="4C87A7E1" w14:textId="77777777" w:rsidR="00DD3EFA" w:rsidRPr="005A0E7C" w:rsidRDefault="00DD3EFA" w:rsidP="00B15ECB">
            <w:pPr>
              <w:spacing w:before="60" w:after="60"/>
              <w:ind w:left="68"/>
              <w:rPr>
                <w:lang w:eastAsia="cs-CZ"/>
              </w:rPr>
            </w:pPr>
            <w:r w:rsidRPr="005A0E7C">
              <w:rPr>
                <w:lang w:eastAsia="cs-CZ"/>
              </w:rPr>
              <w:t xml:space="preserve">Opatření budou zaměřená zejména na:  </w:t>
            </w:r>
          </w:p>
          <w:p w14:paraId="0B404E57" w14:textId="77777777" w:rsidR="00DD3EFA" w:rsidRPr="005A0E7C" w:rsidRDefault="00DD3EFA" w:rsidP="00391907">
            <w:pPr>
              <w:numPr>
                <w:ilvl w:val="0"/>
                <w:numId w:val="63"/>
              </w:numPr>
              <w:spacing w:before="60" w:after="60"/>
              <w:ind w:left="352" w:hanging="284"/>
              <w:jc w:val="both"/>
              <w:rPr>
                <w:b/>
                <w:lang w:eastAsia="cs-CZ"/>
              </w:rPr>
            </w:pPr>
            <w:r w:rsidRPr="005A0E7C">
              <w:rPr>
                <w:lang w:eastAsia="cs-CZ"/>
              </w:rPr>
              <w:t>Podporu zavádění umělé inteligence v MSP;</w:t>
            </w:r>
          </w:p>
          <w:p w14:paraId="3D0A0CCA" w14:textId="77777777" w:rsidR="00DD3EFA" w:rsidRPr="005A0E7C" w:rsidRDefault="00DD3EFA" w:rsidP="00391907">
            <w:pPr>
              <w:numPr>
                <w:ilvl w:val="0"/>
                <w:numId w:val="63"/>
              </w:numPr>
              <w:spacing w:before="60" w:after="60"/>
              <w:ind w:left="352" w:hanging="284"/>
              <w:jc w:val="both"/>
              <w:rPr>
                <w:b/>
                <w:lang w:eastAsia="cs-CZ"/>
              </w:rPr>
            </w:pPr>
            <w:r w:rsidRPr="005A0E7C">
              <w:rPr>
                <w:lang w:eastAsia="cs-CZ"/>
              </w:rPr>
              <w:t>Podporu budování a propojování sítě Digital Innovation Hubs na národní i evropské úrovni;</w:t>
            </w:r>
          </w:p>
          <w:p w14:paraId="4599692A" w14:textId="77777777" w:rsidR="00DD3EFA" w:rsidRPr="005A0E7C" w:rsidRDefault="00DD3EFA" w:rsidP="00391907">
            <w:pPr>
              <w:numPr>
                <w:ilvl w:val="0"/>
                <w:numId w:val="63"/>
              </w:numPr>
              <w:spacing w:before="60" w:after="60"/>
              <w:ind w:left="352" w:hanging="284"/>
              <w:jc w:val="both"/>
              <w:rPr>
                <w:b/>
                <w:lang w:eastAsia="cs-CZ"/>
              </w:rPr>
            </w:pPr>
            <w:r w:rsidRPr="005A0E7C">
              <w:rPr>
                <w:lang w:eastAsia="cs-CZ"/>
              </w:rPr>
              <w:t>Podpora infrastruktury pro technologie HPC;</w:t>
            </w:r>
          </w:p>
          <w:p w14:paraId="29644A8C" w14:textId="77777777" w:rsidR="00DD3EFA" w:rsidRPr="005A0E7C" w:rsidRDefault="00DD3EFA" w:rsidP="00391907">
            <w:pPr>
              <w:numPr>
                <w:ilvl w:val="0"/>
                <w:numId w:val="63"/>
              </w:numPr>
              <w:spacing w:before="60" w:after="60"/>
              <w:ind w:left="352" w:hanging="284"/>
              <w:jc w:val="both"/>
              <w:rPr>
                <w:b/>
                <w:lang w:eastAsia="cs-CZ"/>
              </w:rPr>
            </w:pPr>
            <w:r w:rsidRPr="005A0E7C">
              <w:rPr>
                <w:lang w:eastAsia="cs-CZ"/>
              </w:rPr>
              <w:t>Využití technologie block-chain pro rozvoj ekonomiky.</w:t>
            </w:r>
          </w:p>
          <w:p w14:paraId="078CB1FB" w14:textId="77777777" w:rsidR="00DD3EFA" w:rsidRPr="005A0E7C" w:rsidRDefault="00DD3EFA" w:rsidP="00391907">
            <w:pPr>
              <w:numPr>
                <w:ilvl w:val="0"/>
                <w:numId w:val="63"/>
              </w:numPr>
              <w:spacing w:before="60" w:after="60"/>
              <w:ind w:left="352" w:hanging="284"/>
              <w:jc w:val="both"/>
              <w:rPr>
                <w:b/>
                <w:lang w:eastAsia="cs-CZ"/>
              </w:rPr>
            </w:pPr>
            <w:r w:rsidRPr="005A0E7C">
              <w:rPr>
                <w:lang w:eastAsia="cs-CZ"/>
              </w:rPr>
              <w:t>Podpora výzkumu a vývoje moderních digitálních řešení, včetně řešení zaměřených na potřeby veřejného sektoru</w:t>
            </w:r>
          </w:p>
        </w:tc>
        <w:tc>
          <w:tcPr>
            <w:tcW w:w="249" w:type="dxa"/>
            <w:tcBorders>
              <w:top w:val="nil"/>
              <w:bottom w:val="nil"/>
            </w:tcBorders>
            <w:shd w:val="clear" w:color="auto" w:fill="66CCFF"/>
          </w:tcPr>
          <w:p w14:paraId="3B94AAD9" w14:textId="77777777" w:rsidR="00DD3EFA" w:rsidRPr="005A0E7C" w:rsidRDefault="00DD3EFA" w:rsidP="00B15ECB">
            <w:pPr>
              <w:rPr>
                <w:b/>
              </w:rPr>
            </w:pPr>
          </w:p>
        </w:tc>
      </w:tr>
      <w:tr w:rsidR="00DD3EFA" w:rsidRPr="002D2123" w14:paraId="7080D8EF" w14:textId="77777777" w:rsidTr="00B15ECB">
        <w:trPr>
          <w:trHeight w:val="377"/>
        </w:trPr>
        <w:tc>
          <w:tcPr>
            <w:tcW w:w="249" w:type="dxa"/>
            <w:tcBorders>
              <w:top w:val="nil"/>
              <w:bottom w:val="nil"/>
              <w:right w:val="nil"/>
            </w:tcBorders>
            <w:shd w:val="clear" w:color="auto" w:fill="66CCFF"/>
          </w:tcPr>
          <w:p w14:paraId="1469E853"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3E027B97" w14:textId="77777777" w:rsidR="00DD3EFA" w:rsidRPr="002D2123"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04C159E"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01E60600" w14:textId="77777777" w:rsidR="00DD3EFA" w:rsidRPr="002D2123" w:rsidRDefault="00DD3EFA" w:rsidP="00B15ECB">
            <w:pPr>
              <w:rPr>
                <w:b/>
                <w:sz w:val="10"/>
                <w:szCs w:val="10"/>
              </w:rPr>
            </w:pPr>
          </w:p>
        </w:tc>
      </w:tr>
      <w:tr w:rsidR="00DD3EFA" w:rsidRPr="002D2123" w14:paraId="5CFD6F7E" w14:textId="77777777" w:rsidTr="00B15ECB">
        <w:trPr>
          <w:trHeight w:val="607"/>
        </w:trPr>
        <w:tc>
          <w:tcPr>
            <w:tcW w:w="249" w:type="dxa"/>
            <w:tcBorders>
              <w:top w:val="nil"/>
              <w:bottom w:val="nil"/>
            </w:tcBorders>
            <w:shd w:val="clear" w:color="auto" w:fill="66CCFF"/>
          </w:tcPr>
          <w:p w14:paraId="1A0F341D" w14:textId="77777777" w:rsidR="00DD3EFA" w:rsidRPr="002D2123" w:rsidRDefault="00DD3EFA" w:rsidP="00B15ECB">
            <w:pPr>
              <w:rPr>
                <w:b/>
                <w:sz w:val="10"/>
                <w:szCs w:val="10"/>
              </w:rPr>
            </w:pPr>
          </w:p>
        </w:tc>
        <w:tc>
          <w:tcPr>
            <w:tcW w:w="2548" w:type="dxa"/>
            <w:tcBorders>
              <w:top w:val="single" w:sz="4" w:space="0" w:color="auto"/>
              <w:bottom w:val="single" w:sz="4" w:space="0" w:color="auto"/>
            </w:tcBorders>
            <w:shd w:val="clear" w:color="auto" w:fill="FFFFFF" w:themeFill="background1"/>
          </w:tcPr>
          <w:p w14:paraId="544EF45B" w14:textId="77777777" w:rsidR="00DD3EFA" w:rsidRPr="002D2123" w:rsidRDefault="00DD3EFA" w:rsidP="00B15ECB">
            <w:pPr>
              <w:spacing w:before="60" w:after="60"/>
              <w:rPr>
                <w:rFonts w:eastAsiaTheme="majorEastAsia"/>
                <w:b/>
              </w:rPr>
            </w:pPr>
            <w:r w:rsidRPr="002D2123">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74012D42"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C3233E3" w14:textId="77777777" w:rsidR="00DD3EFA" w:rsidRPr="002D2123" w:rsidRDefault="00DD3EFA" w:rsidP="00B15ECB">
            <w:pPr>
              <w:rPr>
                <w:b/>
                <w:sz w:val="10"/>
                <w:szCs w:val="10"/>
              </w:rPr>
            </w:pPr>
          </w:p>
        </w:tc>
      </w:tr>
      <w:tr w:rsidR="00DD3EFA" w:rsidRPr="002D2123" w14:paraId="1397A265" w14:textId="77777777" w:rsidTr="00B15ECB">
        <w:trPr>
          <w:trHeight w:val="1202"/>
        </w:trPr>
        <w:tc>
          <w:tcPr>
            <w:tcW w:w="249" w:type="dxa"/>
            <w:tcBorders>
              <w:top w:val="nil"/>
              <w:bottom w:val="nil"/>
            </w:tcBorders>
            <w:shd w:val="clear" w:color="auto" w:fill="66CCFF"/>
          </w:tcPr>
          <w:p w14:paraId="01AB2180"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1D30CE1F"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Územní dimenze</w:t>
            </w:r>
          </w:p>
          <w:p w14:paraId="74602B97"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87536C5" w14:textId="77777777" w:rsidR="00DD3EFA" w:rsidRPr="005A0E7C" w:rsidRDefault="00DD3EFA" w:rsidP="00B15ECB">
            <w:r w:rsidRPr="005A0E7C">
              <w:t xml:space="preserve">Vzhledem k tomu, že regiony v ČR mají rozdílné podmínky a zázemí pro rozvoj inovačních aktivit podniků, bude podpora z ESIF využita i pro rozvoj podpůrné infrastruktury regionálních výzkumných a inovačních kapacit v podnicích i veřejném sektoru (zejména ve strukturálně postižených regionech) a stimulaci spolupráce jednotlivých aktérů uvnitř regionálního inovačního systému i mimo něj (včetně spolupráce na mezinárodní úrovni). Charakteristickým rysem aglomerací i metropolí je různá míra a různý charakter jejich specializace, výrazně odlišné postavení v národním inovačním systému a neúplně a nestejnoměrně vyvinuté regionální inovační systémy. Jednotlivé aglomerace mají navzájem značně odlišnou úroveň/stadium proměny směrem ke znalostní ekonomice. </w:t>
            </w:r>
          </w:p>
          <w:p w14:paraId="33C2E13C" w14:textId="77777777" w:rsidR="00DD3EFA" w:rsidRPr="005A0E7C" w:rsidRDefault="00DD3EFA" w:rsidP="00B15ECB"/>
          <w:p w14:paraId="56478114"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102FC4A5" w14:textId="77777777" w:rsidR="00DD3EFA" w:rsidRPr="002D2123" w:rsidRDefault="00DD3EFA" w:rsidP="00B15ECB">
            <w:pPr>
              <w:rPr>
                <w:b/>
                <w:sz w:val="10"/>
                <w:szCs w:val="10"/>
              </w:rPr>
            </w:pPr>
          </w:p>
        </w:tc>
      </w:tr>
      <w:tr w:rsidR="00DD3EFA" w:rsidRPr="002D2123" w14:paraId="296D7DB4" w14:textId="77777777" w:rsidTr="00B15ECB">
        <w:trPr>
          <w:trHeight w:val="1202"/>
        </w:trPr>
        <w:tc>
          <w:tcPr>
            <w:tcW w:w="249" w:type="dxa"/>
            <w:tcBorders>
              <w:top w:val="nil"/>
              <w:bottom w:val="nil"/>
            </w:tcBorders>
            <w:shd w:val="clear" w:color="auto" w:fill="66CCFF"/>
          </w:tcPr>
          <w:p w14:paraId="3B3DB5DD"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4976A977"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Adaptace na změnu klimatu</w:t>
            </w:r>
          </w:p>
          <w:p w14:paraId="68500D53"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21C13D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Podpora poskytovaná v této oblasti bude směřována i na rozvoj výzkumných kapacit a zkvalitnění VaV v souladu s RIS strategií a Digitálním Českem, mj. v oborech souvisejících se snižováním emisí skleníkových plynů, rozvojem využívání obnovitelných zdrojů energie, efektivním využívání energie apod., což je v souladu s klíčovými odvětvími aplikací a aplikačních tématech identifikovaných v RIS3 strategii (př. Přírodní zdroje, udržitelné zemědělství a potravinová bezpečnost a dostatečnost; Udržitelná a bezpečná výroba a distribuce el. energie; Výroba dopravních prostředků, udržitelnost a bezpečnost dopravy; Pokročilé a úsporné strojírenství a automatizace). </w:t>
            </w:r>
          </w:p>
        </w:tc>
        <w:tc>
          <w:tcPr>
            <w:tcW w:w="249" w:type="dxa"/>
            <w:tcBorders>
              <w:top w:val="nil"/>
              <w:bottom w:val="nil"/>
            </w:tcBorders>
            <w:shd w:val="clear" w:color="auto" w:fill="66CCFF"/>
          </w:tcPr>
          <w:p w14:paraId="6A325ED8" w14:textId="77777777" w:rsidR="00DD3EFA" w:rsidRPr="002D2123" w:rsidRDefault="00DD3EFA" w:rsidP="00B15ECB">
            <w:pPr>
              <w:rPr>
                <w:b/>
                <w:sz w:val="10"/>
                <w:szCs w:val="10"/>
              </w:rPr>
            </w:pPr>
          </w:p>
        </w:tc>
      </w:tr>
      <w:tr w:rsidR="00DD3EFA" w:rsidRPr="002D2123" w14:paraId="79D118B2" w14:textId="77777777" w:rsidTr="00B15ECB">
        <w:trPr>
          <w:trHeight w:val="1202"/>
        </w:trPr>
        <w:tc>
          <w:tcPr>
            <w:tcW w:w="249" w:type="dxa"/>
            <w:tcBorders>
              <w:top w:val="nil"/>
              <w:bottom w:val="nil"/>
            </w:tcBorders>
            <w:shd w:val="clear" w:color="auto" w:fill="66CCFF"/>
          </w:tcPr>
          <w:p w14:paraId="687C382E"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0843C18"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Společnost 4.0</w:t>
            </w:r>
          </w:p>
          <w:p w14:paraId="6C02101A"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63095CE"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 souvislosti s postupující digitalizací a jejím uplatňováním v mnoha oblastech hospodářského a společenského života bude podpora směřována i na projekty zaměřené na rozvoj VaV v oblasti digitálních technologií, implementaci těchto technologií ve výrobních procesech a produktech, včetně jejich využívání v podnicích, veřejném sektoru a v domácnostech. </w:t>
            </w:r>
          </w:p>
          <w:p w14:paraId="30EFD57B" w14:textId="77777777" w:rsidR="00DD3EFA" w:rsidRPr="005A0E7C" w:rsidRDefault="00DD3EFA" w:rsidP="00B15ECB">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A0E7C">
              <w:rPr>
                <w:rFonts w:cs="Times New Roman"/>
              </w:rPr>
              <w:t>Pro ekonomiku ČR jsou ve vztahu k  Průmyslu 4.0 a digitální ekonomice klíčové zejména technologické oblasti jako automatizace a robotika, kyberneticko-fyzické systémy, vývoj specializovaného SW (např. pro počítačovou bezpečnost, simulace, monitorování, počítačové vidění, pro práci s velkými daty – Big Data Analytics, pro 3D tisk apod.), vývoj prostředků systémové integrace, monitorování (SCADA), úzce specializované meziobory, např. výroba elektronických mikroskopů a optických přístrojů, výroba přístrojů pro mikro- a nano-mechanická měření a testování, fotonické systémy, výroba specializovaných senzorů, mechatronika nebo logistické systémy (důležité pro optimalizaci výrobních a dodavatelských procesů).</w:t>
            </w:r>
          </w:p>
          <w:p w14:paraId="7BDD9AC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p>
        </w:tc>
        <w:tc>
          <w:tcPr>
            <w:tcW w:w="249" w:type="dxa"/>
            <w:tcBorders>
              <w:top w:val="nil"/>
              <w:bottom w:val="nil"/>
            </w:tcBorders>
            <w:shd w:val="clear" w:color="auto" w:fill="66CCFF"/>
          </w:tcPr>
          <w:p w14:paraId="7F8704D3" w14:textId="77777777" w:rsidR="00DD3EFA" w:rsidRPr="002D2123" w:rsidRDefault="00DD3EFA" w:rsidP="00B15ECB">
            <w:pPr>
              <w:rPr>
                <w:b/>
                <w:sz w:val="10"/>
                <w:szCs w:val="10"/>
              </w:rPr>
            </w:pPr>
          </w:p>
        </w:tc>
      </w:tr>
      <w:tr w:rsidR="00DD3EFA" w:rsidRPr="002D2123" w14:paraId="01EC78F3" w14:textId="77777777" w:rsidTr="00B15ECB">
        <w:trPr>
          <w:trHeight w:val="1202"/>
        </w:trPr>
        <w:tc>
          <w:tcPr>
            <w:tcW w:w="249" w:type="dxa"/>
            <w:tcBorders>
              <w:top w:val="nil"/>
              <w:bottom w:val="nil"/>
            </w:tcBorders>
            <w:shd w:val="clear" w:color="auto" w:fill="66CCFF"/>
          </w:tcPr>
          <w:p w14:paraId="65AD6337"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47C42D3D"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Vazba na megatrendy</w:t>
            </w:r>
          </w:p>
          <w:p w14:paraId="4C086B74" w14:textId="77777777" w:rsidR="00DD3EFA" w:rsidRPr="002D2123"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A0F295D" w14:textId="77777777" w:rsidR="00DD3EFA" w:rsidRPr="005A0E7C" w:rsidRDefault="00DD3EFA" w:rsidP="00B15ECB">
            <w:pPr>
              <w:spacing w:before="240" w:line="259" w:lineRule="auto"/>
              <w:rPr>
                <w:b/>
              </w:rPr>
            </w:pPr>
            <w:r w:rsidRPr="005A0E7C">
              <w:rPr>
                <w:b/>
              </w:rPr>
              <w:t>Posun civilizace ke znalostní ekonomice</w:t>
            </w:r>
          </w:p>
          <w:p w14:paraId="32B2C807" w14:textId="77777777" w:rsidR="00DD3EFA" w:rsidRPr="005A0E7C" w:rsidRDefault="00DD3EFA" w:rsidP="00B15ECB">
            <w:pPr>
              <w:spacing w:before="40"/>
            </w:pPr>
            <w:r w:rsidRPr="005A0E7C">
              <w:t>Digitalizace, úzká specializace a aplikace vědeckých poznatků jsou zásadním předpokladem pro další rozvoj ekonomiky.</w:t>
            </w:r>
          </w:p>
          <w:p w14:paraId="0FB0761C" w14:textId="77777777" w:rsidR="00DD3EFA" w:rsidRPr="005A0E7C" w:rsidRDefault="00DD3EFA" w:rsidP="00B15ECB">
            <w:pPr>
              <w:spacing w:before="240" w:line="259" w:lineRule="auto"/>
              <w:rPr>
                <w:b/>
              </w:rPr>
            </w:pPr>
            <w:r w:rsidRPr="005A0E7C">
              <w:rPr>
                <w:b/>
              </w:rPr>
              <w:t>Zvyšující se dostupnost technologií</w:t>
            </w:r>
          </w:p>
          <w:p w14:paraId="7FAFC12C" w14:textId="77777777" w:rsidR="00DD3EFA" w:rsidRPr="005A0E7C" w:rsidRDefault="00DD3EFA" w:rsidP="00B15ECB">
            <w:pPr>
              <w:spacing w:before="40"/>
            </w:pPr>
            <w:r w:rsidRPr="005A0E7C">
              <w:t>Technologie se čím dál víc stávají dostupnou součástí běžného života a prostupují všemi oblastmi společnosti.</w:t>
            </w:r>
          </w:p>
          <w:p w14:paraId="1492AD3F" w14:textId="77777777" w:rsidR="00DD3EFA" w:rsidRPr="005A0E7C" w:rsidRDefault="00DD3EFA" w:rsidP="00B15ECB">
            <w:pPr>
              <w:spacing w:before="240" w:line="259" w:lineRule="auto"/>
              <w:rPr>
                <w:b/>
              </w:rPr>
            </w:pPr>
            <w:r w:rsidRPr="005A0E7C">
              <w:rPr>
                <w:b/>
              </w:rPr>
              <w:t>Zvyšující se rychlost technologické změny</w:t>
            </w:r>
          </w:p>
          <w:p w14:paraId="5A0D11E4" w14:textId="77777777" w:rsidR="00DD3EFA" w:rsidRPr="005A0E7C" w:rsidRDefault="00DD3EFA" w:rsidP="00B15ECB">
            <w:pPr>
              <w:spacing w:before="40"/>
            </w:pPr>
            <w:r w:rsidRPr="005A0E7C">
              <w:t>Dochází k rychlému rozvoji technologií a jejich bezodkladnému pronikání do společnosti.</w:t>
            </w:r>
          </w:p>
          <w:p w14:paraId="42744706" w14:textId="77777777" w:rsidR="00DD3EFA" w:rsidRPr="005A0E7C" w:rsidRDefault="00DD3EFA" w:rsidP="00B15ECB">
            <w:pPr>
              <w:spacing w:before="40"/>
              <w:rPr>
                <w:b/>
                <w:bCs/>
              </w:rPr>
            </w:pPr>
          </w:p>
          <w:p w14:paraId="01D579F0" w14:textId="77777777" w:rsidR="00DD3EFA" w:rsidRPr="005A0E7C" w:rsidRDefault="00DD3EFA" w:rsidP="00B15ECB">
            <w:pPr>
              <w:spacing w:before="40"/>
              <w:rPr>
                <w:b/>
                <w:bCs/>
              </w:rPr>
            </w:pPr>
            <w:r w:rsidRPr="005A0E7C">
              <w:rPr>
                <w:b/>
                <w:bCs/>
              </w:rPr>
              <w:t>Kompetence pro budoucnost</w:t>
            </w:r>
          </w:p>
          <w:p w14:paraId="75B3ADF9" w14:textId="77777777" w:rsidR="00DD3EFA" w:rsidRPr="005A0E7C" w:rsidRDefault="00DD3EFA" w:rsidP="00B15ECB">
            <w:pPr>
              <w:spacing w:before="40"/>
            </w:pPr>
            <w:r w:rsidRPr="005A0E7C">
              <w:t>Při definici cílů a obsahů vzdělávání musíme reflektovat bouřlivě se měnící společnost a fakt, že nyní vzděláváme lidi, jejichž ekonomický vrchol bude za třicet let, přičemž jeho podobu nedokážeme nyní ani odhadnout.</w:t>
            </w:r>
          </w:p>
          <w:p w14:paraId="092615BC"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151C8379" w14:textId="77777777" w:rsidR="00DD3EFA" w:rsidRPr="002D2123" w:rsidRDefault="00DD3EFA" w:rsidP="00B15ECB">
            <w:pPr>
              <w:rPr>
                <w:b/>
                <w:sz w:val="10"/>
                <w:szCs w:val="10"/>
              </w:rPr>
            </w:pPr>
          </w:p>
        </w:tc>
      </w:tr>
      <w:tr w:rsidR="00DD3EFA" w:rsidRPr="002D2123" w14:paraId="7DA98C74" w14:textId="77777777" w:rsidTr="00B15ECB">
        <w:trPr>
          <w:trHeight w:val="1202"/>
        </w:trPr>
        <w:tc>
          <w:tcPr>
            <w:tcW w:w="249" w:type="dxa"/>
            <w:tcBorders>
              <w:top w:val="nil"/>
              <w:bottom w:val="nil"/>
            </w:tcBorders>
            <w:shd w:val="clear" w:color="auto" w:fill="66CCFF"/>
          </w:tcPr>
          <w:p w14:paraId="67E8BA66"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6643B6C4"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4EC77AA2" w14:textId="77777777" w:rsidR="00DD3EFA" w:rsidRPr="005A0E7C" w:rsidRDefault="00DD3EFA" w:rsidP="00B15ECB">
            <w:pPr>
              <w:spacing w:before="60" w:after="60"/>
              <w:rPr>
                <w:lang w:eastAsia="en-GB"/>
              </w:rPr>
            </w:pPr>
            <w:r w:rsidRPr="005A0E7C">
              <w:rPr>
                <w:u w:val="single"/>
                <w:lang w:eastAsia="en-GB"/>
              </w:rPr>
              <w:t>Článek 4 ON:</w:t>
            </w:r>
            <w:r w:rsidRPr="005A0E7C">
              <w:rPr>
                <w:u w:val="single"/>
                <w:lang w:eastAsia="en-GB"/>
              </w:rPr>
              <w:br/>
              <w:t>Politický cíl 1</w:t>
            </w:r>
            <w:r w:rsidRPr="005A0E7C">
              <w:rPr>
                <w:lang w:eastAsia="en-GB"/>
              </w:rPr>
              <w:br/>
            </w:r>
            <w:r w:rsidRPr="005A0E7C">
              <w:rPr>
                <w:b/>
                <w:lang w:eastAsia="en-GB"/>
              </w:rPr>
              <w:t>a) inteligentnější Evropa díky podpoře inovativní a inteligentní ekonomické transformace;</w:t>
            </w:r>
            <w:r w:rsidRPr="005A0E7C">
              <w:rPr>
                <w:lang w:eastAsia="en-GB"/>
              </w:rPr>
              <w:br/>
            </w:r>
          </w:p>
          <w:p w14:paraId="55B8753D" w14:textId="77777777" w:rsidR="00DD3EFA" w:rsidRPr="005A0E7C" w:rsidRDefault="00DD3EFA" w:rsidP="00B15ECB">
            <w:pPr>
              <w:spacing w:before="60" w:after="60"/>
              <w:rPr>
                <w:u w:val="single"/>
                <w:lang w:eastAsia="en-GB"/>
              </w:rPr>
            </w:pPr>
            <w:r w:rsidRPr="005A0E7C">
              <w:rPr>
                <w:u w:val="single"/>
                <w:lang w:eastAsia="en-GB"/>
              </w:rPr>
              <w:t xml:space="preserve">EFRR podporuje specifický cíl „inteligentnější Evropa díky podpoře inovativní a inteligentní ekonomické transformace“ (dále jen „CP 1“) prostřednictvím: </w:t>
            </w:r>
          </w:p>
          <w:p w14:paraId="20767D94" w14:textId="77777777" w:rsidR="00DD3EFA" w:rsidRPr="005A0E7C" w:rsidRDefault="00DD3EFA" w:rsidP="00B15ECB">
            <w:pPr>
              <w:spacing w:before="60" w:after="60"/>
              <w:rPr>
                <w:b/>
                <w:lang w:eastAsia="en-GB"/>
              </w:rPr>
            </w:pPr>
            <w:r w:rsidRPr="005A0E7C">
              <w:rPr>
                <w:b/>
                <w:lang w:eastAsia="en-GB"/>
              </w:rPr>
              <w:t xml:space="preserve">- posílení výzkumných a inovačních kapacit a zavádění pokročilých technologií; </w:t>
            </w:r>
          </w:p>
          <w:p w14:paraId="7CBC5720" w14:textId="77777777" w:rsidR="00DD3EFA" w:rsidRPr="005A0E7C" w:rsidRDefault="00DD3EFA" w:rsidP="00B15ECB">
            <w:pPr>
              <w:spacing w:before="60" w:after="60"/>
              <w:rPr>
                <w:b/>
                <w:lang w:eastAsia="en-GB"/>
              </w:rPr>
            </w:pPr>
            <w:r w:rsidRPr="005A0E7C">
              <w:rPr>
                <w:b/>
                <w:lang w:eastAsia="en-GB"/>
              </w:rPr>
              <w:t>- využití přínosů digitalizace pro podniky;</w:t>
            </w:r>
          </w:p>
          <w:p w14:paraId="606767F3" w14:textId="77777777" w:rsidR="00DD3EFA" w:rsidRPr="005A0E7C" w:rsidRDefault="00DD3EFA" w:rsidP="00B15ECB">
            <w:pPr>
              <w:spacing w:before="60" w:after="60"/>
              <w:rPr>
                <w:b/>
                <w:lang w:eastAsia="en-GB"/>
              </w:rPr>
            </w:pPr>
            <w:r w:rsidRPr="005A0E7C">
              <w:rPr>
                <w:b/>
                <w:lang w:eastAsia="en-GB"/>
              </w:rPr>
              <w:t xml:space="preserve">- posílení růstu a konkurenceschopnosti malých a středních podniků; </w:t>
            </w:r>
          </w:p>
          <w:p w14:paraId="7A0BC2E5" w14:textId="77777777" w:rsidR="00DD3EFA" w:rsidRPr="005A0E7C" w:rsidRDefault="00DD3EFA" w:rsidP="00B15ECB">
            <w:pPr>
              <w:spacing w:before="60" w:after="60"/>
              <w:rPr>
                <w:b/>
                <w:lang w:eastAsia="en-GB"/>
              </w:rPr>
            </w:pPr>
            <w:r w:rsidRPr="005A0E7C">
              <w:rPr>
                <w:b/>
                <w:lang w:eastAsia="en-GB"/>
              </w:rPr>
              <w:t xml:space="preserve">- rozvoje dovedností pro inteligentní specializaci, průmyslovou transformaci a podnikání; </w:t>
            </w:r>
          </w:p>
          <w:p w14:paraId="3040C16E"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F4964B7" w14:textId="77777777" w:rsidR="00DD3EFA" w:rsidRPr="002D2123" w:rsidRDefault="00DD3EFA" w:rsidP="00B15ECB">
            <w:pPr>
              <w:rPr>
                <w:b/>
                <w:sz w:val="10"/>
                <w:szCs w:val="10"/>
              </w:rPr>
            </w:pPr>
          </w:p>
        </w:tc>
      </w:tr>
      <w:tr w:rsidR="00DD3EFA" w:rsidRPr="002D2123" w14:paraId="3AE307D8" w14:textId="77777777" w:rsidTr="00B15ECB">
        <w:trPr>
          <w:trHeight w:val="1202"/>
        </w:trPr>
        <w:tc>
          <w:tcPr>
            <w:tcW w:w="249" w:type="dxa"/>
            <w:tcBorders>
              <w:top w:val="nil"/>
              <w:bottom w:val="nil"/>
            </w:tcBorders>
            <w:shd w:val="clear" w:color="auto" w:fill="66CCFF"/>
          </w:tcPr>
          <w:p w14:paraId="6C7E4562"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4338BB8F"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SDR</w:t>
            </w:r>
          </w:p>
        </w:tc>
        <w:tc>
          <w:tcPr>
            <w:tcW w:w="5978" w:type="dxa"/>
            <w:tcBorders>
              <w:bottom w:val="single" w:sz="4" w:space="0" w:color="auto"/>
            </w:tcBorders>
            <w:shd w:val="clear" w:color="auto" w:fill="FFFFFF" w:themeFill="background1"/>
          </w:tcPr>
          <w:p w14:paraId="728039A2" w14:textId="77777777" w:rsidR="00DD3EFA" w:rsidRPr="005A0E7C" w:rsidRDefault="00DD3EFA" w:rsidP="00B15ECB">
            <w:pPr>
              <w:spacing w:before="60" w:after="60"/>
              <w:rPr>
                <w:rStyle w:val="tlid-translation"/>
              </w:rPr>
            </w:pPr>
            <w:r w:rsidRPr="005A0E7C">
              <w:rPr>
                <w:rStyle w:val="tlid-translation"/>
              </w:rPr>
              <w:t>Zatímco se česká ekonomika přesouvá směrem k aktivitám s větší intenzitou znalostí, několik překážek stále brzdí rozvoj dobře fungujícího výzkumného a inovačního systému. Zvýšení investic do podnikatelského výzkumu a vývoje je primárně způsobeno přímými zahraničními investicemi. Výdaje na výzkum a vývoj domácích podniků se za poslední dva roky snížily. Navzdory značným veřejným investicím do výzkumu a vývoje má Česká republika zaostalost v oblasti kvality své veřejné vědecké základny. Byla přijata politická opatření pro budování vazeb mezi akademickou obcí a podniky a pro zlepšení výkonnosti veřejné vědecké základny, dosud však byly výsledky omezené a reformy dosud nebyly plně realizovány. Navíc řízení systému výzkumu a inovací je i nadále roztříštěné.</w:t>
            </w:r>
          </w:p>
          <w:p w14:paraId="3C2FF024" w14:textId="77777777" w:rsidR="00DD3EFA" w:rsidRPr="005A0E7C" w:rsidRDefault="00DD3EFA" w:rsidP="00B15ECB">
            <w:pPr>
              <w:spacing w:before="60" w:after="60"/>
              <w:rPr>
                <w:rStyle w:val="tlid-translation"/>
              </w:rPr>
            </w:pPr>
          </w:p>
          <w:p w14:paraId="161C6B53" w14:textId="77777777" w:rsidR="00DD3EFA" w:rsidRPr="005A0E7C" w:rsidRDefault="00DD3EFA" w:rsidP="00B15ECB">
            <w:pPr>
              <w:spacing w:before="60" w:after="60"/>
              <w:rPr>
                <w:rStyle w:val="tlid-translation"/>
              </w:rPr>
            </w:pPr>
            <w:r w:rsidRPr="005A0E7C">
              <w:rPr>
                <w:rStyle w:val="tlid-translation"/>
              </w:rPr>
              <w:t>Rada doporučila České republice odstranit překážky růstu, zejména dalším snižováním administrativní zátěže podniků a zlepšením kvality výzkumu a vývoje.</w:t>
            </w:r>
          </w:p>
          <w:p w14:paraId="5B4E0540" w14:textId="77777777" w:rsidR="00DD3EFA" w:rsidRPr="005A0E7C" w:rsidRDefault="00DD3EFA" w:rsidP="00B15ECB">
            <w:pPr>
              <w:spacing w:before="60" w:after="60"/>
              <w:rPr>
                <w:rStyle w:val="tlid-translation"/>
              </w:rPr>
            </w:pPr>
            <w:r w:rsidRPr="005A0E7C">
              <w:rPr>
                <w:rStyle w:val="tlid-translation"/>
              </w:rPr>
              <w:t>Intenzita výzkumu a vývoje se v posledních letech výrazně zvýšila, neprovází ji však odpovídající zlepšení kvality jeho výsledků. Provádí se reformy řízení systému výzkumu a vývoje, avšak zatím nebyly plně uskutečněny. V únoru 2017 vláda schválila novou metodiku hodnocení (Metodika 17+), která by měla posílit mechanismy související s přidělováním finančních prostředků na základní a aplikovaný výzkum. Přijímá se řada opatření s cílem usnadnit vytváření užších vazeb mezi vysokými školami a podniky, a to na základě strukturálních účinků českých inovačních platforem.</w:t>
            </w:r>
          </w:p>
          <w:p w14:paraId="5B2C47A2"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CC4F475" w14:textId="77777777" w:rsidR="00DD3EFA" w:rsidRPr="002D2123" w:rsidRDefault="00DD3EFA" w:rsidP="00B15ECB">
            <w:pPr>
              <w:rPr>
                <w:b/>
                <w:sz w:val="10"/>
                <w:szCs w:val="10"/>
              </w:rPr>
            </w:pPr>
          </w:p>
        </w:tc>
      </w:tr>
      <w:tr w:rsidR="00DD3EFA" w:rsidRPr="002D2123" w14:paraId="69FEAEAD" w14:textId="77777777" w:rsidTr="00B15ECB">
        <w:trPr>
          <w:trHeight w:val="180"/>
        </w:trPr>
        <w:tc>
          <w:tcPr>
            <w:tcW w:w="249" w:type="dxa"/>
            <w:tcBorders>
              <w:top w:val="nil"/>
              <w:bottom w:val="nil"/>
              <w:right w:val="nil"/>
            </w:tcBorders>
            <w:shd w:val="clear" w:color="auto" w:fill="66CCFF"/>
          </w:tcPr>
          <w:p w14:paraId="32B0AD0E" w14:textId="77777777" w:rsidR="00DD3EFA" w:rsidRPr="002D2123" w:rsidRDefault="00DD3EFA" w:rsidP="00B15ECB">
            <w:pPr>
              <w:rPr>
                <w:b/>
                <w:sz w:val="10"/>
                <w:szCs w:val="10"/>
              </w:rPr>
            </w:pPr>
          </w:p>
        </w:tc>
        <w:tc>
          <w:tcPr>
            <w:tcW w:w="2548" w:type="dxa"/>
            <w:tcBorders>
              <w:left w:val="nil"/>
              <w:right w:val="nil"/>
            </w:tcBorders>
            <w:shd w:val="clear" w:color="auto" w:fill="66CCFF"/>
          </w:tcPr>
          <w:p w14:paraId="3EEBC5C8" w14:textId="77777777" w:rsidR="00DD3EFA" w:rsidRPr="002D2123" w:rsidRDefault="00DD3EFA" w:rsidP="00B15ECB">
            <w:pPr>
              <w:rPr>
                <w:b/>
                <w:sz w:val="10"/>
                <w:szCs w:val="10"/>
              </w:rPr>
            </w:pPr>
          </w:p>
        </w:tc>
        <w:tc>
          <w:tcPr>
            <w:tcW w:w="5978" w:type="dxa"/>
            <w:tcBorders>
              <w:left w:val="nil"/>
              <w:right w:val="nil"/>
            </w:tcBorders>
            <w:shd w:val="clear" w:color="auto" w:fill="66CCFF"/>
          </w:tcPr>
          <w:p w14:paraId="760F5F5F" w14:textId="77777777" w:rsidR="00DD3EFA" w:rsidRPr="005A0E7C" w:rsidRDefault="00DD3EFA" w:rsidP="00B15ECB">
            <w:pPr>
              <w:rPr>
                <w:b/>
              </w:rPr>
            </w:pPr>
          </w:p>
        </w:tc>
        <w:tc>
          <w:tcPr>
            <w:tcW w:w="249" w:type="dxa"/>
            <w:tcBorders>
              <w:top w:val="nil"/>
              <w:left w:val="nil"/>
              <w:bottom w:val="nil"/>
            </w:tcBorders>
            <w:shd w:val="clear" w:color="auto" w:fill="66CCFF"/>
          </w:tcPr>
          <w:p w14:paraId="46CAB7EC" w14:textId="77777777" w:rsidR="00DD3EFA" w:rsidRPr="002D2123" w:rsidRDefault="00DD3EFA" w:rsidP="00B15ECB">
            <w:pPr>
              <w:rPr>
                <w:b/>
                <w:sz w:val="10"/>
                <w:szCs w:val="10"/>
              </w:rPr>
            </w:pPr>
          </w:p>
        </w:tc>
      </w:tr>
      <w:tr w:rsidR="00DD3EFA" w:rsidRPr="002D2123" w14:paraId="334F90FF" w14:textId="77777777" w:rsidTr="00B15ECB">
        <w:trPr>
          <w:trHeight w:val="938"/>
        </w:trPr>
        <w:tc>
          <w:tcPr>
            <w:tcW w:w="249" w:type="dxa"/>
            <w:tcBorders>
              <w:top w:val="nil"/>
              <w:bottom w:val="nil"/>
            </w:tcBorders>
            <w:shd w:val="clear" w:color="auto" w:fill="66CCFF"/>
          </w:tcPr>
          <w:p w14:paraId="6A8009CC"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4D04C6FA" w14:textId="77777777" w:rsidR="00DD3EFA" w:rsidRPr="002D2123" w:rsidRDefault="00DD3EFA" w:rsidP="00B15ECB">
            <w:pPr>
              <w:spacing w:before="60" w:after="60"/>
              <w:rPr>
                <w:rFonts w:eastAsiaTheme="majorEastAsia"/>
                <w:b/>
              </w:rPr>
            </w:pPr>
            <w:r w:rsidRPr="002D2123">
              <w:rPr>
                <w:rFonts w:eastAsiaTheme="majorEastAsia"/>
                <w:b/>
              </w:rPr>
              <w:t>Strategický dokument pro daný cíl pro období 2020+; v případě více dokumentů identifikujte strategii dominantní ve vztahu k cíli.</w:t>
            </w:r>
          </w:p>
          <w:p w14:paraId="4B5245ED" w14:textId="77777777" w:rsidR="00DD3EFA" w:rsidRPr="002D2123"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2E517E8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076FA3F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color w:val="000000" w:themeColor="text1"/>
                <w:u w:val="single"/>
              </w:rPr>
            </w:pPr>
            <w:r w:rsidRPr="005A0E7C">
              <w:rPr>
                <w:rFonts w:ascii="Times New Roman" w:hAnsi="Times New Roman"/>
                <w:b/>
                <w:color w:val="000000" w:themeColor="text1"/>
                <w:u w:val="single"/>
              </w:rPr>
              <w:t>Národní výzkumná a inovační strategie pro inteligentní specializaci 2021+</w:t>
            </w:r>
          </w:p>
          <w:p w14:paraId="60F1E091" w14:textId="77777777" w:rsidR="00DD3EFA" w:rsidRPr="005A0E7C" w:rsidRDefault="00DD3EFA" w:rsidP="00391907">
            <w:pPr>
              <w:pStyle w:val="slovanodstavec"/>
              <w:numPr>
                <w:ilvl w:val="0"/>
                <w:numId w:val="65"/>
              </w:numPr>
              <w:tabs>
                <w:tab w:val="clear" w:pos="567"/>
                <w:tab w:val="left" w:pos="284"/>
              </w:tabs>
              <w:suppressAutoHyphens/>
              <w:spacing w:line="240" w:lineRule="auto"/>
              <w:jc w:val="left"/>
              <w:rPr>
                <w:rFonts w:ascii="Times New Roman" w:hAnsi="Times New Roman"/>
                <w:color w:val="000000" w:themeColor="text1"/>
                <w:u w:val="single"/>
              </w:rPr>
            </w:pPr>
            <w:r w:rsidRPr="005A0E7C">
              <w:rPr>
                <w:rFonts w:ascii="Times New Roman" w:hAnsi="Times New Roman"/>
                <w:color w:val="000000" w:themeColor="text1"/>
                <w:u w:val="single"/>
              </w:rPr>
              <w:t>v období III/2019 – III/2020 bude realizována veřejná zakázka na vypracování nové vstupní analýzy bariér aplikovaného a orientovaného výzkumu, experimentálního vývoje a inovací v České republice a návrh implementace nastavených opatření v programovém období 2021 – 2027</w:t>
            </w:r>
          </w:p>
          <w:p w14:paraId="3A411077" w14:textId="77777777" w:rsidR="00DD3EFA" w:rsidRPr="005A0E7C" w:rsidRDefault="00DD3EFA" w:rsidP="00391907">
            <w:pPr>
              <w:pStyle w:val="slovanodstavec"/>
              <w:numPr>
                <w:ilvl w:val="0"/>
                <w:numId w:val="65"/>
              </w:numPr>
              <w:tabs>
                <w:tab w:val="clear" w:pos="567"/>
                <w:tab w:val="left" w:pos="284"/>
              </w:tabs>
              <w:suppressAutoHyphens/>
              <w:spacing w:line="240" w:lineRule="auto"/>
              <w:jc w:val="left"/>
              <w:rPr>
                <w:rFonts w:ascii="Times New Roman" w:hAnsi="Times New Roman"/>
                <w:color w:val="000000" w:themeColor="text1"/>
                <w:u w:val="single"/>
              </w:rPr>
            </w:pPr>
            <w:r w:rsidRPr="005A0E7C">
              <w:rPr>
                <w:rFonts w:ascii="Times New Roman" w:hAnsi="Times New Roman"/>
                <w:color w:val="000000" w:themeColor="text1"/>
                <w:u w:val="single"/>
              </w:rPr>
              <w:t>VI/2019 - předání předběžného konceptu v zadané struktuře; XI/2019 - předání předběžného závěrečného dokumentu; III/2019 - předání finálních výstupů (zástupce MMR-NOK bude členem pracovní expertní skupiny, která bude odborným garantem veřejné zakázky)</w:t>
            </w:r>
          </w:p>
          <w:p w14:paraId="6D216D62" w14:textId="77777777" w:rsidR="00DD3EFA" w:rsidRPr="005A0E7C" w:rsidRDefault="00DD3EFA" w:rsidP="00391907">
            <w:pPr>
              <w:pStyle w:val="slovanodstavec"/>
              <w:numPr>
                <w:ilvl w:val="0"/>
                <w:numId w:val="65"/>
              </w:numPr>
              <w:tabs>
                <w:tab w:val="clear" w:pos="567"/>
                <w:tab w:val="left" w:pos="284"/>
              </w:tabs>
              <w:suppressAutoHyphens/>
              <w:spacing w:line="240" w:lineRule="auto"/>
              <w:jc w:val="left"/>
              <w:rPr>
                <w:rFonts w:ascii="Times New Roman" w:hAnsi="Times New Roman"/>
                <w:color w:val="000000" w:themeColor="text1"/>
                <w:u w:val="single"/>
              </w:rPr>
            </w:pPr>
            <w:r w:rsidRPr="005A0E7C">
              <w:rPr>
                <w:rFonts w:ascii="Times New Roman" w:hAnsi="Times New Roman"/>
                <w:color w:val="000000" w:themeColor="text1"/>
                <w:u w:val="single"/>
              </w:rPr>
              <w:t>IV/2020 – VIII/2020: kompletace výsledné Národní RIS3 strategie 2021+ (propojení horizontálních a vertikálních cílů; nastavení pravidel vertikalizace; úprava evaluačních a monitorovacích mechanismů; ukotvení priorit z krajské úrovně)</w:t>
            </w:r>
          </w:p>
          <w:p w14:paraId="366E45BC" w14:textId="77777777" w:rsidR="00DD3EFA" w:rsidRPr="005A0E7C" w:rsidRDefault="00DD3EFA" w:rsidP="00391907">
            <w:pPr>
              <w:pStyle w:val="slovanodstavec"/>
              <w:numPr>
                <w:ilvl w:val="0"/>
                <w:numId w:val="65"/>
              </w:numPr>
              <w:tabs>
                <w:tab w:val="clear" w:pos="567"/>
                <w:tab w:val="left" w:pos="284"/>
              </w:tabs>
              <w:suppressAutoHyphens/>
              <w:spacing w:line="240" w:lineRule="auto"/>
              <w:jc w:val="left"/>
              <w:rPr>
                <w:rFonts w:ascii="Times New Roman" w:hAnsi="Times New Roman"/>
                <w:color w:val="000000" w:themeColor="text1"/>
                <w:u w:val="single"/>
              </w:rPr>
            </w:pPr>
            <w:r w:rsidRPr="005A0E7C">
              <w:rPr>
                <w:rFonts w:ascii="Times New Roman" w:hAnsi="Times New Roman"/>
                <w:color w:val="000000" w:themeColor="text1"/>
                <w:u w:val="single"/>
              </w:rPr>
              <w:t>IX – XII/2020 schvalovací proces</w:t>
            </w:r>
          </w:p>
          <w:p w14:paraId="3F75FDF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2C9C96D7" w14:textId="77777777" w:rsidR="00DD3EFA" w:rsidRPr="005A0E7C" w:rsidRDefault="00DD3EFA" w:rsidP="00B15ECB">
            <w:pPr>
              <w:rPr>
                <w:b/>
              </w:rPr>
            </w:pPr>
            <w:r w:rsidRPr="005A0E7C">
              <w:rPr>
                <w:b/>
              </w:rPr>
              <w:t>Národní politika výzkumu, vývoje a inovací České republiky pro roky 2016-2020</w:t>
            </w:r>
          </w:p>
          <w:p w14:paraId="0E539318" w14:textId="77777777" w:rsidR="00DD3EFA" w:rsidRPr="005A0E7C" w:rsidRDefault="00DD3EFA" w:rsidP="00391907">
            <w:pPr>
              <w:pStyle w:val="Odstavecseseznamem"/>
              <w:numPr>
                <w:ilvl w:val="0"/>
                <w:numId w:val="65"/>
              </w:numPr>
              <w:jc w:val="both"/>
            </w:pPr>
            <w:r w:rsidRPr="005A0E7C">
              <w:t>Do konce roku 2018 proběhne vyhodnocení NP VaVaI a návazně případná aktualizace stávajícího dokumentu</w:t>
            </w:r>
          </w:p>
          <w:p w14:paraId="373EC328" w14:textId="77777777" w:rsidR="00DD3EFA" w:rsidRPr="005A0E7C" w:rsidRDefault="00DD3EFA" w:rsidP="00391907">
            <w:pPr>
              <w:pStyle w:val="Odstavecseseznamem"/>
              <w:numPr>
                <w:ilvl w:val="0"/>
                <w:numId w:val="65"/>
              </w:numPr>
              <w:jc w:val="both"/>
            </w:pPr>
            <w:r w:rsidRPr="005A0E7C">
              <w:t>V období 2019 – 2020 bude připravována nová národní politika pro navazující období od roku 2021 – navazující na NP VaVaI, která bude pokrývat celé budoucí programové období</w:t>
            </w:r>
          </w:p>
          <w:p w14:paraId="7DD19B49" w14:textId="77777777" w:rsidR="00DD3EFA" w:rsidRPr="005A0E7C" w:rsidRDefault="00DD3EFA" w:rsidP="00B15ECB">
            <w:pPr>
              <w:rPr>
                <w:b/>
              </w:rPr>
            </w:pPr>
            <w:r w:rsidRPr="005A0E7C">
              <w:rPr>
                <w:b/>
              </w:rPr>
              <w:t>Národní výzkumná a inovační strategie pro inteligentní specializaci (2014-2020)</w:t>
            </w:r>
          </w:p>
          <w:p w14:paraId="6D3F43D7" w14:textId="77777777" w:rsidR="00DD3EFA" w:rsidRPr="005A0E7C" w:rsidRDefault="00DD3EFA" w:rsidP="00391907">
            <w:pPr>
              <w:pStyle w:val="Odstavecseseznamem"/>
              <w:numPr>
                <w:ilvl w:val="0"/>
                <w:numId w:val="65"/>
              </w:numPr>
              <w:jc w:val="both"/>
            </w:pPr>
            <w:r w:rsidRPr="005A0E7C">
              <w:t>V roce 2018 proběhla aktualizace dokumentu</w:t>
            </w:r>
          </w:p>
          <w:p w14:paraId="2F1A86EB" w14:textId="77777777" w:rsidR="00DD3EFA" w:rsidRPr="005A0E7C" w:rsidRDefault="00DD3EFA" w:rsidP="00B15ECB">
            <w:pPr>
              <w:rPr>
                <w:b/>
              </w:rPr>
            </w:pPr>
            <w:r w:rsidRPr="005A0E7C">
              <w:rPr>
                <w:b/>
              </w:rPr>
              <w:t>Inovační strategie ČR 2019-2030</w:t>
            </w:r>
          </w:p>
          <w:p w14:paraId="27B6A9EF" w14:textId="77777777" w:rsidR="00DD3EFA" w:rsidRPr="005A0E7C" w:rsidRDefault="00DD3EFA" w:rsidP="00391907">
            <w:pPr>
              <w:pStyle w:val="Odstavecseseznamem"/>
              <w:numPr>
                <w:ilvl w:val="0"/>
                <w:numId w:val="65"/>
              </w:numPr>
              <w:jc w:val="both"/>
            </w:pPr>
            <w:r w:rsidRPr="005A0E7C">
              <w:t>Dokument schválen vládou ČR 4. 2. 2019</w:t>
            </w:r>
          </w:p>
          <w:p w14:paraId="25A1F105" w14:textId="77777777" w:rsidR="00DD3EFA" w:rsidRPr="005A0E7C" w:rsidRDefault="00DD3EFA" w:rsidP="00391907">
            <w:pPr>
              <w:pStyle w:val="Odstavecseseznamem"/>
              <w:numPr>
                <w:ilvl w:val="0"/>
                <w:numId w:val="65"/>
              </w:numPr>
              <w:jc w:val="both"/>
            </w:pPr>
            <w:r w:rsidRPr="005A0E7C">
              <w:t xml:space="preserve">Očekávaná každoroční příprava akčních plánů jako prováděcích dokumentů strategie a jejich vyhodnocování </w:t>
            </w:r>
          </w:p>
          <w:p w14:paraId="50A81353" w14:textId="77777777" w:rsidR="00DD3EFA" w:rsidRPr="005A0E7C" w:rsidRDefault="00DD3EFA" w:rsidP="00B15ECB">
            <w:pPr>
              <w:rPr>
                <w:b/>
              </w:rPr>
            </w:pPr>
            <w:r w:rsidRPr="005A0E7C">
              <w:rPr>
                <w:b/>
              </w:rPr>
              <w:t xml:space="preserve">Národní priority orientovaného výzkumu, experimentálního vývoje a inovací </w:t>
            </w:r>
          </w:p>
          <w:p w14:paraId="5AFA2E11" w14:textId="77777777" w:rsidR="00DD3EFA" w:rsidRPr="005A0E7C" w:rsidRDefault="00DD3EFA" w:rsidP="00391907">
            <w:pPr>
              <w:pStyle w:val="Odstavecseseznamem"/>
              <w:numPr>
                <w:ilvl w:val="1"/>
                <w:numId w:val="65"/>
              </w:numPr>
              <w:jc w:val="both"/>
            </w:pPr>
            <w:r w:rsidRPr="005A0E7C">
              <w:t xml:space="preserve">Dokument je platný na období 2012-2030 </w:t>
            </w:r>
          </w:p>
          <w:p w14:paraId="4AC636FD" w14:textId="77777777" w:rsidR="00DD3EFA" w:rsidRPr="005A0E7C" w:rsidRDefault="00DD3EFA" w:rsidP="00391907">
            <w:pPr>
              <w:pStyle w:val="Odstavecseseznamem"/>
              <w:numPr>
                <w:ilvl w:val="1"/>
                <w:numId w:val="65"/>
              </w:numPr>
              <w:jc w:val="both"/>
            </w:pPr>
            <w:r w:rsidRPr="005A0E7C">
              <w:t>V současné době se neplánuje aktualizace tohoto dokumentu v nejbližší době</w:t>
            </w:r>
          </w:p>
          <w:p w14:paraId="31386892" w14:textId="77777777" w:rsidR="00DD3EFA" w:rsidRPr="005A0E7C" w:rsidRDefault="00DD3EFA" w:rsidP="00B15ECB">
            <w:pPr>
              <w:rPr>
                <w:b/>
              </w:rPr>
            </w:pPr>
            <w:r w:rsidRPr="005A0E7C">
              <w:rPr>
                <w:b/>
              </w:rPr>
              <w:t xml:space="preserve">Strategie mezinárodní konkurenceschopnosti České republiky pro období 2012 až 2020  </w:t>
            </w:r>
          </w:p>
          <w:p w14:paraId="5C1068A7" w14:textId="77777777" w:rsidR="00DD3EFA" w:rsidRPr="005A0E7C" w:rsidRDefault="00DD3EFA" w:rsidP="00391907">
            <w:pPr>
              <w:pStyle w:val="Odstavecseseznamem"/>
              <w:numPr>
                <w:ilvl w:val="0"/>
                <w:numId w:val="65"/>
              </w:numPr>
              <w:jc w:val="both"/>
            </w:pPr>
            <w:r w:rsidRPr="005A0E7C">
              <w:t>V současné době se neplánuje aktualizace tohoto dokumentu v nejbližší době</w:t>
            </w:r>
          </w:p>
          <w:p w14:paraId="7C8BB0AC" w14:textId="77777777" w:rsidR="00DD3EFA" w:rsidRPr="005A0E7C" w:rsidRDefault="00DD3EFA" w:rsidP="00B15ECB">
            <w:pPr>
              <w:keepNext/>
              <w:rPr>
                <w:rStyle w:val="Siln"/>
                <w:b w:val="0"/>
              </w:rPr>
            </w:pPr>
            <w:r w:rsidRPr="005A0E7C">
              <w:rPr>
                <w:rStyle w:val="Siln"/>
              </w:rPr>
              <w:t>Národní ERA Roadmap ČR pro léta 2016-2020</w:t>
            </w:r>
          </w:p>
          <w:p w14:paraId="1605A6CE" w14:textId="77777777" w:rsidR="00DD3EFA" w:rsidRPr="005A0E7C" w:rsidRDefault="00DD3EFA" w:rsidP="00391907">
            <w:pPr>
              <w:pStyle w:val="Odstavecseseznamem"/>
              <w:keepNext/>
              <w:numPr>
                <w:ilvl w:val="1"/>
                <w:numId w:val="65"/>
              </w:numPr>
              <w:jc w:val="both"/>
              <w:rPr>
                <w:rStyle w:val="Siln"/>
                <w:b w:val="0"/>
                <w:bCs w:val="0"/>
              </w:rPr>
            </w:pPr>
            <w:r w:rsidRPr="005A0E7C">
              <w:t>V současné době se neplánuje aktualizace tohoto dokumentu v nejbližší době</w:t>
            </w:r>
          </w:p>
          <w:p w14:paraId="71DCEB19" w14:textId="77777777" w:rsidR="00DD3EFA" w:rsidRPr="005A0E7C" w:rsidRDefault="00DD3EFA" w:rsidP="00B15ECB">
            <w:pPr>
              <w:rPr>
                <w:rStyle w:val="Siln"/>
                <w:b w:val="0"/>
                <w:bCs w:val="0"/>
              </w:rPr>
            </w:pPr>
            <w:r w:rsidRPr="005A0E7C">
              <w:rPr>
                <w:rStyle w:val="Siln"/>
              </w:rPr>
              <w:t>Cestovní mapa ČR velkých výzkumných infrastruktur pro léta 2016 až 2022</w:t>
            </w:r>
          </w:p>
          <w:p w14:paraId="43341C1D" w14:textId="77777777" w:rsidR="00DD3EFA" w:rsidRPr="005A0E7C" w:rsidRDefault="00DD3EFA" w:rsidP="00391907">
            <w:pPr>
              <w:pStyle w:val="Odstavecseseznamem"/>
              <w:numPr>
                <w:ilvl w:val="0"/>
                <w:numId w:val="65"/>
              </w:numPr>
              <w:jc w:val="both"/>
              <w:rPr>
                <w:rStyle w:val="Siln"/>
                <w:b w:val="0"/>
                <w:bCs w:val="0"/>
              </w:rPr>
            </w:pPr>
            <w:r w:rsidRPr="005A0E7C">
              <w:rPr>
                <w:rStyle w:val="Siln"/>
              </w:rPr>
              <w:t>Aktualizace dokumentu proběhne v roce 2018, na základě hodnocení, které proběhlo v roce 2017</w:t>
            </w:r>
          </w:p>
          <w:p w14:paraId="41274C18" w14:textId="77777777" w:rsidR="00DD3EFA" w:rsidRPr="005A0E7C" w:rsidRDefault="00DD3EFA" w:rsidP="00391907">
            <w:pPr>
              <w:pStyle w:val="Odstavecseseznamem"/>
              <w:numPr>
                <w:ilvl w:val="0"/>
                <w:numId w:val="65"/>
              </w:numPr>
              <w:jc w:val="both"/>
              <w:rPr>
                <w:rStyle w:val="Siln"/>
                <w:b w:val="0"/>
                <w:bCs w:val="0"/>
              </w:rPr>
            </w:pPr>
            <w:r w:rsidRPr="005A0E7C">
              <w:rPr>
                <w:rStyle w:val="Siln"/>
              </w:rPr>
              <w:t xml:space="preserve">Předpokládá se zrušení časového omezení dokumentu během chystané aktualizace. Následně bude docházet k pravidelné aktualizaci dokumentu. </w:t>
            </w:r>
          </w:p>
          <w:p w14:paraId="1B9EFA1B" w14:textId="77777777" w:rsidR="00DD3EFA" w:rsidRPr="005A0E7C" w:rsidRDefault="00DD3EFA" w:rsidP="00B15ECB">
            <w:pPr>
              <w:rPr>
                <w:b/>
              </w:rPr>
            </w:pPr>
            <w:r w:rsidRPr="005A0E7C">
              <w:rPr>
                <w:b/>
              </w:rPr>
              <w:t>Akční plán rozvoje lidských zdrojů pro výzkum, vývoj a inovace a genderové rovnosti ve výzkumu, vývoji a inovacích v ČR na léta 2018-2020</w:t>
            </w:r>
          </w:p>
          <w:p w14:paraId="3CED98ED" w14:textId="77777777" w:rsidR="00DD3EFA" w:rsidRPr="005A0E7C" w:rsidRDefault="00DD3EFA" w:rsidP="00391907">
            <w:pPr>
              <w:pStyle w:val="Odstavecseseznamem"/>
              <w:numPr>
                <w:ilvl w:val="1"/>
                <w:numId w:val="65"/>
              </w:numPr>
              <w:jc w:val="both"/>
            </w:pPr>
            <w:r w:rsidRPr="005A0E7C">
              <w:t xml:space="preserve">Předpokládá se začlenění problematiky do nové Národní politiky VaVaI na navazující období </w:t>
            </w:r>
          </w:p>
          <w:p w14:paraId="0210A201" w14:textId="77777777" w:rsidR="00DD3EFA" w:rsidRPr="005A0E7C" w:rsidRDefault="00DD3EFA" w:rsidP="00B15ECB">
            <w:pPr>
              <w:rPr>
                <w:b/>
              </w:rPr>
            </w:pPr>
            <w:r w:rsidRPr="005A0E7C">
              <w:rPr>
                <w:b/>
              </w:rPr>
              <w:t>Akční plán rozvoje mezinárodní spolupráce ČR ve výzkumu a vývoji a internacionalizace prostředí výzkumu a vývoje v ČR na léta 2017-2020</w:t>
            </w:r>
          </w:p>
          <w:p w14:paraId="5323B509" w14:textId="77777777" w:rsidR="00DD3EFA" w:rsidRPr="005A0E7C" w:rsidRDefault="00DD3EFA" w:rsidP="00391907">
            <w:pPr>
              <w:pStyle w:val="Odstavecseseznamem"/>
              <w:numPr>
                <w:ilvl w:val="1"/>
                <w:numId w:val="65"/>
              </w:numPr>
              <w:jc w:val="both"/>
            </w:pPr>
            <w:r w:rsidRPr="005A0E7C">
              <w:t xml:space="preserve">Předpokládá se začlenění problematiky do nové Národní politiky VaVaI na navazující období </w:t>
            </w:r>
          </w:p>
          <w:p w14:paraId="1BE50EB7" w14:textId="77777777" w:rsidR="00DD3EFA" w:rsidRPr="005A0E7C" w:rsidRDefault="00DD3EFA" w:rsidP="00B15ECB">
            <w:pPr>
              <w:rPr>
                <w:b/>
              </w:rPr>
            </w:pPr>
            <w:r w:rsidRPr="005A0E7C">
              <w:rPr>
                <w:b/>
              </w:rPr>
              <w:t>Dlouhodobý záměr vzdělávací a vědecké, výzkumné, vývojové a inovační, umělecké a další tvůrčí činnosti pro oblast vysokých škol na období 2016-2020</w:t>
            </w:r>
          </w:p>
          <w:p w14:paraId="3D7230F0" w14:textId="77777777" w:rsidR="00DD3EFA" w:rsidRPr="005A0E7C" w:rsidRDefault="00DD3EFA" w:rsidP="00391907">
            <w:pPr>
              <w:pStyle w:val="Odstavecseseznamem"/>
              <w:numPr>
                <w:ilvl w:val="1"/>
                <w:numId w:val="65"/>
              </w:numPr>
              <w:jc w:val="both"/>
            </w:pPr>
            <w:r w:rsidRPr="005A0E7C">
              <w:t xml:space="preserve">Příprava nového dokumentu na navazující období se bude připravovat v roce 2019 </w:t>
            </w:r>
          </w:p>
          <w:p w14:paraId="60CC3257" w14:textId="77777777" w:rsidR="00DD3EFA" w:rsidRPr="005A0E7C" w:rsidRDefault="00DD3EFA" w:rsidP="00B15ECB">
            <w:pPr>
              <w:rPr>
                <w:b/>
              </w:rPr>
            </w:pPr>
            <w:r w:rsidRPr="005A0E7C">
              <w:rPr>
                <w:b/>
              </w:rPr>
              <w:t xml:space="preserve">Iniciativa Průmysl 4.0 </w:t>
            </w:r>
          </w:p>
          <w:p w14:paraId="14B4149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bottom w:val="nil"/>
            </w:tcBorders>
            <w:shd w:val="clear" w:color="auto" w:fill="66CCFF"/>
          </w:tcPr>
          <w:p w14:paraId="5B85B3CC" w14:textId="77777777" w:rsidR="00DD3EFA" w:rsidRPr="002D2123" w:rsidRDefault="00DD3EFA" w:rsidP="00B15ECB">
            <w:pPr>
              <w:rPr>
                <w:b/>
                <w:sz w:val="10"/>
                <w:szCs w:val="10"/>
              </w:rPr>
            </w:pPr>
          </w:p>
        </w:tc>
      </w:tr>
      <w:tr w:rsidR="00DD3EFA" w:rsidRPr="005A0E7C" w14:paraId="374755F1" w14:textId="77777777" w:rsidTr="00B15ECB">
        <w:trPr>
          <w:trHeight w:val="938"/>
        </w:trPr>
        <w:tc>
          <w:tcPr>
            <w:tcW w:w="249" w:type="dxa"/>
            <w:tcBorders>
              <w:top w:val="nil"/>
              <w:bottom w:val="nil"/>
            </w:tcBorders>
            <w:shd w:val="clear" w:color="auto" w:fill="66CCFF"/>
          </w:tcPr>
          <w:p w14:paraId="0E7A521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5AC12D4"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355AF3A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D42470C" w14:textId="77777777" w:rsidR="00DD3EFA" w:rsidRPr="005A0E7C" w:rsidRDefault="00DD3EFA" w:rsidP="00B15ECB">
            <w:pPr>
              <w:pStyle w:val="slovanodstavec"/>
              <w:tabs>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r w:rsidRPr="005A0E7C">
              <w:rPr>
                <w:rFonts w:ascii="Times New Roman" w:hAnsi="Times New Roman"/>
                <w:i/>
              </w:rPr>
              <w:t>:</w:t>
            </w:r>
          </w:p>
          <w:p w14:paraId="72ACA17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i/>
              </w:rPr>
              <w:t>•</w:t>
            </w:r>
            <w:r w:rsidRPr="005A0E7C">
              <w:rPr>
                <w:rFonts w:ascii="Times New Roman" w:hAnsi="Times New Roman"/>
                <w:i/>
              </w:rPr>
              <w:tab/>
            </w:r>
            <w:r w:rsidRPr="005A0E7C">
              <w:rPr>
                <w:rFonts w:ascii="Times New Roman" w:hAnsi="Times New Roman"/>
              </w:rPr>
              <w:t>východiska: hodnocení konkurenceschopnosti - pořadí v kvalitě podmínek pro podnikání, nejproblematičtější faktory pro podnikání, podíl vysoce znalostních odvětví a služeb na celkové zaměstnanosti; struktura výdajů na HDP a jeho průměrný reálný roční růst, stav přímých zahraničních investic, struktura exportu; světové trendy - globalizace a rozložení znalostní sítě, globální spotřební megatrendy (zdrojové napětí planety, technologie pro buducnost, urbanizace světa, nové stárnutí, ad.)</w:t>
            </w:r>
            <w:r w:rsidRPr="005A0E7C">
              <w:rPr>
                <w:rFonts w:ascii="Times New Roman" w:hAnsi="Times New Roman"/>
                <w:i/>
              </w:rPr>
              <w:t>.</w:t>
            </w:r>
          </w:p>
          <w:p w14:paraId="63BAAFF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i/>
              </w:rPr>
              <w:t>•</w:t>
            </w:r>
            <w:r w:rsidRPr="005A0E7C">
              <w:rPr>
                <w:rFonts w:ascii="Times New Roman" w:hAnsi="Times New Roman"/>
                <w:i/>
              </w:rPr>
              <w:tab/>
            </w:r>
            <w:r w:rsidRPr="005A0E7C">
              <w:rPr>
                <w:rFonts w:ascii="Times New Roman" w:hAnsi="Times New Roman"/>
              </w:rPr>
              <w:t>problémový okruh Podnikání a inovace (Nedostatečně silný endogenní podnikatelský sektor; Vysoká závislost hospodářského vývoje ČR na aktivitách zahraničních firem; Nestabilita regulačního rámce a administrativní náročnost plnění regulačních pravidel; Přetrvávající podcenění digitální agendy v podnikání)</w:t>
            </w:r>
          </w:p>
        </w:tc>
        <w:tc>
          <w:tcPr>
            <w:tcW w:w="249" w:type="dxa"/>
            <w:tcBorders>
              <w:top w:val="nil"/>
              <w:bottom w:val="nil"/>
            </w:tcBorders>
            <w:shd w:val="clear" w:color="auto" w:fill="66CCFF"/>
          </w:tcPr>
          <w:p w14:paraId="0BFE5674" w14:textId="77777777" w:rsidR="00DD3EFA" w:rsidRPr="005A0E7C" w:rsidRDefault="00DD3EFA" w:rsidP="00B15ECB">
            <w:pPr>
              <w:rPr>
                <w:b/>
              </w:rPr>
            </w:pPr>
          </w:p>
        </w:tc>
      </w:tr>
      <w:tr w:rsidR="00DD3EFA" w:rsidRPr="005A0E7C" w14:paraId="16581D43" w14:textId="77777777" w:rsidTr="00B15ECB">
        <w:trPr>
          <w:trHeight w:val="938"/>
        </w:trPr>
        <w:tc>
          <w:tcPr>
            <w:tcW w:w="249" w:type="dxa"/>
            <w:tcBorders>
              <w:top w:val="nil"/>
              <w:bottom w:val="nil"/>
            </w:tcBorders>
            <w:shd w:val="clear" w:color="auto" w:fill="66CCFF"/>
          </w:tcPr>
          <w:p w14:paraId="46B8C21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8F9AC8A"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5D5D03F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46E3921" w14:textId="77777777" w:rsidR="00DD3EFA" w:rsidRPr="005A0E7C" w:rsidRDefault="00DD3EFA" w:rsidP="00B15ECB">
            <w:pPr>
              <w:pStyle w:val="slovanodstavec"/>
              <w:tabs>
                <w:tab w:val="clear" w:pos="567"/>
                <w:tab w:val="left" w:pos="0"/>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23928061" w14:textId="77777777" w:rsidR="00DD3EFA" w:rsidRPr="005A0E7C" w:rsidRDefault="00DD3EFA" w:rsidP="00391907">
            <w:pPr>
              <w:pStyle w:val="slovanodstavec"/>
              <w:numPr>
                <w:ilvl w:val="0"/>
                <w:numId w:val="3"/>
              </w:numPr>
              <w:tabs>
                <w:tab w:val="left" w:pos="284"/>
              </w:tabs>
              <w:suppressAutoHyphens/>
              <w:spacing w:line="240" w:lineRule="auto"/>
              <w:jc w:val="left"/>
              <w:rPr>
                <w:rFonts w:ascii="Times New Roman" w:hAnsi="Times New Roman"/>
                <w:b/>
              </w:rPr>
            </w:pPr>
            <w:r w:rsidRPr="005A0E7C">
              <w:rPr>
                <w:rFonts w:ascii="Times New Roman" w:hAnsi="Times New Roman"/>
              </w:rPr>
              <w:t>A1 - Zvýšit inovační poptávku ve firmách (Posílit výzkumné a vývojové kapacity podniků; Zlepšit strategické řízení MSP; Posílit technologickou spolupráci firem)</w:t>
            </w:r>
          </w:p>
          <w:p w14:paraId="4653D777" w14:textId="77777777" w:rsidR="00DD3EFA" w:rsidRPr="005A0E7C" w:rsidRDefault="00DD3EFA" w:rsidP="00391907">
            <w:pPr>
              <w:pStyle w:val="slovanodstavec"/>
              <w:numPr>
                <w:ilvl w:val="0"/>
                <w:numId w:val="3"/>
              </w:numPr>
              <w:tabs>
                <w:tab w:val="left" w:pos="284"/>
              </w:tabs>
              <w:suppressAutoHyphens/>
              <w:spacing w:line="240" w:lineRule="auto"/>
              <w:jc w:val="left"/>
              <w:rPr>
                <w:rFonts w:ascii="Times New Roman" w:hAnsi="Times New Roman"/>
                <w:b/>
              </w:rPr>
            </w:pPr>
            <w:r w:rsidRPr="005A0E7C">
              <w:rPr>
                <w:rFonts w:ascii="Times New Roman" w:hAnsi="Times New Roman"/>
              </w:rPr>
              <w:t>A2 - Zvýšit míru podnikání ve společnosti (Zvýšit počet nových firem usilujících o inovace, zejména vyšších řádů; Zlepšit dostupnost vnějšího financování pro začínající podnikatele a firmy s krátkou historií; Zvýšit zájem o podnikání ve společnosti</w:t>
            </w:r>
          </w:p>
          <w:p w14:paraId="197DBBFC" w14:textId="77777777" w:rsidR="00DD3EFA" w:rsidRPr="005A0E7C" w:rsidRDefault="00DD3EFA" w:rsidP="00391907">
            <w:pPr>
              <w:pStyle w:val="slovanodstavec"/>
              <w:numPr>
                <w:ilvl w:val="0"/>
                <w:numId w:val="3"/>
              </w:numPr>
              <w:tabs>
                <w:tab w:val="left" w:pos="284"/>
              </w:tabs>
              <w:suppressAutoHyphens/>
              <w:spacing w:line="240" w:lineRule="auto"/>
              <w:jc w:val="left"/>
              <w:rPr>
                <w:rFonts w:ascii="Times New Roman" w:hAnsi="Times New Roman"/>
                <w:b/>
              </w:rPr>
            </w:pPr>
            <w:r w:rsidRPr="005A0E7C">
              <w:rPr>
                <w:rFonts w:ascii="Times New Roman" w:hAnsi="Times New Roman"/>
              </w:rPr>
              <w:t>A3 - Zvýšit internacionalizaci MSP (Zvýšení dostupnosti strategických informací o cílových trzích místních MSP; Zlepšení kapacit a kompetencí firem v oblasti marketingu a zahraničního obchodu; Snížení nákladů a rizik MSP spojených se vstupem na zahraniční trhy)</w:t>
            </w:r>
          </w:p>
          <w:p w14:paraId="07A17E87" w14:textId="77777777" w:rsidR="00DD3EFA" w:rsidRPr="005A0E7C" w:rsidRDefault="00DD3EFA" w:rsidP="00391907">
            <w:pPr>
              <w:pStyle w:val="slovanodstavec"/>
              <w:numPr>
                <w:ilvl w:val="0"/>
                <w:numId w:val="3"/>
              </w:numPr>
              <w:tabs>
                <w:tab w:val="left" w:pos="284"/>
              </w:tabs>
              <w:suppressAutoHyphens/>
              <w:spacing w:line="240" w:lineRule="auto"/>
              <w:jc w:val="left"/>
              <w:rPr>
                <w:rFonts w:ascii="Times New Roman" w:hAnsi="Times New Roman"/>
              </w:rPr>
            </w:pPr>
            <w:r w:rsidRPr="005A0E7C">
              <w:rPr>
                <w:rFonts w:ascii="Times New Roman" w:hAnsi="Times New Roman"/>
              </w:rPr>
              <w:t>C1 - Zvýšit relevanci výzkumu (Posílit spolupráci a interakci mezi VO a aplikační sférou; Zvýšit komerční využití výsledků VaV a znalostí VO)</w:t>
            </w:r>
          </w:p>
          <w:p w14:paraId="597FBB90" w14:textId="77777777" w:rsidR="00DD3EFA" w:rsidRPr="005A0E7C" w:rsidRDefault="00DD3EFA" w:rsidP="00391907">
            <w:pPr>
              <w:pStyle w:val="slovanodstavec"/>
              <w:numPr>
                <w:ilvl w:val="0"/>
                <w:numId w:val="3"/>
              </w:numPr>
              <w:tabs>
                <w:tab w:val="left" w:pos="284"/>
              </w:tabs>
              <w:suppressAutoHyphens/>
              <w:spacing w:line="240" w:lineRule="auto"/>
              <w:jc w:val="left"/>
              <w:rPr>
                <w:rFonts w:ascii="Times New Roman" w:hAnsi="Times New Roman"/>
                <w:b/>
              </w:rPr>
            </w:pPr>
            <w:r w:rsidRPr="005A0E7C">
              <w:rPr>
                <w:rFonts w:ascii="Times New Roman" w:hAnsi="Times New Roman"/>
              </w:rPr>
              <w:t>E2 - Rozvoj eBusinessu a ICT v podnikání (Vyšší využívání ICT v podnikání)</w:t>
            </w:r>
          </w:p>
          <w:p w14:paraId="144B57D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Vertikální cíle Národní RIS3 stategie – detailní přehled prioritních výzkumných a inovačních témat v jednotlivých odvětvích</w:t>
            </w:r>
          </w:p>
        </w:tc>
        <w:tc>
          <w:tcPr>
            <w:tcW w:w="249" w:type="dxa"/>
            <w:tcBorders>
              <w:top w:val="nil"/>
              <w:bottom w:val="nil"/>
            </w:tcBorders>
            <w:shd w:val="clear" w:color="auto" w:fill="66CCFF"/>
          </w:tcPr>
          <w:p w14:paraId="29755C06" w14:textId="77777777" w:rsidR="00DD3EFA" w:rsidRPr="005A0E7C" w:rsidRDefault="00DD3EFA" w:rsidP="00B15ECB">
            <w:pPr>
              <w:rPr>
                <w:b/>
              </w:rPr>
            </w:pPr>
          </w:p>
        </w:tc>
      </w:tr>
      <w:tr w:rsidR="00DD3EFA" w:rsidRPr="005A0E7C" w14:paraId="09E2D566" w14:textId="77777777" w:rsidTr="00B15ECB">
        <w:trPr>
          <w:trHeight w:val="938"/>
        </w:trPr>
        <w:tc>
          <w:tcPr>
            <w:tcW w:w="249" w:type="dxa"/>
            <w:tcBorders>
              <w:top w:val="nil"/>
              <w:bottom w:val="nil"/>
            </w:tcBorders>
            <w:shd w:val="clear" w:color="auto" w:fill="66CCFF"/>
          </w:tcPr>
          <w:p w14:paraId="4D6746F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E1A5158"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22AF47C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9608617" w14:textId="77777777" w:rsidR="00DD3EFA" w:rsidRPr="005A0E7C" w:rsidRDefault="00DD3EFA" w:rsidP="00B15ECB">
            <w:pPr>
              <w:pStyle w:val="slovanodstavec"/>
              <w:tabs>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4704E511"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i/>
              </w:rPr>
              <w:t>•</w:t>
            </w:r>
            <w:r w:rsidRPr="005A0E7C">
              <w:rPr>
                <w:rFonts w:ascii="Times New Roman" w:hAnsi="Times New Roman"/>
                <w:i/>
              </w:rPr>
              <w:tab/>
            </w:r>
            <w:r w:rsidRPr="005A0E7C">
              <w:rPr>
                <w:rFonts w:ascii="Times New Roman" w:hAnsi="Times New Roman"/>
              </w:rPr>
              <w:t>Hlavním řídicím prvkem je Řídicí výbor RIS3, který spolupracuje zejména s ústředními správními úřady a dalšími institucemi v oblasti podpory výzkumu, vývoje a inovací. Stěžejními partnery pro činnost výboru jsou řídicí orgány operačních programů a poskytovatelé národních programů podpory, popř. rezortních programů. Předsedou výboru je náměstek pro řízení sekce digitalizace a inovací MPO, členy výboru jsou také zástupce Rady pro výzkum, vývoj a inovace a zástupce MMR-NOK.  Nezbytnou roli v procesu řízení sehrává Národní RIS3 manažer, který je tajemníkem výboru a vedoucím analytického týmu (Oddělení strategie S3 MPO) zajišťujícím přípravu, tvorbu a proces implementace Národní RIS3 strategie v ČR. Ve vztahu k regionálním RIS3 strategiím má národní úroveň úlohu koordinační.</w:t>
            </w:r>
          </w:p>
          <w:p w14:paraId="21D4864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w:t>
            </w:r>
            <w:r w:rsidRPr="005A0E7C">
              <w:rPr>
                <w:rFonts w:ascii="Times New Roman" w:hAnsi="Times New Roman"/>
              </w:rPr>
              <w:tab/>
              <w:t>každoroční implementační plán schvalovaný Řídicím výborem RIS3 obsahuje indikativní seznam plánovaných intervencí (název, stručný popis intervence a jejích cílů, gestor/organizace zodpovědná za přípravu a řízení, finančního odhad s uvedením zdroje; očekávané výsledky - způsob a míra přispění k cílům RIS3 strategie; časový plán) a přehled dalších strategických aktivit.</w:t>
            </w:r>
          </w:p>
        </w:tc>
        <w:tc>
          <w:tcPr>
            <w:tcW w:w="249" w:type="dxa"/>
            <w:tcBorders>
              <w:top w:val="nil"/>
              <w:bottom w:val="nil"/>
            </w:tcBorders>
            <w:shd w:val="clear" w:color="auto" w:fill="66CCFF"/>
          </w:tcPr>
          <w:p w14:paraId="713142F6" w14:textId="77777777" w:rsidR="00DD3EFA" w:rsidRPr="005A0E7C" w:rsidRDefault="00DD3EFA" w:rsidP="00B15ECB">
            <w:pPr>
              <w:rPr>
                <w:b/>
              </w:rPr>
            </w:pPr>
          </w:p>
        </w:tc>
      </w:tr>
      <w:tr w:rsidR="00DD3EFA" w:rsidRPr="005A0E7C" w14:paraId="4A74D3EC" w14:textId="77777777" w:rsidTr="00B15ECB">
        <w:trPr>
          <w:trHeight w:val="938"/>
        </w:trPr>
        <w:tc>
          <w:tcPr>
            <w:tcW w:w="249" w:type="dxa"/>
            <w:tcBorders>
              <w:top w:val="nil"/>
              <w:bottom w:val="nil"/>
            </w:tcBorders>
            <w:shd w:val="clear" w:color="auto" w:fill="66CCFF"/>
          </w:tcPr>
          <w:p w14:paraId="5E21719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410596B"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42433F5A" w14:textId="77777777" w:rsidR="00DD3EFA" w:rsidRPr="005A0E7C" w:rsidRDefault="00DD3EFA" w:rsidP="00B15ECB">
            <w:pPr>
              <w:pStyle w:val="slovanodstavec"/>
              <w:tabs>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28E24599"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i/>
              </w:rPr>
              <w:t>•</w:t>
            </w:r>
            <w:r w:rsidRPr="005A0E7C">
              <w:rPr>
                <w:rFonts w:ascii="Times New Roman" w:hAnsi="Times New Roman"/>
                <w:i/>
              </w:rPr>
              <w:tab/>
            </w:r>
            <w:r w:rsidRPr="005A0E7C">
              <w:rPr>
                <w:rFonts w:ascii="Times New Roman" w:hAnsi="Times New Roman"/>
              </w:rPr>
              <w:t xml:space="preserve">Monitoring se zaměřuje zejména na čerpání prostředků u realizovaných intervencí v členění podle horizontálních a vertikálních cílů strategie a naplňování indikátorů strategie v členění podle strategických a specifických cílů strategie. Řídicí orgány operačních programů poskytují analytickému týmu informace o relevantních realizovaných a podaných projektech ve stanovené datové struktuře, na jejímž základě je vytvořena vlastní databáze Národní RIS3 strategie. Souhrnně je každoročně zveřejňován ve Zprávě o realizaci Národní RIS3 strategie, která je k 30. červnu předkládána ke schválení Řídicímu výboru RIS3. </w:t>
            </w:r>
          </w:p>
          <w:p w14:paraId="0B94D9A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i/>
              </w:rPr>
              <w:t>•</w:t>
            </w:r>
            <w:r w:rsidRPr="005A0E7C">
              <w:rPr>
                <w:rFonts w:ascii="Times New Roman" w:hAnsi="Times New Roman"/>
                <w:i/>
              </w:rPr>
              <w:tab/>
            </w:r>
            <w:r w:rsidRPr="005A0E7C">
              <w:rPr>
                <w:rFonts w:ascii="Times New Roman" w:hAnsi="Times New Roman"/>
              </w:rPr>
              <w:t>Evaluace se zaměřuje na informace získané v rámci pravidelného monitoringu strategie i mimo něj a interpretace těchto informací, formulace závěrů ve vztahu k dlouhodobé strategické vizi a vnitřním řídícím procesům, doporučení ke zlepšení implementace a celkového strategického nastavení. Na základě věcné souvislosti s operačními programy je přihlíženo k evropské legislativě pro programy realizované s podporou ESIF v průběhu programového období 2014 – 2020, doporučením S3-Platform a k Metodickému pokynu pro evaluace programovacího období 2014 - 2020. Dále jsou respektovány závěry evaluací všech relevantních poskytovatelů podpory VaVaI. Hodnotící zpráva je zpracována každé dva roky, schvalována Řídicím výborem RIS3 a k 30. červnu předkládána vládě ČR. Nejbližší (mid-term) evaluace bude předložena vládě k 30. červnu 2019.</w:t>
            </w:r>
          </w:p>
        </w:tc>
        <w:tc>
          <w:tcPr>
            <w:tcW w:w="249" w:type="dxa"/>
            <w:tcBorders>
              <w:top w:val="nil"/>
              <w:bottom w:val="nil"/>
            </w:tcBorders>
            <w:shd w:val="clear" w:color="auto" w:fill="66CCFF"/>
          </w:tcPr>
          <w:p w14:paraId="686D76D6" w14:textId="77777777" w:rsidR="00DD3EFA" w:rsidRPr="005A0E7C" w:rsidRDefault="00DD3EFA" w:rsidP="00B15ECB">
            <w:pPr>
              <w:rPr>
                <w:b/>
              </w:rPr>
            </w:pPr>
          </w:p>
        </w:tc>
      </w:tr>
      <w:tr w:rsidR="00DD3EFA" w:rsidRPr="005A0E7C" w14:paraId="5D307B13" w14:textId="77777777" w:rsidTr="00B15ECB">
        <w:trPr>
          <w:trHeight w:val="130"/>
        </w:trPr>
        <w:tc>
          <w:tcPr>
            <w:tcW w:w="249" w:type="dxa"/>
            <w:tcBorders>
              <w:top w:val="nil"/>
              <w:bottom w:val="nil"/>
              <w:right w:val="nil"/>
            </w:tcBorders>
            <w:shd w:val="clear" w:color="auto" w:fill="66CCFF"/>
          </w:tcPr>
          <w:p w14:paraId="7EF2D8F3" w14:textId="77777777" w:rsidR="00DD3EFA" w:rsidRPr="005A0E7C" w:rsidRDefault="00DD3EFA" w:rsidP="00B15ECB">
            <w:pPr>
              <w:rPr>
                <w:b/>
              </w:rPr>
            </w:pPr>
          </w:p>
        </w:tc>
        <w:tc>
          <w:tcPr>
            <w:tcW w:w="2548" w:type="dxa"/>
            <w:tcBorders>
              <w:left w:val="nil"/>
              <w:right w:val="nil"/>
            </w:tcBorders>
            <w:shd w:val="clear" w:color="auto" w:fill="66CCFF"/>
          </w:tcPr>
          <w:p w14:paraId="4579E8C6" w14:textId="77777777" w:rsidR="00DD3EFA" w:rsidRPr="005A0E7C" w:rsidRDefault="00DD3EFA" w:rsidP="00B15ECB">
            <w:pPr>
              <w:rPr>
                <w:b/>
              </w:rPr>
            </w:pPr>
          </w:p>
        </w:tc>
        <w:tc>
          <w:tcPr>
            <w:tcW w:w="5978" w:type="dxa"/>
            <w:tcBorders>
              <w:left w:val="nil"/>
              <w:right w:val="nil"/>
            </w:tcBorders>
            <w:shd w:val="clear" w:color="auto" w:fill="66CCFF"/>
          </w:tcPr>
          <w:p w14:paraId="70E3CF9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6E9ECD22" w14:textId="77777777" w:rsidR="00DD3EFA" w:rsidRPr="005A0E7C" w:rsidRDefault="00DD3EFA" w:rsidP="00B15ECB">
            <w:pPr>
              <w:rPr>
                <w:b/>
              </w:rPr>
            </w:pPr>
          </w:p>
        </w:tc>
      </w:tr>
      <w:tr w:rsidR="00DD3EFA" w:rsidRPr="005A0E7C" w14:paraId="091BB296" w14:textId="77777777" w:rsidTr="00B15ECB">
        <w:trPr>
          <w:trHeight w:val="1258"/>
        </w:trPr>
        <w:tc>
          <w:tcPr>
            <w:tcW w:w="249" w:type="dxa"/>
            <w:tcBorders>
              <w:top w:val="nil"/>
              <w:bottom w:val="nil"/>
              <w:right w:val="nil"/>
            </w:tcBorders>
            <w:shd w:val="clear" w:color="auto" w:fill="66CCFF"/>
          </w:tcPr>
          <w:p w14:paraId="27EE6D22" w14:textId="77777777" w:rsidR="00DD3EFA" w:rsidRPr="005A0E7C" w:rsidRDefault="00DD3EFA" w:rsidP="00B15ECB">
            <w:pPr>
              <w:rPr>
                <w:b/>
              </w:rPr>
            </w:pPr>
          </w:p>
        </w:tc>
        <w:tc>
          <w:tcPr>
            <w:tcW w:w="2548" w:type="dxa"/>
            <w:shd w:val="clear" w:color="auto" w:fill="FFFFFF" w:themeFill="background1"/>
          </w:tcPr>
          <w:p w14:paraId="00DD740B"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4AB9706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Výdaje na VaV i počet výzkumných pracovníků ve veřejném sektoru postupně narůstají. Intervence z období 2007–2013 směřovaly k budování či dokončení kapacit pro VaV (OP VaVpI – výstavba řady výzkumných center, posílení zejména infrastrukturní základny). </w:t>
            </w:r>
          </w:p>
          <w:p w14:paraId="471B332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Podpora poskytovaná za využití ESIF v období let 2014-2020 (i v předcházejícím období 2007-2013) přispěla (resp. stále přispívá) k rozvoji VaV a inovačních aktivit v podnikatelském sektoru. Prostředky ESIF také umožňují podnikům modernizovat jejich výzkumnou a inovační infrastrukturu a budovat centra VaV. Finanční prostředky ESIF také přispívají (resp. přispěly) k rozvoji spolupráce podniků s výzkumnými organizacemi i ke zlepšení infrastruktury a podmínek pro komercializaci VaV a transfer znalostí. K rozvoji podnikového VaV a zlepšení využívání nových poznatků VaV v praxi napomáhají i programy VaV, které jsou financované z prostředků státního rozpočtu ČR a realizované několika poskytovateli účelové podpory. V období 2007-2013 bylo z prostředků OP VaVpI vybudováno 40  výzkumných center zaměřených na spolupráci s aplikační sférou (regionální VaV centra). v současné době má většina výzkumných organizací již vybudována pracoviště, která napomáhají přenosu znalostí do praxe (centra transferu technologií, CTT).</w:t>
            </w:r>
          </w:p>
          <w:p w14:paraId="7985785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Podpora pro přenos znalostí existovala částečně v OP VVV (lidské zdroje pro CTT) a v OP PIK (partnerství znalostního transferu, proof-of-concept, inovační vouchery, budování a zkvalitňování služeb inovační infrastruktury). Na území hl. m. Prahy jsou tyto aktivity podporovány v rámci OP PPR. </w:t>
            </w:r>
          </w:p>
          <w:p w14:paraId="10677FE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rámci OP VVV byla vyhlášena synergická výzva </w:t>
            </w:r>
            <w:r w:rsidRPr="005A0E7C">
              <w:rPr>
                <w:rFonts w:ascii="Times New Roman" w:hAnsi="Times New Roman"/>
                <w:i/>
              </w:rPr>
              <w:t>Předaplikační výzkum</w:t>
            </w:r>
            <w:r w:rsidRPr="005A0E7C">
              <w:rPr>
                <w:rFonts w:ascii="Times New Roman" w:hAnsi="Times New Roman"/>
              </w:rPr>
              <w:t xml:space="preserve">, jejímž cílem bylo podpořit projekty v počáteční fázi výzkumu s potenciálem další aplikace. Následná fáze by pak měla být podpořena z OP PIK (výzva </w:t>
            </w:r>
            <w:r w:rsidRPr="005A0E7C">
              <w:rPr>
                <w:rFonts w:ascii="Times New Roman" w:hAnsi="Times New Roman"/>
                <w:i/>
              </w:rPr>
              <w:t>Proof of Concept</w:t>
            </w:r>
            <w:r w:rsidRPr="005A0E7C">
              <w:rPr>
                <w:rFonts w:ascii="Times New Roman" w:hAnsi="Times New Roman"/>
              </w:rPr>
              <w:t xml:space="preserve">). K propojení výzkumné sféry s aplikační praxí slouží také výzva </w:t>
            </w:r>
            <w:r w:rsidRPr="005A0E7C">
              <w:rPr>
                <w:rFonts w:ascii="Times New Roman" w:hAnsi="Times New Roman"/>
                <w:i/>
              </w:rPr>
              <w:t>Dlouhodobá mezisektorová spolupráce</w:t>
            </w:r>
            <w:r w:rsidRPr="005A0E7C">
              <w:rPr>
                <w:rFonts w:ascii="Times New Roman" w:hAnsi="Times New Roman"/>
              </w:rPr>
              <w:t>. Obě výzvy byly vyhlášeny pro individuální projekty i pro žádosti podávané v rámci ITI.</w:t>
            </w:r>
          </w:p>
          <w:p w14:paraId="6DA2549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OP PPR podporuje aktivity týkající se vyšší míry mezisektorové spolupráce stimulované regionální samosprávou. Konkrétně se jedná o proof-of-concept; projekty zadávání veřejných zakázek v předobchodní fázi (PCP) a inovační poptávky veřejného sektoru (PPI) a jako poslední se jedná o projekty spolupráce výzkumného sektoru s aplikační sférou (tzv. inovační vouchery). Obecně jsou výzvy na tento SC naplňovány, přes 70 % dostupné alokace tohoto SC je již zasmluvněna. </w:t>
            </w:r>
          </w:p>
          <w:p w14:paraId="07954F34"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OP PIK obecně podporuje opatření pro zvýšení inovační výkonnosti podniků, využití výsledků aplikovaného VaV v praxi a rozvoj spolupráce mezi podnikatelským sektorem a výzkumnými organizacemi. Celkově je posilován význam výzkumných a inovačních aktivit a produkce s vyšší přidanou hodnotou. Jedná se o programy Inovace, Potenciál, Aplikace, přičemž tyto programy se vyznačovaly vysokou absorpční kapacitou a významným podílem velkých podniků. V rámci programů Spolupráce, Služby infrastruktury, Partnerství znalostního transferu byla naopak identifikována relativně nízší absorpční kapacita, v jejímž důsledku došlo k realokaci prostředků z těchto aktivit do programů Aplikace, Inovace či Potenciál.</w:t>
            </w:r>
          </w:p>
          <w:p w14:paraId="060C1FB0"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Podpora přímo zaměřená na Průmysl 4.0 a digitální ekonomiku neexistovala (resp. pouze částečně v OP PIK). v rámci OP PIK byla doposud vyhlášena jediná pilotní výzva, a to VII. Výzva Technologie, jejímž c</w:t>
            </w:r>
            <w:r w:rsidRPr="005A0E7C">
              <w:rPr>
                <w:rFonts w:ascii="Times New Roman" w:eastAsia="Times New Roman" w:hAnsi="Times New Roman"/>
                <w:lang w:eastAsia="cs-CZ"/>
              </w:rPr>
              <w:t>ílem je podpořit růst výkonů a konkurenceschopnosti MSP ve vazbě na čtvrtou průmyslovou revoluci. v budoucím období lze však očekávat směřování podpory v souladu s národním dokumentem Digitální ekonomika a společnost, RIS3 strategie a vymezenými oblastmi a směry vývoje.</w:t>
            </w:r>
          </w:p>
          <w:p w14:paraId="1A285358" w14:textId="77777777" w:rsidR="00DD3EFA" w:rsidRPr="005A0E7C" w:rsidRDefault="00DD3EFA" w:rsidP="00B15ECB">
            <w:pPr>
              <w:rPr>
                <w:b/>
              </w:rPr>
            </w:pPr>
          </w:p>
        </w:tc>
        <w:tc>
          <w:tcPr>
            <w:tcW w:w="249" w:type="dxa"/>
            <w:tcBorders>
              <w:top w:val="nil"/>
              <w:left w:val="nil"/>
              <w:bottom w:val="nil"/>
            </w:tcBorders>
            <w:shd w:val="clear" w:color="auto" w:fill="66CCFF"/>
          </w:tcPr>
          <w:p w14:paraId="1812177C" w14:textId="77777777" w:rsidR="00DD3EFA" w:rsidRPr="005A0E7C" w:rsidRDefault="00DD3EFA" w:rsidP="00B15ECB">
            <w:pPr>
              <w:rPr>
                <w:b/>
              </w:rPr>
            </w:pPr>
          </w:p>
        </w:tc>
      </w:tr>
      <w:tr w:rsidR="00DD3EFA" w:rsidRPr="005A0E7C" w14:paraId="328A48AA" w14:textId="77777777" w:rsidTr="00B15ECB">
        <w:trPr>
          <w:trHeight w:val="1258"/>
        </w:trPr>
        <w:tc>
          <w:tcPr>
            <w:tcW w:w="249" w:type="dxa"/>
            <w:tcBorders>
              <w:top w:val="nil"/>
              <w:bottom w:val="nil"/>
              <w:right w:val="nil"/>
            </w:tcBorders>
            <w:shd w:val="clear" w:color="auto" w:fill="66CCFF"/>
          </w:tcPr>
          <w:p w14:paraId="069EE35C" w14:textId="77777777" w:rsidR="00DD3EFA" w:rsidRPr="005A0E7C" w:rsidRDefault="00DD3EFA" w:rsidP="00B15ECB">
            <w:pPr>
              <w:rPr>
                <w:b/>
              </w:rPr>
            </w:pPr>
          </w:p>
        </w:tc>
        <w:tc>
          <w:tcPr>
            <w:tcW w:w="2548" w:type="dxa"/>
            <w:shd w:val="clear" w:color="auto" w:fill="FFFFFF" w:themeFill="background1"/>
          </w:tcPr>
          <w:p w14:paraId="1885031C" w14:textId="77777777" w:rsidR="00DD3EFA" w:rsidRPr="005A0E7C" w:rsidRDefault="00DD3EFA" w:rsidP="00B15ECB">
            <w:pPr>
              <w:rPr>
                <w:rFonts w:eastAsiaTheme="majorEastAsia"/>
                <w:b/>
              </w:rPr>
            </w:pPr>
            <w:r w:rsidRPr="005A0E7C">
              <w:rPr>
                <w:rFonts w:eastAsiaTheme="majorEastAsia"/>
                <w:b/>
              </w:rPr>
              <w:t>Věcný posun oblasti</w:t>
            </w:r>
          </w:p>
          <w:p w14:paraId="41D515F9"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26B8D244" w14:textId="77777777" w:rsidR="00DD3EFA" w:rsidRPr="005A0E7C" w:rsidRDefault="00DD3EFA" w:rsidP="00B15ECB">
            <w:pPr>
              <w:spacing w:before="60"/>
              <w:rPr>
                <w:rFonts w:eastAsiaTheme="majorEastAsia"/>
              </w:rPr>
            </w:pPr>
            <w:r w:rsidRPr="005A0E7C">
              <w:rPr>
                <w:rFonts w:eastAsiaTheme="majorEastAsia"/>
              </w:rPr>
              <w:t>V období 2007–2013 byly tyto aktivity předmětem podpory v programech Inovace a Potenciál v Prioritní ose 4 „Posílit inovační aktivity podniků (zavádění inovací technologií, výrobků a služeb)“ OPPI. Ta byla předmětem hodnocení v rámci Ex-post evaluace OPPI: „Inovační aktivita podniků byla posílena aktivitami založenými jak na přímé podpoře pořízení a zavádění inovačních procesů a produktů, tak prostřednictvím podpory výzkumné spolupráce za účelem vzniků výsledku výzkumu s vysokým inovačním potenciálem a podpory jejich přenosu do praxe. Realizované evaluační aktivity dokazují přidanou inovační hodnotu v podpořených podnicích, jak dokazuje také například vyhodnocení naplnění všech operačních cílů v rámci prioritní osy 4. Závěr: Cíl byl v rámci realizace programu naplněn.“</w:t>
            </w:r>
          </w:p>
          <w:p w14:paraId="1B674842" w14:textId="77777777" w:rsidR="00DD3EFA" w:rsidRPr="005A0E7C" w:rsidRDefault="00DD3EFA" w:rsidP="00B15ECB">
            <w:pPr>
              <w:rPr>
                <w:rFonts w:eastAsiaTheme="majorEastAsia"/>
              </w:rPr>
            </w:pPr>
          </w:p>
          <w:p w14:paraId="644BBF60" w14:textId="77777777" w:rsidR="00DD3EFA" w:rsidRPr="005A0E7C" w:rsidRDefault="00DD3EFA" w:rsidP="00B15ECB">
            <w:r w:rsidRPr="005A0E7C">
              <w:rPr>
                <w:rFonts w:eastAsiaTheme="majorEastAsia"/>
              </w:rPr>
              <w:t>Za období 2014–2020 vyhodnocení probíhá v těchto dnech. Jde o Výsledkovou evaluaci SC 1.1 OP PIK</w:t>
            </w:r>
            <w:r w:rsidRPr="005A0E7C">
              <w:t>.</w:t>
            </w:r>
            <w:r w:rsidRPr="005A0E7C">
              <w:rPr>
                <w:rFonts w:eastAsiaTheme="majorEastAsia"/>
              </w:rPr>
              <w:t xml:space="preserve"> Dne 1. 2. 2019 byla předána Vstupní zpráva, Závěrečná zpráva se předpokládá v červnu 2019. Obecně však lze říct, že p</w:t>
            </w:r>
            <w:r w:rsidRPr="005A0E7C">
              <w:t>řínosy a reálný posun intervencí OPPIK v dané oblasti jsou sledovány indikátorovou soustavou. Ukazatele výsledků specifických cílů prioritní osy 1 OP PIK (vazba na TC 1) vykázaly oproti výchozím hodnotám pozitivní vývoj a některé z posledních dostupných údajů naznačují dosažení cílových hodnot stanovených na rok 2023. Další podpora aktivit v rámci posilování inovačních kapacit podniků a spolupráce podniků s VO (SC 1.1 a SC 1.2) je oprávněná a žádoucí. Cílem je dosavadní trend udržet a zároveň vytvořit dostatečně stabilní a robustní základnu pro výzkum, technologický rozvoj a inovace v ČR v dlouhodobém horizontu. Inovační výkonnost je měřena zejména prostřednictvím tržeb podpořených podniků v důsledku zavedené inovace, počtu podniků spolupracujících s výzkumnými institucemi a počtu nových přihlášených výsledků výzkumu a vývoje</w:t>
            </w:r>
          </w:p>
          <w:p w14:paraId="48F9B6F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left w:val="nil"/>
              <w:bottom w:val="nil"/>
            </w:tcBorders>
            <w:shd w:val="clear" w:color="auto" w:fill="66CCFF"/>
          </w:tcPr>
          <w:p w14:paraId="2EEC1910" w14:textId="77777777" w:rsidR="00DD3EFA" w:rsidRPr="005A0E7C" w:rsidRDefault="00DD3EFA" w:rsidP="00B15ECB">
            <w:pPr>
              <w:rPr>
                <w:b/>
              </w:rPr>
            </w:pPr>
          </w:p>
        </w:tc>
      </w:tr>
      <w:tr w:rsidR="00DD3EFA" w:rsidRPr="005A0E7C" w14:paraId="1222F699" w14:textId="77777777" w:rsidTr="00B15ECB">
        <w:trPr>
          <w:trHeight w:val="1258"/>
        </w:trPr>
        <w:tc>
          <w:tcPr>
            <w:tcW w:w="249" w:type="dxa"/>
            <w:tcBorders>
              <w:top w:val="nil"/>
              <w:bottom w:val="nil"/>
              <w:right w:val="nil"/>
            </w:tcBorders>
            <w:shd w:val="clear" w:color="auto" w:fill="66CCFF"/>
          </w:tcPr>
          <w:p w14:paraId="7E127107" w14:textId="77777777" w:rsidR="00DD3EFA" w:rsidRPr="005A0E7C" w:rsidRDefault="00DD3EFA" w:rsidP="00B15ECB">
            <w:pPr>
              <w:rPr>
                <w:b/>
              </w:rPr>
            </w:pPr>
          </w:p>
        </w:tc>
        <w:tc>
          <w:tcPr>
            <w:tcW w:w="2548" w:type="dxa"/>
            <w:shd w:val="clear" w:color="auto" w:fill="FFFFFF" w:themeFill="background1"/>
          </w:tcPr>
          <w:p w14:paraId="2487207E" w14:textId="77777777" w:rsidR="00DD3EFA" w:rsidRPr="005A0E7C" w:rsidRDefault="00DD3EFA" w:rsidP="00B15ECB">
            <w:pPr>
              <w:rPr>
                <w:rFonts w:eastAsiaTheme="majorEastAsia"/>
                <w:b/>
              </w:rPr>
            </w:pPr>
            <w:r w:rsidRPr="005A0E7C">
              <w:rPr>
                <w:rFonts w:eastAsiaTheme="majorEastAsia"/>
                <w:b/>
              </w:rPr>
              <w:t>Synergické a multiplikační efekty</w:t>
            </w:r>
          </w:p>
          <w:p w14:paraId="6EF63A7E"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772EE0DE" w14:textId="77777777" w:rsidR="00DD3EFA" w:rsidRPr="005A0E7C" w:rsidRDefault="00DD3EFA" w:rsidP="00B15ECB">
            <w:r w:rsidRPr="005A0E7C">
              <w:t xml:space="preserve">Vytvoření funkčních synergických a komplementárních vazeb mezi využitím evropských prostředků na národní úrovni v rámci OPPIK a zvýšenou účastí a úspěšností českých inovativních MSP v Rámcovém programu pro výzkum a inovace Horizont 2020 se ukázala jako problematická. Kromě rozdílných implementačních pravidel a obtížnému sladění časového harmonogramu obou nástrojů zde hrají svou roli i přetrvávající tradiční vazby mezi partnery z tzv. starých členských států, kteří tak zůstávají dominantními žadateli a příjemci centrálně řízených programů.  </w:t>
            </w:r>
          </w:p>
          <w:p w14:paraId="5C759078" w14:textId="77777777" w:rsidR="00DD3EFA" w:rsidRPr="005A0E7C" w:rsidRDefault="00DD3EFA" w:rsidP="00B15ECB"/>
          <w:p w14:paraId="2534341F" w14:textId="77777777" w:rsidR="00DD3EFA" w:rsidRPr="005A0E7C" w:rsidRDefault="00DD3EFA" w:rsidP="00B15ECB">
            <w:r w:rsidRPr="005A0E7C">
              <w:t xml:space="preserve">V roce 2017 byla vyhlášena pilotní výzva Aplikace – Clean Sky2, která měla komplementární efekt v návaznosti na Projekty z programu letectví Clean Sky2. </w:t>
            </w:r>
          </w:p>
        </w:tc>
        <w:tc>
          <w:tcPr>
            <w:tcW w:w="249" w:type="dxa"/>
            <w:tcBorders>
              <w:top w:val="nil"/>
              <w:left w:val="nil"/>
              <w:bottom w:val="nil"/>
            </w:tcBorders>
            <w:shd w:val="clear" w:color="auto" w:fill="66CCFF"/>
          </w:tcPr>
          <w:p w14:paraId="5EC04BA6" w14:textId="77777777" w:rsidR="00DD3EFA" w:rsidRPr="005A0E7C" w:rsidRDefault="00DD3EFA" w:rsidP="00B15ECB">
            <w:pPr>
              <w:rPr>
                <w:b/>
              </w:rPr>
            </w:pPr>
          </w:p>
        </w:tc>
      </w:tr>
      <w:tr w:rsidR="00DD3EFA" w:rsidRPr="005A0E7C" w14:paraId="7544E570" w14:textId="77777777" w:rsidTr="00B15ECB">
        <w:trPr>
          <w:trHeight w:val="180"/>
        </w:trPr>
        <w:tc>
          <w:tcPr>
            <w:tcW w:w="249" w:type="dxa"/>
            <w:tcBorders>
              <w:top w:val="nil"/>
              <w:bottom w:val="nil"/>
              <w:right w:val="nil"/>
            </w:tcBorders>
            <w:shd w:val="clear" w:color="auto" w:fill="66CCFF"/>
          </w:tcPr>
          <w:p w14:paraId="625B1682"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5B7B6BA4"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28DD5A6E" w14:textId="77777777" w:rsidR="00DD3EFA" w:rsidRPr="005A0E7C" w:rsidRDefault="00DD3EFA" w:rsidP="00B15ECB">
            <w:pPr>
              <w:rPr>
                <w:b/>
              </w:rPr>
            </w:pPr>
          </w:p>
        </w:tc>
        <w:tc>
          <w:tcPr>
            <w:tcW w:w="249" w:type="dxa"/>
            <w:tcBorders>
              <w:top w:val="nil"/>
              <w:left w:val="nil"/>
              <w:bottom w:val="nil"/>
            </w:tcBorders>
            <w:shd w:val="clear" w:color="auto" w:fill="66CCFF"/>
          </w:tcPr>
          <w:p w14:paraId="4EE2FE5C" w14:textId="77777777" w:rsidR="00DD3EFA" w:rsidRPr="005A0E7C" w:rsidRDefault="00DD3EFA" w:rsidP="00B15ECB">
            <w:pPr>
              <w:rPr>
                <w:b/>
              </w:rPr>
            </w:pPr>
          </w:p>
        </w:tc>
      </w:tr>
      <w:tr w:rsidR="00DD3EFA" w:rsidRPr="005A0E7C" w14:paraId="1D3281E6" w14:textId="77777777" w:rsidTr="00B15ECB">
        <w:trPr>
          <w:trHeight w:val="990"/>
        </w:trPr>
        <w:tc>
          <w:tcPr>
            <w:tcW w:w="249" w:type="dxa"/>
            <w:tcBorders>
              <w:top w:val="nil"/>
              <w:bottom w:val="nil"/>
            </w:tcBorders>
            <w:shd w:val="clear" w:color="auto" w:fill="66CCFF"/>
          </w:tcPr>
          <w:p w14:paraId="6F22E79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91C1122"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34CA078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dané oblasti lze předpokládat vysoký zájem žadatelů - v návaznosti na předchozí intervence z ESIF se navyšuje počet podniků schopných realizovat vlastní výzkumné a vývojové aktivity a zároveň i počet podniků, které spolupracují s výzkumnými organizacemi na projektech průmyslového výzkumu a experimentálního vývoje a s tím související posílení endogenního podnikatelského sektoru v oblasti zavádění technologických i netechnologických inovací.</w:t>
            </w:r>
          </w:p>
        </w:tc>
        <w:tc>
          <w:tcPr>
            <w:tcW w:w="249" w:type="dxa"/>
            <w:tcBorders>
              <w:top w:val="nil"/>
              <w:bottom w:val="nil"/>
            </w:tcBorders>
            <w:shd w:val="clear" w:color="auto" w:fill="66CCFF"/>
          </w:tcPr>
          <w:p w14:paraId="458F1557" w14:textId="77777777" w:rsidR="00DD3EFA" w:rsidRPr="005A0E7C" w:rsidRDefault="00DD3EFA" w:rsidP="00B15ECB">
            <w:pPr>
              <w:rPr>
                <w:b/>
              </w:rPr>
            </w:pPr>
          </w:p>
        </w:tc>
      </w:tr>
      <w:tr w:rsidR="00DD3EFA" w:rsidRPr="005A0E7C" w14:paraId="2B0EE55C" w14:textId="77777777" w:rsidTr="00B15ECB">
        <w:trPr>
          <w:trHeight w:val="1260"/>
        </w:trPr>
        <w:tc>
          <w:tcPr>
            <w:tcW w:w="249" w:type="dxa"/>
            <w:tcBorders>
              <w:top w:val="nil"/>
              <w:bottom w:val="nil"/>
            </w:tcBorders>
            <w:shd w:val="clear" w:color="auto" w:fill="66CCFF"/>
          </w:tcPr>
          <w:p w14:paraId="35AE1F7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3FAA41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71763AE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Absorpční kapacita v SC 1.1 OP PIK Zvýšit inovační výkonnost podniků převýšila plánované alokace programů, objem předložených žádostí výrazně překračoval plánované alokace výzev. Na konci roku 2018 byl objem požadovaných finančních prostředků v rámci podaných žádostí o podporu téměř 2x vyšší (46 mld. Kč) než celková výše prostředků alokovaná pro tento specifický cíl (cca 27 mld. Kč). </w:t>
            </w:r>
          </w:p>
          <w:p w14:paraId="5FBFB35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 průběhu implementace již došlo k navyšování prostředků v dané podoblasti. Do konce stávajícího období se plánují další realokace do programů Inovace, Potenciál a Aplikace. </w:t>
            </w:r>
          </w:p>
          <w:p w14:paraId="5851278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případě dotčených programů podpory OP PIK je věcný milník naplňován na 123 %, což svědčí o velkém zájmu podnikatelů o tyto oblasti.</w:t>
            </w:r>
          </w:p>
          <w:p w14:paraId="3C66C5C8" w14:textId="77777777" w:rsidR="00DD3EFA" w:rsidRPr="005A0E7C" w:rsidRDefault="00DD3EFA" w:rsidP="00B15ECB">
            <w:pPr>
              <w:spacing w:before="60" w:after="60"/>
            </w:pPr>
            <w:r w:rsidRPr="005A0E7C">
              <w:t>V případě SC 1.2 OP PIK Zvýšit intenzitu a účinnost spolupráce ve VaVaI byla identifikována nižší absorpční kapacita, zejména u programu Služby infrastruktury a dále u programů, ve kterých je vyžadováno intenzivnější zapojení pracovníků z výzkumných organizací – projekty zaměřené na transfer znalostí, případně ověření výsledků VaV  v podnicích (programy Partnerství znalostního transferu, Proof of Concept). Do konce roku 2018 byly předloženy žádosti o podporu dosahují objemu cca 80% celkové alokace SC 1.2.</w:t>
            </w:r>
          </w:p>
          <w:p w14:paraId="4DBE4BAB" w14:textId="77777777" w:rsidR="00DD3EFA" w:rsidRPr="005A0E7C" w:rsidRDefault="00DD3EFA" w:rsidP="00B15ECB">
            <w:pPr>
              <w:spacing w:before="60" w:after="60"/>
            </w:pPr>
            <w:r w:rsidRPr="005A0E7C">
              <w:t xml:space="preserve">Vysoká absorpční kapacita byla identifikována u Inovačních voucherů, které nabízejí rychlé a efektivní čerpání na základní aktivity spolupráce s VO (expertní služby typu testování, měření, apod.) </w:t>
            </w:r>
          </w:p>
        </w:tc>
        <w:tc>
          <w:tcPr>
            <w:tcW w:w="249" w:type="dxa"/>
            <w:tcBorders>
              <w:top w:val="nil"/>
              <w:bottom w:val="nil"/>
            </w:tcBorders>
            <w:shd w:val="clear" w:color="auto" w:fill="66CCFF"/>
          </w:tcPr>
          <w:p w14:paraId="1869B9F0" w14:textId="77777777" w:rsidR="00DD3EFA" w:rsidRPr="005A0E7C" w:rsidRDefault="00DD3EFA" w:rsidP="00B15ECB">
            <w:pPr>
              <w:rPr>
                <w:b/>
              </w:rPr>
            </w:pPr>
          </w:p>
        </w:tc>
      </w:tr>
      <w:tr w:rsidR="00DD3EFA" w:rsidRPr="005A0E7C" w14:paraId="26DC47FE" w14:textId="77777777" w:rsidTr="00B15ECB">
        <w:trPr>
          <w:trHeight w:val="850"/>
        </w:trPr>
        <w:tc>
          <w:tcPr>
            <w:tcW w:w="249" w:type="dxa"/>
            <w:tcBorders>
              <w:top w:val="nil"/>
              <w:bottom w:val="nil"/>
            </w:tcBorders>
            <w:shd w:val="clear" w:color="auto" w:fill="66CCFF"/>
          </w:tcPr>
          <w:p w14:paraId="7581C49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E601B0B"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17FA396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dané oblasti lze předpokládat vysoký zájem žadatelů - v návaznosti na předchozí intervence z ESIF se navyšuje počet podniků schopných realizovat vlastní výzkumné a vývojové aktivity a zároveň i počet podniků, které spolupracují s výzkumnými organizacemi na projektech průmyslového výzkumu a experimentálního vývoje a s tím související posílení endogenního podnikatelského sektoru v oblasti zavádění technologických i netechnologických inovací.</w:t>
            </w:r>
          </w:p>
          <w:p w14:paraId="75791E66" w14:textId="77777777" w:rsidR="00DD3EFA" w:rsidRPr="005A0E7C" w:rsidRDefault="00DD3EFA" w:rsidP="00B15ECB">
            <w:pPr>
              <w:rPr>
                <w:rFonts w:eastAsiaTheme="majorEastAsia"/>
              </w:rPr>
            </w:pPr>
            <w:r w:rsidRPr="005A0E7C">
              <w:rPr>
                <w:rFonts w:eastAsiaTheme="majorEastAsia"/>
              </w:rPr>
              <w:t xml:space="preserve">Pro zajištění vyšší absorpční kapacity je třeba zajistit, aby nové nástroje na podporu spolupráce byly více motivující pro zapojení VO do společně realizovaných projektů a aby neexistovaly separátní podmínky pro využívání ESIF ze strany VO a ze strany podniků. </w:t>
            </w:r>
          </w:p>
          <w:p w14:paraId="4290242B" w14:textId="77777777" w:rsidR="00DD3EFA" w:rsidRPr="005A0E7C" w:rsidRDefault="00DD3EFA" w:rsidP="00B15ECB">
            <w:pPr>
              <w:rPr>
                <w:rFonts w:eastAsiaTheme="majorEastAsia"/>
              </w:rPr>
            </w:pPr>
          </w:p>
          <w:p w14:paraId="2EC85BDD" w14:textId="77777777" w:rsidR="00DD3EFA" w:rsidRPr="005A0E7C" w:rsidRDefault="00DD3EFA" w:rsidP="00B15ECB">
            <w:pPr>
              <w:rPr>
                <w:rFonts w:eastAsiaTheme="majorEastAsia"/>
              </w:rPr>
            </w:pPr>
            <w:r w:rsidRPr="005A0E7C">
              <w:rPr>
                <w:rFonts w:eastAsiaTheme="majorEastAsia"/>
              </w:rPr>
              <w:t>V oblasti infrastruktury VaV je třeba zajistit, aby v rámci rozvoje existující infrastrastruktury byly vytvořeny podmínky pro MSP pro testování a validaci nových technologií a produktů. Podpora jak rozvoje vhodné podpůrné infrastruktury, tak podpora přístupu MSP k této infrastruktuře (např. prostřednictvím inovačních voucherů) povede k vyšší absorpční kapacitě daného specifického cíle.</w:t>
            </w:r>
          </w:p>
          <w:p w14:paraId="577909BF" w14:textId="77777777" w:rsidR="00DD3EFA" w:rsidRPr="005A0E7C" w:rsidRDefault="00DD3EFA" w:rsidP="00B15ECB">
            <w:pPr>
              <w:spacing w:before="60" w:after="60"/>
              <w:rPr>
                <w:rFonts w:eastAsiaTheme="majorEastAsia"/>
                <w:i/>
              </w:rPr>
            </w:pPr>
          </w:p>
          <w:p w14:paraId="5977C3C5" w14:textId="77777777" w:rsidR="00DD3EFA" w:rsidRPr="005A0E7C" w:rsidRDefault="00DD3EFA" w:rsidP="00B15ECB">
            <w:r w:rsidRPr="005A0E7C">
              <w:rPr>
                <w:rFonts w:eastAsiaTheme="majorEastAsia"/>
              </w:rPr>
              <w:t xml:space="preserve">MPO v současnosti řeší/soutěží </w:t>
            </w:r>
            <w:r w:rsidRPr="005A0E7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629E3F2C" w14:textId="77777777" w:rsidR="00DD3EFA" w:rsidRPr="005A0E7C" w:rsidRDefault="00DD3EFA" w:rsidP="00B15ECB">
            <w:r w:rsidRPr="005A0E7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6BEA5652" w14:textId="77777777" w:rsidR="00DD3EFA" w:rsidRPr="005A0E7C" w:rsidRDefault="00DD3EFA" w:rsidP="00B15ECB">
            <w:pPr>
              <w:pStyle w:val="Nadpis2"/>
              <w:tabs>
                <w:tab w:val="left" w:pos="3945"/>
              </w:tabs>
              <w:spacing w:after="90"/>
              <w:outlineLvl w:val="1"/>
              <w:rPr>
                <w:rFonts w:ascii="Times New Roman" w:hAnsi="Times New Roman" w:cs="Times New Roman"/>
                <w:b w:val="0"/>
                <w:color w:val="auto"/>
                <w:sz w:val="20"/>
                <w:szCs w:val="20"/>
              </w:rPr>
            </w:pPr>
            <w:r w:rsidRPr="005A0E7C">
              <w:rPr>
                <w:rFonts w:ascii="Times New Roman" w:hAnsi="Times New Roman" w:cs="Times New Roman"/>
                <w:color w:val="auto"/>
                <w:sz w:val="20"/>
                <w:szCs w:val="20"/>
              </w:rPr>
              <w:t>Analytické otázky:</w:t>
            </w:r>
          </w:p>
          <w:p w14:paraId="17FE71BE" w14:textId="77777777" w:rsidR="00DD3EFA" w:rsidRPr="005A0E7C" w:rsidRDefault="00DD3EFA" w:rsidP="00B15ECB">
            <w:r w:rsidRPr="005A0E7C">
              <w:t xml:space="preserve">1. Do jaké míry byla naplněna plánovaná absorpční kapacita v současném a minulém programovém období (tj. 2014 - 2020 a 2007 - 2013)? Očekávání vs. realita. </w:t>
            </w:r>
          </w:p>
          <w:p w14:paraId="175E3382" w14:textId="77777777" w:rsidR="00DD3EFA" w:rsidRPr="005A0E7C" w:rsidRDefault="00DD3EFA" w:rsidP="00B15ECB">
            <w:r w:rsidRPr="005A0E7C">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13EABF85" w14:textId="77777777" w:rsidR="00DD3EFA" w:rsidRPr="005A0E7C" w:rsidRDefault="00DD3EFA" w:rsidP="00B15ECB">
            <w:r w:rsidRPr="005A0E7C">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2FC21B1F" w14:textId="77777777" w:rsidR="00DD3EFA" w:rsidRPr="005A0E7C" w:rsidRDefault="00DD3EFA" w:rsidP="00B15ECB">
            <w:r w:rsidRPr="005A0E7C">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44974AE1" w14:textId="77777777" w:rsidR="00DD3EFA" w:rsidRPr="005A0E7C" w:rsidRDefault="00DD3EFA" w:rsidP="00B15ECB">
            <w:r w:rsidRPr="005A0E7C">
              <w:t>5. Jaké jsou návrhy opatření na odstranění bariér?</w:t>
            </w:r>
          </w:p>
        </w:tc>
        <w:tc>
          <w:tcPr>
            <w:tcW w:w="249" w:type="dxa"/>
            <w:tcBorders>
              <w:top w:val="nil"/>
              <w:bottom w:val="nil"/>
            </w:tcBorders>
            <w:shd w:val="clear" w:color="auto" w:fill="66CCFF"/>
          </w:tcPr>
          <w:p w14:paraId="7B2072AD" w14:textId="77777777" w:rsidR="00DD3EFA" w:rsidRPr="005A0E7C" w:rsidRDefault="00DD3EFA" w:rsidP="00B15ECB">
            <w:pPr>
              <w:rPr>
                <w:b/>
              </w:rPr>
            </w:pPr>
          </w:p>
        </w:tc>
      </w:tr>
      <w:tr w:rsidR="00DD3EFA" w:rsidRPr="005A0E7C" w14:paraId="30A0125E" w14:textId="77777777" w:rsidTr="00B15ECB">
        <w:trPr>
          <w:trHeight w:val="925"/>
        </w:trPr>
        <w:tc>
          <w:tcPr>
            <w:tcW w:w="249" w:type="dxa"/>
            <w:tcBorders>
              <w:top w:val="nil"/>
              <w:bottom w:val="nil"/>
            </w:tcBorders>
            <w:shd w:val="clear" w:color="auto" w:fill="66CCFF"/>
          </w:tcPr>
          <w:p w14:paraId="6BC2998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3891AC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5DD5F207" w14:textId="77777777" w:rsidR="00DD3EFA" w:rsidRPr="005A0E7C" w:rsidRDefault="00DD3EFA" w:rsidP="00B15ECB">
            <w:pPr>
              <w:spacing w:before="60" w:after="60"/>
              <w:rPr>
                <w:rFonts w:eastAsiaTheme="majorEastAsia"/>
                <w:i/>
              </w:rPr>
            </w:pPr>
            <w:r w:rsidRPr="005A0E7C">
              <w:rPr>
                <w:rFonts w:eastAsiaTheme="majorEastAsia"/>
              </w:rPr>
              <w:t>V dané oblasti lze předpokládat existenci rámcových projektových záměrů vycházejících z aktuálních inovačních potřeb podnikatelských subjektů. Na základě zkušeností z dosavadních intervencí ESIF lze v této oblasti očekávat větší množství kvalitních projektových záměrů.</w:t>
            </w:r>
          </w:p>
        </w:tc>
        <w:tc>
          <w:tcPr>
            <w:tcW w:w="249" w:type="dxa"/>
            <w:tcBorders>
              <w:top w:val="nil"/>
              <w:bottom w:val="nil"/>
            </w:tcBorders>
            <w:shd w:val="clear" w:color="auto" w:fill="66CCFF"/>
          </w:tcPr>
          <w:p w14:paraId="73B2E249" w14:textId="77777777" w:rsidR="00DD3EFA" w:rsidRPr="005A0E7C" w:rsidRDefault="00DD3EFA" w:rsidP="00B15ECB">
            <w:pPr>
              <w:rPr>
                <w:b/>
              </w:rPr>
            </w:pPr>
          </w:p>
        </w:tc>
      </w:tr>
      <w:tr w:rsidR="00DD3EFA" w:rsidRPr="005A0E7C" w14:paraId="0B833E1B" w14:textId="77777777" w:rsidTr="00B15ECB">
        <w:trPr>
          <w:trHeight w:val="1001"/>
        </w:trPr>
        <w:tc>
          <w:tcPr>
            <w:tcW w:w="249" w:type="dxa"/>
            <w:tcBorders>
              <w:top w:val="nil"/>
              <w:bottom w:val="nil"/>
            </w:tcBorders>
            <w:shd w:val="clear" w:color="auto" w:fill="66CCFF"/>
          </w:tcPr>
          <w:p w14:paraId="07ED5FC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87F9DD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12D757CA" w14:textId="77777777" w:rsidR="00DD3EFA" w:rsidRPr="005A0E7C" w:rsidRDefault="00DD3EFA" w:rsidP="00B15ECB">
            <w:pPr>
              <w:spacing w:before="60" w:after="60"/>
              <w:rPr>
                <w:rFonts w:eastAsiaTheme="majorEastAsia"/>
                <w:i/>
              </w:rPr>
            </w:pPr>
            <w:r w:rsidRPr="005A0E7C">
              <w:rPr>
                <w:rFonts w:eastAsiaTheme="majorEastAsia"/>
              </w:rPr>
              <w:t>Veřejná podpora – při vyšší intenzitě zapojování MSP do aktivit testování a ověřování nových technologií v reálných podmínkách a zavádění nových inovačních řešení mohou být omezujícím faktorem stávající pravidla veřejné podpory, které nedostatečně reflektují podporu aktivit, které jsou blízké trhu (nejednoznačné zařazení inovačních aktivit typu demontrace, pilotní projekty, prototyping, případně nízká míra podpory na experimentální vývoj oproti programu Horizon 2020, zejména SME Instrument)</w:t>
            </w:r>
            <w:r w:rsidRPr="005A0E7C">
              <w:rPr>
                <w:rFonts w:eastAsiaTheme="majorEastAsia"/>
                <w:i/>
              </w:rPr>
              <w:t>.</w:t>
            </w:r>
          </w:p>
        </w:tc>
        <w:tc>
          <w:tcPr>
            <w:tcW w:w="249" w:type="dxa"/>
            <w:tcBorders>
              <w:top w:val="nil"/>
              <w:bottom w:val="nil"/>
            </w:tcBorders>
            <w:shd w:val="clear" w:color="auto" w:fill="66CCFF"/>
          </w:tcPr>
          <w:p w14:paraId="6A4F9E92" w14:textId="77777777" w:rsidR="00DD3EFA" w:rsidRPr="005A0E7C" w:rsidRDefault="00DD3EFA" w:rsidP="00B15ECB">
            <w:pPr>
              <w:rPr>
                <w:b/>
              </w:rPr>
            </w:pPr>
          </w:p>
        </w:tc>
      </w:tr>
      <w:tr w:rsidR="00DD3EFA" w:rsidRPr="005A0E7C" w14:paraId="179E8ED2"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44F236F9"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B33CBE5"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D21D713"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0644C74D" w14:textId="77777777" w:rsidR="00DD3EFA" w:rsidRPr="005A0E7C" w:rsidRDefault="00DD3EFA" w:rsidP="00B15ECB">
            <w:pPr>
              <w:rPr>
                <w:b/>
              </w:rPr>
            </w:pPr>
          </w:p>
        </w:tc>
      </w:tr>
      <w:tr w:rsidR="00DD3EFA" w:rsidRPr="005A0E7C" w14:paraId="2272F285" w14:textId="77777777" w:rsidTr="00B15ECB">
        <w:trPr>
          <w:trHeight w:val="1968"/>
        </w:trPr>
        <w:tc>
          <w:tcPr>
            <w:tcW w:w="249" w:type="dxa"/>
            <w:tcBorders>
              <w:top w:val="single" w:sz="4" w:space="0" w:color="auto"/>
              <w:bottom w:val="nil"/>
            </w:tcBorders>
            <w:shd w:val="clear" w:color="auto" w:fill="66CCFF"/>
          </w:tcPr>
          <w:p w14:paraId="38D9CA75"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1638BEE0"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19FF5F16"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74EF7BF2" w14:textId="77777777" w:rsidR="00DD3EFA" w:rsidRPr="005A0E7C" w:rsidRDefault="00DD3EFA" w:rsidP="00B15ECB">
            <w:pPr>
              <w:rPr>
                <w:b/>
              </w:rPr>
            </w:pPr>
          </w:p>
        </w:tc>
      </w:tr>
      <w:tr w:rsidR="00DD3EFA" w:rsidRPr="005A0E7C" w14:paraId="4DB93EF8" w14:textId="77777777" w:rsidTr="00B15ECB">
        <w:trPr>
          <w:trHeight w:val="1968"/>
        </w:trPr>
        <w:tc>
          <w:tcPr>
            <w:tcW w:w="249" w:type="dxa"/>
            <w:tcBorders>
              <w:top w:val="nil"/>
              <w:bottom w:val="nil"/>
            </w:tcBorders>
            <w:shd w:val="clear" w:color="auto" w:fill="66CCFF"/>
          </w:tcPr>
          <w:p w14:paraId="2ECE98AE" w14:textId="77777777" w:rsidR="00DD3EFA" w:rsidRPr="005A0E7C" w:rsidRDefault="00DD3EFA" w:rsidP="00B15ECB">
            <w:pPr>
              <w:rPr>
                <w:b/>
              </w:rPr>
            </w:pPr>
          </w:p>
        </w:tc>
        <w:tc>
          <w:tcPr>
            <w:tcW w:w="2548" w:type="dxa"/>
            <w:tcBorders>
              <w:top w:val="nil"/>
            </w:tcBorders>
            <w:shd w:val="clear" w:color="auto" w:fill="FFFFFF" w:themeFill="background1"/>
          </w:tcPr>
          <w:p w14:paraId="46C4262C" w14:textId="77777777" w:rsidR="00DD3EFA" w:rsidRPr="005A0E7C" w:rsidRDefault="00DD3EFA" w:rsidP="00391907">
            <w:pPr>
              <w:pStyle w:val="Odstavecseseznamem"/>
              <w:numPr>
                <w:ilvl w:val="0"/>
                <w:numId w:val="62"/>
              </w:numPr>
              <w:tabs>
                <w:tab w:val="left" w:pos="301"/>
              </w:tabs>
              <w:spacing w:before="60" w:after="60"/>
              <w:ind w:left="0" w:firstLine="0"/>
              <w:jc w:val="both"/>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6DF95374" w14:textId="77777777" w:rsidR="00DD3EFA" w:rsidRPr="005A0E7C" w:rsidRDefault="00DD3EFA" w:rsidP="00B15ECB">
            <w:pPr>
              <w:spacing w:before="60" w:after="60"/>
              <w:rPr>
                <w:rFonts w:eastAsiaTheme="majorEastAsia"/>
              </w:rPr>
            </w:pPr>
            <w:r w:rsidRPr="005A0E7C">
              <w:rPr>
                <w:rFonts w:eastAsiaTheme="majorEastAsia"/>
              </w:rPr>
              <w:t>Specifický cíl se může částečně tematicky překrývat s následujícícmi unijními programy (případný překryv oblastí bude záležet na jejich finální podobě):</w:t>
            </w:r>
          </w:p>
          <w:p w14:paraId="11037172" w14:textId="77777777" w:rsidR="00DD3EFA" w:rsidRPr="005A0E7C" w:rsidRDefault="00DD3EFA" w:rsidP="00B15ECB">
            <w:pPr>
              <w:spacing w:before="60" w:after="60"/>
              <w:rPr>
                <w:rFonts w:eastAsiaTheme="majorEastAsia"/>
                <w:i/>
              </w:rPr>
            </w:pPr>
          </w:p>
          <w:p w14:paraId="4C23CFE5" w14:textId="77777777" w:rsidR="00DD3EFA" w:rsidRPr="005A0E7C" w:rsidRDefault="00DD3EFA" w:rsidP="00B15ECB">
            <w:pPr>
              <w:spacing w:before="60" w:after="60"/>
              <w:rPr>
                <w:rFonts w:eastAsiaTheme="majorEastAsia"/>
              </w:rPr>
            </w:pPr>
            <w:r w:rsidRPr="005A0E7C">
              <w:rPr>
                <w:rFonts w:eastAsiaTheme="majorEastAsia"/>
              </w:rPr>
              <w:t>Horizon Europe – budoucí klíčový program na podporu výzkumu a inovací</w:t>
            </w:r>
          </w:p>
          <w:p w14:paraId="14EB67D9" w14:textId="77777777" w:rsidR="00DD3EFA" w:rsidRPr="005A0E7C" w:rsidRDefault="00DD3EFA" w:rsidP="00B15ECB">
            <w:pPr>
              <w:spacing w:before="60" w:after="60"/>
              <w:rPr>
                <w:rFonts w:eastAsiaTheme="majorEastAsia"/>
              </w:rPr>
            </w:pPr>
          </w:p>
          <w:p w14:paraId="25FBB9A3" w14:textId="77777777" w:rsidR="00DD3EFA" w:rsidRPr="005A0E7C" w:rsidRDefault="00DD3EFA" w:rsidP="00B15ECB">
            <w:pPr>
              <w:spacing w:before="60" w:after="60"/>
              <w:rPr>
                <w:rFonts w:eastAsiaTheme="majorEastAsia"/>
              </w:rPr>
            </w:pPr>
            <w:r w:rsidRPr="005A0E7C">
              <w:rPr>
                <w:rFonts w:eastAsiaTheme="majorEastAsia"/>
              </w:rPr>
              <w:t>Galileo – kosmický program</w:t>
            </w:r>
          </w:p>
          <w:p w14:paraId="450D78D5" w14:textId="77777777" w:rsidR="00DD3EFA" w:rsidRPr="005A0E7C" w:rsidRDefault="00DD3EFA" w:rsidP="00B15ECB">
            <w:pPr>
              <w:spacing w:before="60" w:after="60"/>
              <w:rPr>
                <w:rFonts w:eastAsiaTheme="majorEastAsia"/>
              </w:rPr>
            </w:pPr>
          </w:p>
          <w:p w14:paraId="30E15C52" w14:textId="77777777" w:rsidR="00DD3EFA" w:rsidRPr="005A0E7C" w:rsidRDefault="00DD3EFA" w:rsidP="00B15ECB">
            <w:pPr>
              <w:spacing w:before="60" w:after="60"/>
              <w:rPr>
                <w:rFonts w:eastAsiaTheme="majorEastAsia"/>
              </w:rPr>
            </w:pPr>
            <w:r w:rsidRPr="005A0E7C">
              <w:rPr>
                <w:rFonts w:eastAsiaTheme="majorEastAsia"/>
              </w:rPr>
              <w:t>EUREKA – nástroj na podporu aplikovaného a průmyslového výzkumu a inovačních aktivit</w:t>
            </w:r>
          </w:p>
          <w:p w14:paraId="509F8091" w14:textId="77777777" w:rsidR="00DD3EFA" w:rsidRPr="005A0E7C" w:rsidRDefault="00DD3EFA" w:rsidP="00B15ECB">
            <w:pPr>
              <w:spacing w:before="60" w:after="60"/>
              <w:rPr>
                <w:rFonts w:eastAsiaTheme="majorEastAsia"/>
              </w:rPr>
            </w:pPr>
            <w:r w:rsidRPr="005A0E7C">
              <w:rPr>
                <w:rFonts w:eastAsiaTheme="majorEastAsia"/>
              </w:rPr>
              <w:br/>
              <w:t>InvestEU – budoucí program zastřešující rozličné finanční nástroje včetně okna pro MSP</w:t>
            </w:r>
          </w:p>
          <w:p w14:paraId="12141F28" w14:textId="77777777" w:rsidR="00DD3EFA" w:rsidRPr="005A0E7C" w:rsidRDefault="00DD3EFA" w:rsidP="00B15ECB">
            <w:pPr>
              <w:spacing w:before="60" w:after="60"/>
              <w:rPr>
                <w:rFonts w:eastAsiaTheme="majorEastAsia"/>
              </w:rPr>
            </w:pPr>
            <w:r w:rsidRPr="005A0E7C">
              <w:rPr>
                <w:rFonts w:eastAsiaTheme="majorEastAsia"/>
              </w:rPr>
              <w:br/>
              <w:t xml:space="preserve">Program pro jednotný trh – specifický cíl Podpora malého a středního podnikání, podpora nefinančního charakteru </w:t>
            </w:r>
          </w:p>
          <w:p w14:paraId="28FC0B43" w14:textId="77777777" w:rsidR="00DD3EFA" w:rsidRPr="005A0E7C" w:rsidRDefault="00DD3EFA" w:rsidP="00B15ECB">
            <w:pPr>
              <w:spacing w:before="60" w:after="60"/>
              <w:rPr>
                <w:rFonts w:eastAsiaTheme="majorEastAsia"/>
              </w:rPr>
            </w:pPr>
            <w:r w:rsidRPr="005A0E7C">
              <w:rPr>
                <w:rFonts w:eastAsiaTheme="majorEastAsia"/>
              </w:rPr>
              <w:br/>
              <w:t>Společné technologické iniciativy (JTIs) – tematicky zaměřená technologická partnerství soukromého a veřejného sektoru</w:t>
            </w:r>
          </w:p>
        </w:tc>
        <w:tc>
          <w:tcPr>
            <w:tcW w:w="249" w:type="dxa"/>
            <w:tcBorders>
              <w:top w:val="nil"/>
              <w:bottom w:val="nil"/>
            </w:tcBorders>
            <w:shd w:val="clear" w:color="auto" w:fill="66CCFF"/>
          </w:tcPr>
          <w:p w14:paraId="6848D8FD" w14:textId="77777777" w:rsidR="00DD3EFA" w:rsidRPr="005A0E7C" w:rsidRDefault="00DD3EFA" w:rsidP="00B15ECB">
            <w:pPr>
              <w:rPr>
                <w:b/>
              </w:rPr>
            </w:pPr>
          </w:p>
        </w:tc>
      </w:tr>
      <w:tr w:rsidR="00DD3EFA" w:rsidRPr="005A0E7C" w14:paraId="5F69629A" w14:textId="77777777" w:rsidTr="00B15ECB">
        <w:trPr>
          <w:trHeight w:val="1968"/>
        </w:trPr>
        <w:tc>
          <w:tcPr>
            <w:tcW w:w="249" w:type="dxa"/>
            <w:tcBorders>
              <w:top w:val="nil"/>
              <w:bottom w:val="nil"/>
            </w:tcBorders>
            <w:shd w:val="clear" w:color="auto" w:fill="66CCFF"/>
          </w:tcPr>
          <w:p w14:paraId="56B1A0DC" w14:textId="77777777" w:rsidR="00DD3EFA" w:rsidRPr="005A0E7C" w:rsidRDefault="00DD3EFA" w:rsidP="00B15ECB">
            <w:pPr>
              <w:rPr>
                <w:b/>
              </w:rPr>
            </w:pPr>
          </w:p>
        </w:tc>
        <w:tc>
          <w:tcPr>
            <w:tcW w:w="2548" w:type="dxa"/>
            <w:tcBorders>
              <w:top w:val="nil"/>
            </w:tcBorders>
            <w:shd w:val="clear" w:color="auto" w:fill="FFFFFF" w:themeFill="background1"/>
          </w:tcPr>
          <w:p w14:paraId="7774FFEB"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5E8ADF11" w14:textId="77777777" w:rsidR="00DD3EFA" w:rsidRPr="005A0E7C" w:rsidRDefault="00DD3EFA" w:rsidP="00B15ECB">
            <w:pPr>
              <w:spacing w:before="60" w:after="60"/>
              <w:rPr>
                <w:rFonts w:eastAsiaTheme="majorEastAsia"/>
                <w:i/>
              </w:rPr>
            </w:pPr>
            <w:r w:rsidRPr="005A0E7C">
              <w:rPr>
                <w:rFonts w:eastAsiaTheme="majorEastAsia"/>
              </w:rPr>
              <w:t>Ze státního rozpočtu ČR bude poskytována relevantní podpora na VaVaI především z programů TREND (průmyslový výzkum zaměřený na rozvoj konkurenceschopnosti podniků), Národní centra kompetence (podpora dlouhodobé spolupráce mezi výzkumnými organzacemi a podniky), GAMA2 (rozvoj systémů komercializace výsledků VaV na VO) a dále z dalších programů zaměřených tematicky či odvětvově (energetika, doprava, životní prostředí), z programů zaměřených na společenskovědní výzkum, mobilitu a rozvoj vědeckých pracovníků, mezinárodní spolupráci, veřejné zakázky pro potřeby státní správy atd.</w:t>
            </w:r>
            <w:r w:rsidRPr="005A0E7C" w:rsidDel="007C708D">
              <w:rPr>
                <w:rFonts w:eastAsiaTheme="majorEastAsia"/>
              </w:rPr>
              <w:t xml:space="preserve"> </w:t>
            </w:r>
          </w:p>
        </w:tc>
        <w:tc>
          <w:tcPr>
            <w:tcW w:w="249" w:type="dxa"/>
            <w:tcBorders>
              <w:top w:val="nil"/>
              <w:bottom w:val="nil"/>
            </w:tcBorders>
            <w:shd w:val="clear" w:color="auto" w:fill="66CCFF"/>
          </w:tcPr>
          <w:p w14:paraId="109C8365" w14:textId="77777777" w:rsidR="00DD3EFA" w:rsidRPr="005A0E7C" w:rsidRDefault="00DD3EFA" w:rsidP="00B15ECB">
            <w:pPr>
              <w:rPr>
                <w:b/>
              </w:rPr>
            </w:pPr>
          </w:p>
        </w:tc>
      </w:tr>
      <w:tr w:rsidR="00DD3EFA" w:rsidRPr="005A0E7C" w14:paraId="5C08C001" w14:textId="77777777" w:rsidTr="00B15ECB">
        <w:trPr>
          <w:trHeight w:val="1968"/>
        </w:trPr>
        <w:tc>
          <w:tcPr>
            <w:tcW w:w="249" w:type="dxa"/>
            <w:tcBorders>
              <w:top w:val="nil"/>
              <w:bottom w:val="nil"/>
            </w:tcBorders>
            <w:shd w:val="clear" w:color="auto" w:fill="66CCFF"/>
          </w:tcPr>
          <w:p w14:paraId="68F88E87" w14:textId="77777777" w:rsidR="00DD3EFA" w:rsidRPr="005A0E7C" w:rsidRDefault="00DD3EFA" w:rsidP="00B15ECB">
            <w:pPr>
              <w:rPr>
                <w:b/>
              </w:rPr>
            </w:pPr>
          </w:p>
        </w:tc>
        <w:tc>
          <w:tcPr>
            <w:tcW w:w="2548" w:type="dxa"/>
            <w:tcBorders>
              <w:top w:val="nil"/>
            </w:tcBorders>
            <w:shd w:val="clear" w:color="auto" w:fill="FFFFFF" w:themeFill="background1"/>
          </w:tcPr>
          <w:p w14:paraId="2280B00E"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3DEEC8DA" w14:textId="77777777" w:rsidR="00DD3EFA" w:rsidRPr="005A0E7C" w:rsidRDefault="00DD3EFA" w:rsidP="00B15ECB">
            <w:pPr>
              <w:spacing w:before="60" w:after="60"/>
              <w:rPr>
                <w:rFonts w:eastAsiaTheme="majorEastAsia"/>
              </w:rPr>
            </w:pPr>
            <w:r w:rsidRPr="005A0E7C">
              <w:rPr>
                <w:rFonts w:eastAsiaTheme="majorEastAsia"/>
              </w:rPr>
              <w:t>Soukromé zdroje neveřejných společností, institucí, soukromých fondů atp.</w:t>
            </w:r>
          </w:p>
        </w:tc>
        <w:tc>
          <w:tcPr>
            <w:tcW w:w="249" w:type="dxa"/>
            <w:tcBorders>
              <w:top w:val="nil"/>
              <w:bottom w:val="nil"/>
            </w:tcBorders>
            <w:shd w:val="clear" w:color="auto" w:fill="66CCFF"/>
          </w:tcPr>
          <w:p w14:paraId="0C9C1CC7" w14:textId="77777777" w:rsidR="00DD3EFA" w:rsidRPr="005A0E7C" w:rsidRDefault="00DD3EFA" w:rsidP="00B15ECB">
            <w:pPr>
              <w:rPr>
                <w:b/>
              </w:rPr>
            </w:pPr>
          </w:p>
        </w:tc>
      </w:tr>
      <w:tr w:rsidR="00DD3EFA" w:rsidRPr="005A0E7C" w14:paraId="3942DC32" w14:textId="77777777" w:rsidTr="00B15ECB">
        <w:trPr>
          <w:trHeight w:val="1968"/>
        </w:trPr>
        <w:tc>
          <w:tcPr>
            <w:tcW w:w="249" w:type="dxa"/>
            <w:tcBorders>
              <w:top w:val="nil"/>
              <w:bottom w:val="nil"/>
            </w:tcBorders>
            <w:shd w:val="clear" w:color="auto" w:fill="66CCFF"/>
          </w:tcPr>
          <w:p w14:paraId="56BACBAA" w14:textId="77777777" w:rsidR="00DD3EFA" w:rsidRPr="005A0E7C" w:rsidRDefault="00DD3EFA" w:rsidP="00B15ECB">
            <w:pPr>
              <w:rPr>
                <w:b/>
              </w:rPr>
            </w:pPr>
          </w:p>
        </w:tc>
        <w:tc>
          <w:tcPr>
            <w:tcW w:w="2548" w:type="dxa"/>
            <w:tcBorders>
              <w:top w:val="nil"/>
            </w:tcBorders>
            <w:shd w:val="clear" w:color="auto" w:fill="FFFFFF" w:themeFill="background1"/>
          </w:tcPr>
          <w:p w14:paraId="572428C6"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213D22FA" w14:textId="77777777" w:rsidR="00DD3EFA" w:rsidRPr="005A0E7C" w:rsidRDefault="00DD3EFA" w:rsidP="00B15ECB">
            <w:pPr>
              <w:spacing w:before="60" w:after="60"/>
              <w:rPr>
                <w:rFonts w:eastAsiaTheme="majorEastAsia"/>
              </w:rPr>
            </w:pPr>
            <w:r w:rsidRPr="005A0E7C">
              <w:rPr>
                <w:rFonts w:eastAsiaTheme="majorEastAsia"/>
              </w:rPr>
              <w:t>Oblast je vhodná ke zvážení využití FN, a to zejména v oblasti podpory podnikového výzkumu a podpory komercializace výsledků VaV a vzniku spin-off firem ve fázi pre-seed a seed.</w:t>
            </w:r>
          </w:p>
          <w:p w14:paraId="41738BA4" w14:textId="77777777" w:rsidR="00DD3EFA" w:rsidRPr="005A0E7C" w:rsidRDefault="00DD3EFA" w:rsidP="00B15ECB">
            <w:pPr>
              <w:spacing w:before="60" w:after="60"/>
              <w:rPr>
                <w:rFonts w:eastAsiaTheme="majorEastAsia"/>
              </w:rPr>
            </w:pPr>
            <w:r w:rsidRPr="005A0E7C">
              <w:rPr>
                <w:rFonts w:eastAsiaTheme="majorEastAsia"/>
              </w:rPr>
              <w:t>Výzkumné a inovační aktivity podniků jsou podporovány např. v rámci iniciativy EIB v jižní Itálii (úvěry i ekvita). Oblast pre-seed a seed investic do univerzitních spin-off projektů je předmětem iniciativy Tech-transfer EIF (Itálie, Turecko).</w:t>
            </w:r>
          </w:p>
          <w:p w14:paraId="08C0DC9C" w14:textId="77777777" w:rsidR="00DD3EFA" w:rsidRPr="005A0E7C" w:rsidRDefault="00DD3EFA" w:rsidP="00B15ECB">
            <w:pPr>
              <w:spacing w:before="60" w:after="60"/>
              <w:rPr>
                <w:rFonts w:eastAsiaTheme="majorEastAsia"/>
              </w:rPr>
            </w:pPr>
            <w:r w:rsidRPr="005A0E7C">
              <w:rPr>
                <w:rFonts w:eastAsiaTheme="majorEastAsia"/>
              </w:rPr>
              <w:t>Podpora výzkumných a komercializačních aktivit je úzce provázána též s cíli v kartě Podnikání (Zlepšení inovační schopnosti MSP), FN by měl umožnit podporu komplexních projektů rozvojových aktivit MSP a rozvoje inovačních start-upů a spin-offů v rámci těchto dvou cílů.</w:t>
            </w:r>
          </w:p>
          <w:p w14:paraId="69DC11D4" w14:textId="77777777" w:rsidR="00DD3EFA" w:rsidRPr="005A0E7C" w:rsidRDefault="00DD3EFA" w:rsidP="00B15ECB">
            <w:pPr>
              <w:rPr>
                <w:rFonts w:eastAsiaTheme="majorEastAsia"/>
              </w:rPr>
            </w:pPr>
            <w:r w:rsidRPr="005A0E7C">
              <w:rPr>
                <w:rFonts w:eastAsiaTheme="majorEastAsia"/>
              </w:rPr>
              <w:t>FN jsou tak vhodným nástrojem pro plnění daného specifického cíle a FN jsou dlouhodobě úspěšným nástrojem pro udělení veřejné podpory. Dle aktualizovaného CPR 2021-2027, Čl. 52 bude možné FN kombinovat s dotací, přičemž pravidla pro poskytnutí tohoto typu podpory budou dle zjednodušených podmínek FN. Díky revolvingovému a pákovému efektu, jsou zdroje opakovaně navraceny a z původní alokované částky je tak možné podpořit maximální počet podniků. Konkrétní podpora FN však bude záviset na výstupu nového Předběžného posouzení FN pro programovací období 2021-2027.</w:t>
            </w:r>
          </w:p>
          <w:p w14:paraId="3AA4E4F5"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2F056E8" w14:textId="77777777" w:rsidR="00DD3EFA" w:rsidRPr="005A0E7C" w:rsidRDefault="00DD3EFA" w:rsidP="00B15ECB">
            <w:pPr>
              <w:rPr>
                <w:b/>
              </w:rPr>
            </w:pPr>
          </w:p>
        </w:tc>
      </w:tr>
      <w:tr w:rsidR="00DD3EFA" w:rsidRPr="005A0E7C" w14:paraId="0FA9E152" w14:textId="77777777" w:rsidTr="00B15ECB">
        <w:trPr>
          <w:trHeight w:val="150"/>
        </w:trPr>
        <w:tc>
          <w:tcPr>
            <w:tcW w:w="249" w:type="dxa"/>
            <w:tcBorders>
              <w:top w:val="nil"/>
              <w:bottom w:val="nil"/>
              <w:right w:val="nil"/>
            </w:tcBorders>
            <w:shd w:val="clear" w:color="auto" w:fill="66CCFF"/>
          </w:tcPr>
          <w:p w14:paraId="550642CE" w14:textId="77777777" w:rsidR="00DD3EFA" w:rsidRPr="005A0E7C" w:rsidRDefault="00DD3EFA" w:rsidP="00B15ECB">
            <w:pPr>
              <w:rPr>
                <w:b/>
              </w:rPr>
            </w:pPr>
          </w:p>
        </w:tc>
        <w:tc>
          <w:tcPr>
            <w:tcW w:w="2548" w:type="dxa"/>
            <w:tcBorders>
              <w:left w:val="nil"/>
              <w:bottom w:val="nil"/>
              <w:right w:val="nil"/>
            </w:tcBorders>
            <w:shd w:val="clear" w:color="auto" w:fill="66CCFF"/>
          </w:tcPr>
          <w:p w14:paraId="6C3DAE1A" w14:textId="77777777" w:rsidR="00DD3EFA" w:rsidRPr="005A0E7C" w:rsidRDefault="00DD3EFA" w:rsidP="00B15ECB">
            <w:pPr>
              <w:rPr>
                <w:b/>
              </w:rPr>
            </w:pPr>
          </w:p>
        </w:tc>
        <w:tc>
          <w:tcPr>
            <w:tcW w:w="5978" w:type="dxa"/>
            <w:tcBorders>
              <w:left w:val="nil"/>
              <w:bottom w:val="nil"/>
              <w:right w:val="nil"/>
            </w:tcBorders>
            <w:shd w:val="clear" w:color="auto" w:fill="66CCFF"/>
          </w:tcPr>
          <w:p w14:paraId="154D1069" w14:textId="77777777" w:rsidR="00DD3EFA" w:rsidRPr="005A0E7C" w:rsidRDefault="00DD3EFA" w:rsidP="00B15ECB">
            <w:pPr>
              <w:rPr>
                <w:b/>
              </w:rPr>
            </w:pPr>
          </w:p>
          <w:p w14:paraId="487B5473" w14:textId="77777777" w:rsidR="00DD3EFA" w:rsidRPr="005A0E7C" w:rsidRDefault="00DD3EFA" w:rsidP="00B15ECB">
            <w:pPr>
              <w:rPr>
                <w:b/>
              </w:rPr>
            </w:pPr>
          </w:p>
        </w:tc>
        <w:tc>
          <w:tcPr>
            <w:tcW w:w="249" w:type="dxa"/>
            <w:tcBorders>
              <w:top w:val="nil"/>
              <w:left w:val="nil"/>
              <w:bottom w:val="nil"/>
            </w:tcBorders>
            <w:shd w:val="clear" w:color="auto" w:fill="66CCFF"/>
          </w:tcPr>
          <w:p w14:paraId="3E63A47B" w14:textId="77777777" w:rsidR="00DD3EFA" w:rsidRPr="005A0E7C" w:rsidRDefault="00DD3EFA" w:rsidP="00B15ECB">
            <w:pPr>
              <w:rPr>
                <w:b/>
              </w:rPr>
            </w:pPr>
          </w:p>
        </w:tc>
      </w:tr>
    </w:tbl>
    <w:p w14:paraId="0335CA14"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13D577A7" w14:textId="77777777" w:rsidTr="00B15ECB">
        <w:trPr>
          <w:trHeight w:val="180"/>
        </w:trPr>
        <w:tc>
          <w:tcPr>
            <w:tcW w:w="249" w:type="dxa"/>
            <w:tcBorders>
              <w:bottom w:val="nil"/>
              <w:right w:val="nil"/>
            </w:tcBorders>
            <w:shd w:val="clear" w:color="auto" w:fill="66CCFF"/>
          </w:tcPr>
          <w:p w14:paraId="41961916" w14:textId="77777777" w:rsidR="00DD3EFA" w:rsidRPr="005A0E7C" w:rsidRDefault="00DD3EFA" w:rsidP="00B15ECB">
            <w:pPr>
              <w:rPr>
                <w:b/>
              </w:rPr>
            </w:pPr>
            <w:r w:rsidRPr="005A0E7C">
              <w:br w:type="page"/>
            </w:r>
          </w:p>
        </w:tc>
        <w:tc>
          <w:tcPr>
            <w:tcW w:w="2548" w:type="dxa"/>
            <w:tcBorders>
              <w:left w:val="nil"/>
              <w:right w:val="nil"/>
            </w:tcBorders>
            <w:shd w:val="clear" w:color="auto" w:fill="66CCFF"/>
          </w:tcPr>
          <w:p w14:paraId="364D4733" w14:textId="77777777" w:rsidR="00DD3EFA" w:rsidRPr="005A0E7C" w:rsidRDefault="00DD3EFA" w:rsidP="00B15ECB">
            <w:pPr>
              <w:rPr>
                <w:b/>
              </w:rPr>
            </w:pPr>
          </w:p>
        </w:tc>
        <w:tc>
          <w:tcPr>
            <w:tcW w:w="5978" w:type="dxa"/>
            <w:tcBorders>
              <w:left w:val="nil"/>
              <w:right w:val="nil"/>
            </w:tcBorders>
            <w:shd w:val="clear" w:color="auto" w:fill="66CCFF"/>
          </w:tcPr>
          <w:p w14:paraId="4DB130B7" w14:textId="77777777" w:rsidR="00DD3EFA" w:rsidRPr="005A0E7C" w:rsidRDefault="00DD3EFA" w:rsidP="00B15ECB">
            <w:pPr>
              <w:rPr>
                <w:b/>
              </w:rPr>
            </w:pPr>
          </w:p>
        </w:tc>
        <w:tc>
          <w:tcPr>
            <w:tcW w:w="249" w:type="dxa"/>
            <w:tcBorders>
              <w:left w:val="nil"/>
              <w:bottom w:val="nil"/>
            </w:tcBorders>
            <w:shd w:val="clear" w:color="auto" w:fill="66CCFF"/>
          </w:tcPr>
          <w:p w14:paraId="21A6B75F" w14:textId="77777777" w:rsidR="00DD3EFA" w:rsidRPr="005A0E7C" w:rsidRDefault="00DD3EFA" w:rsidP="00B15ECB">
            <w:pPr>
              <w:rPr>
                <w:b/>
              </w:rPr>
            </w:pPr>
          </w:p>
        </w:tc>
      </w:tr>
      <w:tr w:rsidR="00DD3EFA" w:rsidRPr="005A0E7C" w14:paraId="7490DDE6" w14:textId="77777777" w:rsidTr="00B15ECB">
        <w:trPr>
          <w:trHeight w:val="561"/>
        </w:trPr>
        <w:tc>
          <w:tcPr>
            <w:tcW w:w="249" w:type="dxa"/>
            <w:tcBorders>
              <w:top w:val="nil"/>
              <w:bottom w:val="nil"/>
            </w:tcBorders>
            <w:shd w:val="clear" w:color="auto" w:fill="66CCFF"/>
          </w:tcPr>
          <w:p w14:paraId="7F5C07B9" w14:textId="77777777" w:rsidR="00DD3EFA" w:rsidRPr="005A0E7C" w:rsidRDefault="00DD3EFA" w:rsidP="00B15ECB">
            <w:pPr>
              <w:rPr>
                <w:b/>
              </w:rPr>
            </w:pPr>
          </w:p>
        </w:tc>
        <w:tc>
          <w:tcPr>
            <w:tcW w:w="2548" w:type="dxa"/>
            <w:shd w:val="clear" w:color="auto" w:fill="0070C0"/>
          </w:tcPr>
          <w:p w14:paraId="08A13E0B"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w:t>
            </w:r>
            <w:r w:rsidRPr="005A0E7C">
              <w:rPr>
                <w:b/>
                <w:color w:val="FFFFFF" w:themeColor="background1"/>
              </w:rPr>
              <w:t>VÝZKUMNÝ A INOVAČNÍ SYSTÉM zvyšující konkurenceschopnost společnosti v kontextu technologické změny</w:t>
            </w:r>
          </w:p>
        </w:tc>
        <w:tc>
          <w:tcPr>
            <w:tcW w:w="5978" w:type="dxa"/>
            <w:shd w:val="clear" w:color="auto" w:fill="0070C0"/>
          </w:tcPr>
          <w:p w14:paraId="2CD5ECF6"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b/>
                <w:color w:val="FFFFFF" w:themeColor="background1"/>
                <w:u w:val="single"/>
              </w:rPr>
              <w:t>1</w:t>
            </w:r>
            <w:r w:rsidRPr="005A0E7C">
              <w:rPr>
                <w:rFonts w:eastAsiaTheme="majorEastAsia"/>
                <w:b/>
                <w:color w:val="FFFFFF" w:themeColor="background1"/>
                <w:u w:val="single"/>
              </w:rPr>
              <w:t xml:space="preserve">: </w:t>
            </w:r>
          </w:p>
          <w:p w14:paraId="25F05F5A" w14:textId="77777777" w:rsidR="00DD3EFA" w:rsidRPr="005A0E7C" w:rsidRDefault="00DD3EFA" w:rsidP="00B15ECB">
            <w:pPr>
              <w:rPr>
                <w:b/>
                <w:color w:val="FFFFFF" w:themeColor="background1"/>
              </w:rPr>
            </w:pPr>
            <w:r w:rsidRPr="005A0E7C">
              <w:rPr>
                <w:b/>
                <w:color w:val="FFFFFF" w:themeColor="background1"/>
              </w:rPr>
              <w:t>ZKVALITNĚNÍ STRATEGICKÉHO ŘÍZENÍ VaVaI</w:t>
            </w:r>
          </w:p>
          <w:p w14:paraId="1186CC33" w14:textId="77777777" w:rsidR="00DD3EFA" w:rsidRPr="005A0E7C" w:rsidRDefault="00DD3EFA" w:rsidP="00B15ECB">
            <w:pPr>
              <w:spacing w:before="60" w:after="60"/>
              <w:rPr>
                <w:rFonts w:eastAsiaTheme="majorEastAsia"/>
                <w:b/>
                <w:color w:val="FFFFFF" w:themeColor="background1"/>
              </w:rPr>
            </w:pPr>
          </w:p>
        </w:tc>
        <w:tc>
          <w:tcPr>
            <w:tcW w:w="249" w:type="dxa"/>
            <w:tcBorders>
              <w:top w:val="nil"/>
              <w:bottom w:val="nil"/>
            </w:tcBorders>
            <w:shd w:val="clear" w:color="auto" w:fill="66CCFF"/>
          </w:tcPr>
          <w:p w14:paraId="7B548575" w14:textId="77777777" w:rsidR="00DD3EFA" w:rsidRPr="005A0E7C" w:rsidRDefault="00DD3EFA" w:rsidP="00B15ECB">
            <w:pPr>
              <w:rPr>
                <w:b/>
              </w:rPr>
            </w:pPr>
          </w:p>
        </w:tc>
      </w:tr>
      <w:tr w:rsidR="00DD3EFA" w:rsidRPr="005A0E7C" w14:paraId="63EEA1CB" w14:textId="77777777" w:rsidTr="00B15ECB">
        <w:trPr>
          <w:trHeight w:val="180"/>
        </w:trPr>
        <w:tc>
          <w:tcPr>
            <w:tcW w:w="249" w:type="dxa"/>
            <w:tcBorders>
              <w:top w:val="nil"/>
              <w:bottom w:val="nil"/>
              <w:right w:val="nil"/>
            </w:tcBorders>
            <w:shd w:val="clear" w:color="auto" w:fill="66CCFF"/>
          </w:tcPr>
          <w:p w14:paraId="749DBF41" w14:textId="77777777" w:rsidR="00DD3EFA" w:rsidRPr="005A0E7C" w:rsidRDefault="00DD3EFA" w:rsidP="00B15ECB">
            <w:pPr>
              <w:rPr>
                <w:b/>
              </w:rPr>
            </w:pPr>
          </w:p>
        </w:tc>
        <w:tc>
          <w:tcPr>
            <w:tcW w:w="2548" w:type="dxa"/>
            <w:tcBorders>
              <w:left w:val="nil"/>
              <w:right w:val="nil"/>
            </w:tcBorders>
            <w:shd w:val="clear" w:color="auto" w:fill="66CCFF"/>
          </w:tcPr>
          <w:p w14:paraId="62BF26CF" w14:textId="77777777" w:rsidR="00DD3EFA" w:rsidRPr="005A0E7C" w:rsidRDefault="00DD3EFA" w:rsidP="00B15ECB">
            <w:pPr>
              <w:rPr>
                <w:b/>
              </w:rPr>
            </w:pPr>
          </w:p>
        </w:tc>
        <w:tc>
          <w:tcPr>
            <w:tcW w:w="5978" w:type="dxa"/>
            <w:tcBorders>
              <w:left w:val="nil"/>
              <w:right w:val="nil"/>
            </w:tcBorders>
            <w:shd w:val="clear" w:color="auto" w:fill="66CCFF"/>
          </w:tcPr>
          <w:p w14:paraId="5A40B953" w14:textId="77777777" w:rsidR="00DD3EFA" w:rsidRPr="005A0E7C" w:rsidRDefault="00DD3EFA" w:rsidP="00B15ECB">
            <w:pPr>
              <w:rPr>
                <w:b/>
              </w:rPr>
            </w:pPr>
          </w:p>
        </w:tc>
        <w:tc>
          <w:tcPr>
            <w:tcW w:w="249" w:type="dxa"/>
            <w:tcBorders>
              <w:top w:val="nil"/>
              <w:left w:val="nil"/>
              <w:bottom w:val="nil"/>
            </w:tcBorders>
            <w:shd w:val="clear" w:color="auto" w:fill="66CCFF"/>
          </w:tcPr>
          <w:p w14:paraId="00129519" w14:textId="77777777" w:rsidR="00DD3EFA" w:rsidRPr="005A0E7C" w:rsidRDefault="00DD3EFA" w:rsidP="00B15ECB">
            <w:pPr>
              <w:rPr>
                <w:b/>
              </w:rPr>
            </w:pPr>
          </w:p>
        </w:tc>
      </w:tr>
      <w:tr w:rsidR="00DD3EFA" w:rsidRPr="005A0E7C" w14:paraId="7B88B325" w14:textId="77777777" w:rsidTr="00B15ECB">
        <w:trPr>
          <w:trHeight w:val="892"/>
        </w:trPr>
        <w:tc>
          <w:tcPr>
            <w:tcW w:w="249" w:type="dxa"/>
            <w:tcBorders>
              <w:top w:val="nil"/>
              <w:bottom w:val="nil"/>
            </w:tcBorders>
            <w:shd w:val="clear" w:color="auto" w:fill="66CCFF"/>
          </w:tcPr>
          <w:p w14:paraId="54C1CE0D" w14:textId="77777777" w:rsidR="00DD3EFA" w:rsidRPr="005A0E7C" w:rsidRDefault="00DD3EFA" w:rsidP="00B15ECB">
            <w:pPr>
              <w:rPr>
                <w:b/>
              </w:rPr>
            </w:pPr>
          </w:p>
        </w:tc>
        <w:tc>
          <w:tcPr>
            <w:tcW w:w="2548" w:type="dxa"/>
            <w:shd w:val="clear" w:color="auto" w:fill="FFFFFF" w:themeFill="background1"/>
          </w:tcPr>
          <w:p w14:paraId="2A0AA004"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74A98461" w14:textId="77777777" w:rsidR="00DD3EFA" w:rsidRPr="005A0E7C" w:rsidRDefault="00DD3EFA" w:rsidP="00B15ECB">
            <w:r w:rsidRPr="005A0E7C">
              <w:t>Specifický cíl je tvořen následujícími částmi:</w:t>
            </w:r>
          </w:p>
          <w:p w14:paraId="26486FA8" w14:textId="77777777" w:rsidR="00DD3EFA" w:rsidRPr="005A0E7C" w:rsidRDefault="00DD3EFA" w:rsidP="00B15ECB"/>
          <w:p w14:paraId="43F04198" w14:textId="77777777" w:rsidR="00DD3EFA" w:rsidRPr="005A0E7C" w:rsidRDefault="00DD3EFA" w:rsidP="00B15ECB">
            <w:pPr>
              <w:spacing w:before="60" w:after="60"/>
              <w:rPr>
                <w:b/>
                <w:lang w:eastAsia="cs-CZ"/>
              </w:rPr>
            </w:pPr>
            <w:r w:rsidRPr="005A0E7C">
              <w:rPr>
                <w:lang w:eastAsia="cs-CZ"/>
              </w:rPr>
              <w:t>- Strategické řízení výzkumu, vývoje a inovací na národní a regionální úrovni</w:t>
            </w:r>
          </w:p>
          <w:p w14:paraId="73113B95" w14:textId="77777777" w:rsidR="00DD3EFA" w:rsidRPr="005A0E7C" w:rsidRDefault="00DD3EFA" w:rsidP="00B15ECB">
            <w:pPr>
              <w:spacing w:before="60" w:after="60"/>
              <w:rPr>
                <w:lang w:eastAsia="cs-CZ"/>
              </w:rPr>
            </w:pPr>
            <w:r w:rsidRPr="005A0E7C">
              <w:rPr>
                <w:lang w:eastAsia="cs-CZ"/>
              </w:rPr>
              <w:t>- Společensky odpovědný přístup k výzkumu, vývoji a inovacím v souladu s posilováním inteligentní specializace ČR.</w:t>
            </w:r>
          </w:p>
          <w:p w14:paraId="7727BB63" w14:textId="77777777" w:rsidR="00DD3EFA" w:rsidRPr="005A0E7C" w:rsidRDefault="00DD3EFA" w:rsidP="00B15ECB">
            <w:pPr>
              <w:spacing w:before="60" w:after="60"/>
              <w:rPr>
                <w:b/>
                <w:lang w:eastAsia="cs-CZ"/>
              </w:rPr>
            </w:pPr>
            <w:r w:rsidRPr="005A0E7C">
              <w:rPr>
                <w:lang w:eastAsia="cs-CZ"/>
              </w:rPr>
              <w:t xml:space="preserve">Jejich bližší popis je uveden v části Dílčí cíle podpory. </w:t>
            </w:r>
          </w:p>
        </w:tc>
        <w:tc>
          <w:tcPr>
            <w:tcW w:w="249" w:type="dxa"/>
            <w:tcBorders>
              <w:top w:val="nil"/>
              <w:bottom w:val="nil"/>
            </w:tcBorders>
            <w:shd w:val="clear" w:color="auto" w:fill="66CCFF"/>
          </w:tcPr>
          <w:p w14:paraId="4A4CB355" w14:textId="77777777" w:rsidR="00DD3EFA" w:rsidRPr="005A0E7C" w:rsidRDefault="00DD3EFA" w:rsidP="00B15ECB">
            <w:pPr>
              <w:rPr>
                <w:b/>
              </w:rPr>
            </w:pPr>
          </w:p>
        </w:tc>
      </w:tr>
      <w:tr w:rsidR="00DD3EFA" w:rsidRPr="005A0E7C" w14:paraId="5BF7D797" w14:textId="77777777" w:rsidTr="00B15ECB">
        <w:trPr>
          <w:trHeight w:val="46"/>
        </w:trPr>
        <w:tc>
          <w:tcPr>
            <w:tcW w:w="249" w:type="dxa"/>
            <w:tcBorders>
              <w:top w:val="nil"/>
              <w:bottom w:val="nil"/>
              <w:right w:val="nil"/>
            </w:tcBorders>
            <w:shd w:val="clear" w:color="auto" w:fill="66CCFF"/>
          </w:tcPr>
          <w:p w14:paraId="464D8887"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277B8713"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48F9AA2F" w14:textId="77777777" w:rsidR="00DD3EFA" w:rsidRPr="005A0E7C" w:rsidRDefault="00DD3EFA" w:rsidP="00B15ECB">
            <w:pPr>
              <w:rPr>
                <w:b/>
              </w:rPr>
            </w:pPr>
          </w:p>
        </w:tc>
        <w:tc>
          <w:tcPr>
            <w:tcW w:w="249" w:type="dxa"/>
            <w:tcBorders>
              <w:top w:val="nil"/>
              <w:left w:val="nil"/>
              <w:bottom w:val="nil"/>
            </w:tcBorders>
            <w:shd w:val="clear" w:color="auto" w:fill="66CCFF"/>
          </w:tcPr>
          <w:p w14:paraId="2D02B573" w14:textId="77777777" w:rsidR="00DD3EFA" w:rsidRPr="005A0E7C" w:rsidRDefault="00DD3EFA" w:rsidP="00B15ECB">
            <w:pPr>
              <w:rPr>
                <w:b/>
              </w:rPr>
            </w:pPr>
          </w:p>
        </w:tc>
      </w:tr>
      <w:tr w:rsidR="00DD3EFA" w:rsidRPr="005A0E7C" w14:paraId="336DD0B9" w14:textId="77777777" w:rsidTr="00B15ECB">
        <w:trPr>
          <w:trHeight w:val="1274"/>
        </w:trPr>
        <w:tc>
          <w:tcPr>
            <w:tcW w:w="249" w:type="dxa"/>
            <w:tcBorders>
              <w:top w:val="nil"/>
              <w:bottom w:val="nil"/>
            </w:tcBorders>
            <w:shd w:val="clear" w:color="auto" w:fill="66CCFF"/>
          </w:tcPr>
          <w:p w14:paraId="4E169B6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4541582"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8C9EF5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Koordinované a efektivní řízení systému výzkumu, vývoje a inovací na všech úrovních je klíčovým předpokladem pro úspěšnou realizaci politiky VaVaI.</w:t>
            </w:r>
          </w:p>
          <w:p w14:paraId="35EF077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Stabilní, předvídatelný a koordinovaný způsob řízení systému umožní dlouhodobé plánování na úrovni celého systému i jednotlivých organizací, zvýší důvěru v tento systém a díky zkvalitnění koordinace a komunikace umožní dosahování konsenzu ve směrování politiky VaVaI v ČR.    </w:t>
            </w:r>
          </w:p>
          <w:p w14:paraId="2DFF131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Významnou součástí strategického řízení na národní i regionální úrovni je kontinuální budování a posilování strategické inteligence a potřebných kompetencí pro řízení politiky VaVaI, založených na expertíze v oblasti evaluací, systémového řízení, analytických procesů včetně technologického foresightu a assessmentu a nástrojů pro sledování a účinné zohlednění potřeb ekonomiky a společnosti při formulaci prioritních témat výzkumu v souladu s principy inteligentní specializace a při designování konkrétních nástrojů/intervencí na podporu VaVaI. </w:t>
            </w:r>
          </w:p>
          <w:p w14:paraId="2D8B1FA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Zlepšení koordinace systému výzkumu, vývoje a inovací a jeho řízení včetně propojení a koordinace mezi národní a regionální úrovní bude mít značný dopad na zvýšení efektivity veřejné podpory, což se přispěje nejen ke zvyšování kvality VaV realizovaného v ČR, ale obecně k vytvoření podmínek pro intenzivnější využívání výsledků VaV a inovací ve společnosti a k přechodu ke znalostní ekonomice, což je nezpochybnitelným klíčovým faktorem pro zvyšování konkurenceschopnosti ČR v globálním světě.</w:t>
            </w:r>
          </w:p>
          <w:p w14:paraId="4D4B525E" w14:textId="77777777" w:rsidR="00DD3EFA" w:rsidRPr="005A0E7C" w:rsidRDefault="00DD3EFA" w:rsidP="00B15ECB">
            <w:pPr>
              <w:pStyle w:val="slovanodstavec"/>
              <w:tabs>
                <w:tab w:val="left" w:pos="284"/>
              </w:tabs>
              <w:suppressAutoHyphens/>
              <w:spacing w:line="240" w:lineRule="auto"/>
              <w:rPr>
                <w:rFonts w:ascii="Times New Roman" w:hAnsi="Times New Roman"/>
                <w:lang w:eastAsia="cs-CZ"/>
              </w:rPr>
            </w:pPr>
            <w:r w:rsidRPr="005A0E7C">
              <w:rPr>
                <w:rFonts w:ascii="Times New Roman" w:hAnsi="Times New Roman"/>
                <w:lang w:eastAsia="cs-CZ"/>
              </w:rPr>
              <w:t xml:space="preserve">Aktivity navržené v této oblasti také přispějí k tomu, aby veřejná podpora poskytovaná z různých zdrojů - národních (včetně regionálních a soukromých) i  mezinárodních -byla využívána ve vazbě na aktuální i potenciální potřeby ekonomiky a společnosti v budoucnosti, například v souvislostech s novými výzvami, před které je společnost postavena nebo ve vazbě na globální megatrendy. </w:t>
            </w:r>
            <w:r w:rsidRPr="005A0E7C">
              <w:rPr>
                <w:rFonts w:ascii="Times New Roman" w:hAnsi="Times New Roman"/>
              </w:rPr>
              <w:t>Aktivity navržené v této oblasti se pozitivně odrazí i na koordinovaném využívání prostředků z různých zdrojů, zvýšení jejich synergických účinků a na posilování inteligentní specializace ČR a jejích regionů.</w:t>
            </w:r>
          </w:p>
          <w:p w14:paraId="5DA3B929" w14:textId="77777777" w:rsidR="00DD3EFA" w:rsidRPr="005A0E7C" w:rsidRDefault="00DD3EFA" w:rsidP="00B15ECB">
            <w:pPr>
              <w:spacing w:before="60" w:after="60"/>
              <w:rPr>
                <w:rFonts w:eastAsiaTheme="majorEastAsia"/>
                <w:i/>
                <w:u w:val="single"/>
              </w:rPr>
            </w:pPr>
            <w:r w:rsidRPr="005A0E7C">
              <w:t>Navržené aktivity jsou v souladu s Národní politikou výzkumu, vývoje a inovací České republiky pro roky 2016-2020, Národní výzkumnou a inovační strategií pro inteligentní specializaci ČR (dále jen „Národní RIS3 strategie“) a dalšími národními i evropskými strategicko-koncepčními dokumenty pro oblast výzkumu, vývoje a inovací.</w:t>
            </w:r>
          </w:p>
        </w:tc>
        <w:tc>
          <w:tcPr>
            <w:tcW w:w="249" w:type="dxa"/>
            <w:tcBorders>
              <w:top w:val="nil"/>
              <w:bottom w:val="nil"/>
            </w:tcBorders>
            <w:shd w:val="clear" w:color="auto" w:fill="66CCFF"/>
          </w:tcPr>
          <w:p w14:paraId="6D035201" w14:textId="77777777" w:rsidR="00DD3EFA" w:rsidRPr="005A0E7C" w:rsidRDefault="00DD3EFA" w:rsidP="00B15ECB">
            <w:pPr>
              <w:rPr>
                <w:b/>
              </w:rPr>
            </w:pPr>
          </w:p>
        </w:tc>
      </w:tr>
      <w:tr w:rsidR="00DD3EFA" w:rsidRPr="005A0E7C" w14:paraId="339CD6EE" w14:textId="77777777" w:rsidTr="00B15ECB">
        <w:trPr>
          <w:trHeight w:val="1274"/>
        </w:trPr>
        <w:tc>
          <w:tcPr>
            <w:tcW w:w="249" w:type="dxa"/>
            <w:tcBorders>
              <w:top w:val="nil"/>
              <w:bottom w:val="nil"/>
            </w:tcBorders>
            <w:shd w:val="clear" w:color="auto" w:fill="66CCFF"/>
          </w:tcPr>
          <w:p w14:paraId="16ED137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0106FEF"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31A2E40A" w14:textId="77777777" w:rsidR="00DD3EFA" w:rsidRPr="005A0E7C" w:rsidRDefault="00DD3EFA" w:rsidP="00B15ECB">
            <w:pPr>
              <w:spacing w:before="60" w:after="60"/>
              <w:rPr>
                <w:lang w:eastAsia="cs-CZ"/>
              </w:rPr>
            </w:pPr>
            <w:r w:rsidRPr="005A0E7C">
              <w:rPr>
                <w:lang w:eastAsia="cs-CZ"/>
              </w:rPr>
              <w:t>Tento specifický cíl bude řešit zejména tyto problémy:</w:t>
            </w:r>
          </w:p>
          <w:p w14:paraId="511320A9"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Roztříštěnost a nepřehledné (nejednoznačné) rozdělení kompetencí jednotlivých orgánů státní správy za dílčí aspekty řízení a implementace výzkumné a inovační politiky;</w:t>
            </w:r>
          </w:p>
          <w:p w14:paraId="65D8C2BE"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Nedostatečná spolupráce mezi jednotlivými aktéry zapojenými do tvorby a implementace politiky VaVaI;</w:t>
            </w:r>
          </w:p>
          <w:p w14:paraId="47B3DA93"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Nedůvěra aktérů z VaV a inovačního prostředí vůči systému řízení politiky VaVaI</w:t>
            </w:r>
          </w:p>
          <w:p w14:paraId="59D5144A"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Nedostatečná strategická orientace/prioritizace systému financování VaVaI, která by reflektovala a akcentovala priority/domény inteligentní specializace a zároveň nezaostávala v řešení aktuálních společenských výzev;</w:t>
            </w:r>
          </w:p>
          <w:p w14:paraId="5E784162"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Nedostatečné využívání hodnocení (na různých úrovních) a moderních metod (analýz trendů, výhledů ad.) pro nastavení politiky VaVaI a zaměření/nastavení konkrétních nástrojů podpory;</w:t>
            </w:r>
          </w:p>
          <w:p w14:paraId="46713906"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Fragmentovaná podpora průmyslového výzkumu a inovací</w:t>
            </w:r>
          </w:p>
          <w:p w14:paraId="00A56EA7"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Neexistence soustředěné národní marketingově-komunikační strategie pro vytvoření značky ČR v zahraničí – jako země s vysokým výzkumným a inovativním potenciálem</w:t>
            </w:r>
          </w:p>
          <w:p w14:paraId="6592BD7B" w14:textId="77777777" w:rsidR="00DD3EFA" w:rsidRPr="005A0E7C" w:rsidRDefault="00DD3EFA" w:rsidP="00B15ECB">
            <w:pPr>
              <w:spacing w:before="60" w:after="60"/>
              <w:ind w:left="352"/>
              <w:rPr>
                <w:lang w:eastAsia="cs-CZ"/>
              </w:rPr>
            </w:pPr>
          </w:p>
        </w:tc>
        <w:tc>
          <w:tcPr>
            <w:tcW w:w="249" w:type="dxa"/>
            <w:tcBorders>
              <w:top w:val="nil"/>
              <w:bottom w:val="nil"/>
            </w:tcBorders>
            <w:shd w:val="clear" w:color="auto" w:fill="66CCFF"/>
          </w:tcPr>
          <w:p w14:paraId="497BF618" w14:textId="77777777" w:rsidR="00DD3EFA" w:rsidRPr="005A0E7C" w:rsidRDefault="00DD3EFA" w:rsidP="00B15ECB">
            <w:pPr>
              <w:rPr>
                <w:b/>
              </w:rPr>
            </w:pPr>
          </w:p>
        </w:tc>
      </w:tr>
      <w:tr w:rsidR="00DD3EFA" w:rsidRPr="005A0E7C" w14:paraId="1E95E4FD" w14:textId="77777777" w:rsidTr="00B15ECB">
        <w:trPr>
          <w:trHeight w:val="1274"/>
        </w:trPr>
        <w:tc>
          <w:tcPr>
            <w:tcW w:w="249" w:type="dxa"/>
            <w:tcBorders>
              <w:top w:val="nil"/>
              <w:bottom w:val="nil"/>
            </w:tcBorders>
            <w:shd w:val="clear" w:color="auto" w:fill="66CCFF"/>
          </w:tcPr>
          <w:p w14:paraId="22EE24A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50008DC"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0D60A7A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00B9ECF" w14:textId="77777777" w:rsidR="00DD3EFA" w:rsidRPr="005A0E7C" w:rsidRDefault="00DD3EFA" w:rsidP="00B15ECB">
            <w:pPr>
              <w:spacing w:before="60" w:after="60"/>
              <w:rPr>
                <w:rFonts w:eastAsiaTheme="majorEastAsia"/>
              </w:rPr>
            </w:pPr>
            <w:r w:rsidRPr="005A0E7C">
              <w:rPr>
                <w:rFonts w:eastAsiaTheme="majorEastAsia"/>
              </w:rPr>
              <w:t>Cílem je:</w:t>
            </w:r>
          </w:p>
          <w:p w14:paraId="68D84470" w14:textId="77777777" w:rsidR="00DD3EFA" w:rsidRPr="005A0E7C" w:rsidRDefault="00DD3EFA" w:rsidP="00391907">
            <w:pPr>
              <w:pStyle w:val="Odstavecseseznamem"/>
              <w:numPr>
                <w:ilvl w:val="0"/>
                <w:numId w:val="63"/>
              </w:numPr>
              <w:spacing w:before="60" w:after="60"/>
              <w:rPr>
                <w:rFonts w:eastAsiaTheme="majorEastAsia"/>
              </w:rPr>
            </w:pPr>
            <w:r w:rsidRPr="005A0E7C">
              <w:rPr>
                <w:rFonts w:eastAsiaTheme="majorEastAsia"/>
              </w:rPr>
              <w:t>Vytvořit funkční a koordinovaný systém řízení VaVaI na národní úrovni při efektivním propojení s regionální úrovní podpory místních VaVaI ekosystémů</w:t>
            </w:r>
          </w:p>
          <w:p w14:paraId="4BC66357" w14:textId="77777777" w:rsidR="00DD3EFA" w:rsidRPr="005A0E7C" w:rsidRDefault="00DD3EFA" w:rsidP="00391907">
            <w:pPr>
              <w:pStyle w:val="Odstavecseseznamem"/>
              <w:numPr>
                <w:ilvl w:val="0"/>
                <w:numId w:val="63"/>
              </w:numPr>
              <w:spacing w:before="60" w:after="60"/>
              <w:rPr>
                <w:rFonts w:eastAsiaTheme="majorEastAsia"/>
              </w:rPr>
            </w:pPr>
            <w:r w:rsidRPr="005A0E7C">
              <w:rPr>
                <w:rFonts w:eastAsiaTheme="majorEastAsia"/>
              </w:rPr>
              <w:t>Posílit strategickou inteligenci a kompetence pro řízení politiky VaVaI zahrnující přenášení best practice ze zahraničí, využívání moderních nástrojů zpětného hodnocení i nástrojů pro identifikaci budoucích příležitostí a perspektivních oblastí pro efektivní zacílení/prioritizaci politiky VaVaI a koncepční nastavení konkrétních nástrojů podpory v souladu s principy inteligentní specializace a za využití procesu „entrepreneurial discovery“</w:t>
            </w:r>
          </w:p>
          <w:p w14:paraId="14DDD49A" w14:textId="77777777" w:rsidR="00DD3EFA" w:rsidRPr="005A0E7C" w:rsidRDefault="00DD3EFA" w:rsidP="00391907">
            <w:pPr>
              <w:pStyle w:val="Odstavecseseznamem"/>
              <w:numPr>
                <w:ilvl w:val="0"/>
                <w:numId w:val="63"/>
              </w:numPr>
              <w:spacing w:before="60" w:after="60"/>
              <w:rPr>
                <w:rFonts w:eastAsiaTheme="majorEastAsia"/>
              </w:rPr>
            </w:pPr>
            <w:r w:rsidRPr="005A0E7C">
              <w:rPr>
                <w:rFonts w:eastAsiaTheme="majorEastAsia"/>
              </w:rPr>
              <w:t>V důsledku výše uvedeného posílit důvěru vědecké a inovačně-podnikatelské komunity v systém řízení politiky VaVaI</w:t>
            </w:r>
          </w:p>
          <w:p w14:paraId="1D31E32D" w14:textId="77777777" w:rsidR="00DD3EFA" w:rsidRPr="005A0E7C" w:rsidRDefault="00DD3EFA" w:rsidP="00391907">
            <w:pPr>
              <w:pStyle w:val="Odstavecseseznamem"/>
              <w:numPr>
                <w:ilvl w:val="0"/>
                <w:numId w:val="63"/>
              </w:numPr>
              <w:spacing w:before="60" w:after="60"/>
              <w:rPr>
                <w:rFonts w:eastAsiaTheme="majorEastAsia"/>
              </w:rPr>
            </w:pPr>
            <w:r w:rsidRPr="005A0E7C">
              <w:rPr>
                <w:rFonts w:eastAsiaTheme="majorEastAsia"/>
              </w:rPr>
              <w:t>Posílit image České republiky (Česka) u nás i v zahraničí jako vysoce inovativní země - podnikavé, kreativní, s vysokým výzkumným a inovativním potenciálem v mnoha oborech (doménách inteligentní specializace) a přitažlivé pro talenty a investice</w:t>
            </w:r>
          </w:p>
          <w:p w14:paraId="1DE4F6EA" w14:textId="77777777" w:rsidR="00DD3EFA" w:rsidRPr="005A0E7C" w:rsidRDefault="00DD3EFA" w:rsidP="00B15ECB">
            <w:pPr>
              <w:pStyle w:val="Odstavecseseznamem"/>
              <w:spacing w:before="60" w:after="60"/>
              <w:rPr>
                <w:rFonts w:eastAsiaTheme="majorEastAsia"/>
                <w:i/>
                <w:u w:val="single"/>
              </w:rPr>
            </w:pPr>
          </w:p>
        </w:tc>
        <w:tc>
          <w:tcPr>
            <w:tcW w:w="249" w:type="dxa"/>
            <w:tcBorders>
              <w:top w:val="nil"/>
              <w:bottom w:val="nil"/>
            </w:tcBorders>
            <w:shd w:val="clear" w:color="auto" w:fill="66CCFF"/>
          </w:tcPr>
          <w:p w14:paraId="73E12002" w14:textId="77777777" w:rsidR="00DD3EFA" w:rsidRPr="005A0E7C" w:rsidRDefault="00DD3EFA" w:rsidP="00B15ECB">
            <w:pPr>
              <w:rPr>
                <w:b/>
              </w:rPr>
            </w:pPr>
          </w:p>
        </w:tc>
      </w:tr>
      <w:tr w:rsidR="00DD3EFA" w:rsidRPr="005A0E7C" w14:paraId="6FF05447" w14:textId="77777777" w:rsidTr="00B15ECB">
        <w:trPr>
          <w:trHeight w:val="1274"/>
        </w:trPr>
        <w:tc>
          <w:tcPr>
            <w:tcW w:w="249" w:type="dxa"/>
            <w:tcBorders>
              <w:top w:val="nil"/>
              <w:bottom w:val="nil"/>
            </w:tcBorders>
            <w:shd w:val="clear" w:color="auto" w:fill="66CCFF"/>
          </w:tcPr>
          <w:p w14:paraId="777E85E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BE45133"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110C00A6" w14:textId="77777777" w:rsidR="00DD3EFA" w:rsidRPr="005A0E7C" w:rsidRDefault="00DD3EFA" w:rsidP="00B15ECB">
            <w:pPr>
              <w:spacing w:before="60" w:after="60"/>
              <w:rPr>
                <w:lang w:eastAsia="cs-CZ"/>
              </w:rPr>
            </w:pPr>
            <w:r w:rsidRPr="005A0E7C">
              <w:rPr>
                <w:lang w:eastAsia="cs-CZ"/>
              </w:rPr>
              <w:t>Očekávané výsledky/dopady intervencí</w:t>
            </w:r>
          </w:p>
          <w:p w14:paraId="1481A218"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Prostředky ESIF budou využity pro zlepšení strategického a koordinovaného řízení/podpory systému výzkumu, vývoje a inovací a zlepšení spolupráce mezi jeho aktéry působícími na národní i regionální úrovni. </w:t>
            </w:r>
          </w:p>
          <w:p w14:paraId="4C3438A0"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S využitím prostředků ESIF bude posílena strategická inteligence pro tvorbu, realizaci a vyhodnocování politiky VaVaI na </w:t>
            </w:r>
            <w:r w:rsidRPr="005A0E7C">
              <w:t xml:space="preserve">národní </w:t>
            </w:r>
            <w:r w:rsidRPr="005A0E7C">
              <w:rPr>
                <w:lang w:eastAsia="cs-CZ"/>
              </w:rPr>
              <w:t>i</w:t>
            </w:r>
            <w:r w:rsidRPr="005A0E7C">
              <w:t xml:space="preserve"> regionální </w:t>
            </w:r>
            <w:r w:rsidRPr="005A0E7C">
              <w:rPr>
                <w:lang w:eastAsia="cs-CZ"/>
              </w:rPr>
              <w:t xml:space="preserve">úrovni, </w:t>
            </w:r>
          </w:p>
          <w:p w14:paraId="0A6D3E06"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Prostředky ESIF budou využity pro nastavení systému vyhodnocování politik a strategií zaměřených na oblast VaVaI a technologií, jejich nástrojů i pro využívání výsledků těchto hodnocení pro strategické řízení VaVaI. </w:t>
            </w:r>
          </w:p>
          <w:p w14:paraId="1BF1353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Prostředky ESIF přispějí i k vyhodnocování aktuálních i budoucích potřeb společnosti, identifikaci budoucích příležitostí a hrozeb, sledování megatrendů i vyhodnocování dopadů nových technologií na společnost. </w:t>
            </w:r>
          </w:p>
          <w:p w14:paraId="0F941C76" w14:textId="77777777" w:rsidR="00DD3EFA" w:rsidRPr="005A0E7C" w:rsidRDefault="00DD3EFA" w:rsidP="00B15ECB">
            <w:pPr>
              <w:spacing w:before="60" w:after="60"/>
              <w:rPr>
                <w:rFonts w:eastAsiaTheme="majorEastAsia"/>
                <w:i/>
                <w:u w:val="single"/>
              </w:rPr>
            </w:pPr>
            <w:r w:rsidRPr="005A0E7C">
              <w:rPr>
                <w:lang w:eastAsia="cs-CZ"/>
              </w:rPr>
              <w:t>Aktivity navržené v této oblasti tak výraznou měrou přispějí k efektivnějšímu a koordinovanému řízení poskytování veřejné podpory z různých zdrojů (národní zdroje včetně zdrojů regionálních, prostředky ESIF a další unijní zdroje, další zdroje ze zahraničí) ve vazbě na potřeby ekonomiky a společnosti.</w:t>
            </w:r>
          </w:p>
        </w:tc>
        <w:tc>
          <w:tcPr>
            <w:tcW w:w="249" w:type="dxa"/>
            <w:tcBorders>
              <w:top w:val="nil"/>
              <w:bottom w:val="nil"/>
            </w:tcBorders>
            <w:shd w:val="clear" w:color="auto" w:fill="66CCFF"/>
          </w:tcPr>
          <w:p w14:paraId="4014904B" w14:textId="77777777" w:rsidR="00DD3EFA" w:rsidRPr="005A0E7C" w:rsidRDefault="00DD3EFA" w:rsidP="00B15ECB">
            <w:pPr>
              <w:rPr>
                <w:b/>
              </w:rPr>
            </w:pPr>
          </w:p>
        </w:tc>
      </w:tr>
      <w:tr w:rsidR="00DD3EFA" w:rsidRPr="005A0E7C" w14:paraId="69C5E017" w14:textId="77777777" w:rsidTr="00B15ECB">
        <w:trPr>
          <w:trHeight w:val="1274"/>
        </w:trPr>
        <w:tc>
          <w:tcPr>
            <w:tcW w:w="249" w:type="dxa"/>
            <w:tcBorders>
              <w:top w:val="nil"/>
              <w:bottom w:val="nil"/>
            </w:tcBorders>
            <w:shd w:val="clear" w:color="auto" w:fill="66CCFF"/>
          </w:tcPr>
          <w:p w14:paraId="71DE091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E10E8AA"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19BAAC15" w14:textId="710CDBA7" w:rsidR="00DD3EFA" w:rsidRPr="005A0E7C" w:rsidRDefault="00DD3EFA" w:rsidP="00B15ECB">
            <w:pPr>
              <w:spacing w:before="60" w:after="60"/>
              <w:rPr>
                <w:rFonts w:eastAsiaTheme="majorEastAsia"/>
              </w:rPr>
            </w:pPr>
            <w:r w:rsidRPr="005A0E7C">
              <w:rPr>
                <w:rFonts w:eastAsiaTheme="majorEastAsia"/>
              </w:rPr>
              <w:t>S ohledem na chybějící aktuální informace o konkrétní výši ESIF na jednotlivé politické cíle, specifické cíle apod., vychází odhadovaná hodnota z</w:t>
            </w:r>
            <w:r w:rsidR="008F16B1" w:rsidRPr="005A0E7C">
              <w:rPr>
                <w:rFonts w:eastAsiaTheme="majorEastAsia"/>
              </w:rPr>
              <w:t>e</w:t>
            </w:r>
            <w:r w:rsidRPr="005A0E7C">
              <w:rPr>
                <w:rFonts w:eastAsiaTheme="majorEastAsia"/>
              </w:rPr>
              <w:t xml:space="preserve"> současných informací o ESIF a znalosti výše státního rozpočtu na tuto oblast, včetně předpokladů na reálnost možného navýšení. </w:t>
            </w:r>
          </w:p>
          <w:p w14:paraId="296871E1" w14:textId="77777777" w:rsidR="00DD3EFA" w:rsidRPr="005A0E7C" w:rsidRDefault="00DD3EFA" w:rsidP="00B15ECB">
            <w:pPr>
              <w:spacing w:before="60" w:after="60"/>
              <w:rPr>
                <w:i/>
              </w:rPr>
            </w:pPr>
            <w:r w:rsidRPr="005A0E7C">
              <w:rPr>
                <w:rFonts w:eastAsiaTheme="majorEastAsia"/>
              </w:rPr>
              <w:t>S ohledem na znalost výdajů státního rozpočtu na obdobné aktivity tohoto specifického cíle NKR, omezení jednotlivých programů podpory lze předpokládat, že předpokládaný podíl ESIF na plnění tohoto specifického cíle NKR bude poměrně významný.</w:t>
            </w:r>
          </w:p>
          <w:p w14:paraId="26E58CD2" w14:textId="77777777" w:rsidR="00DD3EFA" w:rsidRPr="005A0E7C" w:rsidRDefault="00DD3EFA" w:rsidP="00B15ECB">
            <w:pPr>
              <w:spacing w:before="60" w:after="60"/>
            </w:pPr>
            <w:r w:rsidRPr="005A0E7C">
              <w:t>Z prostředků státního rozpočtu dochází k financování základních aktivit (zejm. dlouhodobé řízení Národní politiky VaVaI; položení základu řízení (včetně základu monitorování a vyhodnocování) Národní RIS3 strategie a také základu pro koordinaci národních RIS3 aktivit s regionálními aktivitami na podporu VaVaI a sbírání informací o regionálních inovačních ekosystémech; tvorba metodiky pro sběr a vyhodnocování informací o inovačním potenciálu českých subjektů a její pilotní ověření (INKA); zavedení nové metodiky hodnocení výzkumných organizací podle kvality (Metodika 2017+); kofinancování projektů ESIF). Bohužel alokace na tyto aktivity je omezená a proto je rovněž velmi limitován jejich významnější kvalitativní posun, což činí z ESIF důležitý finanční zdroj např. při:</w:t>
            </w:r>
          </w:p>
          <w:p w14:paraId="4F582416" w14:textId="77777777" w:rsidR="00DD3EFA" w:rsidRPr="005A0E7C" w:rsidRDefault="00DD3EFA" w:rsidP="00B15ECB">
            <w:pPr>
              <w:spacing w:before="60" w:after="60"/>
            </w:pPr>
            <w:r w:rsidRPr="005A0E7C">
              <w:t>- zavádění moderních nástrojů pro řízení politiky VaVaI včetně sledování a vyhodnocování technologických trendů;</w:t>
            </w:r>
          </w:p>
          <w:p w14:paraId="036D4AFE" w14:textId="77777777" w:rsidR="00DD3EFA" w:rsidRPr="005A0E7C" w:rsidRDefault="00DD3EFA" w:rsidP="00B15ECB">
            <w:pPr>
              <w:spacing w:before="60" w:after="60"/>
            </w:pPr>
            <w:r w:rsidRPr="005A0E7C">
              <w:t>- koordinaci sběru informací o potřebách a potenciálu českého inovačního prostředí systematicky a koordinovaně ve všech regionech a při jejich využívání pro politiku VaVaI;</w:t>
            </w:r>
          </w:p>
          <w:p w14:paraId="12E2B470" w14:textId="77777777" w:rsidR="00DD3EFA" w:rsidRPr="005A0E7C" w:rsidRDefault="00DD3EFA" w:rsidP="00B15ECB">
            <w:pPr>
              <w:spacing w:before="60" w:after="60"/>
            </w:pPr>
            <w:r w:rsidRPr="005A0E7C">
              <w:t xml:space="preserve">- podpoře regionálních aktivit/nástrojů na podporu inovačního prostředí (tj. tam, kde se regionální veřejná správa teprve učí podporovat rozvoj lokální ekonomiky prostřednictvím  intervencí na podporu VaVaI a kde vzhledem k dlouhodobému horizontu, ve kterém tyto aktivity přináší efekt pro ekonomiku, zatím chybí dostatečně robustní důkazy o přínosech těchto aktivit pro dané regiony na to, aby byly masivně politicky podporovány regionální správou a financovány plně z rozpočtů krajů a měst). </w:t>
            </w:r>
          </w:p>
          <w:p w14:paraId="1E30EF14" w14:textId="77777777" w:rsidR="00DD3EFA" w:rsidRPr="005A0E7C" w:rsidRDefault="00DD3EFA" w:rsidP="00B15ECB">
            <w:pPr>
              <w:spacing w:before="60" w:after="60"/>
              <w:rPr>
                <w:i/>
              </w:rPr>
            </w:pPr>
            <w:r w:rsidRPr="005A0E7C">
              <w:t>S ohledem na výše uvedené faktory lze proto předpokládat, že podíl ESIF na plnění tohoto specifického cíle NKR bude poměrově podstatně vyšší než podíl státního rozpočtu.</w:t>
            </w:r>
          </w:p>
        </w:tc>
        <w:tc>
          <w:tcPr>
            <w:tcW w:w="249" w:type="dxa"/>
            <w:tcBorders>
              <w:top w:val="nil"/>
              <w:bottom w:val="nil"/>
            </w:tcBorders>
            <w:shd w:val="clear" w:color="auto" w:fill="66CCFF"/>
          </w:tcPr>
          <w:p w14:paraId="56508331" w14:textId="77777777" w:rsidR="00DD3EFA" w:rsidRPr="005A0E7C" w:rsidRDefault="00DD3EFA" w:rsidP="00B15ECB">
            <w:pPr>
              <w:rPr>
                <w:b/>
              </w:rPr>
            </w:pPr>
          </w:p>
        </w:tc>
      </w:tr>
      <w:tr w:rsidR="00DD3EFA" w:rsidRPr="005A0E7C" w14:paraId="6FB12416" w14:textId="77777777" w:rsidTr="00B15ECB">
        <w:trPr>
          <w:trHeight w:val="1274"/>
        </w:trPr>
        <w:tc>
          <w:tcPr>
            <w:tcW w:w="249" w:type="dxa"/>
            <w:tcBorders>
              <w:top w:val="nil"/>
              <w:bottom w:val="nil"/>
            </w:tcBorders>
            <w:shd w:val="clear" w:color="auto" w:fill="66CCFF"/>
          </w:tcPr>
          <w:p w14:paraId="6732C4C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1B3A16B"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03445646" w14:textId="77777777" w:rsidR="00DD3EFA" w:rsidRPr="005A0E7C" w:rsidRDefault="00DD3EFA" w:rsidP="00B15ECB">
            <w:r w:rsidRPr="005A0E7C">
              <w:t>Navržené aktivity směřující ke strategickému řízení systému VaVaI byly v uplynulém období podporovány z ESIF jen ve značně omezené míře. Koncept zapojení klíčových stakeholderů ze všech sfér triple helix do řízení politiky VaVaI se v  období 2007-2013 uplatňoval pouze v omezeném rozsahu. Jedná se však o důležitý předpoklad pro efektivní nastavení veřejných politik a určení priorit pro zacílení prostředků a koordinovaného úsilí žádoucím směrem. Nově by měly být jak na centrální úrovni, tak v krajích nastaveny shodně kvalitní podmínky pro formulaci priorit a cílů a ve vazbě na to pak finančních prostředků, lidských zdrojů a dalších kapacit. Navržená podpora z ESIF řeší problematiku strategického řízení systému výzkumu, vývoje a inovací a funkčního propojení veřejné správy, akademického, výzkumného a podnikatelského sektoru při nastavování i realizaci priorit.</w:t>
            </w:r>
          </w:p>
          <w:p w14:paraId="6FAE6B15" w14:textId="77777777" w:rsidR="00DD3EFA" w:rsidRPr="005A0E7C" w:rsidRDefault="00DD3EFA" w:rsidP="00B15ECB">
            <w:r w:rsidRPr="005A0E7C">
              <w:rPr>
                <w:lang w:eastAsia="cs-CZ"/>
              </w:rPr>
              <w:t>Co se týká úrovně regionů ČR a ČR jako celku, paralelně k procesu posilování úrovně strategického řízení výzkumných organizací (viz specifický cíl NKR Rozvoj zázemí pro kvalitní výzkum) je zapotřebí posilovat procesy inteligentní specializace na úrovni celostátních i regionálních poskytovatelů podpory na výzkum, vývoj a inovace z veřejných zdrojů ČR.</w:t>
            </w:r>
            <w:r w:rsidRPr="005A0E7C">
              <w:t xml:space="preserve"> </w:t>
            </w:r>
          </w:p>
          <w:p w14:paraId="114EF28E" w14:textId="77777777" w:rsidR="00DD3EFA" w:rsidRPr="005A0E7C" w:rsidRDefault="00DD3EFA" w:rsidP="00B15ECB">
            <w:pPr>
              <w:rPr>
                <w:i/>
              </w:rPr>
            </w:pPr>
          </w:p>
        </w:tc>
        <w:tc>
          <w:tcPr>
            <w:tcW w:w="249" w:type="dxa"/>
            <w:tcBorders>
              <w:top w:val="nil"/>
              <w:bottom w:val="nil"/>
            </w:tcBorders>
            <w:shd w:val="clear" w:color="auto" w:fill="66CCFF"/>
          </w:tcPr>
          <w:p w14:paraId="1CBBE79D" w14:textId="77777777" w:rsidR="00DD3EFA" w:rsidRPr="005A0E7C" w:rsidRDefault="00DD3EFA" w:rsidP="00B15ECB">
            <w:pPr>
              <w:rPr>
                <w:b/>
              </w:rPr>
            </w:pPr>
          </w:p>
        </w:tc>
      </w:tr>
      <w:tr w:rsidR="00DD3EFA" w:rsidRPr="005A0E7C" w14:paraId="2FEDA628" w14:textId="77777777" w:rsidTr="00B15ECB">
        <w:trPr>
          <w:trHeight w:val="272"/>
        </w:trPr>
        <w:tc>
          <w:tcPr>
            <w:tcW w:w="249" w:type="dxa"/>
            <w:tcBorders>
              <w:top w:val="nil"/>
              <w:bottom w:val="nil"/>
              <w:right w:val="nil"/>
            </w:tcBorders>
            <w:shd w:val="clear" w:color="auto" w:fill="66CCFF"/>
          </w:tcPr>
          <w:p w14:paraId="79C246B7"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D1FDBE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A433B41"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4044F166" w14:textId="77777777" w:rsidR="00DD3EFA" w:rsidRPr="005A0E7C" w:rsidRDefault="00DD3EFA" w:rsidP="00B15ECB">
            <w:pPr>
              <w:rPr>
                <w:b/>
              </w:rPr>
            </w:pPr>
          </w:p>
        </w:tc>
      </w:tr>
      <w:tr w:rsidR="00DD3EFA" w:rsidRPr="005A0E7C" w14:paraId="2BC8EA36" w14:textId="77777777" w:rsidTr="00B15ECB">
        <w:trPr>
          <w:trHeight w:val="835"/>
        </w:trPr>
        <w:tc>
          <w:tcPr>
            <w:tcW w:w="249" w:type="dxa"/>
            <w:tcBorders>
              <w:top w:val="nil"/>
              <w:bottom w:val="nil"/>
            </w:tcBorders>
            <w:shd w:val="clear" w:color="auto" w:fill="66CCFF"/>
          </w:tcPr>
          <w:p w14:paraId="4B0C06AD"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2768F2E4"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003AD8B8"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6C98ADAF" w14:textId="77777777" w:rsidR="00DD3EFA" w:rsidRPr="005A0E7C" w:rsidRDefault="00DD3EFA" w:rsidP="00B15ECB">
            <w:pPr>
              <w:spacing w:before="60" w:after="60"/>
              <w:rPr>
                <w:b/>
                <w:lang w:eastAsia="cs-CZ"/>
              </w:rPr>
            </w:pPr>
            <w:r w:rsidRPr="005A0E7C">
              <w:rPr>
                <w:b/>
                <w:lang w:eastAsia="cs-CZ"/>
              </w:rPr>
              <w:t>Strategické řízení výzkumu, vývoje a inovací na národní a regionální úrovni</w:t>
            </w:r>
          </w:p>
          <w:p w14:paraId="384BFE2C" w14:textId="77777777" w:rsidR="00DD3EFA" w:rsidRPr="005A0E7C" w:rsidRDefault="00DD3EFA" w:rsidP="00B15ECB">
            <w:pPr>
              <w:spacing w:before="60" w:after="60"/>
              <w:rPr>
                <w:lang w:eastAsia="cs-CZ"/>
              </w:rPr>
            </w:pPr>
            <w:r w:rsidRPr="005A0E7C">
              <w:rPr>
                <w:lang w:eastAsia="cs-CZ"/>
              </w:rPr>
              <w:t xml:space="preserve">Cílem je zlepšení strategického řízení sytému výzkumu, vývoje a inovací v ČR. </w:t>
            </w:r>
          </w:p>
          <w:p w14:paraId="5662BFEA" w14:textId="77777777" w:rsidR="00DD3EFA" w:rsidRPr="005A0E7C" w:rsidRDefault="00DD3EFA" w:rsidP="00B15ECB">
            <w:pPr>
              <w:spacing w:before="60" w:after="60"/>
            </w:pPr>
            <w:r w:rsidRPr="005A0E7C">
              <w:t>Opatření budou zaměřena zejména na:</w:t>
            </w:r>
          </w:p>
          <w:p w14:paraId="25695D5C"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Zajištění strategického a koordinované řízení systému výzkumu, vývoje a inovací na národní i regionální úrovni a jejich propojení;</w:t>
            </w:r>
          </w:p>
          <w:p w14:paraId="562F54BB"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 xml:space="preserve">Posílení strategické inteligence a kompetencí pro řízení a implementaci politiky VaVaI včetně zapojení aktérů/stakeholderů z tzv. triple/quadrubple helix (zahrnující zejm. firemní a výzkumný sektor) do procesů perspektivní prioritizace politiky VaVaI a identifikace bariér v inovačním systému – v souladu s principy inteligentní specializace a procesu „entrepreneurial discovery“; </w:t>
            </w:r>
            <w:r w:rsidRPr="005A0E7C">
              <w:t xml:space="preserve">osvojování zahraničních zkušeností a dobrých praxí a využívání moderních nástrojů pro tvorbu, řízení, implementaci a evaluaci politik na podporu VaVaI </w:t>
            </w:r>
            <w:r w:rsidRPr="005A0E7C">
              <w:rPr>
                <w:lang w:eastAsia="cs-CZ"/>
              </w:rPr>
              <w:t>(NP VaVaI, národní RIS3 a regionálních RIS3 strategií, resortní a tematicky/odvětvově zaměřené politiky) a jejich nástrojů;</w:t>
            </w:r>
          </w:p>
          <w:p w14:paraId="70D2809E"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Rozvoj spolupráce mezi institucemi odpovědnými za strategické řízení výzkumu, vývoje a inovací a za přípravu a realizaci nástrojů podpory VaVaI na národní i regionální úrovni, včetně specializovaných národních i regionálních agentur apod.;</w:t>
            </w:r>
          </w:p>
          <w:p w14:paraId="569D22CF" w14:textId="77777777" w:rsidR="00DD3EFA" w:rsidRPr="005A0E7C" w:rsidRDefault="00DD3EFA" w:rsidP="00B15ECB">
            <w:pPr>
              <w:spacing w:before="60" w:after="60"/>
              <w:rPr>
                <w:b/>
                <w:lang w:eastAsia="cs-CZ"/>
              </w:rPr>
            </w:pPr>
            <w:r w:rsidRPr="005A0E7C">
              <w:rPr>
                <w:b/>
                <w:lang w:eastAsia="cs-CZ"/>
              </w:rPr>
              <w:t>Společensky odpovědný přístup k výzkumu a inovacím v souladu s posilováním inteligentní specializace ČR</w:t>
            </w:r>
          </w:p>
          <w:p w14:paraId="654D5150" w14:textId="77777777" w:rsidR="00DD3EFA" w:rsidRPr="005A0E7C" w:rsidRDefault="00DD3EFA" w:rsidP="00B15ECB">
            <w:pPr>
              <w:spacing w:before="60" w:after="60"/>
            </w:pPr>
            <w:r w:rsidRPr="005A0E7C">
              <w:t>Cílem v této podoblasti je vytvořit podmínky pro efektivní využívání podpory VaVaI a jeho výsledků a pro posilování inteligentní specializace ČR a jejích regionů a všeobecný socioekonomický rozvoj</w:t>
            </w:r>
          </w:p>
          <w:p w14:paraId="62355C67" w14:textId="77777777" w:rsidR="00DD3EFA" w:rsidRPr="005A0E7C" w:rsidRDefault="00DD3EFA" w:rsidP="00B15ECB">
            <w:pPr>
              <w:spacing w:before="60" w:after="60"/>
              <w:rPr>
                <w:b/>
                <w:lang w:eastAsia="cs-CZ"/>
              </w:rPr>
            </w:pPr>
            <w:r w:rsidRPr="005A0E7C">
              <w:t xml:space="preserve">Opatření budou zaměřená zejména na </w:t>
            </w:r>
            <w:r w:rsidRPr="005A0E7C">
              <w:rPr>
                <w:lang w:eastAsia="cs-CZ"/>
              </w:rPr>
              <w:t>nastavení funkčního systému pro</w:t>
            </w:r>
            <w:r w:rsidRPr="005A0E7C">
              <w:t>:</w:t>
            </w:r>
          </w:p>
          <w:p w14:paraId="3426BC4D"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Vyhodnocování všech politik a strategií zaměřených na oblast VaVaI a technologií a jejich nástrojů, využívání výsledků hodnocení pro strategické řízení VaVaI;</w:t>
            </w:r>
          </w:p>
          <w:p w14:paraId="4D12AA7E"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Mapování a vyhodnocování aktuálních i budoucích potřeb společnosti, identifikace příležitostí a hrozeb (s využitím foresightu a dalších moderních metod), využívání výsledků pro tvorbu a implementaci politik VaVaI a technologií a jejich nástrojů;</w:t>
            </w:r>
          </w:p>
          <w:p w14:paraId="6023796A" w14:textId="77777777" w:rsidR="00DD3EFA" w:rsidRPr="005A0E7C" w:rsidRDefault="00DD3EFA" w:rsidP="00391907">
            <w:pPr>
              <w:numPr>
                <w:ilvl w:val="0"/>
                <w:numId w:val="63"/>
              </w:numPr>
              <w:spacing w:before="60" w:after="60"/>
              <w:ind w:left="352" w:hanging="284"/>
              <w:jc w:val="both"/>
              <w:rPr>
                <w:lang w:eastAsia="cs-CZ"/>
              </w:rPr>
            </w:pPr>
            <w:r w:rsidRPr="005A0E7C">
              <w:rPr>
                <w:lang w:eastAsia="cs-CZ"/>
              </w:rPr>
              <w:t>Vyhodnocování dopadů nových technologií na společnost, využívání výsledků pro tvorbu a implementaci politik VaVaI a technologií a jejich nástrojů;</w:t>
            </w:r>
          </w:p>
          <w:p w14:paraId="4BF5C8F3" w14:textId="77777777" w:rsidR="00DD3EFA" w:rsidRPr="005A0E7C" w:rsidRDefault="00DD3EFA" w:rsidP="00391907">
            <w:pPr>
              <w:numPr>
                <w:ilvl w:val="0"/>
                <w:numId w:val="63"/>
              </w:numPr>
              <w:spacing w:before="60" w:after="60"/>
              <w:ind w:left="352" w:hanging="284"/>
              <w:jc w:val="both"/>
              <w:rPr>
                <w:rFonts w:eastAsia="Calibri"/>
              </w:rPr>
            </w:pPr>
            <w:r w:rsidRPr="005A0E7C">
              <w:rPr>
                <w:lang w:eastAsia="cs-CZ"/>
              </w:rPr>
              <w:t>Popularizaci VaVaI a jeho výsledků, zviditelnění a propagace úspěchů ve VaVaI v ČR i v zahraničí s cílem posílit image ČR jako technologicky vyspělé země s vysokým výzkumným a inovativním potenciálem, atraktivní pro talenty a investice.</w:t>
            </w:r>
          </w:p>
          <w:p w14:paraId="2F2AEC44" w14:textId="77777777" w:rsidR="00DD3EFA" w:rsidRPr="005A0E7C" w:rsidRDefault="00DD3EFA" w:rsidP="00B15ECB">
            <w:pPr>
              <w:spacing w:before="60" w:after="60"/>
              <w:ind w:left="352"/>
              <w:rPr>
                <w:rFonts w:eastAsia="Calibri"/>
              </w:rPr>
            </w:pPr>
          </w:p>
        </w:tc>
        <w:tc>
          <w:tcPr>
            <w:tcW w:w="249" w:type="dxa"/>
            <w:tcBorders>
              <w:top w:val="nil"/>
              <w:bottom w:val="nil"/>
            </w:tcBorders>
            <w:shd w:val="clear" w:color="auto" w:fill="66CCFF"/>
          </w:tcPr>
          <w:p w14:paraId="1CB6CC50" w14:textId="77777777" w:rsidR="00DD3EFA" w:rsidRPr="005A0E7C" w:rsidRDefault="00DD3EFA" w:rsidP="00B15ECB">
            <w:pPr>
              <w:rPr>
                <w:b/>
              </w:rPr>
            </w:pPr>
          </w:p>
        </w:tc>
      </w:tr>
      <w:tr w:rsidR="00DD3EFA" w:rsidRPr="005A0E7C" w14:paraId="6A7227B6" w14:textId="77777777" w:rsidTr="00B15ECB">
        <w:trPr>
          <w:trHeight w:val="377"/>
        </w:trPr>
        <w:tc>
          <w:tcPr>
            <w:tcW w:w="249" w:type="dxa"/>
            <w:tcBorders>
              <w:top w:val="nil"/>
              <w:bottom w:val="nil"/>
              <w:right w:val="nil"/>
            </w:tcBorders>
            <w:shd w:val="clear" w:color="auto" w:fill="66CCFF"/>
          </w:tcPr>
          <w:p w14:paraId="55CDE897"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760D3E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8AF1A97"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309BF77C" w14:textId="77777777" w:rsidR="00DD3EFA" w:rsidRPr="005A0E7C" w:rsidRDefault="00DD3EFA" w:rsidP="00B15ECB">
            <w:pPr>
              <w:rPr>
                <w:b/>
              </w:rPr>
            </w:pPr>
          </w:p>
        </w:tc>
      </w:tr>
      <w:tr w:rsidR="00DD3EFA" w:rsidRPr="005A0E7C" w14:paraId="2783DBDF" w14:textId="77777777" w:rsidTr="00B15ECB">
        <w:trPr>
          <w:trHeight w:val="607"/>
        </w:trPr>
        <w:tc>
          <w:tcPr>
            <w:tcW w:w="249" w:type="dxa"/>
            <w:tcBorders>
              <w:top w:val="nil"/>
              <w:bottom w:val="nil"/>
            </w:tcBorders>
            <w:shd w:val="clear" w:color="auto" w:fill="66CCFF"/>
          </w:tcPr>
          <w:p w14:paraId="386A5EE3"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63C70846"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65954F27"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C0A7053" w14:textId="77777777" w:rsidR="00DD3EFA" w:rsidRPr="005A0E7C" w:rsidRDefault="00DD3EFA" w:rsidP="00B15ECB">
            <w:pPr>
              <w:rPr>
                <w:b/>
              </w:rPr>
            </w:pPr>
          </w:p>
        </w:tc>
      </w:tr>
      <w:tr w:rsidR="00DD3EFA" w:rsidRPr="005A0E7C" w14:paraId="57E1F5F4" w14:textId="77777777" w:rsidTr="00B15ECB">
        <w:trPr>
          <w:trHeight w:val="1202"/>
        </w:trPr>
        <w:tc>
          <w:tcPr>
            <w:tcW w:w="249" w:type="dxa"/>
            <w:tcBorders>
              <w:top w:val="nil"/>
              <w:bottom w:val="nil"/>
            </w:tcBorders>
            <w:shd w:val="clear" w:color="auto" w:fill="66CCFF"/>
          </w:tcPr>
          <w:p w14:paraId="0896CAF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BF41342"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7D939C0C"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2D666BB" w14:textId="764B391B"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České regiony, a to i ty s nejvyšším růstovým potenciálem pro VaVaI aktivity, mají rezervy spojené s nedostatečně rozvinutými regionálními inovačními systémy (RIS). Navíc se jen pomalu rozvíjí potenciál daný existencí špičkové výzkumné infrastruktury a inovat</w:t>
            </w:r>
            <w:r w:rsidR="008F16B1" w:rsidRPr="005A0E7C">
              <w:rPr>
                <w:rFonts w:ascii="Times New Roman" w:hAnsi="Times New Roman"/>
              </w:rPr>
              <w:t>ivních podniků na straně druhé.</w:t>
            </w:r>
            <w:r w:rsidRPr="005A0E7C">
              <w:rPr>
                <w:rFonts w:ascii="Times New Roman" w:hAnsi="Times New Roman"/>
              </w:rPr>
              <w:t xml:space="preserve"> V regionech s nižší intenzitou i potenciálem růstu je inovační systém obvykle v počátečním stádiu rozvoje.   Produkce kvalitních výsledků VaV je omezena na malé množství, navíc často nepříliš velkých týmů. Intenzita spolupráce firem s výzkumnými týmy je územně diferencovaná a navíc je slabě rozvinutá. Míra propojení jednotlivých aktérů v regionálních inovačních systémech (RIS) se odlišuje v závislosti na aktuální rozvinutosti a handicapech daného RIS. Tato podoblast má tedy velmi silnou územní dimenzi.</w:t>
            </w:r>
          </w:p>
          <w:p w14:paraId="162FDCD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Aktuálně nejrozvinutější RIS mají metropolitní území (zejména kraje/funkční zázemí Brna, Prahy a Ostravy), přičemž značný potenciál mají také další regiony, nicméně platí, že regionální inovační systémy jsou často fragmentované a uzamčené. Výsledkem jsou omezené vazby akademických a výzkumných pracovišť na podnikatelský sektor a nedostatečné podmínky pro rozvoj inteligentní specializace těchto regionů. Dalším problémem je, že inovační poptávka firem je nízká a přetrvává nesoulad mezi potřebami regionálních ekonomik a zaměřením špičkových výzkumných týmů. Vedle styčných problémů regionálních inovačních systémů je zde však celá řada silných i slabých stránek a příležitostí i hrozeb, které jsou regionálně specifické.</w:t>
            </w:r>
          </w:p>
          <w:p w14:paraId="4537F3D4" w14:textId="32A37DCE"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 tohoto důvodu bude potřeba, aby různě rozvinuté RIS získaly skrze podporu odlišné stimuly prostřednictvím regionálně řízených na míru šitých nástrojů koncipovaných na základě detailní znalosti místního prostř</w:t>
            </w:r>
            <w:r w:rsidR="008F16B1" w:rsidRPr="005A0E7C">
              <w:rPr>
                <w:rFonts w:ascii="Times New Roman" w:hAnsi="Times New Roman"/>
              </w:rPr>
              <w:t xml:space="preserve">edí, jeho potřeb a potenciálu. </w:t>
            </w:r>
          </w:p>
          <w:p w14:paraId="0E91F00C" w14:textId="77777777" w:rsidR="00DD3EFA" w:rsidRPr="005A0E7C" w:rsidRDefault="00DD3EFA" w:rsidP="00B15ECB">
            <w:pPr>
              <w:spacing w:before="60" w:after="60"/>
              <w:rPr>
                <w:rFonts w:eastAsiaTheme="majorEastAsia"/>
              </w:rPr>
            </w:pPr>
            <w:r w:rsidRPr="005A0E7C">
              <w:t>Opatření budou proto směřovat i na posílení fungování regionálních inovačních systémů na úrovni krajů, které jsou v současnosti v různých stádiích vývoje.</w:t>
            </w:r>
          </w:p>
        </w:tc>
        <w:tc>
          <w:tcPr>
            <w:tcW w:w="249" w:type="dxa"/>
            <w:tcBorders>
              <w:top w:val="nil"/>
              <w:bottom w:val="nil"/>
            </w:tcBorders>
            <w:shd w:val="clear" w:color="auto" w:fill="66CCFF"/>
          </w:tcPr>
          <w:p w14:paraId="0FB2C2A5" w14:textId="77777777" w:rsidR="00DD3EFA" w:rsidRPr="005A0E7C" w:rsidRDefault="00DD3EFA" w:rsidP="00B15ECB">
            <w:pPr>
              <w:rPr>
                <w:b/>
              </w:rPr>
            </w:pPr>
          </w:p>
        </w:tc>
      </w:tr>
      <w:tr w:rsidR="00DD3EFA" w:rsidRPr="005A0E7C" w14:paraId="06E1997E" w14:textId="77777777" w:rsidTr="00B15ECB">
        <w:trPr>
          <w:trHeight w:val="699"/>
        </w:trPr>
        <w:tc>
          <w:tcPr>
            <w:tcW w:w="249" w:type="dxa"/>
            <w:tcBorders>
              <w:top w:val="nil"/>
              <w:bottom w:val="nil"/>
            </w:tcBorders>
            <w:shd w:val="clear" w:color="auto" w:fill="66CCFF"/>
          </w:tcPr>
          <w:p w14:paraId="12A56C7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F3E7DAC"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4B68200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4A17FC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Díky propojení veřejné správy, akademického, výzkumného a podnikatelského sektoru, případně NNO, a zkvalitnění strategického řízení systému VaVaI, dojde i ke zkvalitnění komunikace a reflexe priorit všech částí systému v konkrétních intervencích. Tím dojde nutně i k efektivnější reflexi priorit souvisejících s problematikou klimatických změn, protože podpora výzkumu v této tematice spadá mezi priority (domény) inteligentní specializace podporované Národní RIS3 strategií v rámci aplikační oblasti VI – „Udržitelné zemědělství a environmentální aplikační odvětví“, konkrétně v podoblasti 6.4 – „Zajištění zdravého a kvalitního životního prostředí, biodiverzity a ekologie přírodních zdrojů“.</w:t>
            </w:r>
          </w:p>
          <w:p w14:paraId="72B03AA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 xml:space="preserve">Vzhledem k tomu, že nutnost reakce společnosti na klimatickou změnu je tématem globálním a nikoliv pouze regionálním (ve smyslu relevance pouze pro ČR), dojde díky výše uvedeným aktivitám v kombinaci s aktivitami na podporu podmínek pro mezinárodní spolupráci (viz Specifický cíl NKR „Rozvoj zázemí pro kvalitní výzkum“) jistě i k akceleraci zapojení českých výzkumných týmů a institucí do mezinárodních projektů i v této tematické oblasti. </w:t>
            </w:r>
          </w:p>
        </w:tc>
        <w:tc>
          <w:tcPr>
            <w:tcW w:w="249" w:type="dxa"/>
            <w:tcBorders>
              <w:top w:val="nil"/>
              <w:bottom w:val="nil"/>
            </w:tcBorders>
            <w:shd w:val="clear" w:color="auto" w:fill="66CCFF"/>
          </w:tcPr>
          <w:p w14:paraId="6DC70397" w14:textId="77777777" w:rsidR="00DD3EFA" w:rsidRPr="005A0E7C" w:rsidRDefault="00DD3EFA" w:rsidP="00B15ECB">
            <w:pPr>
              <w:rPr>
                <w:b/>
              </w:rPr>
            </w:pPr>
          </w:p>
        </w:tc>
      </w:tr>
      <w:tr w:rsidR="00DD3EFA" w:rsidRPr="005A0E7C" w14:paraId="5ADCEF09" w14:textId="77777777" w:rsidTr="00B15ECB">
        <w:trPr>
          <w:trHeight w:val="1202"/>
        </w:trPr>
        <w:tc>
          <w:tcPr>
            <w:tcW w:w="249" w:type="dxa"/>
            <w:tcBorders>
              <w:top w:val="nil"/>
              <w:bottom w:val="nil"/>
            </w:tcBorders>
            <w:shd w:val="clear" w:color="auto" w:fill="66CCFF"/>
          </w:tcPr>
          <w:p w14:paraId="17CA1DF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EC4022"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6565230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3FEAD9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souvislosti s probíhající redefinicí/aktualizací tzv. klíčových technologií (KETs) ze strany EK a její plánované reflexi při aktualizaci Národní RIS3 strategie 2021+, dojde k rozšíření tzv. generických znalostních domén – průřezových technologií a znalostí, které v průmětu s ekonomickou specializací ekonomiky koncept Národní RIS3 strategie akcentuje. Priority Národní RIS3 strategie tak v této souvislosti zohlední rozšíření klíčových technologií (KETs) o nové technologie sdružené pod pojmem „Umělá inteligence (Artificial Intelligence) a „Zabezpečení a konektivita (Security and Connectivity)“, tedy o technologie vysoce relevantní pro změny a výzvy přicházející s Průmyslem 4.0.</w:t>
            </w:r>
          </w:p>
          <w:p w14:paraId="0C56947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Mezi konkrétní kroky/intervence reflektující Průmysl 4.0 resp. Společnost 4.0 by mohlo patřit zmapování kapacit a výsledků výzkumných aktivit  vysokých škol a výzkumných organizací relevantních pro Průmysl 4.0, a obdobné zmapování výsledků výzkumu a vývoje v relevantních průmyslových a technologických firmách. Dalším vstupem by mohlo být také vyhodnocení společensko-vědního výzkumu a možnosti jeho aplikace na dopady Průmyslu 4.0 zejména na trh práce a zaměstnanost, resp. vzdělávání, protože Společnost 4.0 musí nutně reflektovat jak technologický pokrok, tak také dopady tohoto pokroku do sociální oblasti.</w:t>
            </w:r>
          </w:p>
        </w:tc>
        <w:tc>
          <w:tcPr>
            <w:tcW w:w="249" w:type="dxa"/>
            <w:tcBorders>
              <w:top w:val="nil"/>
              <w:bottom w:val="nil"/>
            </w:tcBorders>
            <w:shd w:val="clear" w:color="auto" w:fill="66CCFF"/>
          </w:tcPr>
          <w:p w14:paraId="708935AC" w14:textId="77777777" w:rsidR="00DD3EFA" w:rsidRPr="005A0E7C" w:rsidRDefault="00DD3EFA" w:rsidP="00B15ECB">
            <w:pPr>
              <w:rPr>
                <w:b/>
              </w:rPr>
            </w:pPr>
          </w:p>
        </w:tc>
      </w:tr>
      <w:tr w:rsidR="00DD3EFA" w:rsidRPr="005A0E7C" w14:paraId="0C8143DE" w14:textId="77777777" w:rsidTr="00B15ECB">
        <w:trPr>
          <w:trHeight w:val="1202"/>
        </w:trPr>
        <w:tc>
          <w:tcPr>
            <w:tcW w:w="249" w:type="dxa"/>
            <w:tcBorders>
              <w:top w:val="nil"/>
              <w:bottom w:val="nil"/>
            </w:tcBorders>
            <w:shd w:val="clear" w:color="auto" w:fill="66CCFF"/>
          </w:tcPr>
          <w:p w14:paraId="68CB074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FE42FC6"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0009A31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CC33D65" w14:textId="77777777" w:rsidR="00DD3EFA" w:rsidRPr="005A0E7C" w:rsidRDefault="00DD3EFA" w:rsidP="00B15ECB">
            <w:pPr>
              <w:spacing w:before="60" w:after="60"/>
              <w:rPr>
                <w:rFonts w:eastAsiaTheme="majorEastAsia"/>
                <w:i/>
              </w:rPr>
            </w:pPr>
            <w:r w:rsidRPr="005A0E7C">
              <w:t xml:space="preserve">Tento specifický cíl NKR díky svému zaměření na podmínky pro realizaci výzkumu, jeho strategické řízení a spolupráce a funkčního propojení veřejné správy, akademického, výzkumného a podnikatelského sektoru, je navázán jasnou a nezpochybnitelnou vazbou na megatrendy týkající se výzkumu a vývoje a technologického pokroku, který probíhá, kdy samotný výzkum definuje dané megatrendy. Tato provazba se týká megatrendů </w:t>
            </w:r>
            <w:r w:rsidRPr="005A0E7C">
              <w:rPr>
                <w:b/>
              </w:rPr>
              <w:t xml:space="preserve">Rostoucí přístup k informacím, Virtualizace světa, Zvyšující se dostupnost technologií </w:t>
            </w:r>
            <w:r w:rsidRPr="005A0E7C">
              <w:t>a</w:t>
            </w:r>
            <w:r w:rsidRPr="005A0E7C">
              <w:rPr>
                <w:b/>
              </w:rPr>
              <w:t xml:space="preserve"> Zvyšující se rychlost technologické změny</w:t>
            </w:r>
            <w:r w:rsidRPr="005A0E7C">
              <w:t>.</w:t>
            </w:r>
          </w:p>
          <w:p w14:paraId="39170577" w14:textId="77777777" w:rsidR="00DD3EFA" w:rsidRPr="005A0E7C" w:rsidRDefault="00DD3EFA" w:rsidP="00B15ECB">
            <w:pPr>
              <w:spacing w:before="40"/>
              <w:rPr>
                <w:rFonts w:eastAsiaTheme="majorEastAsia"/>
              </w:rPr>
            </w:pPr>
          </w:p>
        </w:tc>
        <w:tc>
          <w:tcPr>
            <w:tcW w:w="249" w:type="dxa"/>
            <w:tcBorders>
              <w:top w:val="nil"/>
              <w:bottom w:val="nil"/>
            </w:tcBorders>
            <w:shd w:val="clear" w:color="auto" w:fill="66CCFF"/>
          </w:tcPr>
          <w:p w14:paraId="43396916" w14:textId="77777777" w:rsidR="00DD3EFA" w:rsidRPr="005A0E7C" w:rsidRDefault="00DD3EFA" w:rsidP="00B15ECB">
            <w:pPr>
              <w:rPr>
                <w:b/>
              </w:rPr>
            </w:pPr>
          </w:p>
        </w:tc>
      </w:tr>
      <w:tr w:rsidR="00DD3EFA" w:rsidRPr="005A0E7C" w14:paraId="5DFFFBD7" w14:textId="77777777" w:rsidTr="00B15ECB">
        <w:trPr>
          <w:trHeight w:val="1202"/>
        </w:trPr>
        <w:tc>
          <w:tcPr>
            <w:tcW w:w="249" w:type="dxa"/>
            <w:tcBorders>
              <w:top w:val="nil"/>
              <w:bottom w:val="nil"/>
            </w:tcBorders>
            <w:shd w:val="clear" w:color="auto" w:fill="66CCFF"/>
          </w:tcPr>
          <w:p w14:paraId="56154B1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9EE174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0DFFF6E8" w14:textId="77777777" w:rsidR="00DD3EFA" w:rsidRPr="005A0E7C" w:rsidRDefault="00DD3EFA" w:rsidP="00B15ECB">
            <w:pPr>
              <w:spacing w:before="60" w:after="60"/>
              <w:rPr>
                <w:rFonts w:eastAsiaTheme="majorEastAsia"/>
              </w:rPr>
            </w:pPr>
            <w:r w:rsidRPr="005A0E7C">
              <w:rPr>
                <w:rFonts w:eastAsiaTheme="majorEastAsia"/>
                <w:b/>
              </w:rPr>
              <w:t>Politický cíl ON:</w:t>
            </w:r>
            <w:r w:rsidRPr="005A0E7C">
              <w:rPr>
                <w:rFonts w:eastAsiaTheme="majorEastAsia"/>
              </w:rPr>
              <w:t xml:space="preserve"> </w:t>
            </w:r>
          </w:p>
          <w:p w14:paraId="2FAFDC47" w14:textId="77777777" w:rsidR="00DD3EFA" w:rsidRPr="005A0E7C" w:rsidRDefault="00DD3EFA" w:rsidP="00391907">
            <w:pPr>
              <w:pStyle w:val="Odstavecseseznamem"/>
              <w:numPr>
                <w:ilvl w:val="0"/>
                <w:numId w:val="2"/>
              </w:numPr>
              <w:spacing w:before="60" w:after="60"/>
              <w:rPr>
                <w:rFonts w:eastAsiaTheme="majorEastAsia"/>
              </w:rPr>
            </w:pPr>
            <w:r w:rsidRPr="005A0E7C">
              <w:t>CP1 I</w:t>
            </w:r>
            <w:r w:rsidRPr="005A0E7C">
              <w:rPr>
                <w:rFonts w:eastAsiaTheme="majorEastAsia"/>
              </w:rPr>
              <w:t xml:space="preserve">nteligentnější Evropa díky podpoře inovativní a inteligentní ekonomické transformace. </w:t>
            </w:r>
          </w:p>
          <w:p w14:paraId="08A259E7" w14:textId="77777777" w:rsidR="00DD3EFA" w:rsidRPr="005A0E7C" w:rsidRDefault="00DD3EFA" w:rsidP="00B15ECB">
            <w:pPr>
              <w:spacing w:before="60" w:after="60"/>
              <w:rPr>
                <w:rFonts w:eastAsiaTheme="majorEastAsia"/>
              </w:rPr>
            </w:pPr>
            <w:r w:rsidRPr="005A0E7C">
              <w:rPr>
                <w:rFonts w:eastAsiaTheme="majorEastAsia"/>
                <w:b/>
              </w:rPr>
              <w:t>Specifické cíle ERDF:</w:t>
            </w:r>
            <w:r w:rsidRPr="005A0E7C">
              <w:rPr>
                <w:rFonts w:eastAsiaTheme="majorEastAsia"/>
              </w:rPr>
              <w:t xml:space="preserve"> </w:t>
            </w:r>
          </w:p>
          <w:p w14:paraId="575F98AE" w14:textId="77777777" w:rsidR="00DD3EFA" w:rsidRPr="005A0E7C" w:rsidRDefault="00DD3EFA" w:rsidP="00391907">
            <w:pPr>
              <w:pStyle w:val="Odstavecseseznamem"/>
              <w:numPr>
                <w:ilvl w:val="0"/>
                <w:numId w:val="2"/>
              </w:numPr>
              <w:spacing w:before="60" w:after="60"/>
              <w:rPr>
                <w:rFonts w:eastAsiaTheme="majorEastAsia"/>
              </w:rPr>
            </w:pPr>
            <w:r w:rsidRPr="005A0E7C">
              <w:t xml:space="preserve">i) </w:t>
            </w:r>
            <w:r w:rsidRPr="005A0E7C">
              <w:rPr>
                <w:rFonts w:eastAsiaTheme="majorEastAsia"/>
              </w:rPr>
              <w:t xml:space="preserve">Posílení výzkumných a inovačních kapacit a zavádění pokročilých technologií; </w:t>
            </w:r>
          </w:p>
          <w:p w14:paraId="09713A09" w14:textId="77777777" w:rsidR="00DD3EFA" w:rsidRPr="005A0E7C" w:rsidRDefault="00DD3EFA" w:rsidP="00391907">
            <w:pPr>
              <w:pStyle w:val="Odstavecseseznamem"/>
              <w:numPr>
                <w:ilvl w:val="0"/>
                <w:numId w:val="2"/>
              </w:numPr>
              <w:spacing w:before="60" w:after="60"/>
              <w:rPr>
                <w:rFonts w:eastAsiaTheme="majorEastAsia"/>
                <w:i/>
              </w:rPr>
            </w:pPr>
            <w:r w:rsidRPr="005A0E7C">
              <w:rPr>
                <w:rFonts w:eastAsiaTheme="majorEastAsia"/>
              </w:rPr>
              <w:t>iv) Rozvoje dovedností pro inteligentní specializaci, průmyslovou transformaci a podnikání.</w:t>
            </w:r>
            <w:r w:rsidRPr="005A0E7C">
              <w:rPr>
                <w:rFonts w:eastAsiaTheme="majorEastAsia"/>
                <w:i/>
              </w:rPr>
              <w:t xml:space="preserve">  </w:t>
            </w:r>
          </w:p>
          <w:p w14:paraId="57CC112F" w14:textId="77777777" w:rsidR="00DD3EFA" w:rsidRPr="005A0E7C" w:rsidRDefault="00DD3EFA" w:rsidP="00B15ECB">
            <w:pPr>
              <w:spacing w:before="60" w:after="60"/>
              <w:rPr>
                <w:rFonts w:eastAsiaTheme="majorEastAsia"/>
              </w:rPr>
            </w:pPr>
            <w:r w:rsidRPr="005A0E7C">
              <w:rPr>
                <w:rFonts w:eastAsiaTheme="majorEastAsia"/>
                <w:b/>
              </w:rPr>
              <w:t>Specifický cíl ESF+:</w:t>
            </w:r>
            <w:r w:rsidRPr="005A0E7C">
              <w:rPr>
                <w:rFonts w:eastAsiaTheme="majorEastAsia"/>
              </w:rPr>
              <w:t xml:space="preserve"> </w:t>
            </w:r>
          </w:p>
          <w:p w14:paraId="4ABC0E77" w14:textId="77777777" w:rsidR="00DD3EFA" w:rsidRPr="005A0E7C" w:rsidRDefault="00DD3EFA" w:rsidP="00391907">
            <w:pPr>
              <w:pStyle w:val="Odstavecseseznamem"/>
              <w:numPr>
                <w:ilvl w:val="0"/>
                <w:numId w:val="71"/>
              </w:numPr>
              <w:spacing w:before="60" w:after="60"/>
              <w:rPr>
                <w:rFonts w:eastAsiaTheme="majorEastAsia"/>
              </w:rPr>
            </w:pPr>
            <w:r w:rsidRPr="005A0E7C">
              <w:rPr>
                <w:rFonts w:eastAsiaTheme="majorEastAsia"/>
              </w:rPr>
              <w:t xml:space="preserve">vi) podporovat celoživotní učení, zejména flexibilní možnosti rozšiřování dovedností a rekvalifikace pro všechny s ohledem na digitální dovednosti, lépe předvídat změny a nové požadavky na dovednosti vycházející z potřeb trhu práce, usnadnit přechody mezi zaměstnáními a podporovat profesní mobilitu, </w:t>
            </w:r>
          </w:p>
          <w:p w14:paraId="2B83D5A1" w14:textId="77777777" w:rsidR="00DD3EFA" w:rsidRPr="005A0E7C" w:rsidRDefault="00DD3EFA" w:rsidP="00B15ECB">
            <w:pPr>
              <w:spacing w:before="60" w:after="60"/>
              <w:rPr>
                <w:rFonts w:eastAsiaTheme="majorEastAsia"/>
              </w:rPr>
            </w:pPr>
            <w:r w:rsidRPr="005A0E7C">
              <w:rPr>
                <w:rFonts w:eastAsiaTheme="majorEastAsia"/>
              </w:rPr>
              <w:t>tak jak je uvedeno v nařízení ESF+, že prostřednictvím činností, které spadají pod složku ESF+, ESF+ přispívá rovněž k dalším cílům politiky, zejména inteligentnější Evropa tím, že budou rozvíjet dovednosti pro inteligentní specializaci, dovednosti potřebné pro klíčové základní technologie a průmyslovou transformaci, odbornou přípravu výzkumných pracovníků a navazování kontaktů a partnerství mezi vysokoškolskými institucemi, institucemi odborního vzdělávání a přípravy, výzkumnými a technologickými středisky a podniky a klastry.</w:t>
            </w:r>
          </w:p>
        </w:tc>
        <w:tc>
          <w:tcPr>
            <w:tcW w:w="249" w:type="dxa"/>
            <w:tcBorders>
              <w:top w:val="nil"/>
              <w:bottom w:val="nil"/>
            </w:tcBorders>
            <w:shd w:val="clear" w:color="auto" w:fill="66CCFF"/>
          </w:tcPr>
          <w:p w14:paraId="7BA758A0" w14:textId="77777777" w:rsidR="00DD3EFA" w:rsidRPr="005A0E7C" w:rsidRDefault="00DD3EFA" w:rsidP="00B15ECB">
            <w:pPr>
              <w:rPr>
                <w:b/>
              </w:rPr>
            </w:pPr>
          </w:p>
        </w:tc>
      </w:tr>
      <w:tr w:rsidR="00DD3EFA" w:rsidRPr="005A0E7C" w14:paraId="5A59DCA0" w14:textId="77777777" w:rsidTr="00B15ECB">
        <w:trPr>
          <w:trHeight w:val="1202"/>
        </w:trPr>
        <w:tc>
          <w:tcPr>
            <w:tcW w:w="249" w:type="dxa"/>
            <w:tcBorders>
              <w:top w:val="nil"/>
              <w:bottom w:val="nil"/>
            </w:tcBorders>
            <w:shd w:val="clear" w:color="auto" w:fill="66CCFF"/>
          </w:tcPr>
          <w:p w14:paraId="406D61E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521CA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4C2334C6" w14:textId="77777777" w:rsidR="00DD3EFA" w:rsidRPr="005A0E7C" w:rsidRDefault="00DD3EFA" w:rsidP="00B15ECB">
            <w:pPr>
              <w:spacing w:before="60" w:after="60"/>
              <w:rPr>
                <w:rFonts w:eastAsiaTheme="majorEastAsia"/>
              </w:rPr>
            </w:pPr>
            <w:r w:rsidRPr="005A0E7C">
              <w:t xml:space="preserve">Specifický cíl NKR souvisí s doporučením CSR 2018, které vidí prostor pro zlepšení kvality veřejné vědecké základy v ČR a dále vidí prostor pro zlepšení výkonnosti veřejné vědecké základy pomocí opatření s cílem vytvářet vazby mezi vysokými školami a podniky. Specifický cíl NKR rovněž reaguje na pokračující roztříštěnost správy systému výzkumu a inovací. </w:t>
            </w:r>
          </w:p>
        </w:tc>
        <w:tc>
          <w:tcPr>
            <w:tcW w:w="249" w:type="dxa"/>
            <w:tcBorders>
              <w:top w:val="nil"/>
              <w:bottom w:val="nil"/>
            </w:tcBorders>
            <w:shd w:val="clear" w:color="auto" w:fill="66CCFF"/>
          </w:tcPr>
          <w:p w14:paraId="7DAC698A" w14:textId="77777777" w:rsidR="00DD3EFA" w:rsidRPr="005A0E7C" w:rsidRDefault="00DD3EFA" w:rsidP="00B15ECB">
            <w:pPr>
              <w:rPr>
                <w:b/>
              </w:rPr>
            </w:pPr>
          </w:p>
        </w:tc>
      </w:tr>
      <w:tr w:rsidR="00DD3EFA" w:rsidRPr="005A0E7C" w14:paraId="0C550365" w14:textId="77777777" w:rsidTr="00B15ECB">
        <w:trPr>
          <w:trHeight w:val="180"/>
        </w:trPr>
        <w:tc>
          <w:tcPr>
            <w:tcW w:w="249" w:type="dxa"/>
            <w:tcBorders>
              <w:top w:val="nil"/>
              <w:bottom w:val="nil"/>
              <w:right w:val="nil"/>
            </w:tcBorders>
            <w:shd w:val="clear" w:color="auto" w:fill="66CCFF"/>
          </w:tcPr>
          <w:p w14:paraId="4471CBF4" w14:textId="77777777" w:rsidR="00DD3EFA" w:rsidRPr="005A0E7C" w:rsidRDefault="00DD3EFA" w:rsidP="00B15ECB">
            <w:pPr>
              <w:rPr>
                <w:b/>
              </w:rPr>
            </w:pPr>
          </w:p>
        </w:tc>
        <w:tc>
          <w:tcPr>
            <w:tcW w:w="2548" w:type="dxa"/>
            <w:tcBorders>
              <w:left w:val="nil"/>
              <w:right w:val="nil"/>
            </w:tcBorders>
            <w:shd w:val="clear" w:color="auto" w:fill="66CCFF"/>
          </w:tcPr>
          <w:p w14:paraId="5CAA23B5" w14:textId="77777777" w:rsidR="00DD3EFA" w:rsidRPr="005A0E7C" w:rsidRDefault="00DD3EFA" w:rsidP="00B15ECB">
            <w:pPr>
              <w:rPr>
                <w:b/>
              </w:rPr>
            </w:pPr>
          </w:p>
        </w:tc>
        <w:tc>
          <w:tcPr>
            <w:tcW w:w="5978" w:type="dxa"/>
            <w:tcBorders>
              <w:left w:val="nil"/>
              <w:right w:val="nil"/>
            </w:tcBorders>
            <w:shd w:val="clear" w:color="auto" w:fill="66CCFF"/>
          </w:tcPr>
          <w:p w14:paraId="0628CF51" w14:textId="77777777" w:rsidR="00DD3EFA" w:rsidRPr="005A0E7C" w:rsidRDefault="00DD3EFA" w:rsidP="00B15ECB">
            <w:pPr>
              <w:rPr>
                <w:b/>
              </w:rPr>
            </w:pPr>
          </w:p>
        </w:tc>
        <w:tc>
          <w:tcPr>
            <w:tcW w:w="249" w:type="dxa"/>
            <w:tcBorders>
              <w:top w:val="nil"/>
              <w:left w:val="nil"/>
              <w:bottom w:val="nil"/>
            </w:tcBorders>
            <w:shd w:val="clear" w:color="auto" w:fill="66CCFF"/>
          </w:tcPr>
          <w:p w14:paraId="66A613DD" w14:textId="77777777" w:rsidR="00DD3EFA" w:rsidRPr="005A0E7C" w:rsidRDefault="00DD3EFA" w:rsidP="00B15ECB">
            <w:pPr>
              <w:rPr>
                <w:b/>
              </w:rPr>
            </w:pPr>
          </w:p>
        </w:tc>
      </w:tr>
      <w:tr w:rsidR="00DD3EFA" w:rsidRPr="005A0E7C" w14:paraId="6D24F307" w14:textId="77777777" w:rsidTr="00B15ECB">
        <w:trPr>
          <w:trHeight w:val="938"/>
        </w:trPr>
        <w:tc>
          <w:tcPr>
            <w:tcW w:w="249" w:type="dxa"/>
            <w:tcBorders>
              <w:top w:val="nil"/>
              <w:bottom w:val="nil"/>
            </w:tcBorders>
            <w:shd w:val="clear" w:color="auto" w:fill="66CCFF"/>
          </w:tcPr>
          <w:p w14:paraId="346FE1B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3329014"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05CE395E"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537B866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44E0845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u w:val="single"/>
              </w:rPr>
            </w:pPr>
            <w:r w:rsidRPr="005A0E7C">
              <w:rPr>
                <w:rFonts w:ascii="Times New Roman" w:hAnsi="Times New Roman"/>
                <w:b/>
                <w:u w:val="single"/>
              </w:rPr>
              <w:t xml:space="preserve">Národní politika výzkumu, vývoje a inovací České republiky 2021+ </w:t>
            </w:r>
          </w:p>
          <w:p w14:paraId="74421D20" w14:textId="77777777" w:rsidR="00DD3EFA" w:rsidRPr="005A0E7C" w:rsidRDefault="00DD3EFA" w:rsidP="00391907">
            <w:pPr>
              <w:pStyle w:val="slovanodstavec"/>
              <w:numPr>
                <w:ilvl w:val="0"/>
                <w:numId w:val="73"/>
              </w:numPr>
              <w:tabs>
                <w:tab w:val="clear" w:pos="567"/>
                <w:tab w:val="left" w:pos="284"/>
              </w:tabs>
              <w:suppressAutoHyphens/>
              <w:spacing w:line="240" w:lineRule="auto"/>
              <w:ind w:left="356"/>
              <w:jc w:val="left"/>
              <w:rPr>
                <w:rFonts w:ascii="Times New Roman" w:hAnsi="Times New Roman"/>
                <w:b/>
                <w:u w:val="single"/>
              </w:rPr>
            </w:pPr>
            <w:r w:rsidRPr="005A0E7C">
              <w:rPr>
                <w:rFonts w:ascii="Times New Roman" w:hAnsi="Times New Roman"/>
              </w:rPr>
              <w:t xml:space="preserve">v období 2019 – VI/2020 bude připravena nová Národní politika výzkumu, vývoje a inovací České republiky pro období 2021+; dojde k realizaci kulatých stolů, projednávání s relevantními partnery </w:t>
            </w:r>
          </w:p>
          <w:p w14:paraId="276449D1" w14:textId="77777777" w:rsidR="00DD3EFA" w:rsidRPr="005A0E7C" w:rsidRDefault="00DD3EFA" w:rsidP="00391907">
            <w:pPr>
              <w:pStyle w:val="slovanodstavec"/>
              <w:numPr>
                <w:ilvl w:val="0"/>
                <w:numId w:val="73"/>
              </w:numPr>
              <w:tabs>
                <w:tab w:val="clear" w:pos="567"/>
                <w:tab w:val="left" w:pos="284"/>
              </w:tabs>
              <w:suppressAutoHyphens/>
              <w:spacing w:line="240" w:lineRule="auto"/>
              <w:ind w:left="356"/>
              <w:jc w:val="left"/>
              <w:rPr>
                <w:rFonts w:ascii="Times New Roman" w:hAnsi="Times New Roman"/>
                <w:b/>
                <w:u w:val="single"/>
              </w:rPr>
            </w:pPr>
            <w:r w:rsidRPr="005A0E7C">
              <w:rPr>
                <w:rFonts w:ascii="Times New Roman" w:hAnsi="Times New Roman"/>
              </w:rPr>
              <w:t xml:space="preserve">VI/2020 dojde ke schválení nového strategického dokumentu vládou ČR </w:t>
            </w:r>
          </w:p>
          <w:p w14:paraId="4D708DB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u w:val="single"/>
              </w:rPr>
            </w:pPr>
          </w:p>
          <w:p w14:paraId="71F8DD6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u w:val="single"/>
              </w:rPr>
            </w:pPr>
            <w:r w:rsidRPr="005A0E7C">
              <w:rPr>
                <w:rFonts w:ascii="Times New Roman" w:hAnsi="Times New Roman"/>
                <w:b/>
                <w:u w:val="single"/>
              </w:rPr>
              <w:t>Národní výzkumná a inovační strategie pro inteligentní specializaci 2021+</w:t>
            </w:r>
          </w:p>
          <w:p w14:paraId="735275EE" w14:textId="77777777" w:rsidR="00DD3EFA" w:rsidRPr="005A0E7C" w:rsidRDefault="00DD3EFA" w:rsidP="00391907">
            <w:pPr>
              <w:pStyle w:val="slovanodstavec"/>
              <w:numPr>
                <w:ilvl w:val="0"/>
                <w:numId w:val="2"/>
              </w:numPr>
              <w:tabs>
                <w:tab w:val="clear" w:pos="567"/>
                <w:tab w:val="left" w:pos="284"/>
              </w:tabs>
              <w:suppressAutoHyphens/>
              <w:spacing w:line="240" w:lineRule="auto"/>
              <w:rPr>
                <w:rFonts w:ascii="Times New Roman" w:hAnsi="Times New Roman"/>
                <w:u w:val="single"/>
              </w:rPr>
            </w:pPr>
            <w:r w:rsidRPr="005A0E7C">
              <w:rPr>
                <w:rFonts w:ascii="Times New Roman" w:hAnsi="Times New Roman"/>
                <w:u w:val="single"/>
              </w:rPr>
              <w:t>v období III/2019 – III/2020 bude realizována veřejná zakázka na vypracování nové vstupní analýzy bariér aplikovaného a orientovaného výzkumu, experimentálního vývoje a inovací v České republice a návrh implementace nastavených opatření v programovém období 2021 – 2027</w:t>
            </w:r>
          </w:p>
          <w:p w14:paraId="3D83309C" w14:textId="77777777" w:rsidR="00DD3EFA" w:rsidRPr="005A0E7C" w:rsidRDefault="00DD3EFA" w:rsidP="00391907">
            <w:pPr>
              <w:pStyle w:val="slovanodstavec"/>
              <w:numPr>
                <w:ilvl w:val="0"/>
                <w:numId w:val="2"/>
              </w:numPr>
              <w:tabs>
                <w:tab w:val="clear" w:pos="567"/>
                <w:tab w:val="left" w:pos="284"/>
              </w:tabs>
              <w:suppressAutoHyphens/>
              <w:spacing w:line="240" w:lineRule="auto"/>
              <w:rPr>
                <w:rFonts w:ascii="Times New Roman" w:hAnsi="Times New Roman"/>
                <w:u w:val="single"/>
              </w:rPr>
            </w:pPr>
            <w:r w:rsidRPr="005A0E7C">
              <w:rPr>
                <w:rFonts w:ascii="Times New Roman" w:hAnsi="Times New Roman"/>
                <w:u w:val="single"/>
              </w:rPr>
              <w:t>VI/2019 - předání předběžného konceptu v zadané struktuře; XI/2019 - předání předběžného závěrečného dokumentu; III/2020 - předání finálních výstupů (zástupce MMR-NOK bude členem pracovní expertní skupiny, která bude odborným garantem veřejné zakázky)</w:t>
            </w:r>
          </w:p>
          <w:p w14:paraId="6CECA1F7" w14:textId="77777777" w:rsidR="00DD3EFA" w:rsidRPr="005A0E7C" w:rsidRDefault="00DD3EFA" w:rsidP="00391907">
            <w:pPr>
              <w:pStyle w:val="slovanodstavec"/>
              <w:numPr>
                <w:ilvl w:val="0"/>
                <w:numId w:val="2"/>
              </w:numPr>
              <w:tabs>
                <w:tab w:val="clear" w:pos="567"/>
                <w:tab w:val="left" w:pos="284"/>
              </w:tabs>
              <w:suppressAutoHyphens/>
              <w:spacing w:line="240" w:lineRule="auto"/>
              <w:rPr>
                <w:rFonts w:ascii="Times New Roman" w:hAnsi="Times New Roman"/>
                <w:u w:val="single"/>
              </w:rPr>
            </w:pPr>
            <w:r w:rsidRPr="005A0E7C">
              <w:rPr>
                <w:rFonts w:ascii="Times New Roman" w:hAnsi="Times New Roman"/>
                <w:u w:val="single"/>
              </w:rPr>
              <w:t>IV/2020 – VIII/2020: kompletace výsledné Národní RIS3 strategie 2021+ (propojení horizontálních a vertikálních cílů; nastavení pravidel vertikalizace; úprava evaluačních a monitorovacích mechanismů; ukotvení priorit z krajské úrovně)</w:t>
            </w:r>
          </w:p>
          <w:p w14:paraId="4D0E8401" w14:textId="77777777" w:rsidR="00DD3EFA" w:rsidRPr="005A0E7C" w:rsidRDefault="00DD3EFA" w:rsidP="00391907">
            <w:pPr>
              <w:pStyle w:val="slovanodstavec"/>
              <w:numPr>
                <w:ilvl w:val="0"/>
                <w:numId w:val="2"/>
              </w:numPr>
              <w:tabs>
                <w:tab w:val="clear" w:pos="567"/>
                <w:tab w:val="left" w:pos="284"/>
              </w:tabs>
              <w:suppressAutoHyphens/>
              <w:spacing w:line="240" w:lineRule="auto"/>
              <w:rPr>
                <w:rFonts w:ascii="Times New Roman" w:hAnsi="Times New Roman"/>
                <w:u w:val="single"/>
              </w:rPr>
            </w:pPr>
            <w:r w:rsidRPr="005A0E7C">
              <w:rPr>
                <w:rFonts w:ascii="Times New Roman" w:hAnsi="Times New Roman"/>
                <w:u w:val="single"/>
              </w:rPr>
              <w:t>IX – XII/2020 schvalovací proces</w:t>
            </w:r>
          </w:p>
          <w:p w14:paraId="40EAFD3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1200310C" w14:textId="77777777" w:rsidR="00DD3EFA" w:rsidRPr="005A0E7C" w:rsidRDefault="00DD3EFA" w:rsidP="00B15ECB">
            <w:pPr>
              <w:rPr>
                <w:b/>
              </w:rPr>
            </w:pPr>
            <w:r w:rsidRPr="005A0E7C">
              <w:rPr>
                <w:b/>
              </w:rPr>
              <w:t>Národní politika výzkumu, vývoje a inovací České republiky pro roky 2016-2020</w:t>
            </w:r>
          </w:p>
          <w:p w14:paraId="2C665095" w14:textId="77777777" w:rsidR="00DD3EFA" w:rsidRPr="005A0E7C" w:rsidRDefault="00DD3EFA" w:rsidP="00391907">
            <w:pPr>
              <w:pStyle w:val="Odstavecseseznamem"/>
              <w:numPr>
                <w:ilvl w:val="0"/>
                <w:numId w:val="64"/>
              </w:numPr>
              <w:jc w:val="both"/>
            </w:pPr>
            <w:r w:rsidRPr="005A0E7C">
              <w:t>V roce 2018 proběhla vyhodnocení NP VaVaI a aktualizace stávajícího dokumentu</w:t>
            </w:r>
          </w:p>
          <w:p w14:paraId="6C2E38F2" w14:textId="77777777" w:rsidR="00DD3EFA" w:rsidRPr="005A0E7C" w:rsidRDefault="00DD3EFA" w:rsidP="00391907">
            <w:pPr>
              <w:pStyle w:val="Odstavecseseznamem"/>
              <w:numPr>
                <w:ilvl w:val="0"/>
                <w:numId w:val="64"/>
              </w:numPr>
              <w:jc w:val="both"/>
            </w:pPr>
            <w:r w:rsidRPr="005A0E7C">
              <w:t>V období 2019 – 2020 bude připravována nová národní politika pro navazující období od roku 2021 – navazující na NP VaVaI, která bude pokrývat celé budoucí programové období</w:t>
            </w:r>
          </w:p>
          <w:p w14:paraId="444B8D6E" w14:textId="77777777" w:rsidR="00DD3EFA" w:rsidRPr="005A0E7C" w:rsidRDefault="00DD3EFA" w:rsidP="00B15ECB">
            <w:pPr>
              <w:rPr>
                <w:b/>
              </w:rPr>
            </w:pPr>
            <w:r w:rsidRPr="005A0E7C">
              <w:rPr>
                <w:b/>
              </w:rPr>
              <w:t>Národní výzkumná a inovační strategie pro inteligentní specializaci (2014-2020)</w:t>
            </w:r>
          </w:p>
          <w:p w14:paraId="217D95FF" w14:textId="77777777" w:rsidR="00DD3EFA" w:rsidRPr="005A0E7C" w:rsidRDefault="00DD3EFA" w:rsidP="00391907">
            <w:pPr>
              <w:pStyle w:val="Odstavecseseznamem"/>
              <w:numPr>
                <w:ilvl w:val="0"/>
                <w:numId w:val="65"/>
              </w:numPr>
              <w:jc w:val="both"/>
            </w:pPr>
            <w:r w:rsidRPr="005A0E7C">
              <w:t>V roce 2018 proběhla poslední aktualizace dokumentu</w:t>
            </w:r>
          </w:p>
          <w:p w14:paraId="69F013BA" w14:textId="77777777" w:rsidR="00DD3EFA" w:rsidRPr="005A0E7C" w:rsidRDefault="00DD3EFA" w:rsidP="00B15ECB">
            <w:pPr>
              <w:rPr>
                <w:b/>
              </w:rPr>
            </w:pPr>
            <w:r w:rsidRPr="005A0E7C">
              <w:rPr>
                <w:b/>
              </w:rPr>
              <w:t>Inovační strategie ČR 2019-2030</w:t>
            </w:r>
          </w:p>
          <w:p w14:paraId="3A31BA56" w14:textId="77777777" w:rsidR="00DD3EFA" w:rsidRPr="005A0E7C" w:rsidRDefault="00DD3EFA" w:rsidP="00391907">
            <w:pPr>
              <w:pStyle w:val="Odstavecseseznamem"/>
              <w:numPr>
                <w:ilvl w:val="0"/>
                <w:numId w:val="77"/>
              </w:numPr>
              <w:jc w:val="both"/>
            </w:pPr>
            <w:r w:rsidRPr="005A0E7C">
              <w:t>Dokument schválen vládou ČR 4. 2. 2019</w:t>
            </w:r>
          </w:p>
          <w:p w14:paraId="20C64112" w14:textId="77777777" w:rsidR="00DD3EFA" w:rsidRPr="005A0E7C" w:rsidRDefault="00DD3EFA" w:rsidP="00391907">
            <w:pPr>
              <w:pStyle w:val="Odstavecseseznamem"/>
              <w:numPr>
                <w:ilvl w:val="0"/>
                <w:numId w:val="77"/>
              </w:numPr>
              <w:jc w:val="both"/>
            </w:pPr>
            <w:r w:rsidRPr="005A0E7C">
              <w:t xml:space="preserve">Očekávaná každoroční příprava akčních plánů jako prováděcích dokumentů strategie a jejich vyhodnocování </w:t>
            </w:r>
          </w:p>
          <w:p w14:paraId="70BB227B" w14:textId="77777777" w:rsidR="00DD3EFA" w:rsidRPr="005A0E7C" w:rsidRDefault="00DD3EFA" w:rsidP="00B15ECB">
            <w:pPr>
              <w:rPr>
                <w:b/>
              </w:rPr>
            </w:pPr>
            <w:r w:rsidRPr="005A0E7C">
              <w:rPr>
                <w:b/>
              </w:rPr>
              <w:t xml:space="preserve">Národní priority orientovaného výzkumu, experimentálního vývoje a inovací </w:t>
            </w:r>
          </w:p>
          <w:p w14:paraId="5626CBCF" w14:textId="77777777" w:rsidR="00DD3EFA" w:rsidRPr="005A0E7C" w:rsidRDefault="00DD3EFA" w:rsidP="00391907">
            <w:pPr>
              <w:pStyle w:val="Odstavecseseznamem"/>
              <w:numPr>
                <w:ilvl w:val="1"/>
                <w:numId w:val="67"/>
              </w:numPr>
              <w:ind w:left="781"/>
              <w:jc w:val="both"/>
            </w:pPr>
            <w:r w:rsidRPr="005A0E7C">
              <w:t xml:space="preserve">Dokument je platný na období 2012-2030 </w:t>
            </w:r>
          </w:p>
          <w:p w14:paraId="2965993F" w14:textId="77777777" w:rsidR="00DD3EFA" w:rsidRPr="005A0E7C" w:rsidRDefault="00DD3EFA" w:rsidP="00391907">
            <w:pPr>
              <w:pStyle w:val="Odstavecseseznamem"/>
              <w:numPr>
                <w:ilvl w:val="1"/>
                <w:numId w:val="67"/>
              </w:numPr>
              <w:ind w:left="781"/>
              <w:jc w:val="both"/>
            </w:pPr>
            <w:r w:rsidRPr="005A0E7C">
              <w:t>V současné době se neplánuje aktualizace tohoto dokumentu v nejbližší době</w:t>
            </w:r>
          </w:p>
          <w:p w14:paraId="39B4BF95" w14:textId="77777777" w:rsidR="00DD3EFA" w:rsidRPr="005A0E7C" w:rsidRDefault="00DD3EFA" w:rsidP="00B15ECB">
            <w:pPr>
              <w:rPr>
                <w:b/>
              </w:rPr>
            </w:pPr>
            <w:r w:rsidRPr="005A0E7C">
              <w:rPr>
                <w:b/>
              </w:rPr>
              <w:t xml:space="preserve">Strategie mezinárodní konkurenceschopnosti České republiky pro období 2012 až 2020  </w:t>
            </w:r>
          </w:p>
          <w:p w14:paraId="66268BB9" w14:textId="77777777" w:rsidR="00DD3EFA" w:rsidRPr="005A0E7C" w:rsidRDefault="00DD3EFA" w:rsidP="00391907">
            <w:pPr>
              <w:pStyle w:val="Odstavecseseznamem"/>
              <w:numPr>
                <w:ilvl w:val="0"/>
                <w:numId w:val="68"/>
              </w:numPr>
              <w:jc w:val="both"/>
            </w:pPr>
            <w:r w:rsidRPr="005A0E7C">
              <w:t>V současné době se neplánuje aktualizace tohoto dokumentu v nejbližší době</w:t>
            </w:r>
          </w:p>
          <w:p w14:paraId="6FCB14D1" w14:textId="77777777" w:rsidR="00DD3EFA" w:rsidRPr="005A0E7C" w:rsidRDefault="00DD3EFA" w:rsidP="00B15ECB">
            <w:pPr>
              <w:keepNext/>
              <w:rPr>
                <w:rStyle w:val="Siln"/>
                <w:b w:val="0"/>
              </w:rPr>
            </w:pPr>
            <w:r w:rsidRPr="005A0E7C">
              <w:rPr>
                <w:rStyle w:val="Siln"/>
              </w:rPr>
              <w:t>Národní ERA Roadmap ČR pro léta 2016-2020</w:t>
            </w:r>
          </w:p>
          <w:p w14:paraId="5CEA833F" w14:textId="77777777" w:rsidR="00DD3EFA" w:rsidRPr="005A0E7C" w:rsidRDefault="00DD3EFA" w:rsidP="00391907">
            <w:pPr>
              <w:pStyle w:val="Odstavecseseznamem"/>
              <w:keepNext/>
              <w:numPr>
                <w:ilvl w:val="1"/>
                <w:numId w:val="23"/>
              </w:numPr>
              <w:ind w:left="781"/>
              <w:jc w:val="both"/>
              <w:rPr>
                <w:rStyle w:val="Siln"/>
                <w:b w:val="0"/>
                <w:bCs w:val="0"/>
              </w:rPr>
            </w:pPr>
            <w:r w:rsidRPr="005A0E7C">
              <w:t>V současné době se neplánuje aktualizace tohoto dokumentu v nejbližší době</w:t>
            </w:r>
          </w:p>
          <w:p w14:paraId="2BB9E254" w14:textId="77777777" w:rsidR="00DD3EFA" w:rsidRPr="005A0E7C" w:rsidRDefault="00DD3EFA" w:rsidP="00B15ECB">
            <w:pPr>
              <w:rPr>
                <w:rStyle w:val="Siln"/>
                <w:b w:val="0"/>
                <w:bCs w:val="0"/>
              </w:rPr>
            </w:pPr>
            <w:r w:rsidRPr="005A0E7C">
              <w:rPr>
                <w:rStyle w:val="Siln"/>
              </w:rPr>
              <w:t>Cestovní mapa ČR velkých výzkumných infrastruktur pro léta 2016 až 2022</w:t>
            </w:r>
          </w:p>
          <w:p w14:paraId="152C6D36" w14:textId="77777777" w:rsidR="00DD3EFA" w:rsidRPr="005A0E7C" w:rsidRDefault="00DD3EFA" w:rsidP="00391907">
            <w:pPr>
              <w:pStyle w:val="Odstavecseseznamem"/>
              <w:numPr>
                <w:ilvl w:val="0"/>
                <w:numId w:val="66"/>
              </w:numPr>
              <w:jc w:val="both"/>
              <w:rPr>
                <w:rStyle w:val="Siln"/>
                <w:b w:val="0"/>
                <w:bCs w:val="0"/>
              </w:rPr>
            </w:pPr>
            <w:r w:rsidRPr="005A0E7C">
              <w:rPr>
                <w:rStyle w:val="Siln"/>
              </w:rPr>
              <w:t>Aktualizace dokumentu proběhne v roce 2018-2019, na základě hodnocení, které proběhlo v roce 2017</w:t>
            </w:r>
          </w:p>
          <w:p w14:paraId="64666909" w14:textId="77777777" w:rsidR="00DD3EFA" w:rsidRPr="005A0E7C" w:rsidRDefault="00DD3EFA" w:rsidP="00391907">
            <w:pPr>
              <w:pStyle w:val="Odstavecseseznamem"/>
              <w:numPr>
                <w:ilvl w:val="0"/>
                <w:numId w:val="66"/>
              </w:numPr>
              <w:jc w:val="both"/>
              <w:rPr>
                <w:rStyle w:val="Siln"/>
                <w:b w:val="0"/>
                <w:bCs w:val="0"/>
              </w:rPr>
            </w:pPr>
            <w:r w:rsidRPr="005A0E7C">
              <w:rPr>
                <w:rStyle w:val="Siln"/>
              </w:rPr>
              <w:t xml:space="preserve">Předpokládá se zrušení časového omezení dokumentu během chystané aktualizace. Následně bude docházet k pravidelné aktualizaci dokumentu. </w:t>
            </w:r>
          </w:p>
          <w:p w14:paraId="47D875DB" w14:textId="77777777" w:rsidR="00DD3EFA" w:rsidRPr="005A0E7C" w:rsidRDefault="00DD3EFA" w:rsidP="00B15ECB">
            <w:pPr>
              <w:rPr>
                <w:b/>
              </w:rPr>
            </w:pPr>
            <w:r w:rsidRPr="005A0E7C">
              <w:rPr>
                <w:b/>
              </w:rPr>
              <w:t>Akční plán rozvoje lidských zdrojů pro výzkum, vývoj a inovace a genderové rovnosti ve výzkumu, vývoji a inovacích v ČR na léta 2018-2020</w:t>
            </w:r>
          </w:p>
          <w:p w14:paraId="562E2880" w14:textId="77777777" w:rsidR="00DD3EFA" w:rsidRPr="005A0E7C" w:rsidRDefault="00DD3EFA" w:rsidP="00391907">
            <w:pPr>
              <w:pStyle w:val="Odstavecseseznamem"/>
              <w:numPr>
                <w:ilvl w:val="1"/>
                <w:numId w:val="23"/>
              </w:numPr>
              <w:ind w:left="639"/>
              <w:jc w:val="both"/>
            </w:pPr>
            <w:r w:rsidRPr="005A0E7C">
              <w:t xml:space="preserve">Předpokládá se začlenění problematiky do nové Národní politiky VaVaI na navazující období </w:t>
            </w:r>
          </w:p>
          <w:p w14:paraId="43D49D74" w14:textId="77777777" w:rsidR="00DD3EFA" w:rsidRPr="005A0E7C" w:rsidRDefault="00DD3EFA" w:rsidP="00B15ECB">
            <w:pPr>
              <w:rPr>
                <w:b/>
              </w:rPr>
            </w:pPr>
            <w:r w:rsidRPr="005A0E7C">
              <w:rPr>
                <w:b/>
              </w:rPr>
              <w:t>Akční plán rozvoje mezinárodní spolupráce ČR ve výzkumu a vývoji a internacionalizace prostředí výzkumu a vývoje v ČR na léta 2017-2020</w:t>
            </w:r>
          </w:p>
          <w:p w14:paraId="4EA934A5" w14:textId="77777777" w:rsidR="00DD3EFA" w:rsidRPr="005A0E7C" w:rsidRDefault="00DD3EFA" w:rsidP="00391907">
            <w:pPr>
              <w:pStyle w:val="Odstavecseseznamem"/>
              <w:numPr>
                <w:ilvl w:val="1"/>
                <w:numId w:val="23"/>
              </w:numPr>
              <w:ind w:left="639"/>
              <w:jc w:val="both"/>
            </w:pPr>
            <w:r w:rsidRPr="005A0E7C">
              <w:t xml:space="preserve">Předpokládá se začlenění problematiky do nové Národní politiky VaVaI na navazující období </w:t>
            </w:r>
          </w:p>
          <w:p w14:paraId="4C557F0C" w14:textId="77777777" w:rsidR="00DD3EFA" w:rsidRPr="005A0E7C" w:rsidRDefault="00DD3EFA" w:rsidP="00B15ECB">
            <w:pPr>
              <w:rPr>
                <w:b/>
              </w:rPr>
            </w:pPr>
            <w:r w:rsidRPr="005A0E7C">
              <w:rPr>
                <w:b/>
              </w:rPr>
              <w:t>Dlouhodobý záměr vzdělávací a vědecké, výzkumné, vývojové a inovační, umělecké a další tvůrčí činnosti pro oblast vysokých škol na období 2016-2020</w:t>
            </w:r>
          </w:p>
          <w:p w14:paraId="06F7D8CA" w14:textId="77777777" w:rsidR="00DD3EFA" w:rsidRPr="005A0E7C" w:rsidRDefault="00DD3EFA" w:rsidP="00391907">
            <w:pPr>
              <w:pStyle w:val="Odstavecseseznamem"/>
              <w:numPr>
                <w:ilvl w:val="1"/>
                <w:numId w:val="23"/>
              </w:numPr>
              <w:ind w:left="639"/>
              <w:jc w:val="both"/>
            </w:pPr>
            <w:r w:rsidRPr="005A0E7C">
              <w:t xml:space="preserve">Příprava nového dokumentu na navazující období se bude připravovat v roce 2019 </w:t>
            </w:r>
          </w:p>
          <w:p w14:paraId="6D44604C" w14:textId="77777777" w:rsidR="00DD3EFA" w:rsidRPr="005A0E7C" w:rsidRDefault="00DD3EFA" w:rsidP="00B15ECB">
            <w:pPr>
              <w:rPr>
                <w:b/>
              </w:rPr>
            </w:pPr>
            <w:r w:rsidRPr="005A0E7C">
              <w:rPr>
                <w:b/>
              </w:rPr>
              <w:t xml:space="preserve">Iniciativa Průmysl 4.0 </w:t>
            </w:r>
          </w:p>
          <w:p w14:paraId="732F362C" w14:textId="77777777" w:rsidR="00DD3EFA" w:rsidRPr="005A0E7C" w:rsidRDefault="00DD3EFA" w:rsidP="00391907">
            <w:pPr>
              <w:pStyle w:val="Odstavecseseznamem"/>
              <w:numPr>
                <w:ilvl w:val="1"/>
                <w:numId w:val="23"/>
              </w:numPr>
              <w:ind w:left="639"/>
              <w:jc w:val="both"/>
              <w:rPr>
                <w:i/>
                <w:u w:val="single"/>
              </w:rPr>
            </w:pPr>
            <w:r w:rsidRPr="005A0E7C">
              <w:rPr>
                <w:u w:val="single"/>
              </w:rPr>
              <w:t>Dokument schválen v roce 2016</w:t>
            </w:r>
          </w:p>
        </w:tc>
        <w:tc>
          <w:tcPr>
            <w:tcW w:w="249" w:type="dxa"/>
            <w:tcBorders>
              <w:top w:val="nil"/>
              <w:bottom w:val="nil"/>
            </w:tcBorders>
            <w:shd w:val="clear" w:color="auto" w:fill="66CCFF"/>
          </w:tcPr>
          <w:p w14:paraId="753E2BD8" w14:textId="77777777" w:rsidR="00DD3EFA" w:rsidRPr="005A0E7C" w:rsidRDefault="00DD3EFA" w:rsidP="00B15ECB">
            <w:pPr>
              <w:rPr>
                <w:b/>
              </w:rPr>
            </w:pPr>
          </w:p>
        </w:tc>
      </w:tr>
      <w:tr w:rsidR="00DD3EFA" w:rsidRPr="005A0E7C" w14:paraId="5F16A9AE" w14:textId="77777777" w:rsidTr="00B15ECB">
        <w:trPr>
          <w:trHeight w:val="938"/>
        </w:trPr>
        <w:tc>
          <w:tcPr>
            <w:tcW w:w="249" w:type="dxa"/>
            <w:tcBorders>
              <w:top w:val="nil"/>
              <w:bottom w:val="nil"/>
            </w:tcBorders>
            <w:shd w:val="clear" w:color="auto" w:fill="66CCFF"/>
          </w:tcPr>
          <w:p w14:paraId="3D8C539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B6FD864"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1CCD5CE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D72DFD2" w14:textId="77777777" w:rsidR="00DD3EFA" w:rsidRPr="005A0E7C" w:rsidRDefault="00DD3EFA" w:rsidP="00B15ECB">
            <w:pPr>
              <w:rPr>
                <w:b/>
              </w:rPr>
            </w:pPr>
            <w:r w:rsidRPr="005A0E7C">
              <w:rPr>
                <w:b/>
              </w:rPr>
              <w:t>Národní politika výzkumu, vývoje a inovací České republiky pro roky 2016-2020</w:t>
            </w:r>
          </w:p>
          <w:p w14:paraId="0B01281A" w14:textId="77777777" w:rsidR="00DD3EFA" w:rsidRPr="005A0E7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aktualizace 2019-2020 proběhla především na základě analytických dokumentů Analýza stavu výzkumu, vývoje a inovací v ČR a jejich srovnání se zahraničím v roce 2017, statistických dat, European Innovation Scoreboard, Global Innovation Index a Innovation Output Indicator. </w:t>
            </w:r>
          </w:p>
          <w:p w14:paraId="466C126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p>
          <w:p w14:paraId="3B0A287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b/>
              </w:rPr>
              <w:t>Národní výzkumná a inovační strategie pro inteligentní specializaci (2014 – 2020), aktualizace 2018:</w:t>
            </w:r>
          </w:p>
          <w:p w14:paraId="0FC06363"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i/>
              </w:rPr>
            </w:pPr>
            <w:r w:rsidRPr="005A0E7C">
              <w:rPr>
                <w:rFonts w:ascii="Times New Roman" w:hAnsi="Times New Roman"/>
              </w:rPr>
              <w:t>východiska: hodnocení konkurenceschopnosti - pořadí v kvalitě podmínek pro podnikání, nejproblematičtější faktory pro podnikání, podíl vysoce znalostních odvětví a služeb na celkové zaměstnanosti; struktura výdajů na HDP a jeho průměrný reálný roční růst, stav přímých zahraničních investic, struktura exportu; světové trendy - globalizace a rozložení znalostní sítě, globální spotřební megatrendy (zdrojové napětí planety, technologie pro buducnost, urbanizace světa, nové stárnutí, ad.).</w:t>
            </w:r>
          </w:p>
          <w:p w14:paraId="62B178DF"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i/>
              </w:rPr>
            </w:pPr>
            <w:r w:rsidRPr="005A0E7C">
              <w:rPr>
                <w:rFonts w:ascii="Times New Roman" w:eastAsiaTheme="minorHAnsi" w:hAnsi="Times New Roman"/>
                <w:noProof/>
              </w:rPr>
              <w:t xml:space="preserve">problémový okruh Výzkum a vývoj (Nevyrovnaná kvalita veřejného výzkumu; Rizika digitální agendy ve veřejném výzkumu; Nízká </w:t>
            </w:r>
            <w:r w:rsidRPr="005A0E7C">
              <w:rPr>
                <w:rFonts w:ascii="Times New Roman" w:hAnsi="Times New Roman"/>
              </w:rPr>
              <w:t>r</w:t>
            </w:r>
            <w:r w:rsidRPr="005A0E7C">
              <w:rPr>
                <w:rFonts w:ascii="Times New Roman" w:eastAsiaTheme="minorHAnsi" w:hAnsi="Times New Roman"/>
                <w:noProof/>
              </w:rPr>
              <w:t>elevance a m</w:t>
            </w:r>
            <w:r w:rsidRPr="005A0E7C">
              <w:rPr>
                <w:rFonts w:ascii="Times New Roman" w:hAnsi="Times New Roman"/>
              </w:rPr>
              <w:t>álo rozvinutá spolupráce veřej</w:t>
            </w:r>
            <w:r w:rsidRPr="005A0E7C">
              <w:rPr>
                <w:rFonts w:ascii="Times New Roman" w:eastAsiaTheme="minorHAnsi" w:hAnsi="Times New Roman"/>
                <w:noProof/>
              </w:rPr>
              <w:t>ného výzkumu s aplikační sférou;</w:t>
            </w:r>
            <w:r w:rsidRPr="005A0E7C">
              <w:rPr>
                <w:rFonts w:ascii="Times New Roman" w:hAnsi="Times New Roman"/>
              </w:rPr>
              <w:t xml:space="preserve"> Nedostatečná mezinárodní otevřenost</w:t>
            </w:r>
            <w:r w:rsidRPr="005A0E7C">
              <w:rPr>
                <w:rFonts w:ascii="Times New Roman" w:eastAsiaTheme="minorHAnsi" w:hAnsi="Times New Roman"/>
                <w:noProof/>
              </w:rPr>
              <w:t xml:space="preserve">; Nedostatky v řízení a správě v oblasti politiky VaVaI) a problémový okruh Lidské zdroje (Nefunkční systém identifikace talentů a práce s nimi; </w:t>
            </w:r>
            <w:r w:rsidRPr="005A0E7C">
              <w:rPr>
                <w:rFonts w:ascii="Times New Roman" w:hAnsi="Times New Roman"/>
              </w:rPr>
              <w:t>Nedostatek kvalitních lidských zdrojů pro výzkum a vývoj</w:t>
            </w:r>
            <w:r w:rsidRPr="005A0E7C">
              <w:rPr>
                <w:rFonts w:ascii="Times New Roman" w:eastAsiaTheme="minorHAnsi" w:hAnsi="Times New Roman"/>
                <w:noProof/>
              </w:rPr>
              <w:t>; Průměrná kvalita výstupů vzdělávacího systému; Nedostatečná podpora digitální agendy v lidských zdrojích)</w:t>
            </w:r>
          </w:p>
          <w:p w14:paraId="4D76EDC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V kapitole 4 Národní výzkumné a inovační strategie pro inteligentní specializaci (2014-2020), aktualizace 2018 se věnuje analýze problémů a potřeb relevantních pro tento specifický cíl problémový okruh 5 Nedostatky v řízení a správě (governance) v oblasti politiky VaVaI.</w:t>
            </w:r>
          </w:p>
          <w:p w14:paraId="668D0BA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bottom w:val="nil"/>
            </w:tcBorders>
            <w:shd w:val="clear" w:color="auto" w:fill="66CCFF"/>
          </w:tcPr>
          <w:p w14:paraId="4C046154" w14:textId="77777777" w:rsidR="00DD3EFA" w:rsidRPr="005A0E7C" w:rsidRDefault="00DD3EFA" w:rsidP="00B15ECB">
            <w:pPr>
              <w:rPr>
                <w:b/>
              </w:rPr>
            </w:pPr>
          </w:p>
        </w:tc>
      </w:tr>
      <w:tr w:rsidR="00DD3EFA" w:rsidRPr="005A0E7C" w14:paraId="0EF6EA47" w14:textId="77777777" w:rsidTr="00B15ECB">
        <w:trPr>
          <w:trHeight w:val="938"/>
        </w:trPr>
        <w:tc>
          <w:tcPr>
            <w:tcW w:w="249" w:type="dxa"/>
            <w:tcBorders>
              <w:top w:val="nil"/>
              <w:bottom w:val="nil"/>
            </w:tcBorders>
            <w:shd w:val="clear" w:color="auto" w:fill="66CCFF"/>
          </w:tcPr>
          <w:p w14:paraId="0378741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0993AE"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6D735C7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DAE39E8" w14:textId="77777777" w:rsidR="00DD3EFA" w:rsidRPr="005A0E7C" w:rsidRDefault="00DD3EFA" w:rsidP="00B15ECB">
            <w:pPr>
              <w:rPr>
                <w:b/>
              </w:rPr>
            </w:pPr>
            <w:r w:rsidRPr="005A0E7C">
              <w:rPr>
                <w:b/>
              </w:rPr>
              <w:t>Národní politika výzkumu, vývoje a inovací České republiky pro roky 2016-2020</w:t>
            </w:r>
          </w:p>
          <w:p w14:paraId="1FF077FD" w14:textId="77777777" w:rsidR="00DD3EFA" w:rsidRPr="005A0E7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b/>
              </w:rPr>
            </w:pPr>
            <w:r w:rsidRPr="005A0E7C">
              <w:rPr>
                <w:rFonts w:ascii="Times New Roman" w:hAnsi="Times New Roman"/>
              </w:rPr>
              <w:t>aktualizace 2018-2019 má uvedená cíle a opatření v kap. 4 dokumentu, tohoto specifického cíle se týkají především kap. 4.2, 4.3 a 4.5</w:t>
            </w:r>
          </w:p>
          <w:p w14:paraId="6737DE61" w14:textId="77777777" w:rsidR="00DD3EFA" w:rsidRPr="005A0E7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příklady opatření: Využívat hodnocení pro strategické řízení VaVaI; Posílit využití nástrojů na identifikaci klíčových trendů a identifikaci jejich potenciálních dopadů podporovaných oblastí VaVaI na společnost; Zavést hodnocení výzkumných organizací, které bude motivovat ke zvyšování kvality výzkumu </w:t>
            </w:r>
          </w:p>
          <w:p w14:paraId="655B154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724CA0DB"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B1 - Zlepšit kvalitu a problémovou orientaci výzkumu (Zajistit stabilní podmínky pro dlouhodobý rozvoj kvalitních výzkumných pracovišť; Zvýšit mezinárodní otevřenost veřejného výzkumu v ČR)</w:t>
            </w:r>
          </w:p>
          <w:p w14:paraId="00C3DDC2"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C1 - Zvýšit relevanci výzkumu (Posílit spolupráci a interakci mezi VO a aplikační sférou; Zvýšit komerční využití výsledků VaV a znalostí VO)</w:t>
            </w:r>
          </w:p>
          <w:p w14:paraId="751F1A0A"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D1, D2 – Zvýšit kvalitu absolventů škol, Identifikovat a využít talenty</w:t>
            </w:r>
          </w:p>
          <w:p w14:paraId="4536E52C"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i/>
              </w:rPr>
            </w:pPr>
            <w:r w:rsidRPr="005A0E7C">
              <w:rPr>
                <w:rFonts w:ascii="Times New Roman" w:hAnsi="Times New Roman"/>
              </w:rPr>
              <w:t>D3 - Zvýšit kvalitu pracovníků ve VaV (Zvýšit atraktivitu výzkumné kariéry a kvalitu přípravy výzkumných pracovníků; Zavést efektivní systém řízení lidských zdrojů ve VO a VŠ)</w:t>
            </w:r>
          </w:p>
          <w:p w14:paraId="6602B1CF" w14:textId="77777777" w:rsidR="00DD3EFA" w:rsidRPr="005A0E7C" w:rsidRDefault="00DD3EFA" w:rsidP="00391907">
            <w:pPr>
              <w:pStyle w:val="slovanodstavec"/>
              <w:numPr>
                <w:ilvl w:val="0"/>
                <w:numId w:val="69"/>
              </w:numPr>
              <w:tabs>
                <w:tab w:val="clear" w:pos="567"/>
                <w:tab w:val="left" w:pos="284"/>
              </w:tabs>
              <w:suppressAutoHyphens/>
              <w:spacing w:line="240" w:lineRule="auto"/>
              <w:rPr>
                <w:rFonts w:ascii="Times New Roman" w:hAnsi="Times New Roman"/>
              </w:rPr>
            </w:pPr>
            <w:r w:rsidRPr="005A0E7C">
              <w:rPr>
                <w:rFonts w:ascii="Times New Roman" w:hAnsi="Times New Roman"/>
              </w:rPr>
              <w:t>E3 – Rozvoj Infrastruktury v ICT (Rozvoj ICT sloužící pro výzkum a vývoj)</w:t>
            </w:r>
          </w:p>
          <w:p w14:paraId="106C3076" w14:textId="142D3475"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 xml:space="preserve">Vertikální cíle Národní RIS3 </w:t>
            </w:r>
            <w:r w:rsidR="00A51AA8" w:rsidRPr="005A0E7C">
              <w:rPr>
                <w:rFonts w:ascii="Times New Roman" w:hAnsi="Times New Roman"/>
              </w:rPr>
              <w:t>strategie</w:t>
            </w:r>
            <w:r w:rsidRPr="005A0E7C">
              <w:rPr>
                <w:rFonts w:ascii="Times New Roman" w:hAnsi="Times New Roman"/>
              </w:rPr>
              <w:t xml:space="preserve"> (tzv. domény inteligentní specializace) – přehled viz tzv. Vertikalizační matice (kap. 8.3.1.5 Národní RIS3 strategie), detailní přehled prioritních výzkumných a inovačních témat v jednotlivých aplikačních odvětvích/oblastech je dále zpřehledněn v kap. 8.1 Národní RIS3 strategie.</w:t>
            </w:r>
          </w:p>
        </w:tc>
        <w:tc>
          <w:tcPr>
            <w:tcW w:w="249" w:type="dxa"/>
            <w:tcBorders>
              <w:top w:val="nil"/>
              <w:bottom w:val="nil"/>
            </w:tcBorders>
            <w:shd w:val="clear" w:color="auto" w:fill="66CCFF"/>
          </w:tcPr>
          <w:p w14:paraId="218BE5AD" w14:textId="77777777" w:rsidR="00DD3EFA" w:rsidRPr="005A0E7C" w:rsidRDefault="00DD3EFA" w:rsidP="00B15ECB">
            <w:pPr>
              <w:rPr>
                <w:b/>
              </w:rPr>
            </w:pPr>
          </w:p>
        </w:tc>
      </w:tr>
      <w:tr w:rsidR="00DD3EFA" w:rsidRPr="005A0E7C" w14:paraId="5E6476B0" w14:textId="77777777" w:rsidTr="00B15ECB">
        <w:trPr>
          <w:trHeight w:val="938"/>
        </w:trPr>
        <w:tc>
          <w:tcPr>
            <w:tcW w:w="249" w:type="dxa"/>
            <w:tcBorders>
              <w:top w:val="nil"/>
              <w:bottom w:val="nil"/>
            </w:tcBorders>
            <w:shd w:val="clear" w:color="auto" w:fill="66CCFF"/>
          </w:tcPr>
          <w:p w14:paraId="318663C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BADEBA3"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2A357DB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125BE55" w14:textId="77777777" w:rsidR="00DD3EFA" w:rsidRPr="005A0E7C" w:rsidRDefault="00DD3EFA" w:rsidP="00B15ECB">
            <w:pPr>
              <w:rPr>
                <w:b/>
              </w:rPr>
            </w:pPr>
            <w:r w:rsidRPr="005A0E7C">
              <w:rPr>
                <w:b/>
              </w:rPr>
              <w:t>Národní politika výzkumu, vývoje a inovací České republiky pro roky 2016-2020</w:t>
            </w:r>
          </w:p>
          <w:p w14:paraId="0003BAB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rPr>
              <w:t>aktualizace 2018-2019 má vždy u každého cíle a opatření uvedené gesce daného opatření a zásadní milníky jeho implementace</w:t>
            </w:r>
          </w:p>
          <w:p w14:paraId="2A1DDCC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56ABE59C"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i/>
              </w:rPr>
            </w:pPr>
            <w:r w:rsidRPr="005A0E7C">
              <w:rPr>
                <w:rFonts w:ascii="Times New Roman" w:hAnsi="Times New Roman"/>
              </w:rPr>
              <w:t>Hlavním řídicím prvkem je Řídicí výbor RIS3, který spolupracuje zejména s ústředními správními úřady a dalšími institucemi v oblasti podpory výzkumu, vývoje a inovací. Stěžejními partnery pro činnost výboru jsou řídicí orgány operačních programů a poskytovatelé národních programů podpory, popř. rezortních programů. Předsedou výboru je náměstek pro řízení sekce digitalizace a inovací MPO, členy výboru jsou také zástupce Rady pro výzkum, vývoj a inovace a zástupce MMR-NOK.  Nezbytnou roli v procesu řízení sehrává Národní RIS3 manažer, který je tajemníkem výboru a vedoucím analytického týmu (Oddělení strategie S3 MPO) zajišťujícím přípravu, tvorbu a proces implementace Národní RIS3 strategie v ČR. Ve vztahu k regionálním RIS3 strategiím má národní úroveň úlohu koordinační.</w:t>
            </w:r>
          </w:p>
          <w:p w14:paraId="1B946A21"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i/>
              </w:rPr>
            </w:pPr>
            <w:r w:rsidRPr="005A0E7C">
              <w:rPr>
                <w:rFonts w:ascii="Times New Roman" w:hAnsi="Times New Roman"/>
              </w:rPr>
              <w:t>každoroční implementační plán schvalovaný Řídicím výborem RIS3 obsahuje indikativní seznam plánovaných intervencí (název, stručný popis intervence a jejích cílů, gestor/organizace zodpovědná za přípravu a řízení, finanční odhad s uvedením zdroje; očekávané výsledky - způsob a míra přispění k cílům RIS3 strategie; časový plán) a přehled dalších strategických aktivit.</w:t>
            </w:r>
          </w:p>
        </w:tc>
        <w:tc>
          <w:tcPr>
            <w:tcW w:w="249" w:type="dxa"/>
            <w:tcBorders>
              <w:top w:val="nil"/>
              <w:bottom w:val="nil"/>
            </w:tcBorders>
            <w:shd w:val="clear" w:color="auto" w:fill="66CCFF"/>
          </w:tcPr>
          <w:p w14:paraId="27B824B2" w14:textId="77777777" w:rsidR="00DD3EFA" w:rsidRPr="005A0E7C" w:rsidRDefault="00DD3EFA" w:rsidP="00B15ECB">
            <w:pPr>
              <w:rPr>
                <w:b/>
              </w:rPr>
            </w:pPr>
          </w:p>
        </w:tc>
      </w:tr>
      <w:tr w:rsidR="00DD3EFA" w:rsidRPr="005A0E7C" w14:paraId="41AE10DF" w14:textId="77777777" w:rsidTr="00B15ECB">
        <w:trPr>
          <w:trHeight w:val="938"/>
        </w:trPr>
        <w:tc>
          <w:tcPr>
            <w:tcW w:w="249" w:type="dxa"/>
            <w:tcBorders>
              <w:top w:val="nil"/>
              <w:bottom w:val="nil"/>
            </w:tcBorders>
            <w:shd w:val="clear" w:color="auto" w:fill="66CCFF"/>
          </w:tcPr>
          <w:p w14:paraId="4F2A165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CA8616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02AE4734" w14:textId="77777777" w:rsidR="00DD3EFA" w:rsidRPr="005A0E7C" w:rsidRDefault="00DD3EFA" w:rsidP="00B15ECB">
            <w:pPr>
              <w:rPr>
                <w:b/>
              </w:rPr>
            </w:pPr>
            <w:r w:rsidRPr="005A0E7C">
              <w:rPr>
                <w:b/>
              </w:rPr>
              <w:t>Národní politika výzkumu, vývoje a inovací České republiky pro roky 2016-2020</w:t>
            </w:r>
          </w:p>
          <w:p w14:paraId="72EE36A2" w14:textId="77777777" w:rsidR="00DD3EFA" w:rsidRPr="005A0E7C" w:rsidRDefault="00DD3EFA" w:rsidP="00391907">
            <w:pPr>
              <w:pStyle w:val="slovanodstavec"/>
              <w:numPr>
                <w:ilvl w:val="0"/>
                <w:numId w:val="75"/>
              </w:numPr>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dochází k pravidelné aktualizaci dokumentu a jeho vyhodnocování, zároveň dochází k pravidelnému každoročnímu vyhodnocování analýzy stavu VaVaI v ČR a jejich srovnání se zahraničním, které realizuje RVVI  </w:t>
            </w:r>
          </w:p>
          <w:p w14:paraId="37B2CD2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b/>
              </w:rPr>
              <w:t>Národní výzkumná a inovační strategie pro inteligentní specializaci (2014 – 2020), aktualizace 2018:</w:t>
            </w:r>
          </w:p>
          <w:p w14:paraId="61753C17" w14:textId="77777777" w:rsidR="00DD3EFA" w:rsidRPr="005A0E7C" w:rsidRDefault="00DD3EFA" w:rsidP="00391907">
            <w:pPr>
              <w:pStyle w:val="slovanodstavec"/>
              <w:numPr>
                <w:ilvl w:val="0"/>
                <w:numId w:val="70"/>
              </w:numPr>
              <w:tabs>
                <w:tab w:val="clear" w:pos="567"/>
                <w:tab w:val="left" w:pos="284"/>
              </w:tabs>
              <w:suppressAutoHyphens/>
              <w:spacing w:line="240" w:lineRule="auto"/>
              <w:rPr>
                <w:rFonts w:ascii="Times New Roman" w:hAnsi="Times New Roman"/>
                <w:i/>
              </w:rPr>
            </w:pPr>
            <w:r w:rsidRPr="005A0E7C">
              <w:rPr>
                <w:rFonts w:ascii="Times New Roman" w:hAnsi="Times New Roman"/>
              </w:rPr>
              <w:t xml:space="preserve">Monitoring se zaměřuje zejména na čerpání prostředků u realizovaných intervencí v členění podle horizontálních a vertikálních cílů strategie a naplňování indikátorů strategie v členění podle strategických a specifických cílů strategie. Řídicí orgány operačních programů poskytují analytickému týmu informace o relevantních realizovaných a podaných projektech ve stanovené datové struktuře, na jejímž základě je vytvořena vlastní databáze Národní RIS3 strategie. Souhrnně je každoročně zveřejňován ve Zprávě o realizaci Národní RIS3 strategie, která je k 30. červnu předkládána ke  schválení Řídicímu výboru RIS3. </w:t>
            </w:r>
          </w:p>
          <w:p w14:paraId="698F1FE9" w14:textId="77777777" w:rsidR="00DD3EFA" w:rsidRPr="005A0E7C" w:rsidRDefault="00DD3EFA" w:rsidP="00391907">
            <w:pPr>
              <w:pStyle w:val="slovanodstavec"/>
              <w:numPr>
                <w:ilvl w:val="0"/>
                <w:numId w:val="70"/>
              </w:numPr>
              <w:tabs>
                <w:tab w:val="clear" w:pos="567"/>
                <w:tab w:val="left" w:pos="284"/>
              </w:tabs>
              <w:suppressAutoHyphens/>
              <w:spacing w:line="240" w:lineRule="auto"/>
              <w:rPr>
                <w:rFonts w:ascii="Times New Roman" w:hAnsi="Times New Roman"/>
                <w:i/>
              </w:rPr>
            </w:pPr>
            <w:r w:rsidRPr="005A0E7C">
              <w:rPr>
                <w:rFonts w:ascii="Times New Roman" w:hAnsi="Times New Roman"/>
              </w:rPr>
              <w:t>Evaluace se zaměřuje na informace získané v rámci pravidelného monitoringu strategie i mimo něj a interpretace těchto informací, formulace závěrů ve vztahu k dlouhodobé strategické vizi a vnitřním řídícím procesům, doporučení ke zlepšení implementace a celkového strategického nastavení. Na základě věcné souvislosti s operačními programy je přihlíženo k evropské legislativě pro programy realizované s podporou ESIF v průběhu programového období 2014 – 2020, doporučením S3-Platform a k Metodickému pokynu pro evaluace programovacího období 2014 - 2020. Dále jsou respektovány závěry evaluací všech relevantních poskytovatelů podpory VaVaI. Hodnotící zpráva je zpracována každé dva roky, schvalována Řídicím výborem RIS3 a k 30. červnu předkládána vládě ČR. Nejbližší (mid-term) evaluace bude předložena vládě k 30. červnu 2019.</w:t>
            </w:r>
          </w:p>
        </w:tc>
        <w:tc>
          <w:tcPr>
            <w:tcW w:w="249" w:type="dxa"/>
            <w:tcBorders>
              <w:top w:val="nil"/>
              <w:bottom w:val="nil"/>
            </w:tcBorders>
            <w:shd w:val="clear" w:color="auto" w:fill="66CCFF"/>
          </w:tcPr>
          <w:p w14:paraId="32C81A84" w14:textId="77777777" w:rsidR="00DD3EFA" w:rsidRPr="005A0E7C" w:rsidRDefault="00DD3EFA" w:rsidP="00B15ECB">
            <w:pPr>
              <w:rPr>
                <w:b/>
              </w:rPr>
            </w:pPr>
          </w:p>
        </w:tc>
      </w:tr>
      <w:tr w:rsidR="00DD3EFA" w:rsidRPr="005A0E7C" w14:paraId="79732A95" w14:textId="77777777" w:rsidTr="00B15ECB">
        <w:trPr>
          <w:trHeight w:val="130"/>
        </w:trPr>
        <w:tc>
          <w:tcPr>
            <w:tcW w:w="249" w:type="dxa"/>
            <w:tcBorders>
              <w:top w:val="nil"/>
              <w:bottom w:val="nil"/>
              <w:right w:val="nil"/>
            </w:tcBorders>
            <w:shd w:val="clear" w:color="auto" w:fill="66CCFF"/>
          </w:tcPr>
          <w:p w14:paraId="4DCA0976" w14:textId="77777777" w:rsidR="00DD3EFA" w:rsidRPr="005A0E7C" w:rsidRDefault="00DD3EFA" w:rsidP="00B15ECB">
            <w:pPr>
              <w:rPr>
                <w:b/>
              </w:rPr>
            </w:pPr>
          </w:p>
        </w:tc>
        <w:tc>
          <w:tcPr>
            <w:tcW w:w="2548" w:type="dxa"/>
            <w:tcBorders>
              <w:left w:val="nil"/>
              <w:right w:val="nil"/>
            </w:tcBorders>
            <w:shd w:val="clear" w:color="auto" w:fill="66CCFF"/>
          </w:tcPr>
          <w:p w14:paraId="5AD9D486" w14:textId="77777777" w:rsidR="00DD3EFA" w:rsidRPr="005A0E7C" w:rsidRDefault="00DD3EFA" w:rsidP="00B15ECB">
            <w:pPr>
              <w:rPr>
                <w:b/>
              </w:rPr>
            </w:pPr>
          </w:p>
        </w:tc>
        <w:tc>
          <w:tcPr>
            <w:tcW w:w="5978" w:type="dxa"/>
            <w:tcBorders>
              <w:left w:val="nil"/>
              <w:right w:val="nil"/>
            </w:tcBorders>
            <w:shd w:val="clear" w:color="auto" w:fill="66CCFF"/>
          </w:tcPr>
          <w:p w14:paraId="71BAFEA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2DC8550A" w14:textId="77777777" w:rsidR="00DD3EFA" w:rsidRPr="005A0E7C" w:rsidRDefault="00DD3EFA" w:rsidP="00B15ECB">
            <w:pPr>
              <w:rPr>
                <w:b/>
              </w:rPr>
            </w:pPr>
          </w:p>
        </w:tc>
      </w:tr>
      <w:tr w:rsidR="00DD3EFA" w:rsidRPr="005A0E7C" w14:paraId="6B5942ED" w14:textId="77777777" w:rsidTr="00B15ECB">
        <w:trPr>
          <w:trHeight w:val="1258"/>
        </w:trPr>
        <w:tc>
          <w:tcPr>
            <w:tcW w:w="249" w:type="dxa"/>
            <w:tcBorders>
              <w:top w:val="nil"/>
              <w:bottom w:val="nil"/>
              <w:right w:val="nil"/>
            </w:tcBorders>
            <w:shd w:val="clear" w:color="auto" w:fill="66CCFF"/>
          </w:tcPr>
          <w:p w14:paraId="5235A10C" w14:textId="77777777" w:rsidR="00DD3EFA" w:rsidRPr="005A0E7C" w:rsidRDefault="00DD3EFA" w:rsidP="00B15ECB">
            <w:pPr>
              <w:rPr>
                <w:b/>
              </w:rPr>
            </w:pPr>
          </w:p>
        </w:tc>
        <w:tc>
          <w:tcPr>
            <w:tcW w:w="2548" w:type="dxa"/>
            <w:shd w:val="clear" w:color="auto" w:fill="FFFFFF" w:themeFill="background1"/>
          </w:tcPr>
          <w:p w14:paraId="6E701A34"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5DAA3CB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Aktivity, které jsou navrženy v této oblasti, byly podporovány historicky v období 2007-2013 zejména formou individuálních projektů národních (IPn) pro oblast terciárního vzdělávání, výzkumu a inovací – v rámci OP Vzdělávání pro konkurenceschopnost (MŠMT). Konkrétně šlo zejm. o IPn Audit VaVaI (Mezinárodní audit výzkumu, vývoje a inovací v ČR a implementace jeho výsledků do strategických dokumentů), jehož závěry a doporučení byly v následujícím období reflektovány v opatřeních NP VaVaI i Národní RIS3 strategie v co největší míře. Dále šlo též o IPn Metodika (Efektivní systém hodnocení a financování výzkumu, vývoje a inovací), z něhož vzešel základ metodiky pro zcela zásadní změnu systému hodnocení výzkumných organizací tak, aby jejich financování bylo založeno na kvalitě hodnocených organizací. Její rozfázované zavedení do praxe v období 2017+ bylo schváleno vládou ČR v únoru 2017 a od té doby probíhá její postupná implementace. Dále došlo v letech 2013-2014 z prostředků OP Výzkum, vývoj a inovace (MŠMT) k podpoře přípravy Národní RIS3 strategie ve své první verzi a iniciaci vzniku zárodků krajských struktur pro řízení a implementaci regionální úrovně Národní RIS3 strategie, na což později navázala výzva Smart Akcelerátor OP Výzkum, vývoj a vzdělávání.</w:t>
            </w:r>
          </w:p>
          <w:p w14:paraId="66E8342F" w14:textId="6E5A4306"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období 2014-2020 se OP VVV zaměřuje v PO1 na posílení strategického řízení ve výzkumu, vývoji a inovacích. Projekty v této oblasti však dosud realizovány nebyly, až na výjimku systémového projektu CzechElib, který však řeší pouze dílčí aspekt/nástroj politiky VaVaI, a to zavedení centralizovaného nákupu a přístupu k elektronickým a informačním zdrojům pro VaVaI.</w:t>
            </w:r>
            <w:r w:rsidR="00A51AA8" w:rsidRPr="005A0E7C">
              <w:rPr>
                <w:rFonts w:ascii="Times New Roman" w:hAnsi="Times New Roman"/>
              </w:rPr>
              <w:t xml:space="preserve"> </w:t>
            </w:r>
            <w:r w:rsidRPr="005A0E7C">
              <w:rPr>
                <w:rFonts w:ascii="Times New Roman" w:hAnsi="Times New Roman"/>
              </w:rPr>
              <w:t>Krom</w:t>
            </w:r>
            <w:r w:rsidR="00A51AA8" w:rsidRPr="005A0E7C">
              <w:rPr>
                <w:rFonts w:ascii="Times New Roman" w:hAnsi="Times New Roman"/>
              </w:rPr>
              <w:t>ě</w:t>
            </w:r>
            <w:r w:rsidRPr="005A0E7C">
              <w:rPr>
                <w:rFonts w:ascii="Times New Roman" w:hAnsi="Times New Roman"/>
              </w:rPr>
              <w:t xml:space="preserve"> toho je posilováno strategické řízení regionálních inovačních politik / RIS3 strategií (tzv. krajských příloh Národní RIS3 strategie) v PO2, SC5 formou dvou na sebe věcně a časově navazujících výzev Smart Akcelerátor I a II., ve kterých se o dotaci ucházejí jednotlivé kraje. Dosavadní vývoj ukazuje na zájem krajů o tento typ podpory., z interim evaluace přínosů intervence cca v polovině doby realizace projektů první výzvy Smart Akcelerátor vyplývá jednoznačný pozitivní efekt na rozvoj inovačního prostředí v jednotlivých krajích i na plnění cílů Národní RIS3 a jejích příloh: ve všech podpořených 12 krajích došlo ke kvalitativnímu posunu strategického řízení regionální politiky VaVaI a ke zvýšení významu VaVaI v rámci krajských agend oproti minulosti. V regionech došlo k úspěšnému rozběhnutí nových aktivit/nástrojů na podporu inovačního prostředí, velmi pozitivně byly hodnocen zřetelný efekt síťovacích aktivit Smart Akcelerátorů s jejichž pomocí vznikají regionální i interregionální kreativní vazby mezi výzkumnými organizacemi, univerzitami, podniky, veřejnou správou a občanskými sdruženími. Evaluace potvrdila smysluplnost financování podpůrných aktivit typu Smart Akcelerátor (navzdory tomu, že výsledky z povahy věci nejsou vidět ihned), protože vytvářejí důležité impulzy k posilování inteligentní specializace v regionech, k intenzivnějšímu využívání inovací a k přechodu ke znalostní ekonomice, což je nezpochybnitelným klíčovým faktorem pro zvyšování konkurenceschopnosti ČR v globálním světě. Potvrdila se též skutečnost, že krajská úroveň řízení těchto podpůrných aktivit se jeví jako optimální vzhledem k dosažené blízkosti k „terénu“ a schopnost dosáhnout dostatečně detailní znalosti místního inovačního systému, jeho potřeb a potenciálu, na což je následně možné efektivně reagovat krajskými intervencemi šitými na míru danému prostředí, propojovat aktéry daného prostředí a podporovat nové projekty spolupráce a účinně posilovat inteligentní specializaci a rozvoj daného regionu. Pro komplexní zhodnocení dopadů, které u těchto intervencí dostavují až v dlouhodobějším horizontu, je však v tento moment příliš brzy. Kraje se však shodují na tom, že bez podpory ESIF prostředků v této počáteční fázi „experimentování“ s podporou VaVaI na regionální úrovni by s největší pravděpodobností znamenalo zmaření slibně rozeběhnutých aktivit a to dřív, než by aktivity přinesly očekávané výsledky, které by poskytly dostatečnou evidence base pro následné financování pozitivně ověřených aktivit z regionálních prostředků.  </w:t>
            </w:r>
          </w:p>
          <w:p w14:paraId="7526EB01" w14:textId="77777777" w:rsidR="00DD3EFA" w:rsidRPr="005A0E7C" w:rsidRDefault="00DD3EFA" w:rsidP="00B15ECB">
            <w:pPr>
              <w:rPr>
                <w:b/>
              </w:rPr>
            </w:pPr>
          </w:p>
        </w:tc>
        <w:tc>
          <w:tcPr>
            <w:tcW w:w="249" w:type="dxa"/>
            <w:tcBorders>
              <w:top w:val="nil"/>
              <w:left w:val="nil"/>
              <w:bottom w:val="nil"/>
            </w:tcBorders>
            <w:shd w:val="clear" w:color="auto" w:fill="66CCFF"/>
          </w:tcPr>
          <w:p w14:paraId="71126FD5" w14:textId="77777777" w:rsidR="00DD3EFA" w:rsidRPr="005A0E7C" w:rsidRDefault="00DD3EFA" w:rsidP="00B15ECB">
            <w:pPr>
              <w:rPr>
                <w:b/>
              </w:rPr>
            </w:pPr>
          </w:p>
        </w:tc>
      </w:tr>
      <w:tr w:rsidR="00DD3EFA" w:rsidRPr="005A0E7C" w14:paraId="3002D767" w14:textId="77777777" w:rsidTr="00B15ECB">
        <w:trPr>
          <w:trHeight w:val="1258"/>
        </w:trPr>
        <w:tc>
          <w:tcPr>
            <w:tcW w:w="249" w:type="dxa"/>
            <w:tcBorders>
              <w:top w:val="nil"/>
              <w:bottom w:val="nil"/>
              <w:right w:val="nil"/>
            </w:tcBorders>
            <w:shd w:val="clear" w:color="auto" w:fill="66CCFF"/>
          </w:tcPr>
          <w:p w14:paraId="5A696460" w14:textId="77777777" w:rsidR="00DD3EFA" w:rsidRPr="005A0E7C" w:rsidRDefault="00DD3EFA" w:rsidP="00B15ECB">
            <w:pPr>
              <w:rPr>
                <w:b/>
              </w:rPr>
            </w:pPr>
          </w:p>
        </w:tc>
        <w:tc>
          <w:tcPr>
            <w:tcW w:w="2548" w:type="dxa"/>
            <w:shd w:val="clear" w:color="auto" w:fill="FFFFFF" w:themeFill="background1"/>
          </w:tcPr>
          <w:p w14:paraId="183C8E78" w14:textId="77777777" w:rsidR="00DD3EFA" w:rsidRPr="005A0E7C" w:rsidRDefault="00DD3EFA" w:rsidP="00B15ECB">
            <w:pPr>
              <w:rPr>
                <w:rFonts w:eastAsiaTheme="majorEastAsia"/>
                <w:b/>
              </w:rPr>
            </w:pPr>
            <w:r w:rsidRPr="005A0E7C">
              <w:rPr>
                <w:rFonts w:eastAsiaTheme="majorEastAsia"/>
                <w:b/>
              </w:rPr>
              <w:t>Věcný posun oblasti</w:t>
            </w:r>
          </w:p>
          <w:p w14:paraId="66325208"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3381DED7" w14:textId="77777777" w:rsidR="00DD3EFA" w:rsidRPr="005A0E7C" w:rsidRDefault="00DD3EFA">
            <w:pPr>
              <w:pStyle w:val="slovanodstavec"/>
              <w:tabs>
                <w:tab w:val="clear" w:pos="567"/>
                <w:tab w:val="left" w:pos="284"/>
              </w:tabs>
              <w:suppressAutoHyphens/>
              <w:spacing w:line="240" w:lineRule="auto"/>
              <w:jc w:val="left"/>
              <w:rPr>
                <w:rFonts w:ascii="Times New Roman" w:hAnsi="Times New Roman"/>
                <w:color w:val="000000"/>
              </w:rPr>
            </w:pPr>
            <w:r w:rsidRPr="005A0E7C">
              <w:rPr>
                <w:rFonts w:ascii="Times New Roman" w:hAnsi="Times New Roman"/>
                <w:color w:val="000000"/>
              </w:rPr>
              <w:t xml:space="preserve">V programovém období 2014-2020 došlo v SC4 PO1 zaměřeného na podporu strategického řízení politiky VaVaI na národní úrovni zatím pouze k realizaci IPs CzechElib zaměřeného na vytvoření systému centralizovaného zpřístupňování a využívání elektronických informačních zdrojů (EIZ) pro VaV, který však řeší pouze dílčí aspekt problematiky řízení VaVaI (další projekt zaměřený na strategické řízení procesu inteligentní specializace a Národní RIS3 strategie, je momentálně v jednání s potenciálním nositelem). </w:t>
            </w:r>
          </w:p>
          <w:p w14:paraId="184EA118" w14:textId="77777777" w:rsidR="00DD3EFA" w:rsidRPr="005A0E7C" w:rsidRDefault="00DD3EFA" w:rsidP="00B15ECB">
            <w:pPr>
              <w:rPr>
                <w:color w:val="000000"/>
                <w:lang w:eastAsia="cs-CZ"/>
              </w:rPr>
            </w:pPr>
            <w:r w:rsidRPr="005A0E7C">
              <w:rPr>
                <w:color w:val="000000"/>
                <w:lang w:eastAsia="cs-CZ"/>
              </w:rPr>
              <w:t>Spojením know-how a soustředěním finančních prostředků v projektu CzechElib je dosaženo vyšší efektivity při pořizování a správě EIZ. V letech 2018 - 2020 je podpořen i nákup přístupů k EIZ. V rámci realizace projektu došlo zatím k přípravě vzorové smlouvy pro účastnické a členské instituce a smlouvy s poskytovateli EIZ. Doposud v projektu došlo k uzavření 20 Licenčních smluv na EIZ 2018+ a 112 smluv o zajištění a zpřístupnění EIZ 2018+, čímž došlo ke zpřístupnění všech požadovaných EIZ od roku 2018. Současně 39 účastnických institucí projevilo zájem o zajištění a zpřístupnění EIZ 2019+, což je předmětem dalšího řešení tohoto projektu, který je v tento moment cca v 1/3 doby své realizace.</w:t>
            </w:r>
          </w:p>
          <w:p w14:paraId="1B86D808" w14:textId="77777777" w:rsidR="00DD3EFA" w:rsidRPr="005A0E7C" w:rsidRDefault="00DD3EFA" w:rsidP="00B15ECB"/>
          <w:p w14:paraId="1F1A7B3B" w14:textId="77777777" w:rsidR="00DD3EFA" w:rsidRPr="005A0E7C" w:rsidRDefault="00DD3EFA">
            <w:pPr>
              <w:pStyle w:val="slovanodstavec"/>
              <w:tabs>
                <w:tab w:val="clear" w:pos="567"/>
                <w:tab w:val="left" w:pos="284"/>
              </w:tabs>
              <w:suppressAutoHyphens/>
              <w:spacing w:line="240" w:lineRule="auto"/>
              <w:jc w:val="left"/>
              <w:rPr>
                <w:rFonts w:ascii="Times New Roman" w:hAnsi="Times New Roman"/>
                <w:color w:val="000000"/>
              </w:rPr>
            </w:pPr>
            <w:r w:rsidRPr="005A0E7C">
              <w:rPr>
                <w:rFonts w:ascii="Times New Roman" w:hAnsi="Times New Roman"/>
                <w:color w:val="000000"/>
              </w:rPr>
              <w:t>Krom výše uvedeného projektu CzechElib nelze dál věcný posun na národní úrovni v tomto programovém období zatím hodnotit. Lze však vyhodnotit intervence programového období 2007-2013. Výsledky a dopady IPn Metodika lze obecně považovat za úspěšné a pozitivní, neboť v r. 2017 došlo ke schválení Metodiky 2017+ (jejíž vznik daný projekt inicioval) vládou s tříletým plánem postupného zavedení do praxe hodnocení výzkumných organizací. IPn Audit lze taktéž považovat za úspěšně provedený projekt, jehož výstupem byla řada cenných doporučení pro zefektivnění systému VaVaI v ČR se zaměřením na hodnocení veřejných výdajů VaV; řízení VaV; řízení a hodnocení kvality VaV, institucionální financování a hodnocení; přehled systému ochrany duševního vlastnictví; vazby mezi vědou a průmyslem; mezinárodní spolupráci ve VaV; lidské zdroje ve VaV a bibliometrickou analýzu, přičemž řada doporučení byla promítnuta do aktualizace Národní politiky VaVaI a byla významným podkladem pro některé legislativní změny a zejména též pro vznik nového návrhu metodiky hodnocení výzkumných organizací s dopadem do institucionálního financování. Některá doporučení však doposud nebyla více systematicky uchopena – jedná se např. o zavedení efektivního systému hodnocení programů účelové podpory. Tuto mezeru se pokoušely řešit 2 plánované výzvy OP VaVpI a následné též IPs v rámci OP VVV, z realizace projektu však v obou programových obdobích nakonec sešlo.</w:t>
            </w:r>
          </w:p>
          <w:p w14:paraId="55F6557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color w:val="000000"/>
              </w:rPr>
            </w:pPr>
            <w:r w:rsidRPr="005A0E7C">
              <w:rPr>
                <w:rFonts w:ascii="Times New Roman" w:hAnsi="Times New Roman"/>
                <w:color w:val="000000"/>
              </w:rPr>
              <w:t xml:space="preserve">Za úspěšnou lze však považovat podporu vzniku Národní RIS3 strategie a jejích krajských příloh z OP VaVpI, díky čemuž byla splněna tzv. ex-ante kondicionalita pro ESIF na podporu VaVaI v programovém období 2014+, což zajistilo České republice možnost čerpat prostředky z fondů ESIF v celkovém rozsahu cca 4,5 mld. EUR a dále též položilo základy národních i krajských struktur a širších partnerství na principu participace zástupců triple helix a principu entrepreneurial discovery - pro efektivní řízení a implementaci této strategie. </w:t>
            </w:r>
          </w:p>
          <w:p w14:paraId="663A41B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color w:val="000000"/>
              </w:rPr>
            </w:pPr>
            <w:r w:rsidRPr="005A0E7C">
              <w:rPr>
                <w:rFonts w:ascii="Times New Roman" w:hAnsi="Times New Roman"/>
                <w:color w:val="000000"/>
              </w:rPr>
              <w:t xml:space="preserve"> Co se týče participace regionální úrovně na řízení a implementaci politiky VaVaI, za významně přínosnou lze kromě výše uvedené podpory z OP VaVpI považovat navazující intervence z OP VVV ve stávajícím programovém období 2014-2020. </w:t>
            </w:r>
          </w:p>
          <w:p w14:paraId="63F8419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imes New Roman" w:hAnsi="Times New Roman"/>
                <w:color w:val="000000"/>
                <w:lang w:eastAsia="cs-CZ"/>
              </w:rPr>
            </w:pPr>
            <w:r w:rsidRPr="005A0E7C">
              <w:rPr>
                <w:rFonts w:ascii="Times New Roman" w:hAnsi="Times New Roman"/>
                <w:color w:val="000000"/>
              </w:rPr>
              <w:t xml:space="preserve">Interim evaluace, která proběhla v polovině období realizace projektů v první výzvě Smart Akcelerátor, potvrdila významný posun na úrovni jednotlivých krajů a úspěšné plnění cílů výzvy: v krajích došlo k vybudování kapacit a koncentraci know-how v oblasti podpory VaV a inovací a řízení strategie inteligentní specializace (vybudování a stabilizace týmů sestavených ze zkušených odborníků či pracovníků vzdělaných s pomocí SmAcc); došlo k ukotvení RIS3 struktur v kraji jako zejm. ke vniku krajské rady pro inovace/konkurenceschopnost a inovačních platforem sdružujících klíčové místní aktéry z řad výzkumných a vzdělávacích organizací, firem a veřejného sektoru (triple helix); dochází k postupnému zmapování krajských inovačních aktérů, jejich potřeb a potenciálu; dochází k </w:t>
            </w:r>
            <w:r w:rsidRPr="005A0E7C">
              <w:rPr>
                <w:rFonts w:ascii="Times New Roman" w:eastAsia="Times New Roman" w:hAnsi="Times New Roman"/>
                <w:color w:val="000000"/>
                <w:lang w:eastAsia="cs-CZ"/>
              </w:rPr>
              <w:t>vzbuzování zájmu politické prezentace a zvyšování schopnosti dosahovat konsenzu nad směřováním regionu ke znalostní ekonomice; ke kontinuálnímu zvyšování důvěryhodnosti kraje jako partnera pro inovační aktéry v kraji; a v neposlední řadě k iniciaci vzniku a realizace celé řady strategických projektů a intervencí na podporu VaVaI.</w:t>
            </w:r>
          </w:p>
          <w:p w14:paraId="45F8AFC5" w14:textId="77777777" w:rsidR="00DD3EFA" w:rsidRPr="005A0E7C" w:rsidRDefault="00DD3EFA" w:rsidP="00B15ECB">
            <w:pPr>
              <w:spacing w:after="120"/>
            </w:pPr>
            <w:r w:rsidRPr="005A0E7C">
              <w:t>Oblasti, ve kterých se pohybují strategické intervence/projekty iniciované a podpořené s pomocí SmAcc, jsou:</w:t>
            </w:r>
          </w:p>
          <w:p w14:paraId="707BECB5" w14:textId="77777777" w:rsidR="00DD3EFA" w:rsidRPr="005A0E7C" w:rsidRDefault="00DD3EFA" w:rsidP="00391907">
            <w:pPr>
              <w:pStyle w:val="Odstavecseseznamem"/>
              <w:numPr>
                <w:ilvl w:val="0"/>
                <w:numId w:val="72"/>
              </w:numPr>
              <w:spacing w:after="120"/>
              <w:jc w:val="both"/>
            </w:pPr>
            <w:r w:rsidRPr="005A0E7C">
              <w:t xml:space="preserve">Podpora podnikání a zvyšování inovační výkonnosti firem </w:t>
            </w:r>
          </w:p>
          <w:p w14:paraId="5D34DB48" w14:textId="77777777" w:rsidR="00DD3EFA" w:rsidRPr="005A0E7C" w:rsidRDefault="00DD3EFA" w:rsidP="00391907">
            <w:pPr>
              <w:pStyle w:val="Odstavecseseznamem"/>
              <w:numPr>
                <w:ilvl w:val="0"/>
                <w:numId w:val="72"/>
              </w:numPr>
              <w:spacing w:after="120"/>
              <w:jc w:val="both"/>
            </w:pPr>
            <w:r w:rsidRPr="005A0E7C">
              <w:t>Podpora zvyšování kvality, otevřenosti, relevance a ekonomických přínosů veřejného výzkumu</w:t>
            </w:r>
          </w:p>
          <w:p w14:paraId="4FCD38FD" w14:textId="77777777" w:rsidR="00DD3EFA" w:rsidRPr="005A0E7C" w:rsidRDefault="00DD3EFA" w:rsidP="00391907">
            <w:pPr>
              <w:pStyle w:val="Odstavecseseznamem"/>
              <w:numPr>
                <w:ilvl w:val="0"/>
                <w:numId w:val="72"/>
              </w:numPr>
              <w:spacing w:after="120"/>
              <w:jc w:val="both"/>
            </w:pPr>
            <w:r w:rsidRPr="005A0E7C">
              <w:t>Podpora lidských zdrojů pro VaV a inovační podnikání</w:t>
            </w:r>
          </w:p>
          <w:p w14:paraId="0F1027F7" w14:textId="77777777" w:rsidR="00DD3EFA" w:rsidRPr="005A0E7C" w:rsidRDefault="00DD3EFA" w:rsidP="00B15ECB">
            <w:pPr>
              <w:spacing w:after="120"/>
              <w:ind w:left="360"/>
            </w:pPr>
            <w:r w:rsidRPr="005A0E7C">
              <w:t xml:space="preserve">+ průřezové/podpůrné aktivity jako zejm. mapování a analýza inovačního prostředí, síťování aktérů, propagace kraje jako prostředí s vysokým inovativním potenciálem. </w:t>
            </w:r>
          </w:p>
          <w:p w14:paraId="79D9F15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imes New Roman" w:hAnsi="Times New Roman"/>
                <w:color w:val="000000"/>
                <w:lang w:eastAsia="cs-CZ"/>
              </w:rPr>
            </w:pPr>
            <w:r w:rsidRPr="005A0E7C">
              <w:rPr>
                <w:rFonts w:ascii="Times New Roman" w:eastAsia="Times New Roman" w:hAnsi="Times New Roman"/>
                <w:color w:val="000000"/>
                <w:lang w:eastAsia="cs-CZ"/>
              </w:rPr>
              <w:t>Mezi konkrétní příklady úspěšných aktivit jednotlivých krajů připravených/iniciovaných s pomocí Smart Akcelerátoru a následně realizovaných z krajských rozpočtů patří např. acelerační/inkubační/start-upové programy podporující inovativní nápady studentů či jiných začínajících podnikatelů; programy na podporu zájmu studentů o přírodní a technické vědy, programy/aktivity na podporu síťování a spolupráce výzkumných organizací s firmami; asistenční vouchery na podporu vzniku strategických projektů často s akcentem na mezinárodní spolupráci či aplikační potenciál výzkumu; sdílené dílny pro studenty, kutily a jiné experimentátory; vznik klastrů na podporu konkrétních oblastí inteligentní specializace, a řada dalších.</w:t>
            </w:r>
          </w:p>
        </w:tc>
        <w:tc>
          <w:tcPr>
            <w:tcW w:w="249" w:type="dxa"/>
            <w:tcBorders>
              <w:top w:val="nil"/>
              <w:left w:val="nil"/>
              <w:bottom w:val="nil"/>
            </w:tcBorders>
            <w:shd w:val="clear" w:color="auto" w:fill="66CCFF"/>
          </w:tcPr>
          <w:p w14:paraId="390C82CD" w14:textId="77777777" w:rsidR="00DD3EFA" w:rsidRPr="005A0E7C" w:rsidRDefault="00DD3EFA" w:rsidP="00B15ECB">
            <w:pPr>
              <w:rPr>
                <w:b/>
              </w:rPr>
            </w:pPr>
          </w:p>
        </w:tc>
      </w:tr>
      <w:tr w:rsidR="00DD3EFA" w:rsidRPr="005A0E7C" w14:paraId="0062499E" w14:textId="77777777" w:rsidTr="00B15ECB">
        <w:trPr>
          <w:trHeight w:val="1258"/>
        </w:trPr>
        <w:tc>
          <w:tcPr>
            <w:tcW w:w="249" w:type="dxa"/>
            <w:tcBorders>
              <w:top w:val="nil"/>
              <w:bottom w:val="nil"/>
              <w:right w:val="nil"/>
            </w:tcBorders>
            <w:shd w:val="clear" w:color="auto" w:fill="66CCFF"/>
          </w:tcPr>
          <w:p w14:paraId="780E5797" w14:textId="77777777" w:rsidR="00DD3EFA" w:rsidRPr="005A0E7C" w:rsidRDefault="00DD3EFA" w:rsidP="00B15ECB">
            <w:pPr>
              <w:rPr>
                <w:b/>
              </w:rPr>
            </w:pPr>
          </w:p>
        </w:tc>
        <w:tc>
          <w:tcPr>
            <w:tcW w:w="2548" w:type="dxa"/>
            <w:shd w:val="clear" w:color="auto" w:fill="FFFFFF" w:themeFill="background1"/>
          </w:tcPr>
          <w:p w14:paraId="59433F81" w14:textId="77777777" w:rsidR="00DD3EFA" w:rsidRPr="005A0E7C" w:rsidRDefault="00DD3EFA" w:rsidP="00B15ECB">
            <w:pPr>
              <w:rPr>
                <w:rFonts w:eastAsiaTheme="majorEastAsia"/>
                <w:b/>
              </w:rPr>
            </w:pPr>
            <w:r w:rsidRPr="005A0E7C">
              <w:rPr>
                <w:rFonts w:eastAsiaTheme="majorEastAsia"/>
                <w:b/>
              </w:rPr>
              <w:t>Synergické a multiplikační efekty</w:t>
            </w:r>
          </w:p>
          <w:p w14:paraId="03E81740"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79D0AE7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programovém období 2014-2020 došlo k podpoře synergií nejen vnitřních v rámci samotného OP, ale zároveň byly podpořeny synergie a komplementarity s jiným OP a národními zdroji (státním rozpočtem i rozpočty územních samosprávných celků).</w:t>
            </w:r>
          </w:p>
          <w:p w14:paraId="55C2F31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rámci OP VVV dochází k synergickým efektům mezi Specifickým cílem 4 Prioritní osy 1 – momentálně plánovaným systémovým projektem na podporu řízení Národní RIS3 strategie a Specifickým cílem 5 Prioritní osy 2, ve které jsou prostřednictvím výzev Smart Akcelerátor I a II podpořeny jednotlivé kraje v aktivitách na podporu místních inovačních ekosystémů v souladu s Národní a krajskou RIS3 strategií.</w:t>
            </w:r>
          </w:p>
          <w:p w14:paraId="32F5633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color w:val="FF0000"/>
              </w:rPr>
            </w:pPr>
            <w:r w:rsidRPr="005A0E7C">
              <w:rPr>
                <w:rFonts w:ascii="Times New Roman" w:hAnsi="Times New Roman"/>
              </w:rPr>
              <w:t xml:space="preserve">Výše uvedené aktivity OP VVV jsou synergické s národními prostředky na řízení politiky VaVaI (např. na zavedení nové metodiky hodnocení VO, prostředky na položení základu řízení a monitorování Národní RIS3 strategie) a rozpočty krajů a měst na podporu inovačního prostředí. Dále jsou synergické též s Operačním programem OP PIK, zejména např. s programem Služby infrastruktury (v předchozím programovém období pod názvem Prosperita), který se zaměřuje na podporu vytváření příznivého prostředí pro spolupráci výzkumných institucí s podnikatelskou sférou, především díky rozvoji vědecko-technických parků, podnikatelských inovačních center a podnikatelských inkubátorů. </w:t>
            </w:r>
          </w:p>
        </w:tc>
        <w:tc>
          <w:tcPr>
            <w:tcW w:w="249" w:type="dxa"/>
            <w:tcBorders>
              <w:top w:val="nil"/>
              <w:left w:val="nil"/>
              <w:bottom w:val="nil"/>
            </w:tcBorders>
            <w:shd w:val="clear" w:color="auto" w:fill="66CCFF"/>
          </w:tcPr>
          <w:p w14:paraId="0AEB4FD5" w14:textId="77777777" w:rsidR="00DD3EFA" w:rsidRPr="005A0E7C" w:rsidRDefault="00DD3EFA" w:rsidP="00B15ECB">
            <w:pPr>
              <w:rPr>
                <w:b/>
              </w:rPr>
            </w:pPr>
          </w:p>
        </w:tc>
      </w:tr>
      <w:tr w:rsidR="00DD3EFA" w:rsidRPr="005A0E7C" w14:paraId="43373C20" w14:textId="77777777" w:rsidTr="00B15ECB">
        <w:trPr>
          <w:trHeight w:val="180"/>
        </w:trPr>
        <w:tc>
          <w:tcPr>
            <w:tcW w:w="249" w:type="dxa"/>
            <w:tcBorders>
              <w:top w:val="nil"/>
              <w:bottom w:val="nil"/>
              <w:right w:val="nil"/>
            </w:tcBorders>
            <w:shd w:val="clear" w:color="auto" w:fill="66CCFF"/>
          </w:tcPr>
          <w:p w14:paraId="55AEDE75"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309900DA"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8C284F5" w14:textId="77777777" w:rsidR="00DD3EFA" w:rsidRPr="005A0E7C" w:rsidRDefault="00DD3EFA" w:rsidP="00B15ECB">
            <w:pPr>
              <w:rPr>
                <w:b/>
              </w:rPr>
            </w:pPr>
          </w:p>
        </w:tc>
        <w:tc>
          <w:tcPr>
            <w:tcW w:w="249" w:type="dxa"/>
            <w:tcBorders>
              <w:top w:val="nil"/>
              <w:left w:val="nil"/>
              <w:bottom w:val="nil"/>
            </w:tcBorders>
            <w:shd w:val="clear" w:color="auto" w:fill="66CCFF"/>
          </w:tcPr>
          <w:p w14:paraId="59739C12" w14:textId="77777777" w:rsidR="00DD3EFA" w:rsidRPr="005A0E7C" w:rsidRDefault="00DD3EFA" w:rsidP="00B15ECB">
            <w:pPr>
              <w:rPr>
                <w:b/>
              </w:rPr>
            </w:pPr>
          </w:p>
        </w:tc>
      </w:tr>
      <w:tr w:rsidR="00DD3EFA" w:rsidRPr="005A0E7C" w14:paraId="3BC97434" w14:textId="77777777" w:rsidTr="00B15ECB">
        <w:trPr>
          <w:trHeight w:val="990"/>
        </w:trPr>
        <w:tc>
          <w:tcPr>
            <w:tcW w:w="249" w:type="dxa"/>
            <w:tcBorders>
              <w:top w:val="nil"/>
              <w:bottom w:val="nil"/>
            </w:tcBorders>
            <w:shd w:val="clear" w:color="auto" w:fill="66CCFF"/>
          </w:tcPr>
          <w:p w14:paraId="390A6C7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FEF1C91"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7327C7A1"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58226D56" w14:textId="77777777" w:rsidR="00DD3EFA" w:rsidRPr="005A0E7C" w:rsidRDefault="00DD3EFA" w:rsidP="00B15ECB">
            <w:pPr>
              <w:rPr>
                <w:b/>
              </w:rPr>
            </w:pPr>
          </w:p>
        </w:tc>
      </w:tr>
      <w:tr w:rsidR="00DD3EFA" w:rsidRPr="005A0E7C" w14:paraId="19D322D6" w14:textId="77777777" w:rsidTr="00B15ECB">
        <w:trPr>
          <w:trHeight w:val="1260"/>
        </w:trPr>
        <w:tc>
          <w:tcPr>
            <w:tcW w:w="249" w:type="dxa"/>
            <w:tcBorders>
              <w:top w:val="nil"/>
              <w:bottom w:val="nil"/>
            </w:tcBorders>
            <w:shd w:val="clear" w:color="auto" w:fill="66CCFF"/>
          </w:tcPr>
          <w:p w14:paraId="3A7BC15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8B3EC6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69814385" w14:textId="77777777" w:rsidR="00DD3EFA" w:rsidRPr="005A0E7C" w:rsidRDefault="00DD3EFA" w:rsidP="00B15ECB">
            <w:pPr>
              <w:spacing w:before="60" w:after="60"/>
              <w:rPr>
                <w:rFonts w:eastAsiaTheme="majorEastAsia"/>
              </w:rPr>
            </w:pPr>
            <w:r w:rsidRPr="005A0E7C">
              <w:rPr>
                <w:rFonts w:eastAsiaTheme="majorEastAsia"/>
              </w:rPr>
              <w:t>Specifický cíl 4 Prioritní osy 1 OP VVV předpokládal intervence v oblasti strategického řízení politiky VaVaI v podobě systémového/ých projektu/ů (IPs) s tím, že jeho nositelem měl být Úřad vlády jako gestor řízení politiky VaVaI na národní úrovni a předpokládané podporované aktivity se měly zaměřovat na efektivní řízení Národní RIS3 strategie včetně řízení procesu „entrepreneurial discovery“, další aktivity se měly zaměřovat na implementaci nového motivačního systému hodnocení a institucionálního financování výzkumných organizací podle kvality v souladu s Metodikou 2017+, zavedení hodnocení programů účelové podpory a dále též zavedení využívání moderních nástrojů pro koncepci, monitorování a vyhodnocování aktivit souvisejících se strategickým řízením politiky VaVaI včetně technologického assessmentu a foresightu. V době, kdy gesce řízení Národní RIS3 strategie spadala pod Úřad vlády, gestor strategie o výše uvedený systémový projekt neměl zájem a některé z výše uvedených aktivit realizoval dílčím způsobem z národních prostředků. Momentálně, v r. 2019, po převedení gesce Národní RIS3 strategie na MPO, nový gestor je v jednání s ŘO OP VVV o vyhlášení výzvy na IPs, jehož nositelem by mělo být MPO s možnými partnery s tím, že předmětem systémového projektu by mělo být inovované a kvalitativně značně posílené řízení RIS3 strategie na národní úrovni a využívání moderních koncepčních, koordinačních a monitorovacích nástrojů k tomu potřebných.</w:t>
            </w:r>
          </w:p>
        </w:tc>
        <w:tc>
          <w:tcPr>
            <w:tcW w:w="249" w:type="dxa"/>
            <w:tcBorders>
              <w:top w:val="nil"/>
              <w:bottom w:val="nil"/>
            </w:tcBorders>
            <w:shd w:val="clear" w:color="auto" w:fill="66CCFF"/>
          </w:tcPr>
          <w:p w14:paraId="1F083B2E" w14:textId="77777777" w:rsidR="00DD3EFA" w:rsidRPr="005A0E7C" w:rsidRDefault="00DD3EFA" w:rsidP="00B15ECB">
            <w:pPr>
              <w:rPr>
                <w:b/>
              </w:rPr>
            </w:pPr>
          </w:p>
        </w:tc>
      </w:tr>
      <w:tr w:rsidR="00DD3EFA" w:rsidRPr="005A0E7C" w14:paraId="2D074CEC" w14:textId="77777777" w:rsidTr="00B15ECB">
        <w:trPr>
          <w:trHeight w:val="850"/>
        </w:trPr>
        <w:tc>
          <w:tcPr>
            <w:tcW w:w="249" w:type="dxa"/>
            <w:tcBorders>
              <w:top w:val="nil"/>
              <w:bottom w:val="nil"/>
            </w:tcBorders>
            <w:shd w:val="clear" w:color="auto" w:fill="66CCFF"/>
          </w:tcPr>
          <w:p w14:paraId="53EC3E6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9224338"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22797A5C" w14:textId="77777777" w:rsidR="00DD3EFA" w:rsidRPr="005A0E7C" w:rsidRDefault="00DD3EFA" w:rsidP="00B15ECB">
            <w:pPr>
              <w:spacing w:before="60" w:after="60"/>
              <w:rPr>
                <w:rFonts w:eastAsiaTheme="majorEastAsia"/>
              </w:rPr>
            </w:pPr>
            <w:r w:rsidRPr="005A0E7C">
              <w:rPr>
                <w:rFonts w:eastAsiaTheme="majorEastAsia"/>
              </w:rPr>
              <w:t>Potenciálním zájemcem o projekt je nositel gesce strategického řízení politiky VaVaI na národní úrovni (Úřad vlády, MPO, MŠMT) včetně případných relevantních partnerů (např. Technologická agentura ČR, Techologické centrum AVČR, Český statistický úřad, Czechinvest apod.) a dále též nositelé či vykonavatelé regionální politiky VaVaI (územně samosprávné celky a jejich specializované agentury či další obdobné organizace na podporu výzkumného a inovačního prostředí).</w:t>
            </w:r>
          </w:p>
        </w:tc>
        <w:tc>
          <w:tcPr>
            <w:tcW w:w="249" w:type="dxa"/>
            <w:tcBorders>
              <w:top w:val="nil"/>
              <w:bottom w:val="nil"/>
            </w:tcBorders>
            <w:shd w:val="clear" w:color="auto" w:fill="66CCFF"/>
          </w:tcPr>
          <w:p w14:paraId="2957EC0C" w14:textId="77777777" w:rsidR="00DD3EFA" w:rsidRPr="005A0E7C" w:rsidRDefault="00DD3EFA" w:rsidP="00B15ECB">
            <w:pPr>
              <w:rPr>
                <w:b/>
              </w:rPr>
            </w:pPr>
          </w:p>
        </w:tc>
      </w:tr>
      <w:tr w:rsidR="00DD3EFA" w:rsidRPr="005A0E7C" w14:paraId="598718CA" w14:textId="77777777" w:rsidTr="00B15ECB">
        <w:trPr>
          <w:trHeight w:val="925"/>
        </w:trPr>
        <w:tc>
          <w:tcPr>
            <w:tcW w:w="249" w:type="dxa"/>
            <w:tcBorders>
              <w:top w:val="nil"/>
              <w:bottom w:val="nil"/>
            </w:tcBorders>
            <w:shd w:val="clear" w:color="auto" w:fill="66CCFF"/>
          </w:tcPr>
          <w:p w14:paraId="0C1EB4E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10FD4F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276A0503" w14:textId="77777777" w:rsidR="00DD3EFA" w:rsidRPr="005A0E7C" w:rsidRDefault="00DD3EFA">
            <w:pPr>
              <w:spacing w:before="60" w:after="60"/>
              <w:rPr>
                <w:rFonts w:eastAsiaTheme="majorEastAsia"/>
              </w:rPr>
            </w:pPr>
            <w:r w:rsidRPr="005A0E7C">
              <w:rPr>
                <w:rFonts w:eastAsiaTheme="majorEastAsia"/>
              </w:rPr>
              <w:t>Zatím pouze v teoretické rovině, ve formě věcných záměrů, konkrétní písemně zpracované návrhy zatím nikoliv. Lze však očekávat, že projekty budou vzhledem k rozmyšlenosti a návaznosti na základní strategie moct být připraveny v relativně krátkém čase. Nejedná se o velké investiční projekty, předpokládá se zejména rozvoj lidských zdrojů, kvalitativní posun v nastavení systému rozvoje strategického řízení na národní i regionální úrovni.</w:t>
            </w:r>
          </w:p>
        </w:tc>
        <w:tc>
          <w:tcPr>
            <w:tcW w:w="249" w:type="dxa"/>
            <w:tcBorders>
              <w:top w:val="nil"/>
              <w:bottom w:val="nil"/>
            </w:tcBorders>
            <w:shd w:val="clear" w:color="auto" w:fill="66CCFF"/>
          </w:tcPr>
          <w:p w14:paraId="294F128B" w14:textId="77777777" w:rsidR="00DD3EFA" w:rsidRPr="005A0E7C" w:rsidRDefault="00DD3EFA" w:rsidP="00B15ECB">
            <w:pPr>
              <w:rPr>
                <w:b/>
              </w:rPr>
            </w:pPr>
          </w:p>
        </w:tc>
      </w:tr>
      <w:tr w:rsidR="00DD3EFA" w:rsidRPr="005A0E7C" w14:paraId="3F2D7777" w14:textId="77777777" w:rsidTr="00B15ECB">
        <w:trPr>
          <w:trHeight w:val="1001"/>
        </w:trPr>
        <w:tc>
          <w:tcPr>
            <w:tcW w:w="249" w:type="dxa"/>
            <w:tcBorders>
              <w:top w:val="nil"/>
              <w:bottom w:val="nil"/>
            </w:tcBorders>
            <w:shd w:val="clear" w:color="auto" w:fill="66CCFF"/>
          </w:tcPr>
          <w:p w14:paraId="2ECEE35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1F5226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44369FEA" w14:textId="77777777" w:rsidR="00DD3EFA" w:rsidRPr="005A0E7C" w:rsidRDefault="00DD3EFA" w:rsidP="00B15ECB">
            <w:pPr>
              <w:spacing w:before="60" w:after="60"/>
              <w:rPr>
                <w:rFonts w:eastAsiaTheme="majorEastAsia"/>
              </w:rPr>
            </w:pPr>
          </w:p>
          <w:p w14:paraId="7EA1B88F" w14:textId="77777777" w:rsidR="00DD3EFA" w:rsidRPr="005A0E7C" w:rsidRDefault="00DD3EFA" w:rsidP="00B15ECB">
            <w:pPr>
              <w:spacing w:before="60" w:after="60"/>
              <w:rPr>
                <w:rFonts w:eastAsiaTheme="majorEastAsia"/>
              </w:rPr>
            </w:pPr>
            <w:r w:rsidRPr="005A0E7C">
              <w:rPr>
                <w:rFonts w:eastAsiaTheme="majorEastAsia"/>
              </w:rPr>
              <w:t>- Veřejná podpora:</w:t>
            </w:r>
          </w:p>
          <w:p w14:paraId="1D323D03" w14:textId="77777777" w:rsidR="00DD3EFA" w:rsidRPr="005A0E7C" w:rsidRDefault="00DD3EFA" w:rsidP="00B15ECB">
            <w:pPr>
              <w:spacing w:before="60" w:after="60"/>
              <w:rPr>
                <w:rFonts w:eastAsiaTheme="majorEastAsia"/>
              </w:rPr>
            </w:pPr>
            <w:r w:rsidRPr="005A0E7C">
              <w:rPr>
                <w:rFonts w:eastAsiaTheme="majorEastAsia"/>
              </w:rPr>
              <w:t>Problematika veřejné podpory narušuje či minimálně významně komplikuje cíl podporovat výzkumný a inovační ekosystém, a to zejm. na regionální úrovni, kde regionální správa realizuje tyto aktivity prostřednictvím specializovaných agentur. ŘO OP VVV se dlouhodobě snaží nalézat řešení a navigovat i samotné žadatele tak, aby byla problematika veřejné podpory správně ošetřena, a to na straně realizátorů projektů i na straně cílových skupin těchto projektů. Problematika veřejné podpory je v této souvislosti příležitostně konzultována též s ÚOHS.</w:t>
            </w:r>
          </w:p>
          <w:p w14:paraId="2B5B67B2" w14:textId="77777777" w:rsidR="00DD3EFA" w:rsidRPr="005A0E7C" w:rsidRDefault="00DD3EFA" w:rsidP="00B15ECB">
            <w:pPr>
              <w:spacing w:before="60" w:after="60"/>
              <w:rPr>
                <w:rFonts w:eastAsiaTheme="majorEastAsia"/>
              </w:rPr>
            </w:pPr>
          </w:p>
          <w:p w14:paraId="6CA5D5B4" w14:textId="77777777" w:rsidR="00DD3EFA" w:rsidRPr="005A0E7C" w:rsidRDefault="00DD3EFA" w:rsidP="00B15ECB">
            <w:pPr>
              <w:spacing w:before="60" w:after="60"/>
              <w:rPr>
                <w:rFonts w:eastAsiaTheme="majorEastAsia"/>
              </w:rPr>
            </w:pPr>
            <w:r w:rsidRPr="005A0E7C">
              <w:rPr>
                <w:rFonts w:eastAsiaTheme="majorEastAsia"/>
              </w:rPr>
              <w:t>- Nedostatek politické vůle/podpory na národní a/nebo regionální úrovni:</w:t>
            </w:r>
          </w:p>
          <w:p w14:paraId="31044384" w14:textId="77777777" w:rsidR="00DD3EFA" w:rsidRPr="005A0E7C" w:rsidRDefault="00DD3EFA" w:rsidP="00B15ECB">
            <w:pPr>
              <w:spacing w:before="60" w:after="60"/>
              <w:rPr>
                <w:rFonts w:eastAsiaTheme="majorEastAsia"/>
              </w:rPr>
            </w:pPr>
            <w:r w:rsidRPr="005A0E7C">
              <w:rPr>
                <w:rFonts w:eastAsiaTheme="majorEastAsia"/>
              </w:rPr>
              <w:t xml:space="preserve"> Nedostatek politické podpory intervencí na posílení strategického řízení VaVaI se může na národní úrovni projevit nevůlí vedení předpokládaných nositelů systémových projektů k realizaci a kofinancování takového projektu. Toto riziko ŘO OP VVV ošetřuje pravidelným kontaktem a úzkou spoluprací s předpokládanými nositeli ve věci dotačních možností v rámci OP VVV. S nedostatkem podpory politické reprezentace se potýkají i některé kraje. ŘO OP VVV se dlouhodobě snaží o osvětu a posilování kompetencí a know-how v regionech prostřednictvím podpory projektů ve výzvě Smart Akcelerátor i pravidelným kontaktem se zástupci krajů na pracovní a příležitostně i politické úrovni, čímž se v uplynulých letech systematicky daří posilovat pozici agendy VaVaI v rámci krajských priorit.</w:t>
            </w:r>
          </w:p>
          <w:p w14:paraId="0B9EF2CD" w14:textId="77777777" w:rsidR="00DD3EFA" w:rsidRPr="005A0E7C" w:rsidRDefault="00DD3EFA" w:rsidP="00B15ECB">
            <w:pPr>
              <w:spacing w:before="60" w:after="60"/>
              <w:rPr>
                <w:rFonts w:eastAsiaTheme="majorEastAsia"/>
              </w:rPr>
            </w:pPr>
          </w:p>
          <w:p w14:paraId="6BD55FC3" w14:textId="77777777" w:rsidR="00DD3EFA" w:rsidRPr="005A0E7C" w:rsidRDefault="00DD3EFA" w:rsidP="00B15ECB">
            <w:pPr>
              <w:spacing w:before="60" w:after="60"/>
              <w:rPr>
                <w:rFonts w:eastAsiaTheme="majorEastAsia"/>
              </w:rPr>
            </w:pPr>
            <w:r w:rsidRPr="005A0E7C">
              <w:rPr>
                <w:rFonts w:eastAsiaTheme="majorEastAsia"/>
              </w:rPr>
              <w:t>- Nekoordinovanost či soupeření o „vlastnictví“ agend mezi jednotlivými aktéry na národní úrovni:</w:t>
            </w:r>
          </w:p>
          <w:p w14:paraId="73C7AC01" w14:textId="77777777" w:rsidR="00DD3EFA" w:rsidRPr="005A0E7C" w:rsidRDefault="00DD3EFA">
            <w:pPr>
              <w:spacing w:before="60" w:after="60"/>
              <w:rPr>
                <w:rFonts w:eastAsiaTheme="majorEastAsia"/>
              </w:rPr>
            </w:pPr>
            <w:r w:rsidRPr="005A0E7C">
              <w:rPr>
                <w:rFonts w:eastAsiaTheme="majorEastAsia"/>
              </w:rPr>
              <w:t>ŘO OP VVV se dlouhodobě snaží podporovat myšlenku realizace systémového/vých projektu/ů na podporu strategického řízení politiky VaVaI ve funkčním partnerství relevantních subjektů na národní úrovni.</w:t>
            </w:r>
          </w:p>
          <w:p w14:paraId="4E1E9F6B" w14:textId="77777777" w:rsidR="00DD3EFA" w:rsidRPr="005A0E7C" w:rsidRDefault="00DD3EFA">
            <w:pPr>
              <w:spacing w:before="60" w:after="60"/>
              <w:rPr>
                <w:rFonts w:eastAsiaTheme="majorEastAsia"/>
              </w:rPr>
            </w:pPr>
          </w:p>
          <w:p w14:paraId="07D6ABDC" w14:textId="77777777" w:rsidR="00DD3EFA" w:rsidRPr="005A0E7C" w:rsidRDefault="00DD3EFA">
            <w:pPr>
              <w:spacing w:before="60" w:after="60"/>
            </w:pPr>
            <w:r w:rsidRPr="005A0E7C">
              <w:rPr>
                <w:rFonts w:eastAsiaTheme="majorEastAsia"/>
              </w:rPr>
              <w:t>-</w:t>
            </w:r>
            <w:r w:rsidRPr="005A0E7C">
              <w:t xml:space="preserve"> Možná rizika technických/právních omezení bránící vzniku funkčního partnerství relevantních subjektů na národní úrovni.</w:t>
            </w:r>
          </w:p>
          <w:p w14:paraId="518BBE2F" w14:textId="77777777" w:rsidR="00DD3EFA" w:rsidRPr="005A0E7C" w:rsidRDefault="00DD3EFA">
            <w:pPr>
              <w:spacing w:before="60" w:after="60"/>
              <w:rPr>
                <w:rFonts w:eastAsiaTheme="majorEastAsia"/>
              </w:rPr>
            </w:pPr>
            <w:r w:rsidRPr="005A0E7C">
              <w:t>ŘO OP VVV se snaží diskutovat potencionální rizika s předpokládanými nositeli a potencionálními partnery.</w:t>
            </w:r>
          </w:p>
          <w:p w14:paraId="790BF1CE" w14:textId="77777777" w:rsidR="00DD3EFA" w:rsidRPr="005A0E7C" w:rsidRDefault="00DD3EFA" w:rsidP="00B15ECB">
            <w:pPr>
              <w:spacing w:before="60" w:after="60"/>
              <w:rPr>
                <w:rFonts w:eastAsiaTheme="majorEastAsia"/>
                <w:i/>
              </w:rPr>
            </w:pPr>
          </w:p>
          <w:p w14:paraId="5A4858C8" w14:textId="77777777" w:rsidR="00DD3EFA" w:rsidRPr="005A0E7C" w:rsidRDefault="00DD3EFA">
            <w:pPr>
              <w:spacing w:before="60" w:after="60"/>
            </w:pPr>
            <w:r w:rsidRPr="005A0E7C">
              <w:t>- Možné riziko nedůvěry klíčových stakeholderů zejm. z firemního a výzkumného sektoru vůči systému řízení VaVaI a smyslu jejich participace – na základě historicky ne příliš zdařile a transparentně řízeného procesu „entrepreneurial discovery“ na národní úrovni.</w:t>
            </w:r>
          </w:p>
          <w:p w14:paraId="2482CEB1" w14:textId="77777777" w:rsidR="00DD3EFA" w:rsidRPr="005A0E7C" w:rsidRDefault="00DD3EFA">
            <w:pPr>
              <w:spacing w:before="60" w:after="60"/>
              <w:rPr>
                <w:rFonts w:eastAsiaTheme="majorEastAsia"/>
                <w:i/>
              </w:rPr>
            </w:pPr>
            <w:r w:rsidRPr="005A0E7C">
              <w:t>Bude úkolem gestora a partnerských institucí včetně ŘO OP VVV proces EDP v očích stakeholderů rehabilitovat a prokázat smysluplnost jejich participace v daném procesu</w:t>
            </w:r>
          </w:p>
        </w:tc>
        <w:tc>
          <w:tcPr>
            <w:tcW w:w="249" w:type="dxa"/>
            <w:tcBorders>
              <w:top w:val="nil"/>
              <w:bottom w:val="nil"/>
            </w:tcBorders>
            <w:shd w:val="clear" w:color="auto" w:fill="66CCFF"/>
          </w:tcPr>
          <w:p w14:paraId="49403491" w14:textId="77777777" w:rsidR="00DD3EFA" w:rsidRPr="005A0E7C" w:rsidRDefault="00DD3EFA" w:rsidP="00B15ECB">
            <w:pPr>
              <w:rPr>
                <w:b/>
              </w:rPr>
            </w:pPr>
          </w:p>
        </w:tc>
      </w:tr>
      <w:tr w:rsidR="00DD3EFA" w:rsidRPr="005A0E7C" w14:paraId="371B8E56"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4E4CF36F"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923D60B"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ED75356"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55A50772" w14:textId="77777777" w:rsidR="00DD3EFA" w:rsidRPr="005A0E7C" w:rsidRDefault="00DD3EFA" w:rsidP="00B15ECB">
            <w:pPr>
              <w:rPr>
                <w:b/>
              </w:rPr>
            </w:pPr>
          </w:p>
        </w:tc>
      </w:tr>
      <w:tr w:rsidR="00DD3EFA" w:rsidRPr="005A0E7C" w14:paraId="73CFEA1B" w14:textId="77777777" w:rsidTr="00B15ECB">
        <w:trPr>
          <w:trHeight w:val="1968"/>
        </w:trPr>
        <w:tc>
          <w:tcPr>
            <w:tcW w:w="249" w:type="dxa"/>
            <w:tcBorders>
              <w:top w:val="single" w:sz="4" w:space="0" w:color="auto"/>
              <w:bottom w:val="nil"/>
            </w:tcBorders>
            <w:shd w:val="clear" w:color="auto" w:fill="66CCFF"/>
          </w:tcPr>
          <w:p w14:paraId="37303EA0"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50DF619B"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24B05D37" w14:textId="77777777" w:rsidR="00DD3EFA" w:rsidRPr="005A0E7C" w:rsidRDefault="00DD3EFA" w:rsidP="00B15ECB">
            <w:pPr>
              <w:spacing w:before="60" w:after="60"/>
              <w:rPr>
                <w:rFonts w:eastAsiaTheme="majorEastAsia"/>
              </w:rPr>
            </w:pPr>
            <w:r w:rsidRPr="005A0E7C">
              <w:rPr>
                <w:rFonts w:eastAsiaTheme="majorEastAsia"/>
              </w:rPr>
              <w:t>Za alternativní zdroje lze považovat takřka pouze výdaje státního rozpočtu ČR na výzkum, vývoj a inovace. Z rámcových programů EU pro výzkum, vývoj a inovace lze financovat samotné aktivity výzkumu, vývoje a inovací, nikoliv však aktivity, jež mají směřovat ke zlepšení podmínek pro realizaci výzkumu, vývoji a inovací na excelentní úrovni, resp. napomoci adresovat strukturální deficity národních výzkumných a inovačních ekosystémů a posílit úroveň strategického řízení výzkumu, vývoje a inovací. Alternativní zdroj financování výše uvedených intervencí tak spočívá tařka výlučně ve výdajích státního rozpočtu ČR na výzkum, vývoj a inovace, který však s masivní podporou této oblasti v současné době nepočítá. Na regionální úrovni jsou alternativními zdroji rozpočty krajů a měst na podporu místního inovačního systému. Vzhledem ke skutečnosti, že podpora regionálního rozvoje prostřednictvím intervencí na podporu výzkumu, vývoje a inovačního podnikání je problematikou pro většinu krajů zcela novou a doposud málo ozkoušenou, nelze počítat s dostatečně robustní politicky-strategickou a finanční podporou této agendy z regionálních prostředků.</w:t>
            </w:r>
          </w:p>
        </w:tc>
        <w:tc>
          <w:tcPr>
            <w:tcW w:w="249" w:type="dxa"/>
            <w:tcBorders>
              <w:top w:val="single" w:sz="4" w:space="0" w:color="auto"/>
              <w:bottom w:val="nil"/>
            </w:tcBorders>
            <w:shd w:val="clear" w:color="auto" w:fill="66CCFF"/>
          </w:tcPr>
          <w:p w14:paraId="1CF4BBA8" w14:textId="77777777" w:rsidR="00DD3EFA" w:rsidRPr="005A0E7C" w:rsidRDefault="00DD3EFA" w:rsidP="00B15ECB">
            <w:pPr>
              <w:rPr>
                <w:b/>
              </w:rPr>
            </w:pPr>
          </w:p>
        </w:tc>
      </w:tr>
      <w:tr w:rsidR="00DD3EFA" w:rsidRPr="005A0E7C" w14:paraId="20BE10EC" w14:textId="77777777" w:rsidTr="00B15ECB">
        <w:trPr>
          <w:trHeight w:val="1968"/>
        </w:trPr>
        <w:tc>
          <w:tcPr>
            <w:tcW w:w="249" w:type="dxa"/>
            <w:tcBorders>
              <w:top w:val="nil"/>
              <w:bottom w:val="nil"/>
            </w:tcBorders>
            <w:shd w:val="clear" w:color="auto" w:fill="66CCFF"/>
          </w:tcPr>
          <w:p w14:paraId="0A54F1FE" w14:textId="77777777" w:rsidR="00DD3EFA" w:rsidRPr="005A0E7C" w:rsidRDefault="00DD3EFA" w:rsidP="00B15ECB">
            <w:pPr>
              <w:rPr>
                <w:b/>
              </w:rPr>
            </w:pPr>
          </w:p>
        </w:tc>
        <w:tc>
          <w:tcPr>
            <w:tcW w:w="2548" w:type="dxa"/>
            <w:tcBorders>
              <w:top w:val="nil"/>
            </w:tcBorders>
            <w:shd w:val="clear" w:color="auto" w:fill="FFFFFF" w:themeFill="background1"/>
          </w:tcPr>
          <w:p w14:paraId="77D44B34"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2655F0FE" w14:textId="77777777" w:rsidR="00DD3EFA" w:rsidRPr="005A0E7C" w:rsidRDefault="00DD3EFA" w:rsidP="00B15ECB">
            <w:pPr>
              <w:spacing w:before="60" w:after="60"/>
              <w:rPr>
                <w:rFonts w:eastAsiaTheme="majorEastAsia"/>
                <w:i/>
                <w:color w:val="FF0000"/>
              </w:rPr>
            </w:pPr>
            <w:r w:rsidRPr="005A0E7C">
              <w:rPr>
                <w:rFonts w:eastAsiaTheme="majorEastAsia"/>
              </w:rPr>
              <w:t>Ze zdrojů rámcových programů EU pro výzkum, vývoj a inovace lze financovat samotné aktivity výzkumu, vývoje a inovací, nikoliv však aktivity, jež mají směřovat ke zlepšení podmínek k realizaci výzkumu, vývoji a inovací na excelentní úrovni, resp. napomoci vyřešit strukturální deficity národních výzkumných a inovačních ekosystémů a posílit úroveň strategického řízení výzkumu, vývoje a inovací.</w:t>
            </w:r>
          </w:p>
          <w:p w14:paraId="4A0B17B7" w14:textId="77777777" w:rsidR="00DD3EFA" w:rsidRPr="005A0E7C" w:rsidRDefault="00DD3EFA" w:rsidP="00B15ECB">
            <w:pPr>
              <w:spacing w:before="60" w:after="60"/>
            </w:pPr>
            <w:r w:rsidRPr="005A0E7C">
              <w:t xml:space="preserve">Se zaměřením tohoto specifického cíle NKR a jeho dílčími cíli souvisí nástroje, které jsou v programu H2020 zařazeny do tzv. horizontálních aktivit. V aktivitě </w:t>
            </w:r>
            <w:r w:rsidRPr="005A0E7C">
              <w:rPr>
                <w:i/>
              </w:rPr>
              <w:t>Šíření excelence a rozšiřování účasti</w:t>
            </w:r>
            <w:r w:rsidRPr="005A0E7C">
              <w:t xml:space="preserve"> je v jejím nástroji nazvaném </w:t>
            </w:r>
            <w:r w:rsidRPr="005A0E7C">
              <w:rPr>
                <w:i/>
              </w:rPr>
              <w:t>Policy Support Facility (PSF)</w:t>
            </w:r>
            <w:r w:rsidRPr="005A0E7C">
              <w:t xml:space="preserve"> podporováno vytváření návrhů, implementace a hodnocení reforem výzkumných a inovačních politik v členských státech s nižší výkonností ve VaVaI. ČR tento nástroj aktivně téměř. Dále je relevantní nástroj NCPNET, kde jsou jsou podporovány mezinárodní sítě národních kontaktních bodů (NCP). ČR byla v dosavadním průběhu H2020 zapojena do jednoho projektu </w:t>
            </w:r>
            <w:r w:rsidRPr="005A0E7C">
              <w:rPr>
                <w:i/>
              </w:rPr>
              <w:t>NCPNET</w:t>
            </w:r>
            <w:r w:rsidRPr="005A0E7C">
              <w:t xml:space="preserve">, příspěvek EK na řešení projektu činil přibližně 40 tis. €. </w:t>
            </w:r>
          </w:p>
          <w:p w14:paraId="2699A059" w14:textId="77777777" w:rsidR="00DD3EFA" w:rsidRPr="005A0E7C" w:rsidRDefault="00DD3EFA" w:rsidP="00B15ECB">
            <w:pPr>
              <w:spacing w:before="60" w:after="60"/>
            </w:pPr>
            <w:r w:rsidRPr="005A0E7C">
              <w:t xml:space="preserve">Se zaměřením tohoto specifického cíle NKR a jeho dílčími cíli souvisí nástroje, které jsou v programu H2020 zařazeny do tzv. horizontálních aktivit. V aktivitě </w:t>
            </w:r>
            <w:r w:rsidRPr="005A0E7C">
              <w:rPr>
                <w:i/>
              </w:rPr>
              <w:t>Šíření excelence a rozšiřování účasti</w:t>
            </w:r>
            <w:r w:rsidRPr="005A0E7C">
              <w:t xml:space="preserve"> je v jejím nástroji nazvaném </w:t>
            </w:r>
            <w:r w:rsidRPr="005A0E7C">
              <w:rPr>
                <w:i/>
              </w:rPr>
              <w:t>Policy Support Facility (PSF)</w:t>
            </w:r>
            <w:r w:rsidRPr="005A0E7C">
              <w:t xml:space="preserve"> podporováno vytváření návrhů, implementace a hodnocení reforem výzkumných a inovačních politik v členských státech s nižší výkonností ve VaVaI. ČR tento nástroj aktivně téměř. Dále je relevantní nástroj NCPNET, kde jsou jsou podporovány mezinárodní sítě národních kontaktních bodů (NCP). ČR byla v dosavadním průběhu H2020 zapojena do jednoho projektu </w:t>
            </w:r>
            <w:r w:rsidRPr="005A0E7C">
              <w:rPr>
                <w:i/>
              </w:rPr>
              <w:t>NCPNET</w:t>
            </w:r>
            <w:r w:rsidRPr="005A0E7C">
              <w:t xml:space="preserve">, příspěvek EK na řešení projektu činil přibližně 40 tis. €. </w:t>
            </w:r>
          </w:p>
          <w:p w14:paraId="6EA93A24" w14:textId="77777777" w:rsidR="00DD3EFA" w:rsidRPr="005A0E7C" w:rsidRDefault="00DD3EFA" w:rsidP="00B15ECB">
            <w:pPr>
              <w:spacing w:before="60" w:after="60"/>
            </w:pPr>
            <w:r w:rsidRPr="005A0E7C">
              <w:t xml:space="preserve">Týmy z ČR byly zatím zapojeny pouze do čtyř projektů v oblasti </w:t>
            </w:r>
            <w:r w:rsidRPr="005A0E7C">
              <w:rPr>
                <w:i/>
              </w:rPr>
              <w:t>GOV</w:t>
            </w:r>
            <w:r w:rsidRPr="005A0E7C">
              <w:t xml:space="preserve"> a jednoho projektu v oblasti </w:t>
            </w:r>
            <w:r w:rsidRPr="005A0E7C">
              <w:rPr>
                <w:i/>
              </w:rPr>
              <w:t>INEGSOC</w:t>
            </w:r>
            <w:r w:rsidRPr="005A0E7C">
              <w:t>. Celkový příspěvek získaný týmy z ČR ani v jedné oblasti nepřesáhl 1 mil. €. Úspěšnost návrhů s účastí týmů z ČR byla nižší než u návrhů projektů týmů ze států EU-15.</w:t>
            </w:r>
          </w:p>
          <w:p w14:paraId="6D285FAD" w14:textId="77777777" w:rsidR="00DD3EFA" w:rsidRPr="005A0E7C" w:rsidRDefault="00DD3EFA" w:rsidP="00B15ECB">
            <w:pPr>
              <w:pStyle w:val="Textkomente"/>
              <w:rPr>
                <w:rFonts w:eastAsiaTheme="majorEastAsia"/>
                <w:i/>
              </w:rPr>
            </w:pPr>
            <w:r w:rsidRPr="005A0E7C">
              <w:t>Závěrem lze shrnout, že podpora z unijních programů je  pouze dílčí, nepokrývá celou oblast tohoto specifického cíle NKR a navíc nelze přesně předvídat, zda a v jaké struktuře a formě bude podpora vypsána, neboť četnost výzev a jejich finanční objemy jsou v průběhu programu H2020 velmi variabilní.</w:t>
            </w:r>
          </w:p>
        </w:tc>
        <w:tc>
          <w:tcPr>
            <w:tcW w:w="249" w:type="dxa"/>
            <w:tcBorders>
              <w:top w:val="nil"/>
              <w:bottom w:val="nil"/>
            </w:tcBorders>
            <w:shd w:val="clear" w:color="auto" w:fill="66CCFF"/>
          </w:tcPr>
          <w:p w14:paraId="40EB5F91" w14:textId="77777777" w:rsidR="00DD3EFA" w:rsidRPr="005A0E7C" w:rsidRDefault="00DD3EFA" w:rsidP="00B15ECB">
            <w:pPr>
              <w:rPr>
                <w:b/>
              </w:rPr>
            </w:pPr>
          </w:p>
        </w:tc>
      </w:tr>
      <w:tr w:rsidR="00DD3EFA" w:rsidRPr="005A0E7C" w14:paraId="69F3666A" w14:textId="77777777" w:rsidTr="00B15ECB">
        <w:trPr>
          <w:trHeight w:val="1968"/>
        </w:trPr>
        <w:tc>
          <w:tcPr>
            <w:tcW w:w="249" w:type="dxa"/>
            <w:tcBorders>
              <w:top w:val="nil"/>
              <w:bottom w:val="nil"/>
            </w:tcBorders>
            <w:shd w:val="clear" w:color="auto" w:fill="66CCFF"/>
          </w:tcPr>
          <w:p w14:paraId="369C0002" w14:textId="77777777" w:rsidR="00DD3EFA" w:rsidRPr="005A0E7C" w:rsidRDefault="00DD3EFA" w:rsidP="00B15ECB">
            <w:pPr>
              <w:rPr>
                <w:b/>
              </w:rPr>
            </w:pPr>
          </w:p>
        </w:tc>
        <w:tc>
          <w:tcPr>
            <w:tcW w:w="2548" w:type="dxa"/>
            <w:tcBorders>
              <w:top w:val="nil"/>
            </w:tcBorders>
            <w:shd w:val="clear" w:color="auto" w:fill="FFFFFF" w:themeFill="background1"/>
          </w:tcPr>
          <w:p w14:paraId="19B91124"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6BD33F55" w14:textId="77777777" w:rsidR="00DD3EFA" w:rsidRPr="005A0E7C" w:rsidRDefault="00DD3EFA" w:rsidP="00B15ECB">
            <w:pPr>
              <w:spacing w:before="60" w:after="60"/>
              <w:rPr>
                <w:rFonts w:eastAsiaTheme="majorEastAsia"/>
              </w:rPr>
            </w:pPr>
            <w:r w:rsidRPr="005A0E7C">
              <w:rPr>
                <w:rFonts w:eastAsiaTheme="majorEastAsia"/>
              </w:rPr>
              <w:t>Intervence zamýšlené k financování za využití ESIF by v případě nedisponibility ESIF musely být financovány za využití výdajů státního rozpočtu ČR na výzkum, vývoj a inovace (popř., a to pouze ze své relevantní části, za využití rozpočtů krajů a obcí), které však s masivní podporou těchto oblastí zatím nepočítají. Hlavními dotačními tituly, za jejichž využití by bylo možné zamýšlené intervence realizovat, by přitom byly (nikoliv exkluzivně, avšak) zejména rozpočet RVVI, MPO a MŠMT na zajištění strategického řízení politik VaVaI (NP VaVaI a Národní RIS3 strategie) a krajské/obecní rozpočty na řízení podpory VaV a inovací v regionu. Eventuálně by musely být vytvořeny dále rovněž zcela nové dotační nástroje, které by reflektovaly poptávku eventuálně nerealizovatelnou prostřednictvím ESIF, a které dosud nebyly financovány za využití výdajů státního rozpočtu ČR na výzkum, vývoj a inovace. V současné době však kapitola MŠMT ani další kapitoly, ani např. krajské rozpočty s těmito výdaji nepočítají a je vysoce nepravděpodobné, že by bylo možné pokrýt případný výpadek ESIF na podporu těchto aktivit a zajistit jejich požadovanou kvalitu bez významného navýšení státního i krajských rozpočtů na VaV. Nemožnost financování z ESIF by tak s vysokou pravděpodobností znamenala buďto přímo nerealizovatelnost daných opatření nebo minimálně nulové zlepšení co do úrovně kvality, transparentnosti a koordinace zajišťovaných aktivit a procesů.</w:t>
            </w:r>
          </w:p>
          <w:p w14:paraId="223194FE"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632DAA84" w14:textId="77777777" w:rsidR="00DD3EFA" w:rsidRPr="005A0E7C" w:rsidRDefault="00DD3EFA" w:rsidP="00B15ECB">
            <w:pPr>
              <w:rPr>
                <w:b/>
              </w:rPr>
            </w:pPr>
          </w:p>
        </w:tc>
      </w:tr>
      <w:tr w:rsidR="00DD3EFA" w:rsidRPr="005A0E7C" w14:paraId="75ED91A9" w14:textId="77777777" w:rsidTr="00B15ECB">
        <w:trPr>
          <w:trHeight w:val="1968"/>
        </w:trPr>
        <w:tc>
          <w:tcPr>
            <w:tcW w:w="249" w:type="dxa"/>
            <w:tcBorders>
              <w:top w:val="nil"/>
              <w:bottom w:val="nil"/>
            </w:tcBorders>
            <w:shd w:val="clear" w:color="auto" w:fill="66CCFF"/>
          </w:tcPr>
          <w:p w14:paraId="39ACCFE4" w14:textId="77777777" w:rsidR="00DD3EFA" w:rsidRPr="005A0E7C" w:rsidRDefault="00DD3EFA" w:rsidP="00B15ECB">
            <w:pPr>
              <w:rPr>
                <w:b/>
              </w:rPr>
            </w:pPr>
          </w:p>
        </w:tc>
        <w:tc>
          <w:tcPr>
            <w:tcW w:w="2548" w:type="dxa"/>
            <w:tcBorders>
              <w:top w:val="nil"/>
            </w:tcBorders>
            <w:shd w:val="clear" w:color="auto" w:fill="FFFFFF" w:themeFill="background1"/>
          </w:tcPr>
          <w:p w14:paraId="35B0406F"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45A4BDA9" w14:textId="77777777" w:rsidR="00DD3EFA" w:rsidRPr="005A0E7C" w:rsidRDefault="00DD3EFA" w:rsidP="00B15ECB">
            <w:pPr>
              <w:spacing w:before="60" w:after="60"/>
              <w:rPr>
                <w:rFonts w:eastAsiaTheme="majorEastAsia"/>
                <w:i/>
              </w:rPr>
            </w:pPr>
            <w:r w:rsidRPr="005A0E7C">
              <w:rPr>
                <w:rFonts w:eastAsiaTheme="majorEastAsia"/>
              </w:rPr>
              <w:t>Vzhledem ke skutečnosti, že předjímané intervence mají být, co do jejich cílové skupiny, realizovány v sektoru státní správy na národní nebo regionální úrovni, nelze proto očekávat, že by pro dané účely existoval vysoký potenciál pro mobilizaci jiných prostředků, než prostředků veřejných rozpočtů.</w:t>
            </w:r>
          </w:p>
        </w:tc>
        <w:tc>
          <w:tcPr>
            <w:tcW w:w="249" w:type="dxa"/>
            <w:tcBorders>
              <w:top w:val="nil"/>
              <w:bottom w:val="nil"/>
            </w:tcBorders>
            <w:shd w:val="clear" w:color="auto" w:fill="66CCFF"/>
          </w:tcPr>
          <w:p w14:paraId="5C0CE657" w14:textId="77777777" w:rsidR="00DD3EFA" w:rsidRPr="005A0E7C" w:rsidRDefault="00DD3EFA" w:rsidP="00B15ECB">
            <w:pPr>
              <w:rPr>
                <w:b/>
              </w:rPr>
            </w:pPr>
          </w:p>
        </w:tc>
      </w:tr>
      <w:tr w:rsidR="00DD3EFA" w:rsidRPr="005A0E7C" w14:paraId="5BC11EB1" w14:textId="77777777" w:rsidTr="00B15ECB">
        <w:trPr>
          <w:trHeight w:val="1968"/>
        </w:trPr>
        <w:tc>
          <w:tcPr>
            <w:tcW w:w="249" w:type="dxa"/>
            <w:tcBorders>
              <w:top w:val="nil"/>
              <w:bottom w:val="nil"/>
            </w:tcBorders>
            <w:shd w:val="clear" w:color="auto" w:fill="66CCFF"/>
          </w:tcPr>
          <w:p w14:paraId="35F9FC7A" w14:textId="77777777" w:rsidR="00DD3EFA" w:rsidRPr="005A0E7C" w:rsidRDefault="00DD3EFA" w:rsidP="00B15ECB">
            <w:pPr>
              <w:rPr>
                <w:b/>
              </w:rPr>
            </w:pPr>
          </w:p>
        </w:tc>
        <w:tc>
          <w:tcPr>
            <w:tcW w:w="2548" w:type="dxa"/>
            <w:tcBorders>
              <w:top w:val="nil"/>
            </w:tcBorders>
            <w:shd w:val="clear" w:color="auto" w:fill="FFFFFF" w:themeFill="background1"/>
          </w:tcPr>
          <w:p w14:paraId="5257A65E"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07963A05" w14:textId="77777777" w:rsidR="00DD3EFA" w:rsidRPr="005A0E7C" w:rsidRDefault="00DD3EFA" w:rsidP="00B15ECB">
            <w:pPr>
              <w:spacing w:before="60" w:after="60"/>
            </w:pPr>
            <w:r w:rsidRPr="005A0E7C">
              <w:t>V této oblasti nelze vzhledem k jejímu zaměření na rozvoj strategického řízení na národní a regionální úrovni, nenávratovosti investic v krátkém horizontu předpokládat možnost využití finančních nástrojů.</w:t>
            </w:r>
          </w:p>
          <w:p w14:paraId="293C8B70" w14:textId="77777777" w:rsidR="00DD3EFA" w:rsidRPr="005A0E7C" w:rsidRDefault="00DD3EFA" w:rsidP="00B15ECB">
            <w:pPr>
              <w:spacing w:before="60" w:after="60"/>
              <w:rPr>
                <w:color w:val="000000"/>
              </w:rPr>
            </w:pPr>
            <w:r w:rsidRPr="005A0E7C">
              <w:t xml:space="preserve">V současném období byly obdobné aktivity podporovány z SC4 PO1 OP VVV a SC5 PO2 OP VVV. Dle analýzy zpracované v březnu 2018 společností Deloitte Advisory, s.r.o. pro potřeby ŘO OP VVV s názvem Předběžné posouzení pilotního využití finančních nástrojů v OP VVV, jejímž cílem bylo </w:t>
            </w:r>
            <w:r w:rsidRPr="005A0E7C">
              <w:rPr>
                <w:color w:val="000000"/>
              </w:rPr>
              <w:t>vymezit, zda OP VVV obsahuje oblasti podpory, které jsou vhodné pro zapojení finančních nástrojů a případně pro ně navrhnout vhodný finanční nástroj, není v oblastech pokrytých tímto specifickým cílem pro finanční nástroje prostor.</w:t>
            </w:r>
          </w:p>
          <w:p w14:paraId="12BE1551" w14:textId="77777777" w:rsidR="00DD3EFA" w:rsidRPr="005A0E7C" w:rsidRDefault="00DD3EFA">
            <w:pPr>
              <w:spacing w:before="60" w:after="60"/>
              <w:rPr>
                <w:color w:val="FF0000"/>
              </w:rPr>
            </w:pPr>
          </w:p>
        </w:tc>
        <w:tc>
          <w:tcPr>
            <w:tcW w:w="249" w:type="dxa"/>
            <w:tcBorders>
              <w:top w:val="nil"/>
              <w:bottom w:val="nil"/>
            </w:tcBorders>
            <w:shd w:val="clear" w:color="auto" w:fill="66CCFF"/>
          </w:tcPr>
          <w:p w14:paraId="21447ECC" w14:textId="77777777" w:rsidR="00DD3EFA" w:rsidRPr="005A0E7C" w:rsidRDefault="00DD3EFA" w:rsidP="00B15ECB">
            <w:pPr>
              <w:rPr>
                <w:b/>
              </w:rPr>
            </w:pPr>
          </w:p>
        </w:tc>
      </w:tr>
      <w:tr w:rsidR="00DD3EFA" w:rsidRPr="005A0E7C" w14:paraId="27667C04" w14:textId="77777777" w:rsidTr="00B15ECB">
        <w:trPr>
          <w:trHeight w:val="150"/>
        </w:trPr>
        <w:tc>
          <w:tcPr>
            <w:tcW w:w="249" w:type="dxa"/>
            <w:tcBorders>
              <w:top w:val="nil"/>
              <w:right w:val="nil"/>
            </w:tcBorders>
            <w:shd w:val="clear" w:color="auto" w:fill="66CCFF"/>
          </w:tcPr>
          <w:p w14:paraId="1AC34A30" w14:textId="77777777" w:rsidR="00DD3EFA" w:rsidRPr="005A0E7C" w:rsidRDefault="00DD3EFA" w:rsidP="00B15ECB">
            <w:pPr>
              <w:rPr>
                <w:b/>
              </w:rPr>
            </w:pPr>
          </w:p>
        </w:tc>
        <w:tc>
          <w:tcPr>
            <w:tcW w:w="2548" w:type="dxa"/>
            <w:tcBorders>
              <w:left w:val="nil"/>
              <w:right w:val="nil"/>
            </w:tcBorders>
            <w:shd w:val="clear" w:color="auto" w:fill="66CCFF"/>
          </w:tcPr>
          <w:p w14:paraId="5101DDC4" w14:textId="77777777" w:rsidR="00DD3EFA" w:rsidRPr="005A0E7C" w:rsidRDefault="00DD3EFA" w:rsidP="00B15ECB">
            <w:pPr>
              <w:rPr>
                <w:b/>
              </w:rPr>
            </w:pPr>
          </w:p>
        </w:tc>
        <w:tc>
          <w:tcPr>
            <w:tcW w:w="5978" w:type="dxa"/>
            <w:tcBorders>
              <w:left w:val="nil"/>
              <w:right w:val="nil"/>
            </w:tcBorders>
            <w:shd w:val="clear" w:color="auto" w:fill="66CCFF"/>
          </w:tcPr>
          <w:p w14:paraId="4FA5893C" w14:textId="77777777" w:rsidR="00DD3EFA" w:rsidRPr="005A0E7C" w:rsidRDefault="00DD3EFA" w:rsidP="00B15ECB">
            <w:pPr>
              <w:rPr>
                <w:b/>
              </w:rPr>
            </w:pPr>
          </w:p>
        </w:tc>
        <w:tc>
          <w:tcPr>
            <w:tcW w:w="249" w:type="dxa"/>
            <w:tcBorders>
              <w:top w:val="nil"/>
              <w:left w:val="nil"/>
            </w:tcBorders>
            <w:shd w:val="clear" w:color="auto" w:fill="66CCFF"/>
          </w:tcPr>
          <w:p w14:paraId="1C8EA541" w14:textId="77777777" w:rsidR="00DD3EFA" w:rsidRPr="005A0E7C" w:rsidRDefault="00DD3EFA" w:rsidP="00B15ECB">
            <w:pPr>
              <w:rPr>
                <w:b/>
              </w:rPr>
            </w:pPr>
          </w:p>
        </w:tc>
      </w:tr>
    </w:tbl>
    <w:p w14:paraId="21B07148"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p w14:paraId="08F6AA1B" w14:textId="77777777" w:rsidR="00D762E9" w:rsidRPr="00C107A7" w:rsidRDefault="00D762E9" w:rsidP="00391907">
      <w:pPr>
        <w:pStyle w:val="Nadpis1"/>
        <w:numPr>
          <w:ilvl w:val="0"/>
          <w:numId w:val="1"/>
        </w:numPr>
        <w:rPr>
          <w:rFonts w:ascii="Times New Roman" w:hAnsi="Times New Roman" w:cs="Times New Roman"/>
        </w:rPr>
      </w:pPr>
      <w:bookmarkStart w:id="28" w:name="_Toc9511885"/>
      <w:r w:rsidRPr="00C107A7">
        <w:rPr>
          <w:rFonts w:ascii="Times New Roman" w:hAnsi="Times New Roman" w:cs="Times New Roman"/>
        </w:rPr>
        <w:t>Podpora podnikání a průmyslu</w:t>
      </w:r>
      <w:bookmarkEnd w:id="28"/>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9917394" w14:textId="77777777" w:rsidTr="00B15ECB">
        <w:trPr>
          <w:trHeight w:val="180"/>
        </w:trPr>
        <w:tc>
          <w:tcPr>
            <w:tcW w:w="249" w:type="dxa"/>
            <w:tcBorders>
              <w:bottom w:val="nil"/>
              <w:right w:val="nil"/>
            </w:tcBorders>
            <w:shd w:val="clear" w:color="auto" w:fill="66CCFF"/>
          </w:tcPr>
          <w:p w14:paraId="79E88434" w14:textId="77777777" w:rsidR="00DD3EFA" w:rsidRPr="005A0E7C" w:rsidRDefault="00DD3EFA" w:rsidP="00B15ECB">
            <w:pPr>
              <w:rPr>
                <w:b/>
              </w:rPr>
            </w:pPr>
          </w:p>
        </w:tc>
        <w:tc>
          <w:tcPr>
            <w:tcW w:w="2548" w:type="dxa"/>
            <w:tcBorders>
              <w:left w:val="nil"/>
              <w:right w:val="nil"/>
            </w:tcBorders>
            <w:shd w:val="clear" w:color="auto" w:fill="66CCFF"/>
          </w:tcPr>
          <w:p w14:paraId="6824BA25" w14:textId="77777777" w:rsidR="00DD3EFA" w:rsidRPr="005A0E7C" w:rsidRDefault="00DD3EFA" w:rsidP="00B15ECB">
            <w:pPr>
              <w:rPr>
                <w:b/>
              </w:rPr>
            </w:pPr>
          </w:p>
        </w:tc>
        <w:tc>
          <w:tcPr>
            <w:tcW w:w="5978" w:type="dxa"/>
            <w:tcBorders>
              <w:left w:val="nil"/>
              <w:right w:val="nil"/>
            </w:tcBorders>
            <w:shd w:val="clear" w:color="auto" w:fill="66CCFF"/>
          </w:tcPr>
          <w:p w14:paraId="64061600" w14:textId="77777777" w:rsidR="00DD3EFA" w:rsidRPr="005A0E7C" w:rsidRDefault="00DD3EFA" w:rsidP="00B15ECB">
            <w:pPr>
              <w:rPr>
                <w:b/>
              </w:rPr>
            </w:pPr>
          </w:p>
        </w:tc>
        <w:tc>
          <w:tcPr>
            <w:tcW w:w="249" w:type="dxa"/>
            <w:tcBorders>
              <w:left w:val="nil"/>
              <w:bottom w:val="nil"/>
            </w:tcBorders>
            <w:shd w:val="clear" w:color="auto" w:fill="66CCFF"/>
          </w:tcPr>
          <w:p w14:paraId="5886E1CE" w14:textId="77777777" w:rsidR="00DD3EFA" w:rsidRPr="005A0E7C" w:rsidRDefault="00DD3EFA" w:rsidP="00B15ECB">
            <w:pPr>
              <w:rPr>
                <w:b/>
              </w:rPr>
            </w:pPr>
          </w:p>
        </w:tc>
      </w:tr>
      <w:tr w:rsidR="00DD3EFA" w:rsidRPr="005A0E7C" w14:paraId="6831DECA" w14:textId="77777777" w:rsidTr="00B15ECB">
        <w:trPr>
          <w:trHeight w:val="561"/>
        </w:trPr>
        <w:tc>
          <w:tcPr>
            <w:tcW w:w="249" w:type="dxa"/>
            <w:tcBorders>
              <w:top w:val="nil"/>
              <w:bottom w:val="nil"/>
            </w:tcBorders>
            <w:shd w:val="clear" w:color="auto" w:fill="66CCFF"/>
          </w:tcPr>
          <w:p w14:paraId="6C0BC323" w14:textId="77777777" w:rsidR="00DD3EFA" w:rsidRPr="005A0E7C" w:rsidRDefault="00DD3EFA" w:rsidP="00B15ECB">
            <w:pPr>
              <w:rPr>
                <w:b/>
              </w:rPr>
            </w:pPr>
          </w:p>
        </w:tc>
        <w:tc>
          <w:tcPr>
            <w:tcW w:w="2548" w:type="dxa"/>
            <w:shd w:val="clear" w:color="auto" w:fill="0070C0"/>
          </w:tcPr>
          <w:p w14:paraId="1A4A15C5"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w:t>
            </w:r>
            <w:r w:rsidRPr="005A0E7C">
              <w:rPr>
                <w:b/>
                <w:color w:val="FFFFFF" w:themeColor="background1"/>
              </w:rPr>
              <w:t>VÝZKUMNÝ A INOVAČNÍ SYSTÉM zvyšující konkurenceschopnost společnosti v kontextu technologické změny</w:t>
            </w:r>
          </w:p>
        </w:tc>
        <w:tc>
          <w:tcPr>
            <w:tcW w:w="5978" w:type="dxa"/>
            <w:shd w:val="clear" w:color="auto" w:fill="0070C0"/>
          </w:tcPr>
          <w:p w14:paraId="2731EA61"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b/>
                <w:color w:val="FFFFFF" w:themeColor="background1"/>
                <w:u w:val="single"/>
              </w:rPr>
              <w:footnoteReference w:id="41"/>
            </w:r>
            <w:r w:rsidRPr="005A0E7C">
              <w:rPr>
                <w:rFonts w:eastAsiaTheme="majorEastAsia"/>
                <w:b/>
                <w:color w:val="FFFFFF" w:themeColor="background1"/>
                <w:u w:val="single"/>
              </w:rPr>
              <w:t xml:space="preserve">: </w:t>
            </w:r>
          </w:p>
          <w:p w14:paraId="371E0AAD" w14:textId="77777777" w:rsidR="00DD3EFA" w:rsidRPr="005A0E7C" w:rsidRDefault="00DD3EFA" w:rsidP="00B15ECB">
            <w:pPr>
              <w:spacing w:after="60"/>
              <w:rPr>
                <w:b/>
                <w:color w:val="FFFFFF" w:themeColor="background1"/>
              </w:rPr>
            </w:pPr>
            <w:r w:rsidRPr="005A0E7C">
              <w:rPr>
                <w:b/>
                <w:color w:val="FFFFFF" w:themeColor="background1"/>
              </w:rPr>
              <w:t>ZLEPŠENÍ INOVAČNÍ SCHOPNOSTI MSP</w:t>
            </w:r>
          </w:p>
          <w:p w14:paraId="168C6205" w14:textId="77777777" w:rsidR="00DD3EFA" w:rsidRPr="005A0E7C" w:rsidRDefault="00DD3EFA" w:rsidP="00B15ECB">
            <w:pPr>
              <w:spacing w:before="60" w:after="60"/>
              <w:rPr>
                <w:rFonts w:eastAsiaTheme="majorEastAsia"/>
                <w:b/>
                <w:color w:val="FFFFFF" w:themeColor="background1"/>
              </w:rPr>
            </w:pPr>
          </w:p>
        </w:tc>
        <w:tc>
          <w:tcPr>
            <w:tcW w:w="249" w:type="dxa"/>
            <w:tcBorders>
              <w:top w:val="nil"/>
              <w:bottom w:val="nil"/>
            </w:tcBorders>
            <w:shd w:val="clear" w:color="auto" w:fill="66CCFF"/>
          </w:tcPr>
          <w:p w14:paraId="2299251F" w14:textId="77777777" w:rsidR="00DD3EFA" w:rsidRPr="005A0E7C" w:rsidRDefault="00DD3EFA" w:rsidP="00B15ECB">
            <w:pPr>
              <w:rPr>
                <w:b/>
              </w:rPr>
            </w:pPr>
          </w:p>
        </w:tc>
      </w:tr>
      <w:tr w:rsidR="00DD3EFA" w:rsidRPr="005A0E7C" w14:paraId="774FF5AF" w14:textId="77777777" w:rsidTr="00B15ECB">
        <w:trPr>
          <w:trHeight w:val="180"/>
        </w:trPr>
        <w:tc>
          <w:tcPr>
            <w:tcW w:w="249" w:type="dxa"/>
            <w:tcBorders>
              <w:top w:val="nil"/>
              <w:bottom w:val="nil"/>
              <w:right w:val="nil"/>
            </w:tcBorders>
            <w:shd w:val="clear" w:color="auto" w:fill="66CCFF"/>
          </w:tcPr>
          <w:p w14:paraId="5C3CE4FD" w14:textId="77777777" w:rsidR="00DD3EFA" w:rsidRPr="005A0E7C" w:rsidRDefault="00DD3EFA" w:rsidP="00B15ECB">
            <w:pPr>
              <w:rPr>
                <w:b/>
              </w:rPr>
            </w:pPr>
          </w:p>
        </w:tc>
        <w:tc>
          <w:tcPr>
            <w:tcW w:w="2548" w:type="dxa"/>
            <w:tcBorders>
              <w:left w:val="nil"/>
              <w:right w:val="nil"/>
            </w:tcBorders>
            <w:shd w:val="clear" w:color="auto" w:fill="66CCFF"/>
          </w:tcPr>
          <w:p w14:paraId="2729B68C" w14:textId="77777777" w:rsidR="00DD3EFA" w:rsidRPr="005A0E7C" w:rsidRDefault="00DD3EFA" w:rsidP="00B15ECB">
            <w:pPr>
              <w:rPr>
                <w:b/>
              </w:rPr>
            </w:pPr>
          </w:p>
        </w:tc>
        <w:tc>
          <w:tcPr>
            <w:tcW w:w="5978" w:type="dxa"/>
            <w:tcBorders>
              <w:left w:val="nil"/>
              <w:right w:val="nil"/>
            </w:tcBorders>
            <w:shd w:val="clear" w:color="auto" w:fill="66CCFF"/>
          </w:tcPr>
          <w:p w14:paraId="064CDD46" w14:textId="77777777" w:rsidR="00DD3EFA" w:rsidRPr="005A0E7C" w:rsidRDefault="00DD3EFA" w:rsidP="00B15ECB">
            <w:pPr>
              <w:rPr>
                <w:b/>
              </w:rPr>
            </w:pPr>
          </w:p>
        </w:tc>
        <w:tc>
          <w:tcPr>
            <w:tcW w:w="249" w:type="dxa"/>
            <w:tcBorders>
              <w:top w:val="nil"/>
              <w:left w:val="nil"/>
              <w:bottom w:val="nil"/>
            </w:tcBorders>
            <w:shd w:val="clear" w:color="auto" w:fill="66CCFF"/>
          </w:tcPr>
          <w:p w14:paraId="4DD173B0" w14:textId="77777777" w:rsidR="00DD3EFA" w:rsidRPr="005A0E7C" w:rsidRDefault="00DD3EFA" w:rsidP="00B15ECB">
            <w:pPr>
              <w:rPr>
                <w:b/>
              </w:rPr>
            </w:pPr>
          </w:p>
        </w:tc>
      </w:tr>
      <w:tr w:rsidR="00DD3EFA" w:rsidRPr="005A0E7C" w14:paraId="507E3351" w14:textId="77777777" w:rsidTr="00B15ECB">
        <w:trPr>
          <w:trHeight w:val="892"/>
        </w:trPr>
        <w:tc>
          <w:tcPr>
            <w:tcW w:w="249" w:type="dxa"/>
            <w:tcBorders>
              <w:top w:val="nil"/>
              <w:bottom w:val="nil"/>
            </w:tcBorders>
            <w:shd w:val="clear" w:color="auto" w:fill="66CCFF"/>
          </w:tcPr>
          <w:p w14:paraId="5191371B" w14:textId="77777777" w:rsidR="00DD3EFA" w:rsidRPr="005A0E7C" w:rsidRDefault="00DD3EFA" w:rsidP="00B15ECB">
            <w:pPr>
              <w:rPr>
                <w:b/>
              </w:rPr>
            </w:pPr>
          </w:p>
        </w:tc>
        <w:tc>
          <w:tcPr>
            <w:tcW w:w="2548" w:type="dxa"/>
            <w:shd w:val="clear" w:color="auto" w:fill="FFFFFF" w:themeFill="background1"/>
          </w:tcPr>
          <w:p w14:paraId="4AFBDC74"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3B451938" w14:textId="77777777" w:rsidR="00DD3EFA" w:rsidRPr="005A0E7C" w:rsidRDefault="00DD3EFA" w:rsidP="00B15ECB">
            <w:pPr>
              <w:pStyle w:val="Odstavecseseznamem"/>
              <w:spacing w:before="60" w:after="60"/>
              <w:ind w:left="0"/>
              <w:rPr>
                <w:rFonts w:eastAsiaTheme="majorEastAsia"/>
              </w:rPr>
            </w:pPr>
            <w:r w:rsidRPr="005A0E7C">
              <w:t>Obecným cílem je zvýšit konkurenceschopnost českých MSP, posílít povědomí obyvatel o podnikatelské kultuře a povzbudit k zakládání nových podniků a vytvořit podmínky pro prezentaci ČR jako atraktivního místa pro podnikání, zejména v oborech s vysokou přidanou hodnotou.</w:t>
            </w:r>
          </w:p>
          <w:p w14:paraId="64E55355" w14:textId="77777777" w:rsidR="00DD3EFA" w:rsidRPr="005A0E7C" w:rsidRDefault="00DD3EFA" w:rsidP="00B15ECB">
            <w:pPr>
              <w:spacing w:before="60" w:after="60"/>
              <w:rPr>
                <w:rFonts w:eastAsiaTheme="majorEastAsia"/>
                <w:i/>
              </w:rPr>
            </w:pPr>
          </w:p>
          <w:p w14:paraId="4CBAC37D" w14:textId="77777777" w:rsidR="00DD3EFA" w:rsidRPr="005A0E7C" w:rsidRDefault="00DD3EFA" w:rsidP="00B15ECB">
            <w:r w:rsidRPr="005A0E7C">
              <w:t>Jedná se o následující prvky rozvoje malých a středních podniků (MSP):</w:t>
            </w:r>
          </w:p>
          <w:p w14:paraId="33EA638F" w14:textId="77777777" w:rsidR="00DD3EFA" w:rsidRPr="005A0E7C" w:rsidRDefault="00DD3EFA" w:rsidP="00B15ECB"/>
          <w:p w14:paraId="41FA33ED" w14:textId="77777777" w:rsidR="00DD3EFA" w:rsidRPr="005A0E7C" w:rsidRDefault="00DD3EFA" w:rsidP="00B15ECB">
            <w:r w:rsidRPr="005A0E7C">
              <w:rPr>
                <w:lang w:eastAsia="cs-CZ"/>
              </w:rPr>
              <w:t xml:space="preserve">- </w:t>
            </w:r>
            <w:r w:rsidRPr="005A0E7C">
              <w:t>Stimulovat vznik a rozvoj inovativních MSP</w:t>
            </w:r>
          </w:p>
          <w:p w14:paraId="36A6CFCF" w14:textId="77777777" w:rsidR="00DD3EFA" w:rsidRPr="005A0E7C" w:rsidRDefault="00DD3EFA" w:rsidP="00B15ECB">
            <w:r w:rsidRPr="005A0E7C">
              <w:t>- Zvýšit inovační schopnosti MSP</w:t>
            </w:r>
          </w:p>
          <w:p w14:paraId="387F0154" w14:textId="77777777" w:rsidR="00DD3EFA" w:rsidRPr="005A0E7C" w:rsidRDefault="00DD3EFA" w:rsidP="00B15ECB">
            <w:r w:rsidRPr="005A0E7C">
              <w:t>- Posílit internacionalizaci MSP</w:t>
            </w:r>
          </w:p>
          <w:p w14:paraId="7B62D824" w14:textId="77777777" w:rsidR="00DD3EFA" w:rsidRPr="005A0E7C" w:rsidRDefault="00DD3EFA" w:rsidP="00B15ECB">
            <w:r w:rsidRPr="005A0E7C">
              <w:t>- Posílit podnikatelskou infrastrukturu</w:t>
            </w:r>
          </w:p>
          <w:p w14:paraId="1A0ADB1C" w14:textId="77777777" w:rsidR="00DD3EFA" w:rsidRPr="005A0E7C" w:rsidRDefault="00DD3EFA" w:rsidP="00B15ECB">
            <w:r w:rsidRPr="005A0E7C">
              <w:t>- Zlepšit přístup MSP k financím</w:t>
            </w:r>
          </w:p>
        </w:tc>
        <w:tc>
          <w:tcPr>
            <w:tcW w:w="249" w:type="dxa"/>
            <w:tcBorders>
              <w:top w:val="nil"/>
              <w:bottom w:val="nil"/>
            </w:tcBorders>
            <w:shd w:val="clear" w:color="auto" w:fill="66CCFF"/>
          </w:tcPr>
          <w:p w14:paraId="2D8488BB" w14:textId="77777777" w:rsidR="00DD3EFA" w:rsidRPr="005A0E7C" w:rsidRDefault="00DD3EFA" w:rsidP="00B15ECB">
            <w:pPr>
              <w:rPr>
                <w:b/>
              </w:rPr>
            </w:pPr>
          </w:p>
        </w:tc>
      </w:tr>
      <w:tr w:rsidR="00DD3EFA" w:rsidRPr="005A0E7C" w14:paraId="788075FF" w14:textId="77777777" w:rsidTr="00B15ECB">
        <w:trPr>
          <w:trHeight w:val="46"/>
        </w:trPr>
        <w:tc>
          <w:tcPr>
            <w:tcW w:w="249" w:type="dxa"/>
            <w:tcBorders>
              <w:top w:val="nil"/>
              <w:bottom w:val="nil"/>
              <w:right w:val="nil"/>
            </w:tcBorders>
            <w:shd w:val="clear" w:color="auto" w:fill="66CCFF"/>
          </w:tcPr>
          <w:p w14:paraId="14838BE9"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159B2930"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C87CB1C" w14:textId="77777777" w:rsidR="00DD3EFA" w:rsidRPr="005A0E7C" w:rsidRDefault="00DD3EFA" w:rsidP="00B15ECB">
            <w:pPr>
              <w:rPr>
                <w:b/>
              </w:rPr>
            </w:pPr>
          </w:p>
        </w:tc>
        <w:tc>
          <w:tcPr>
            <w:tcW w:w="249" w:type="dxa"/>
            <w:tcBorders>
              <w:top w:val="nil"/>
              <w:left w:val="nil"/>
              <w:bottom w:val="nil"/>
            </w:tcBorders>
            <w:shd w:val="clear" w:color="auto" w:fill="66CCFF"/>
          </w:tcPr>
          <w:p w14:paraId="0087E59D" w14:textId="77777777" w:rsidR="00DD3EFA" w:rsidRPr="005A0E7C" w:rsidRDefault="00DD3EFA" w:rsidP="00B15ECB">
            <w:pPr>
              <w:rPr>
                <w:b/>
              </w:rPr>
            </w:pPr>
          </w:p>
        </w:tc>
      </w:tr>
      <w:tr w:rsidR="00DD3EFA" w:rsidRPr="005A0E7C" w14:paraId="211B460B" w14:textId="77777777" w:rsidTr="00B15ECB">
        <w:trPr>
          <w:trHeight w:val="1274"/>
        </w:trPr>
        <w:tc>
          <w:tcPr>
            <w:tcW w:w="249" w:type="dxa"/>
            <w:tcBorders>
              <w:top w:val="nil"/>
              <w:bottom w:val="nil"/>
            </w:tcBorders>
            <w:shd w:val="clear" w:color="auto" w:fill="66CCFF"/>
          </w:tcPr>
          <w:p w14:paraId="733BC02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647A1F6"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151D35B5" w14:textId="77777777" w:rsidR="00DD3EFA" w:rsidRPr="005A0E7C" w:rsidRDefault="00DD3EFA" w:rsidP="00B15ECB">
            <w:pPr>
              <w:spacing w:before="60" w:after="60"/>
              <w:rPr>
                <w:rFonts w:eastAsiaTheme="majorEastAsia"/>
                <w:i/>
                <w:u w:val="single"/>
              </w:rPr>
            </w:pPr>
            <w:r w:rsidRPr="005A0E7C">
              <w:rPr>
                <w:rFonts w:eastAsiaTheme="majorEastAsia"/>
                <w:i/>
                <w:u w:val="single"/>
              </w:rPr>
              <w:t>Prosíme o doplnění, v čem je podstata celého cíle jako takového.</w:t>
            </w:r>
          </w:p>
          <w:p w14:paraId="1CA2245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Malé a střední podniky (MSP) jsou v celé Evropě včetně ČR označovány jako páteř ekonomiky a zaměstnanosti a jsou také nezanedbatelnou podpůrnou silou hospodářského růstu s potenciálem k inovacím a konkurenceschopnosti. MSP rovněž hrají důležitou roli při tvorbě nových pracovních míst a jsou důležitým faktorem sociální stability, hospodářského a udržitelného rozvoje. Podíl malých a středních podniků na celkovém počtu aktivních podnikatelských subjektů v roce 2017 byl 99,84 %. </w:t>
            </w:r>
          </w:p>
          <w:p w14:paraId="1358F14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Podíl přidané hodnoty malých a středních podniků v roce 2017 činil 54,6 % a podíl zaměstnanců malých a středních podniků na celkovém počtu zaměstnanců podnikatelské sféry v ČR v roce 2017 činil 58,0 %. V České republice tento segment podnikatelů generuje v průměru 40% HDP a malé a střední podniky se podílejí na více než polovině českého exportu.</w:t>
            </w:r>
          </w:p>
          <w:p w14:paraId="562DECB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Nízký kapitál pro vlastní rozvoj je jedním z nejdůležitějších důvodů pro podporu MSP z veřejných zdrojů. Dalším problematickým aspektem je nastavení dodavatelských vazeb MSP vůči velkým (zahraničním) podnikům, které jim ztěžuje možnost postavit se na vlastní nohy (závislost na dominantním odběrateli, omezené manažerské dovednosti, nízký kapitál, malé možnosti pro reinvestování zisku). Jednou z překážek může být i vlastnická struktura firem, kdy zahraniční mateřské společnosti ztěžují nebo omezují rozvoj inovativního potenciálu českých dceřiných společností, nemotivují je k tvorbě nových inovativních výrobků a výrobě konečného produktu. České dceřiné společnosti tak často působí vůči zahraničním mateřským společnostem pouze jako montovny. </w:t>
            </w:r>
          </w:p>
          <w:p w14:paraId="3ADE145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MSP, a zejména začínající podniky, mají také typicky horší postavení oproti velkým podnikům při získávání úvěrů – ať už z pohledu úrokové sazby či možností ručení.</w:t>
            </w:r>
          </w:p>
          <w:p w14:paraId="74BF703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Začínající inovativní podnikatelé (start-upy) jsou jedním z hlavních nositelů inovací v ekonomice a rozvoj start-upového ekosystému tak výrazně přispívá ke zvýšení konkurenceschopnosti a přidané hodnoty v rámci českých firem. Dosud z větší části nenaplněný potenciál představují start-upy ve formě spin-off firem realizujících transfer technologií z veřejné výzkumné sféry do praxe.</w:t>
            </w:r>
          </w:p>
          <w:p w14:paraId="6F403482" w14:textId="77777777" w:rsidR="00DD3EFA" w:rsidRPr="005A0E7C" w:rsidRDefault="00DD3EFA" w:rsidP="00B15ECB">
            <w:r w:rsidRPr="005A0E7C">
              <w:t xml:space="preserve">Podnikatelské aktivity je třeba podpořit v jejich zárodcích, případně vlastním růstu tak, aby nedošlo k jejich předčasnému zániku. Podpora by měla směřovat i do oblasti spolupráce s velkými podniky, které tvoří stále hlavní zdroj ekonomické produkce ČR. Je zapotřebí zamířit pozornost na podporu inovativního potenciálu a internacionalizaci ekonomických aktivit MSP tak, aby tyto podniky obstály v globální konkurenci a také v rámci trhů EU. </w:t>
            </w:r>
          </w:p>
          <w:p w14:paraId="0D2B534B" w14:textId="77777777" w:rsidR="00DD3EFA" w:rsidRPr="005A0E7C" w:rsidRDefault="00DD3EFA" w:rsidP="00B15ECB"/>
          <w:p w14:paraId="522725A8" w14:textId="77777777" w:rsidR="00DD3EFA" w:rsidRPr="005A0E7C" w:rsidRDefault="00DD3EFA" w:rsidP="00B15ECB">
            <w:r w:rsidRPr="005A0E7C">
              <w:t xml:space="preserve">Rozvoj MSP by měl rovněž probíhat v souladu se snahou zmírnit ekologické dopady výrobních procesů. Jedním ze způsobů, jak omezit tyto negativní dopady, je cílit také na ekologický aspekt projektů zavádějících inovativní výrobky, procesy a služby. </w:t>
            </w:r>
          </w:p>
          <w:p w14:paraId="42DC8DD3" w14:textId="77777777" w:rsidR="00DD3EFA" w:rsidRPr="005A0E7C" w:rsidRDefault="00DD3EFA" w:rsidP="00B15ECB">
            <w:r w:rsidRPr="005A0E7C">
              <w:t>Důslednější kvalifikace dopadu projektu na životní prostředí se tak může stát jedním z indkátorů pro hodnocení projektových žádostí.</w:t>
            </w:r>
          </w:p>
          <w:p w14:paraId="2239B1CB" w14:textId="77777777" w:rsidR="00DD3EFA" w:rsidRPr="005A0E7C" w:rsidRDefault="00DD3EFA" w:rsidP="00B15ECB"/>
          <w:p w14:paraId="1A667FEE" w14:textId="77777777" w:rsidR="00DD3EFA" w:rsidRPr="005A0E7C" w:rsidRDefault="00DD3EFA" w:rsidP="00B15ECB">
            <w:r w:rsidRPr="005A0E7C">
              <w:t>Rozvoj MSP a posilování inovační schopnosti MSP je výzva pro celé Česko, a to vč. oblastí s potenciálem rozvoje inovací v  cestovním ruchu.</w:t>
            </w:r>
          </w:p>
          <w:p w14:paraId="6946965D" w14:textId="77777777" w:rsidR="00DD3EFA" w:rsidRPr="005A0E7C" w:rsidRDefault="00DD3EFA" w:rsidP="00B15ECB"/>
        </w:tc>
        <w:tc>
          <w:tcPr>
            <w:tcW w:w="249" w:type="dxa"/>
            <w:tcBorders>
              <w:top w:val="nil"/>
              <w:bottom w:val="nil"/>
            </w:tcBorders>
            <w:shd w:val="clear" w:color="auto" w:fill="66CCFF"/>
          </w:tcPr>
          <w:p w14:paraId="540363DF" w14:textId="77777777" w:rsidR="00DD3EFA" w:rsidRPr="005A0E7C" w:rsidRDefault="00DD3EFA" w:rsidP="00B15ECB">
            <w:pPr>
              <w:rPr>
                <w:b/>
              </w:rPr>
            </w:pPr>
          </w:p>
        </w:tc>
      </w:tr>
      <w:tr w:rsidR="00DD3EFA" w:rsidRPr="005A0E7C" w14:paraId="3D5C57D1" w14:textId="77777777" w:rsidTr="00B15ECB">
        <w:trPr>
          <w:trHeight w:val="1274"/>
        </w:trPr>
        <w:tc>
          <w:tcPr>
            <w:tcW w:w="249" w:type="dxa"/>
            <w:tcBorders>
              <w:top w:val="nil"/>
              <w:bottom w:val="nil"/>
            </w:tcBorders>
            <w:shd w:val="clear" w:color="auto" w:fill="66CCFF"/>
          </w:tcPr>
          <w:p w14:paraId="2E5ADA4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E74BE2A"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0FB05270" w14:textId="77777777" w:rsidR="00DD3EFA" w:rsidRPr="005A0E7C" w:rsidRDefault="00DD3EFA" w:rsidP="00B15ECB">
            <w:pPr>
              <w:spacing w:before="60" w:after="60"/>
              <w:rPr>
                <w:rFonts w:eastAsiaTheme="majorEastAsia"/>
              </w:rPr>
            </w:pPr>
            <w:r w:rsidRPr="005A0E7C">
              <w:rPr>
                <w:rFonts w:eastAsiaTheme="majorEastAsia"/>
              </w:rPr>
              <w:t xml:space="preserve">České podnikatelské prostředí se vyznačuje relativně nízkou mírou sebevědomí a samostatnosti v rozhodování, což je do značné míry dáno omezenými manažerskými, jazykovými a finančními schopnostmi a zejména omezenými mezinárodními zkušenostmi spolu s nízkou mírou dostupnosti počátečního kapitálu. Na to se váže slabá úroveň spolupráce s vědecko-výzkumnou sférou a velkými firmami. U firem ve strukturálně postižených regionech je zaznamenána nízká inovační výkonnost s celkově menšími výdaji na výzkum a vývoj. Růst úspěšných lokálních firem v hospodářsky nebo sociálně ohrožených územích (tj. periferie) je omezen i díky nízké inovační poptávce takových firem. V posledních letech pak trápí MSP především nedostatek kvalifikované pracovní síly. </w:t>
            </w:r>
          </w:p>
          <w:p w14:paraId="7A574BDB" w14:textId="30D88025" w:rsidR="00DD3EFA" w:rsidRPr="005A0E7C" w:rsidRDefault="00DD3EFA" w:rsidP="00B15ECB">
            <w:pPr>
              <w:spacing w:before="60" w:after="60"/>
              <w:rPr>
                <w:rFonts w:eastAsiaTheme="majorEastAsia"/>
              </w:rPr>
            </w:pPr>
            <w:r w:rsidRPr="005A0E7C">
              <w:rPr>
                <w:rFonts w:eastAsiaTheme="majorEastAsia"/>
              </w:rPr>
              <w:t>MSP rovněž nemají dostatečné kapacity (lidské, znalostní a finanční) pro vstup na zahraniční trhy. V české populaci dál</w:t>
            </w:r>
            <w:r w:rsidR="006A6ACB" w:rsidRPr="005A0E7C">
              <w:rPr>
                <w:rFonts w:eastAsiaTheme="majorEastAsia"/>
              </w:rPr>
              <w:t xml:space="preserve">e panuje nedostatek povědomí o </w:t>
            </w:r>
            <w:r w:rsidRPr="005A0E7C">
              <w:rPr>
                <w:rFonts w:eastAsiaTheme="majorEastAsia"/>
              </w:rPr>
              <w:t xml:space="preserve">alternativních formách podnikání (sociální podnikání, sdílená ekonomika atp.).  </w:t>
            </w:r>
          </w:p>
          <w:p w14:paraId="0206011B" w14:textId="77777777" w:rsidR="00DD3EFA" w:rsidRPr="005A0E7C" w:rsidRDefault="00DD3EFA" w:rsidP="00B15ECB">
            <w:pPr>
              <w:spacing w:before="60" w:after="60"/>
              <w:rPr>
                <w:rFonts w:eastAsiaTheme="majorEastAsia"/>
              </w:rPr>
            </w:pPr>
            <w:r w:rsidRPr="005A0E7C">
              <w:rPr>
                <w:lang w:eastAsia="cs-CZ"/>
              </w:rPr>
              <w:t xml:space="preserve">Také je potřeba zaměřit se na </w:t>
            </w:r>
            <w:r w:rsidRPr="005A0E7C">
              <w:rPr>
                <w:rFonts w:eastAsiaTheme="majorEastAsia"/>
              </w:rPr>
              <w:t>rozvoj specifických poradenských služeb cílících na řešení problémů, kterým MSP aktuálně čelí, či rozvoj a rozšíření služeb pro start-upy směřující ke zvyšování jejich znalostí a schopností pro další rozvoj a působení na zahraničních trzích.</w:t>
            </w:r>
          </w:p>
          <w:p w14:paraId="3B6515B1" w14:textId="77777777" w:rsidR="00DD3EFA" w:rsidRPr="005A0E7C" w:rsidRDefault="00DD3EFA" w:rsidP="00B15ECB">
            <w:pPr>
              <w:spacing w:before="60" w:after="60"/>
              <w:rPr>
                <w:rFonts w:eastAsiaTheme="majorEastAsia"/>
              </w:rPr>
            </w:pPr>
            <w:r w:rsidRPr="005A0E7C">
              <w:rPr>
                <w:rFonts w:eastAsiaTheme="majorEastAsia"/>
              </w:rPr>
              <w:t>Zároveň je potřeba uvést, že firemní výrobní procesy jsou mj. ohroženy i klimatickými změnami, je tak potřeba se vypořádat i s tímto dílčím problémem.</w:t>
            </w:r>
          </w:p>
        </w:tc>
        <w:tc>
          <w:tcPr>
            <w:tcW w:w="249" w:type="dxa"/>
            <w:tcBorders>
              <w:top w:val="nil"/>
              <w:bottom w:val="nil"/>
            </w:tcBorders>
            <w:shd w:val="clear" w:color="auto" w:fill="66CCFF"/>
          </w:tcPr>
          <w:p w14:paraId="2FFDF993" w14:textId="77777777" w:rsidR="00DD3EFA" w:rsidRPr="005A0E7C" w:rsidRDefault="00DD3EFA" w:rsidP="00B15ECB">
            <w:pPr>
              <w:rPr>
                <w:b/>
              </w:rPr>
            </w:pPr>
          </w:p>
        </w:tc>
      </w:tr>
      <w:tr w:rsidR="00DD3EFA" w:rsidRPr="005A0E7C" w14:paraId="5F9EB562" w14:textId="77777777" w:rsidTr="00B15ECB">
        <w:trPr>
          <w:trHeight w:val="1274"/>
        </w:trPr>
        <w:tc>
          <w:tcPr>
            <w:tcW w:w="249" w:type="dxa"/>
            <w:tcBorders>
              <w:top w:val="nil"/>
              <w:bottom w:val="nil"/>
            </w:tcBorders>
            <w:shd w:val="clear" w:color="auto" w:fill="66CCFF"/>
          </w:tcPr>
          <w:p w14:paraId="1AA1B77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908B942"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6EB7EF1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15B5411" w14:textId="77777777" w:rsidR="00DD3EFA" w:rsidRPr="005A0E7C" w:rsidRDefault="00DD3EFA" w:rsidP="00B15ECB">
            <w:pPr>
              <w:pStyle w:val="Odstavecseseznamem"/>
              <w:spacing w:before="60" w:after="60"/>
              <w:ind w:left="0"/>
            </w:pPr>
            <w:r w:rsidRPr="005A0E7C">
              <w:t>Obecným cílem je zvýšit konkurenceschopnost českých MSP, posílít povědomí obyvatel o podnikatelské kultuře a povzbudit tak k zakládání nových podniků a vytvořit podmínky pro prezentaci ČR jako atraktivního místa pro podnikání, zejména v oborech s vysokou přidanou hodnotou.</w:t>
            </w:r>
          </w:p>
          <w:p w14:paraId="47B4D170" w14:textId="77777777" w:rsidR="00DD3EFA" w:rsidRPr="005A0E7C" w:rsidRDefault="00DD3EFA" w:rsidP="00B15ECB">
            <w:pPr>
              <w:pStyle w:val="Odstavecseseznamem"/>
              <w:spacing w:before="60" w:after="60"/>
              <w:ind w:left="0"/>
              <w:rPr>
                <w:rFonts w:eastAsiaTheme="majorEastAsia"/>
              </w:rPr>
            </w:pPr>
            <w:r w:rsidRPr="005A0E7C">
              <w:t>Prostřednictvím cílených intervencí bude dosaženo:</w:t>
            </w:r>
          </w:p>
          <w:p w14:paraId="7ED3978A" w14:textId="77777777" w:rsidR="00DD3EFA" w:rsidRPr="005A0E7C" w:rsidRDefault="00DD3EFA" w:rsidP="00391907">
            <w:pPr>
              <w:pStyle w:val="Odstavecseseznamem"/>
              <w:numPr>
                <w:ilvl w:val="0"/>
                <w:numId w:val="81"/>
              </w:numPr>
              <w:spacing w:before="60" w:after="60"/>
              <w:ind w:left="497"/>
              <w:jc w:val="both"/>
              <w:rPr>
                <w:rFonts w:eastAsiaTheme="majorEastAsia"/>
              </w:rPr>
            </w:pPr>
            <w:r w:rsidRPr="005A0E7C">
              <w:rPr>
                <w:rFonts w:eastAsiaTheme="majorEastAsia"/>
              </w:rPr>
              <w:t>zlepšení podnikatelského prostředí pro MSP</w:t>
            </w:r>
          </w:p>
          <w:p w14:paraId="166991E1" w14:textId="77777777" w:rsidR="00DD3EFA" w:rsidRPr="005A0E7C" w:rsidRDefault="00DD3EFA" w:rsidP="00391907">
            <w:pPr>
              <w:pStyle w:val="Odstavecseseznamem"/>
              <w:numPr>
                <w:ilvl w:val="0"/>
                <w:numId w:val="81"/>
              </w:numPr>
              <w:spacing w:before="60" w:after="60"/>
              <w:ind w:left="497"/>
              <w:jc w:val="both"/>
              <w:rPr>
                <w:rFonts w:eastAsiaTheme="majorEastAsia"/>
              </w:rPr>
            </w:pPr>
            <w:r w:rsidRPr="005A0E7C">
              <w:rPr>
                <w:rFonts w:eastAsiaTheme="majorEastAsia"/>
              </w:rPr>
              <w:t>zajištění širokého přístupu MSP k financování</w:t>
            </w:r>
          </w:p>
          <w:p w14:paraId="6B0E2B3E" w14:textId="77777777" w:rsidR="00DD3EFA" w:rsidRPr="005A0E7C" w:rsidRDefault="00DD3EFA" w:rsidP="00391907">
            <w:pPr>
              <w:pStyle w:val="Odstavecseseznamem"/>
              <w:numPr>
                <w:ilvl w:val="0"/>
                <w:numId w:val="81"/>
              </w:numPr>
              <w:spacing w:before="60" w:after="60"/>
              <w:ind w:left="497"/>
              <w:jc w:val="both"/>
              <w:rPr>
                <w:rFonts w:eastAsiaTheme="majorEastAsia"/>
              </w:rPr>
            </w:pPr>
            <w:r w:rsidRPr="005A0E7C">
              <w:rPr>
                <w:rFonts w:eastAsiaTheme="majorEastAsia"/>
              </w:rPr>
              <w:t>zlepšení a usnadnění přístupu MSP na zahraniční trhy</w:t>
            </w:r>
          </w:p>
          <w:p w14:paraId="199DE6CE" w14:textId="77777777" w:rsidR="00DD3EFA" w:rsidRPr="005A0E7C" w:rsidRDefault="00DD3EFA" w:rsidP="00391907">
            <w:pPr>
              <w:pStyle w:val="Odstavecseseznamem"/>
              <w:numPr>
                <w:ilvl w:val="0"/>
                <w:numId w:val="81"/>
              </w:numPr>
              <w:spacing w:before="60" w:after="60"/>
              <w:ind w:left="497"/>
              <w:jc w:val="both"/>
              <w:rPr>
                <w:rFonts w:eastAsiaTheme="majorEastAsia"/>
              </w:rPr>
            </w:pPr>
            <w:r w:rsidRPr="005A0E7C">
              <w:rPr>
                <w:rFonts w:eastAsiaTheme="majorEastAsia"/>
              </w:rPr>
              <w:t>rozšíření možností pro podnikatelské vzdělávání a jeho dostupnost</w:t>
            </w:r>
          </w:p>
          <w:p w14:paraId="59AC3B49" w14:textId="77777777" w:rsidR="00DD3EFA" w:rsidRPr="005A0E7C" w:rsidRDefault="00DD3EFA" w:rsidP="00391907">
            <w:pPr>
              <w:pStyle w:val="Odstavecseseznamem"/>
              <w:numPr>
                <w:ilvl w:val="0"/>
                <w:numId w:val="81"/>
              </w:numPr>
              <w:spacing w:before="60" w:after="60"/>
              <w:ind w:left="497"/>
              <w:jc w:val="both"/>
              <w:rPr>
                <w:rFonts w:eastAsiaTheme="majorEastAsia"/>
              </w:rPr>
            </w:pPr>
            <w:r w:rsidRPr="005A0E7C">
              <w:rPr>
                <w:rFonts w:eastAsiaTheme="majorEastAsia"/>
              </w:rPr>
              <w:t>zajištění komplexního rozvoje inovačního potenciálu MSP</w:t>
            </w:r>
          </w:p>
          <w:p w14:paraId="3F6B402D" w14:textId="3A1FD487" w:rsidR="00DD3EFA" w:rsidRPr="005A0E7C" w:rsidRDefault="00DD3EFA" w:rsidP="00391907">
            <w:pPr>
              <w:pStyle w:val="Odstavecseseznamem"/>
              <w:numPr>
                <w:ilvl w:val="0"/>
                <w:numId w:val="81"/>
              </w:numPr>
              <w:spacing w:before="60" w:after="60"/>
              <w:ind w:left="497"/>
              <w:jc w:val="both"/>
              <w:rPr>
                <w:rFonts w:eastAsiaTheme="majorEastAsia"/>
                <w:i/>
                <w:u w:val="single"/>
              </w:rPr>
            </w:pPr>
            <w:r w:rsidRPr="005A0E7C">
              <w:rPr>
                <w:rFonts w:eastAsiaTheme="majorEastAsia"/>
              </w:rPr>
              <w:t>umožnění přístupu MSP k </w:t>
            </w:r>
            <w:r w:rsidR="006A6ACB" w:rsidRPr="005A0E7C">
              <w:rPr>
                <w:rFonts w:eastAsiaTheme="majorEastAsia"/>
              </w:rPr>
              <w:t>technologiím</w:t>
            </w:r>
            <w:r w:rsidRPr="005A0E7C">
              <w:rPr>
                <w:rFonts w:eastAsiaTheme="majorEastAsia"/>
              </w:rPr>
              <w:t>, ICT a vysorychlostnímu přístupu k internetu</w:t>
            </w:r>
          </w:p>
          <w:p w14:paraId="1089E454" w14:textId="77777777" w:rsidR="00DD3EFA" w:rsidRPr="005A0E7C" w:rsidRDefault="00DD3EFA" w:rsidP="00391907">
            <w:pPr>
              <w:pStyle w:val="Odstavecseseznamem"/>
              <w:numPr>
                <w:ilvl w:val="0"/>
                <w:numId w:val="81"/>
              </w:numPr>
              <w:spacing w:before="60" w:after="60"/>
              <w:ind w:left="497"/>
              <w:jc w:val="both"/>
              <w:rPr>
                <w:rFonts w:eastAsiaTheme="majorEastAsia"/>
                <w:i/>
                <w:u w:val="single"/>
              </w:rPr>
            </w:pPr>
            <w:r w:rsidRPr="005A0E7C">
              <w:rPr>
                <w:rFonts w:eastAsiaTheme="majorEastAsia"/>
              </w:rPr>
              <w:t>zajištění odolnosti výrobních procesů podniků před dopady extrémního sucha</w:t>
            </w:r>
          </w:p>
          <w:p w14:paraId="15092629" w14:textId="77777777" w:rsidR="00DD3EFA" w:rsidRPr="005A0E7C" w:rsidRDefault="00DD3EFA" w:rsidP="00391907">
            <w:pPr>
              <w:pStyle w:val="Odstavecseseznamem"/>
              <w:numPr>
                <w:ilvl w:val="0"/>
                <w:numId w:val="81"/>
              </w:numPr>
              <w:spacing w:before="60" w:after="60"/>
              <w:ind w:left="497"/>
              <w:jc w:val="both"/>
              <w:rPr>
                <w:rFonts w:eastAsiaTheme="majorEastAsia"/>
                <w:i/>
                <w:u w:val="single"/>
              </w:rPr>
            </w:pPr>
            <w:r w:rsidRPr="005A0E7C">
              <w:rPr>
                <w:rFonts w:eastAsiaTheme="majorEastAsia"/>
              </w:rPr>
              <w:t>využít kulturního dědictví jako zdroj inovací výrobků/služeb</w:t>
            </w:r>
          </w:p>
        </w:tc>
        <w:tc>
          <w:tcPr>
            <w:tcW w:w="249" w:type="dxa"/>
            <w:tcBorders>
              <w:top w:val="nil"/>
              <w:bottom w:val="nil"/>
            </w:tcBorders>
            <w:shd w:val="clear" w:color="auto" w:fill="66CCFF"/>
          </w:tcPr>
          <w:p w14:paraId="1B09BCDA" w14:textId="77777777" w:rsidR="00DD3EFA" w:rsidRPr="005A0E7C" w:rsidRDefault="00DD3EFA" w:rsidP="00B15ECB">
            <w:pPr>
              <w:rPr>
                <w:b/>
              </w:rPr>
            </w:pPr>
          </w:p>
        </w:tc>
      </w:tr>
      <w:tr w:rsidR="00DD3EFA" w:rsidRPr="005A0E7C" w14:paraId="015FEAD4" w14:textId="77777777" w:rsidTr="00B15ECB">
        <w:trPr>
          <w:trHeight w:val="1274"/>
        </w:trPr>
        <w:tc>
          <w:tcPr>
            <w:tcW w:w="249" w:type="dxa"/>
            <w:tcBorders>
              <w:top w:val="nil"/>
              <w:bottom w:val="nil"/>
            </w:tcBorders>
            <w:shd w:val="clear" w:color="auto" w:fill="66CCFF"/>
          </w:tcPr>
          <w:p w14:paraId="66A167A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12B04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3D01BDF5"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eastAsiaTheme="majorEastAsia" w:hAnsi="Times New Roman"/>
                <w:noProof/>
              </w:rPr>
              <w:t>rozvoj a posílení endogenního podnikatelského sektoru, vznik nových podniků.</w:t>
            </w:r>
          </w:p>
          <w:p w14:paraId="06E126E4"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eastAsiaTheme="majorEastAsia" w:hAnsi="Times New Roman"/>
                <w:noProof/>
              </w:rPr>
              <w:t>zajištění dostupnosti vnějšího financování pro začínající podnikatele a inovativní podniky (pokrytí tržní mezery v nabídce zvýhodněného financování), včetně rizikového kapitálu, a to jak pro podnikatele v oblasti průmyslu, tak ve službách.</w:t>
            </w:r>
          </w:p>
          <w:p w14:paraId="069DA5DD"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eastAsiaTheme="majorEastAsia" w:hAnsi="Times New Roman"/>
                <w:noProof/>
              </w:rPr>
              <w:t>zintenzivnění znalostního a technologického transferu v MSP</w:t>
            </w:r>
          </w:p>
          <w:p w14:paraId="68F0C921"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eastAsiaTheme="majorEastAsia" w:hAnsi="Times New Roman"/>
              </w:rPr>
              <w:t>zvýšení produktivity práce v sektoru MSP, mj. i v důsledku vyšší odbornosti a kvalifikace zaměstnanců a zaměstnavatelů a přístupu MSP k technologiím, inovativním procesům, ICT a vysokorychlostnímu internetu</w:t>
            </w:r>
          </w:p>
          <w:p w14:paraId="7860D984"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eastAsiaTheme="majorEastAsia" w:hAnsi="Times New Roman"/>
                <w:noProof/>
              </w:rPr>
              <w:t>posílení podnikatelského vzdělávání, rozvoj podnikatelské kultury, podnikavosti a podnikatelství vedoucí k vyšší tvorbě nových podniků.</w:t>
            </w:r>
          </w:p>
          <w:p w14:paraId="368597B0"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eastAsiaTheme="majorEastAsia" w:hAnsi="Times New Roman"/>
                <w:noProof/>
              </w:rPr>
              <w:t>zlepšení netechnických kompetencí malých a středních podniků (strategické řízení, marketing, inovační management, zahraniční obchod ad.)</w:t>
            </w:r>
          </w:p>
          <w:p w14:paraId="3E1902CB"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eastAsiaTheme="majorEastAsia" w:hAnsi="Times New Roman"/>
                <w:noProof/>
              </w:rPr>
              <w:t xml:space="preserve">zlepšení podmínek pro podnikání na celém území ČR </w:t>
            </w:r>
          </w:p>
          <w:p w14:paraId="608D0700" w14:textId="77777777" w:rsidR="00DD3EFA" w:rsidRPr="005A0E7C" w:rsidRDefault="00DD3EFA" w:rsidP="00391907">
            <w:pPr>
              <w:pStyle w:val="slovanodstavec"/>
              <w:numPr>
                <w:ilvl w:val="0"/>
                <w:numId w:val="81"/>
              </w:numPr>
              <w:tabs>
                <w:tab w:val="clear" w:pos="567"/>
                <w:tab w:val="left" w:pos="284"/>
              </w:tabs>
              <w:suppressAutoHyphens/>
              <w:spacing w:line="240" w:lineRule="auto"/>
              <w:rPr>
                <w:rFonts w:ascii="Times New Roman" w:hAnsi="Times New Roman"/>
              </w:rPr>
            </w:pPr>
            <w:r w:rsidRPr="005A0E7C">
              <w:rPr>
                <w:rFonts w:ascii="Times New Roman" w:hAnsi="Times New Roman"/>
              </w:rPr>
              <w:t>zvýšení podílu exportu MSP na celkovém exportu České republiky a zvýšení objemu exportu MSP v absolutním vyjádření</w:t>
            </w:r>
          </w:p>
        </w:tc>
        <w:tc>
          <w:tcPr>
            <w:tcW w:w="249" w:type="dxa"/>
            <w:tcBorders>
              <w:top w:val="nil"/>
              <w:bottom w:val="nil"/>
            </w:tcBorders>
            <w:shd w:val="clear" w:color="auto" w:fill="66CCFF"/>
          </w:tcPr>
          <w:p w14:paraId="1D52825D" w14:textId="77777777" w:rsidR="00DD3EFA" w:rsidRPr="005A0E7C" w:rsidRDefault="00DD3EFA" w:rsidP="00B15ECB">
            <w:pPr>
              <w:rPr>
                <w:b/>
              </w:rPr>
            </w:pPr>
          </w:p>
        </w:tc>
      </w:tr>
      <w:tr w:rsidR="00DD3EFA" w:rsidRPr="005A0E7C" w14:paraId="0885975F" w14:textId="77777777" w:rsidTr="00B15ECB">
        <w:trPr>
          <w:trHeight w:val="1274"/>
        </w:trPr>
        <w:tc>
          <w:tcPr>
            <w:tcW w:w="249" w:type="dxa"/>
            <w:tcBorders>
              <w:top w:val="nil"/>
              <w:bottom w:val="nil"/>
            </w:tcBorders>
            <w:shd w:val="clear" w:color="auto" w:fill="66CCFF"/>
          </w:tcPr>
          <w:p w14:paraId="57C06D9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C399BB2"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1916A61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ajorEastAsia" w:hAnsi="Times New Roman"/>
                <w:i/>
                <w:u w:val="single"/>
              </w:rPr>
            </w:pPr>
            <w:r w:rsidRPr="005A0E7C">
              <w:rPr>
                <w:rFonts w:ascii="Times New Roman" w:hAnsi="Times New Roman"/>
              </w:rPr>
              <w:t xml:space="preserve">V příštím programovacím období počítáme, že podíl ESIF bude činit cca 60% při plnění specifického cíle NKR. </w:t>
            </w:r>
          </w:p>
        </w:tc>
        <w:tc>
          <w:tcPr>
            <w:tcW w:w="249" w:type="dxa"/>
            <w:tcBorders>
              <w:top w:val="nil"/>
              <w:bottom w:val="nil"/>
            </w:tcBorders>
            <w:shd w:val="clear" w:color="auto" w:fill="66CCFF"/>
          </w:tcPr>
          <w:p w14:paraId="14EDF967" w14:textId="77777777" w:rsidR="00DD3EFA" w:rsidRPr="005A0E7C" w:rsidRDefault="00DD3EFA" w:rsidP="00B15ECB">
            <w:pPr>
              <w:rPr>
                <w:b/>
              </w:rPr>
            </w:pPr>
          </w:p>
        </w:tc>
      </w:tr>
      <w:tr w:rsidR="00DD3EFA" w:rsidRPr="005A0E7C" w14:paraId="4472CB89" w14:textId="77777777" w:rsidTr="00B15ECB">
        <w:trPr>
          <w:trHeight w:val="1274"/>
        </w:trPr>
        <w:tc>
          <w:tcPr>
            <w:tcW w:w="249" w:type="dxa"/>
            <w:tcBorders>
              <w:top w:val="nil"/>
              <w:bottom w:val="nil"/>
            </w:tcBorders>
            <w:shd w:val="clear" w:color="auto" w:fill="66CCFF"/>
          </w:tcPr>
          <w:p w14:paraId="080CDEC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0CAFB70"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361CE9A8"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eastAsiaTheme="majorEastAsia" w:hAnsi="Times New Roman"/>
              </w:rPr>
              <w:t>Oproti minulému období bude větší důraz kladen na inovativnost MSP, zvýšení podnikavosti, komercionalizaci výsledků VaV podporou inovačního potenciálu podniků, rozvoj alternativních forem podnikání (sociální podnikání, sdílená ekonomika apod.), podporu start-upů, kreativitu a využití potenciálu kulturního dědictví, zvyšování podílu přidané hodnoty, zvýšení produktivity práce, zlepšení řízení firem a na jejich spolupráci s velkými podniky, školami a výzkumnou sférou. Bude upraven podpůrný systém pro MSP (na základě zkušenosti PO 2014-2020), a to přiblížením poradenství pro MSP na místní a regionální úroveň, kde tyto MSP působí.</w:t>
            </w:r>
          </w:p>
        </w:tc>
        <w:tc>
          <w:tcPr>
            <w:tcW w:w="249" w:type="dxa"/>
            <w:tcBorders>
              <w:top w:val="nil"/>
              <w:bottom w:val="nil"/>
            </w:tcBorders>
            <w:shd w:val="clear" w:color="auto" w:fill="66CCFF"/>
          </w:tcPr>
          <w:p w14:paraId="0E3C9026" w14:textId="77777777" w:rsidR="00DD3EFA" w:rsidRPr="005A0E7C" w:rsidRDefault="00DD3EFA" w:rsidP="00B15ECB">
            <w:pPr>
              <w:rPr>
                <w:b/>
              </w:rPr>
            </w:pPr>
          </w:p>
        </w:tc>
      </w:tr>
      <w:tr w:rsidR="00DD3EFA" w:rsidRPr="005A0E7C" w14:paraId="79B4C02B" w14:textId="77777777" w:rsidTr="00B15ECB">
        <w:trPr>
          <w:trHeight w:val="272"/>
        </w:trPr>
        <w:tc>
          <w:tcPr>
            <w:tcW w:w="249" w:type="dxa"/>
            <w:tcBorders>
              <w:top w:val="nil"/>
              <w:bottom w:val="nil"/>
              <w:right w:val="nil"/>
            </w:tcBorders>
            <w:shd w:val="clear" w:color="auto" w:fill="66CCFF"/>
          </w:tcPr>
          <w:p w14:paraId="02F7166C"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C23E3EE"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7EC123A"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66843A12" w14:textId="77777777" w:rsidR="00DD3EFA" w:rsidRPr="005A0E7C" w:rsidRDefault="00DD3EFA" w:rsidP="00B15ECB">
            <w:pPr>
              <w:rPr>
                <w:b/>
              </w:rPr>
            </w:pPr>
          </w:p>
        </w:tc>
      </w:tr>
      <w:tr w:rsidR="00DD3EFA" w:rsidRPr="005A0E7C" w14:paraId="2F000C81" w14:textId="77777777" w:rsidTr="00B15ECB">
        <w:trPr>
          <w:trHeight w:val="835"/>
        </w:trPr>
        <w:tc>
          <w:tcPr>
            <w:tcW w:w="249" w:type="dxa"/>
            <w:tcBorders>
              <w:top w:val="nil"/>
              <w:bottom w:val="nil"/>
            </w:tcBorders>
            <w:shd w:val="clear" w:color="auto" w:fill="66CCFF"/>
          </w:tcPr>
          <w:p w14:paraId="263D2696"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12FE10CD"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37D746D0"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58C47832" w14:textId="77777777" w:rsidR="00DD3EFA" w:rsidRPr="005A0E7C" w:rsidRDefault="00DD3EFA" w:rsidP="00B15ECB">
            <w:pPr>
              <w:rPr>
                <w:u w:val="single"/>
              </w:rPr>
            </w:pPr>
            <w:r w:rsidRPr="005A0E7C">
              <w:rPr>
                <w:u w:val="single"/>
              </w:rPr>
              <w:t>Dosažení cílů bude realizováno následujícími způsoby:</w:t>
            </w:r>
          </w:p>
          <w:p w14:paraId="0443FFD1" w14:textId="77777777" w:rsidR="00DD3EFA" w:rsidRPr="005A0E7C" w:rsidRDefault="00DD3EFA" w:rsidP="00391907">
            <w:pPr>
              <w:pStyle w:val="Odstavecseseznamem"/>
              <w:numPr>
                <w:ilvl w:val="0"/>
                <w:numId w:val="78"/>
              </w:numPr>
              <w:jc w:val="both"/>
            </w:pPr>
            <w:r w:rsidRPr="005A0E7C">
              <w:t>podpora  a rozvoj podnikatelského vzdělávání a podnikatelské kultury</w:t>
            </w:r>
          </w:p>
          <w:p w14:paraId="3FB9ACBF" w14:textId="77777777" w:rsidR="00DD3EFA" w:rsidRPr="005A0E7C" w:rsidRDefault="00DD3EFA" w:rsidP="00391907">
            <w:pPr>
              <w:pStyle w:val="Odstavecseseznamem"/>
              <w:numPr>
                <w:ilvl w:val="0"/>
                <w:numId w:val="78"/>
              </w:numPr>
            </w:pPr>
            <w:r w:rsidRPr="005A0E7C">
              <w:t>podpora digitalizace a modernizace podnikání v souladu s principy Průmyslu 4.0.</w:t>
            </w:r>
          </w:p>
          <w:p w14:paraId="51250197" w14:textId="77777777" w:rsidR="00DD3EFA" w:rsidRPr="005A0E7C" w:rsidRDefault="00DD3EFA" w:rsidP="00391907">
            <w:pPr>
              <w:pStyle w:val="Odstavecseseznamem"/>
              <w:numPr>
                <w:ilvl w:val="0"/>
                <w:numId w:val="78"/>
              </w:numPr>
              <w:jc w:val="both"/>
            </w:pPr>
            <w:r w:rsidRPr="005A0E7C">
              <w:t>diverzifikace zdrojů financování pro MSP včetně posílení alternativních a nebankovních forem financí pro MSP</w:t>
            </w:r>
          </w:p>
          <w:p w14:paraId="13BACE68" w14:textId="77777777" w:rsidR="00DD3EFA" w:rsidRPr="005A0E7C" w:rsidRDefault="00DD3EFA" w:rsidP="00391907">
            <w:pPr>
              <w:pStyle w:val="Odstavecseseznamem"/>
              <w:numPr>
                <w:ilvl w:val="0"/>
                <w:numId w:val="78"/>
              </w:numPr>
              <w:jc w:val="both"/>
            </w:pPr>
            <w:r w:rsidRPr="005A0E7C">
              <w:t>vnitropodnikový aplikovaný výzkum, vývoj a inovace</w:t>
            </w:r>
          </w:p>
          <w:p w14:paraId="008D2960" w14:textId="77777777" w:rsidR="00DD3EFA" w:rsidRPr="005A0E7C" w:rsidRDefault="00DD3EFA" w:rsidP="00391907">
            <w:pPr>
              <w:pStyle w:val="Odstavecseseznamem"/>
              <w:numPr>
                <w:ilvl w:val="0"/>
                <w:numId w:val="78"/>
              </w:numPr>
              <w:jc w:val="both"/>
            </w:pPr>
            <w:r w:rsidRPr="005A0E7C">
              <w:t>vytvoření ekosystému na základě tematických specializací</w:t>
            </w:r>
          </w:p>
          <w:p w14:paraId="42790731" w14:textId="77777777" w:rsidR="00DD3EFA" w:rsidRPr="005A0E7C" w:rsidRDefault="00DD3EFA" w:rsidP="00391907">
            <w:pPr>
              <w:pStyle w:val="Odstavecseseznamem"/>
              <w:numPr>
                <w:ilvl w:val="0"/>
                <w:numId w:val="78"/>
              </w:numPr>
              <w:jc w:val="both"/>
            </w:pPr>
            <w:r w:rsidRPr="005A0E7C">
              <w:t xml:space="preserve">specializované poradenské služby pro MSP </w:t>
            </w:r>
          </w:p>
          <w:p w14:paraId="3815A8F0" w14:textId="2DD7F51E" w:rsidR="00DD3EFA" w:rsidRPr="005A0E7C" w:rsidRDefault="00DD3EFA" w:rsidP="00391907">
            <w:pPr>
              <w:pStyle w:val="Odstavecseseznamem"/>
              <w:numPr>
                <w:ilvl w:val="0"/>
                <w:numId w:val="78"/>
              </w:numPr>
              <w:jc w:val="both"/>
            </w:pPr>
            <w:r w:rsidRPr="005A0E7C">
              <w:t xml:space="preserve">poradenské služby pro start-upy zaměřené na rozvoj praktických zkušeností při komercionalizaci vlastního produktu, praktickém uplatnění svého podnikatelského plánu a posílení marketingových a manažerských schopností, získání informací o cílových trzích, dále </w:t>
            </w:r>
            <w:r w:rsidR="006A6ACB" w:rsidRPr="005A0E7C">
              <w:t xml:space="preserve">na podporu v procesu získávání </w:t>
            </w:r>
            <w:r w:rsidRPr="005A0E7C">
              <w:t>financování formou business angels a rizikového kapitálu</w:t>
            </w:r>
          </w:p>
          <w:p w14:paraId="31FEBEBA" w14:textId="77777777" w:rsidR="00DD3EFA" w:rsidRPr="005A0E7C" w:rsidRDefault="00DD3EFA" w:rsidP="00391907">
            <w:pPr>
              <w:pStyle w:val="Odstavecseseznamem"/>
              <w:numPr>
                <w:ilvl w:val="0"/>
                <w:numId w:val="78"/>
              </w:numPr>
              <w:jc w:val="both"/>
            </w:pPr>
            <w:r w:rsidRPr="005A0E7C">
              <w:rPr>
                <w:lang w:eastAsia="cs-CZ"/>
              </w:rPr>
              <w:t>vytvoření podmínek pro vznik a rozvoj Digital Innovation Hubs, disponujících infrastrukturou pro technologie HPC, poskytujících podpor pro MSP v jejich digitálních aktivitách a zapojujících se do mezinárodních aktivit Digital Networks</w:t>
            </w:r>
          </w:p>
          <w:p w14:paraId="14E7C09C" w14:textId="77777777" w:rsidR="00DD3EFA" w:rsidRPr="005A0E7C" w:rsidRDefault="00DD3EFA" w:rsidP="00391907">
            <w:pPr>
              <w:pStyle w:val="Odstavecseseznamem"/>
              <w:numPr>
                <w:ilvl w:val="0"/>
                <w:numId w:val="78"/>
              </w:numPr>
              <w:jc w:val="both"/>
            </w:pPr>
            <w:r w:rsidRPr="005A0E7C">
              <w:t>technologický a znalostní transfer</w:t>
            </w:r>
          </w:p>
          <w:p w14:paraId="19D4EEC0" w14:textId="77777777" w:rsidR="00DD3EFA" w:rsidRPr="005A0E7C" w:rsidRDefault="00DD3EFA" w:rsidP="00391907">
            <w:pPr>
              <w:pStyle w:val="Odstavecseseznamem"/>
              <w:numPr>
                <w:ilvl w:val="0"/>
                <w:numId w:val="78"/>
              </w:numPr>
              <w:jc w:val="both"/>
            </w:pPr>
            <w:r w:rsidRPr="005A0E7C">
              <w:t>tržní uplatnění přelomových inovačních řešení</w:t>
            </w:r>
          </w:p>
          <w:p w14:paraId="18D7F992" w14:textId="77777777" w:rsidR="00DD3EFA" w:rsidRPr="005A0E7C" w:rsidRDefault="00DD3EFA" w:rsidP="00391907">
            <w:pPr>
              <w:pStyle w:val="Odstavecseseznamem"/>
              <w:numPr>
                <w:ilvl w:val="0"/>
                <w:numId w:val="78"/>
              </w:numPr>
              <w:jc w:val="both"/>
            </w:pPr>
            <w:r w:rsidRPr="005A0E7C">
              <w:t xml:space="preserve">zlepšení prezentace výrobků a služeb za pomoci kreativity </w:t>
            </w:r>
          </w:p>
          <w:p w14:paraId="308E03E5" w14:textId="77777777" w:rsidR="00DD3EFA" w:rsidRPr="005A0E7C" w:rsidRDefault="00DD3EFA" w:rsidP="00391907">
            <w:pPr>
              <w:pStyle w:val="Odstavecseseznamem"/>
              <w:numPr>
                <w:ilvl w:val="0"/>
                <w:numId w:val="78"/>
              </w:numPr>
              <w:jc w:val="both"/>
            </w:pPr>
            <w:r w:rsidRPr="005A0E7C">
              <w:t>zvýšená podpora mezinárodní spolupráce/ přeshraničního partnerství (formou společných projektů, aktivit)</w:t>
            </w:r>
          </w:p>
          <w:p w14:paraId="53384853" w14:textId="77777777" w:rsidR="00DD3EFA" w:rsidRPr="005A0E7C" w:rsidRDefault="00DD3EFA" w:rsidP="00391907">
            <w:pPr>
              <w:pStyle w:val="Odstavecseseznamem"/>
              <w:numPr>
                <w:ilvl w:val="0"/>
                <w:numId w:val="78"/>
              </w:numPr>
              <w:jc w:val="both"/>
            </w:pPr>
            <w:r w:rsidRPr="005A0E7C">
              <w:t>podpora přístupu MSP na zahraniční trhy (např. exportní vzdělávání, financování exportu, účast na veletrzích a výstavách, obchodní mise apod.)</w:t>
            </w:r>
          </w:p>
          <w:p w14:paraId="313B73B7" w14:textId="77777777" w:rsidR="00DD3EFA" w:rsidRPr="005A0E7C" w:rsidRDefault="00DD3EFA" w:rsidP="00391907">
            <w:pPr>
              <w:pStyle w:val="Odstavecseseznamem"/>
              <w:numPr>
                <w:ilvl w:val="0"/>
                <w:numId w:val="78"/>
              </w:numPr>
              <w:jc w:val="both"/>
            </w:pPr>
            <w:r w:rsidRPr="005A0E7C">
              <w:t>podpora využívání stávající podnikatelské a inovační infrastruktury (inkubátory, akcelerátory apod.)</w:t>
            </w:r>
          </w:p>
          <w:p w14:paraId="50D30BF8" w14:textId="77777777" w:rsidR="00DD3EFA" w:rsidRPr="005A0E7C" w:rsidRDefault="00DD3EFA" w:rsidP="00391907">
            <w:pPr>
              <w:pStyle w:val="Odstavecseseznamem"/>
              <w:numPr>
                <w:ilvl w:val="0"/>
                <w:numId w:val="78"/>
              </w:numPr>
              <w:jc w:val="both"/>
            </w:pPr>
            <w:r w:rsidRPr="005A0E7C">
              <w:t>spolupráce s velkými podniky a výzkumnými organizacemi</w:t>
            </w:r>
          </w:p>
          <w:p w14:paraId="4B7F16CA" w14:textId="77777777" w:rsidR="00DD3EFA" w:rsidRPr="005A0E7C" w:rsidRDefault="00DD3EFA" w:rsidP="00391907">
            <w:pPr>
              <w:pStyle w:val="Odstavecseseznamem"/>
              <w:numPr>
                <w:ilvl w:val="0"/>
                <w:numId w:val="78"/>
              </w:numPr>
              <w:jc w:val="both"/>
            </w:pPr>
            <w:r w:rsidRPr="005A0E7C">
              <w:rPr>
                <w:lang w:eastAsia="cs-CZ"/>
              </w:rPr>
              <w:t>podpora integrace, účinné koordinace a spolupráce aktérů podpůrné inovační infrastruktury na všech úrovních</w:t>
            </w:r>
          </w:p>
          <w:p w14:paraId="659A1A39" w14:textId="77777777" w:rsidR="00DD3EFA" w:rsidRPr="005A0E7C" w:rsidRDefault="00DD3EFA" w:rsidP="00391907">
            <w:pPr>
              <w:pStyle w:val="Odstavecseseznamem"/>
              <w:numPr>
                <w:ilvl w:val="0"/>
                <w:numId w:val="78"/>
              </w:numPr>
              <w:jc w:val="both"/>
            </w:pPr>
            <w:r w:rsidRPr="005A0E7C">
              <w:t>spolupráce se školami (zvýšení zájmu a povědomí o podnikání, využití nástrojů místních a krajských akčních plánů, organizaci praktických stáží a výuky atp.)</w:t>
            </w:r>
          </w:p>
          <w:p w14:paraId="63ECEA8D" w14:textId="77777777" w:rsidR="00DD3EFA" w:rsidRPr="005A0E7C" w:rsidRDefault="00DD3EFA" w:rsidP="00391907">
            <w:pPr>
              <w:pStyle w:val="Odstavecseseznamem"/>
              <w:numPr>
                <w:ilvl w:val="0"/>
                <w:numId w:val="78"/>
              </w:numPr>
              <w:jc w:val="both"/>
            </w:pPr>
            <w:r w:rsidRPr="005A0E7C">
              <w:t xml:space="preserve">rozvoj alternativních forem podnikání (sociální podnikání, sdílená ekonomika) </w:t>
            </w:r>
          </w:p>
          <w:p w14:paraId="12EF0801" w14:textId="77777777" w:rsidR="00DD3EFA" w:rsidRPr="005A0E7C" w:rsidRDefault="00DD3EFA" w:rsidP="00391907">
            <w:pPr>
              <w:pStyle w:val="Odstavecseseznamem"/>
              <w:numPr>
                <w:ilvl w:val="0"/>
                <w:numId w:val="78"/>
              </w:numPr>
              <w:jc w:val="both"/>
            </w:pPr>
            <w:r w:rsidRPr="005A0E7C">
              <w:t>rozvoj technologických, kreativních a digitálních inovací v oblasti tradičních řemesel a tradičních kreativních průmyslů</w:t>
            </w:r>
          </w:p>
          <w:p w14:paraId="7712CD9A" w14:textId="77777777" w:rsidR="00DD3EFA" w:rsidRPr="005A0E7C" w:rsidRDefault="00DD3EFA" w:rsidP="00391907">
            <w:pPr>
              <w:pStyle w:val="Odstavecseseznamem"/>
              <w:numPr>
                <w:ilvl w:val="0"/>
                <w:numId w:val="78"/>
              </w:numPr>
              <w:jc w:val="both"/>
            </w:pPr>
            <w:r w:rsidRPr="005A0E7C">
              <w:t>síťování MSP, klastrování a podpora kooperací</w:t>
            </w:r>
          </w:p>
          <w:p w14:paraId="2766727A" w14:textId="77777777" w:rsidR="00DD3EFA" w:rsidRPr="005A0E7C" w:rsidRDefault="00DD3EFA" w:rsidP="00391907">
            <w:pPr>
              <w:pStyle w:val="Odstavecseseznamem"/>
              <w:numPr>
                <w:ilvl w:val="0"/>
                <w:numId w:val="78"/>
              </w:numPr>
              <w:jc w:val="both"/>
            </w:pPr>
            <w:r w:rsidRPr="005A0E7C">
              <w:t>podpora úsporného nakládání se zdroji v podnicích</w:t>
            </w:r>
          </w:p>
        </w:tc>
        <w:tc>
          <w:tcPr>
            <w:tcW w:w="249" w:type="dxa"/>
            <w:tcBorders>
              <w:top w:val="nil"/>
              <w:bottom w:val="nil"/>
            </w:tcBorders>
            <w:shd w:val="clear" w:color="auto" w:fill="66CCFF"/>
          </w:tcPr>
          <w:p w14:paraId="20426A98" w14:textId="77777777" w:rsidR="00DD3EFA" w:rsidRPr="005A0E7C" w:rsidRDefault="00DD3EFA" w:rsidP="00B15ECB">
            <w:pPr>
              <w:rPr>
                <w:b/>
              </w:rPr>
            </w:pPr>
          </w:p>
        </w:tc>
      </w:tr>
      <w:tr w:rsidR="00DD3EFA" w:rsidRPr="005A0E7C" w14:paraId="7D30C30D" w14:textId="77777777" w:rsidTr="00B15ECB">
        <w:trPr>
          <w:trHeight w:val="377"/>
        </w:trPr>
        <w:tc>
          <w:tcPr>
            <w:tcW w:w="249" w:type="dxa"/>
            <w:tcBorders>
              <w:top w:val="nil"/>
              <w:bottom w:val="nil"/>
              <w:right w:val="nil"/>
            </w:tcBorders>
            <w:shd w:val="clear" w:color="auto" w:fill="66CCFF"/>
          </w:tcPr>
          <w:p w14:paraId="2FEC8F0D"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138A590"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53455DD"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13CEBCE1" w14:textId="77777777" w:rsidR="00DD3EFA" w:rsidRPr="005A0E7C" w:rsidRDefault="00DD3EFA" w:rsidP="00B15ECB">
            <w:pPr>
              <w:rPr>
                <w:b/>
              </w:rPr>
            </w:pPr>
          </w:p>
        </w:tc>
      </w:tr>
      <w:tr w:rsidR="00DD3EFA" w:rsidRPr="005A0E7C" w14:paraId="378701F5" w14:textId="77777777" w:rsidTr="00B15ECB">
        <w:trPr>
          <w:trHeight w:val="607"/>
        </w:trPr>
        <w:tc>
          <w:tcPr>
            <w:tcW w:w="249" w:type="dxa"/>
            <w:tcBorders>
              <w:top w:val="nil"/>
              <w:bottom w:val="nil"/>
            </w:tcBorders>
            <w:shd w:val="clear" w:color="auto" w:fill="66CCFF"/>
          </w:tcPr>
          <w:p w14:paraId="52B7B638"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6CD65CC8"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76B247B5" w14:textId="77777777" w:rsidR="00DD3EFA" w:rsidRPr="005A0E7C" w:rsidRDefault="00DD3EFA" w:rsidP="00B15ECB">
            <w:pPr>
              <w:rPr>
                <w:rFonts w:eastAsiaTheme="majorEastAsia"/>
                <w:i/>
              </w:rPr>
            </w:pPr>
          </w:p>
        </w:tc>
        <w:tc>
          <w:tcPr>
            <w:tcW w:w="249" w:type="dxa"/>
            <w:tcBorders>
              <w:top w:val="nil"/>
              <w:bottom w:val="nil"/>
            </w:tcBorders>
            <w:shd w:val="clear" w:color="auto" w:fill="66CCFF"/>
          </w:tcPr>
          <w:p w14:paraId="3075F00D" w14:textId="77777777" w:rsidR="00DD3EFA" w:rsidRPr="005A0E7C" w:rsidRDefault="00DD3EFA" w:rsidP="00B15ECB">
            <w:pPr>
              <w:rPr>
                <w:b/>
              </w:rPr>
            </w:pPr>
          </w:p>
        </w:tc>
      </w:tr>
      <w:tr w:rsidR="00DD3EFA" w:rsidRPr="005A0E7C" w14:paraId="413C9948" w14:textId="77777777" w:rsidTr="00B15ECB">
        <w:trPr>
          <w:trHeight w:val="1202"/>
        </w:trPr>
        <w:tc>
          <w:tcPr>
            <w:tcW w:w="249" w:type="dxa"/>
            <w:tcBorders>
              <w:top w:val="nil"/>
              <w:bottom w:val="nil"/>
            </w:tcBorders>
            <w:shd w:val="clear" w:color="auto" w:fill="66CCFF"/>
          </w:tcPr>
          <w:p w14:paraId="5162E8A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A84F210"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3947390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C6302D3" w14:textId="77777777" w:rsidR="00DD3EFA" w:rsidRPr="005A0E7C" w:rsidRDefault="00DD3EFA" w:rsidP="00B15ECB">
            <w:r w:rsidRPr="005A0E7C">
              <w:t>Rozvoj MSP a posilování inovační schopnosti MSP je výzva pro celé Česko, ale přesto lze identifikovat územní nerovnoměrnosti. Míra inovační schopnosti je významně ovlivněna „kvalitou“ a rozvinutostí regionálních inovačních systémů. Samotný rozvoj MSP je taktéž územně nerovnoměrný. Velmi dynamický relativní i absolutní růst vykazuje hlavní město Praha, Jihomoravský a Středočeský kraj. Tento jev lze spojovat s pokračující koncentrací obyvatel i služeb do nejvýznamnějších středisek osídlení a obecně s aglomeračními efekty, které jsou pro rozvoj malého a středního podnikání klíčové. I proto je potřeba podporovat např. rozvoje inovací u tradičních řemesel za pomocí kreativity a digitálních nástrojů, či efektivnější využití kulturního bohatství, které je alokováno i v hospodářsky slabých regionech. V kategorii regionálních center (tj. většina měst ÚO ORP) existuje řada inovačních firem (v zemědělství i ve zpracovatelském průmyslu) a poboček nadnárodních firem, jejichž další rozvoj je pro regionální centra a jejich venkovské zázemí klíčový. Vznik nových podnikatelských aktivit by měl být podpořen prostřednictvím rozvoje podnikatelských areálů a inkubátorů a zejména jejich služeb.</w:t>
            </w:r>
          </w:p>
          <w:p w14:paraId="7D705794" w14:textId="77777777" w:rsidR="00DD3EFA" w:rsidRPr="005A0E7C" w:rsidRDefault="00DD3EFA" w:rsidP="00B15ECB">
            <w:r w:rsidRPr="005A0E7C">
              <w:t>Strukturálně postižené kraje jsou charakteristické nízkou inovační výkonností firem, celkově menšími výdaji na výzkum a vývoj a obecně menší vědecko-výzkumnou výkonností. Ve všech strukturálně postižených regionech lze najít i kvalitní vědecko-výzkumné aktivity, nicméně jen ve velmi úzkém rozsahu.</w:t>
            </w:r>
          </w:p>
          <w:p w14:paraId="59DCBD94" w14:textId="77777777" w:rsidR="00DD3EFA" w:rsidRPr="005A0E7C" w:rsidRDefault="00DD3EFA" w:rsidP="00B15ECB">
            <w:pPr>
              <w:spacing w:line="276" w:lineRule="auto"/>
            </w:pPr>
            <w:r w:rsidRPr="005A0E7C">
              <w:t>V hospodářsky, či sociálně ohrožených územích (tj. periferie) se často nachází úspěšné lokální firmy, které však nezřídka mají omezené možnosti dalšího růstu. Inovační poptávka takových firem je velmi nízká.</w:t>
            </w:r>
          </w:p>
          <w:p w14:paraId="0461B781"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Co se týče oblastí s potenciálem rozvoje cestovního ruchu, zde by bylo dobré směřovat podporu do infrastruktury pro rozvoj udržitelných forem cestovního ruchu, infrastruktury pro nepřízeň počasí, resp. infrastruktury umožňující vyrovnat se se změnami klimatu. Podpora směřovaná k rozvoji podnikání v cílových destinacích cestovního ruchu by měla být zaměřená na rozvoj udržitelných forem cestovního ruchu, udržitelný návštěvnický management zejména v turisticky exponovaných lokalitách a lokalitách podléhající zvláštní ochraně a na ochranu a udržitelné využití kulturního a přírodního dědictví v cestovním ruchu – jako základního historického dědictví ČR.</w:t>
            </w:r>
          </w:p>
          <w:p w14:paraId="33C97015"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hospodářsky a strukturálně postižených krajích a obecně ve všech hospodářsky a sociálně ohrožených územích je nutné zaměřit podporu nejen na inovativní MSP ale i na tradiční, mnohdy stále řemeslné, obory (např. podporou z národních zdrojů).</w:t>
            </w:r>
            <w:r w:rsidRPr="005A0E7C">
              <w:rPr>
                <w:rFonts w:ascii="Times New Roman" w:hAnsi="Times New Roman"/>
              </w:rPr>
              <w:tab/>
            </w:r>
          </w:p>
        </w:tc>
        <w:tc>
          <w:tcPr>
            <w:tcW w:w="249" w:type="dxa"/>
            <w:tcBorders>
              <w:top w:val="nil"/>
              <w:bottom w:val="nil"/>
            </w:tcBorders>
            <w:shd w:val="clear" w:color="auto" w:fill="66CCFF"/>
          </w:tcPr>
          <w:p w14:paraId="51DDB383" w14:textId="77777777" w:rsidR="00DD3EFA" w:rsidRPr="005A0E7C" w:rsidRDefault="00DD3EFA" w:rsidP="00B15ECB">
            <w:pPr>
              <w:rPr>
                <w:b/>
              </w:rPr>
            </w:pPr>
          </w:p>
        </w:tc>
      </w:tr>
      <w:tr w:rsidR="00DD3EFA" w:rsidRPr="005A0E7C" w14:paraId="1D804198" w14:textId="77777777" w:rsidTr="00B15ECB">
        <w:trPr>
          <w:trHeight w:val="1202"/>
        </w:trPr>
        <w:tc>
          <w:tcPr>
            <w:tcW w:w="249" w:type="dxa"/>
            <w:tcBorders>
              <w:top w:val="nil"/>
              <w:bottom w:val="nil"/>
            </w:tcBorders>
            <w:shd w:val="clear" w:color="auto" w:fill="66CCFF"/>
          </w:tcPr>
          <w:p w14:paraId="4CD1403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29853E5"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78D7459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595A40B"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Rozvoj MSP musí probíhat v souladu se snahou zmírnit ekologické dopady výrobních procesů. Jedním ze způsobů, jak omezit tyto negativní dopady, je cílit také na ekologický aspekt projektů zavádějících inovativní výrobky, služby a výrobní procesy. Důslednější kvantifikace dopadu projektu na životní prostředí se tak může stát jedním z indikátorů pro hodnocení projektových žádostí. </w:t>
            </w:r>
          </w:p>
          <w:p w14:paraId="08C3334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Výrobní procesy mohou být inovovány omezením nároků výroby na produkci odpadů, důrazem na využití recyklovaných a recyklovatelných vstupů, náhrady primárních surovin druhotnými.</w:t>
            </w:r>
            <w:r w:rsidRPr="005A0E7C" w:rsidDel="00B21AE8">
              <w:rPr>
                <w:rFonts w:ascii="Times New Roman" w:hAnsi="Times New Roman"/>
              </w:rPr>
              <w:t xml:space="preserve"> </w:t>
            </w:r>
            <w:r w:rsidRPr="005A0E7C">
              <w:rPr>
                <w:rFonts w:ascii="Times New Roman" w:hAnsi="Times New Roman"/>
              </w:rPr>
              <w:t>(zde je přímá vazba na tzv. cirkulární ekonomiku) a zejména snížením nároků na spotřebu energií. Snížení energetické náročnosti je přitom možné i u nevýrobních procesů. Inovace pozitivně ovlivňující dopady i do těchto oblastí by měly být zvýhodněny.</w:t>
            </w:r>
          </w:p>
          <w:p w14:paraId="4394142C" w14:textId="77777777" w:rsidR="00DD3EFA" w:rsidRPr="005A0E7C" w:rsidRDefault="00DD3EFA" w:rsidP="00B15ECB">
            <w:pPr>
              <w:autoSpaceDE w:val="0"/>
              <w:autoSpaceDN w:val="0"/>
              <w:adjustRightInd w:val="0"/>
            </w:pPr>
            <w:r w:rsidRPr="005A0E7C">
              <w:t>Opatření v sektoru průmyslové výroby by měla přispět k minimalizaci přímých emisí skleníkových plynů z průmyslových procesů a ke snížení nepřímých emisí ze spotřeby pohonných hmot, elektřiny a tepla a udržitelného nakládání se surovinovými zdroji.</w:t>
            </w:r>
          </w:p>
          <w:p w14:paraId="22D6B7D9" w14:textId="02055711" w:rsidR="00DD3EFA" w:rsidRPr="005A0E7C" w:rsidRDefault="00DD3EFA" w:rsidP="00B15ECB">
            <w:pPr>
              <w:autoSpaceDE w:val="0"/>
              <w:autoSpaceDN w:val="0"/>
              <w:adjustRightInd w:val="0"/>
            </w:pPr>
            <w:r w:rsidRPr="005A0E7C">
              <w:t>Proto je důležité nabídnout podnikům zpracovatelského průmyslu dotační tituly pro zavádění nízkouhlíkových technologií, obnovitelných zdrojů, zvyšování energetických a materiálových úspor,</w:t>
            </w:r>
            <w:r w:rsidR="006A6ACB" w:rsidRPr="005A0E7C">
              <w:t xml:space="preserve"> </w:t>
            </w:r>
            <w:r w:rsidRPr="005A0E7C">
              <w:t>kombinované výroby tepla a elektřiny, úsporné nakládání s vodami, opakované využití dešťové a tzv. šedé vody, zavádění smart technologií v průmyslu nebo snižování ztrát v tepelných rozvodech a ve vnitropodnikových rozvodech vody.</w:t>
            </w:r>
          </w:p>
        </w:tc>
        <w:tc>
          <w:tcPr>
            <w:tcW w:w="249" w:type="dxa"/>
            <w:tcBorders>
              <w:top w:val="nil"/>
              <w:bottom w:val="nil"/>
            </w:tcBorders>
            <w:shd w:val="clear" w:color="auto" w:fill="66CCFF"/>
          </w:tcPr>
          <w:p w14:paraId="2257CDD6" w14:textId="77777777" w:rsidR="00DD3EFA" w:rsidRPr="005A0E7C" w:rsidRDefault="00DD3EFA" w:rsidP="00B15ECB">
            <w:pPr>
              <w:rPr>
                <w:b/>
              </w:rPr>
            </w:pPr>
          </w:p>
        </w:tc>
      </w:tr>
      <w:tr w:rsidR="00DD3EFA" w:rsidRPr="005A0E7C" w14:paraId="61FD8A8B" w14:textId="77777777" w:rsidTr="00B15ECB">
        <w:trPr>
          <w:trHeight w:val="1202"/>
        </w:trPr>
        <w:tc>
          <w:tcPr>
            <w:tcW w:w="249" w:type="dxa"/>
            <w:tcBorders>
              <w:top w:val="nil"/>
              <w:bottom w:val="nil"/>
            </w:tcBorders>
            <w:shd w:val="clear" w:color="auto" w:fill="66CCFF"/>
          </w:tcPr>
          <w:p w14:paraId="5C61163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39D5BED" w14:textId="77777777" w:rsidR="00DD3EFA" w:rsidRPr="005A0E7C" w:rsidRDefault="00DD3EFA" w:rsidP="00391907">
            <w:pPr>
              <w:pStyle w:val="Odstavecseseznamem"/>
              <w:numPr>
                <w:ilvl w:val="0"/>
                <w:numId w:val="2"/>
              </w:numPr>
              <w:spacing w:before="60" w:after="60"/>
              <w:rPr>
                <w:rFonts w:eastAsiaTheme="majorEastAsia"/>
                <w:b/>
              </w:rPr>
            </w:pPr>
            <w:r w:rsidRPr="005A0E7C">
              <w:rPr>
                <w:b/>
              </w:rPr>
              <w:t>Společnost 4.0</w:t>
            </w:r>
            <w:r w:rsidRPr="005A0E7C">
              <w:rPr>
                <w:rFonts w:eastAsiaTheme="majorEastAsia"/>
                <w:b/>
              </w:rPr>
              <w:t xml:space="preserve"> </w:t>
            </w:r>
          </w:p>
          <w:p w14:paraId="16DC4BD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C557E06" w14:textId="77777777" w:rsidR="00DD3EFA" w:rsidRPr="005A0E7C" w:rsidRDefault="00DD3EFA" w:rsidP="00B15ECB">
            <w:r w:rsidRPr="005A0E7C">
              <w:t xml:space="preserve">Digitální ekonomika a Průmysl 4.0 a jeho realizace v ČR bude mít dopad do stávajícího nastavení ekonomické struktury ČR. V souvislosti s dalšími aspekty digitální ekonomiky, jako jsou start-upy, online platformy, sdílená ekonomika, nově vznikající průmysly či digitalizace stavebnictví a dalších produkčních oborů, bude nutné zvýšit připravenost firem, což se dá předpokládat, že u MSP bude nejtěžší. </w:t>
            </w:r>
          </w:p>
          <w:p w14:paraId="16D071A4" w14:textId="77777777" w:rsidR="00DD3EFA" w:rsidRPr="005A0E7C" w:rsidRDefault="00DD3EFA" w:rsidP="00B15ECB"/>
          <w:p w14:paraId="55A462AA" w14:textId="665CA709" w:rsidR="00DD3EFA" w:rsidRPr="005A0E7C" w:rsidRDefault="00DD3EFA" w:rsidP="00B15ECB">
            <w:r w:rsidRPr="005A0E7C">
              <w:t>Čtvrtá průmyslová revoluce je jedinečnou příležitostí k zajištění dlouhodobé konkurenceschopnosti České republiky v globálním prostředí. Ze strany státu je vhodné zejména podporovat realizaci inovativních a kreativních nápadů firem a jednotlivců a za tímto účelem využít stávající nabídku nástrojů podpory, která bude specificky uzpůsobena pro potřeby digitální ekonomiky a Průmyslu 4.0. Digitální revoluce také klade nové p</w:t>
            </w:r>
            <w:r w:rsidR="006A6ACB" w:rsidRPr="005A0E7C">
              <w:t xml:space="preserve">ožadavky na aplikovaný výzkum, </w:t>
            </w:r>
            <w:r w:rsidRPr="005A0E7C">
              <w:t>experimentální vývoj a nové formy vzdělávání pro potřeby VaV.  Stát by měl proto vytvořit takové podmínky, aby i malé a střední firmy měly možnost využívat výsledků výzkumu. Primárním úkolem v této oblasti je analyzovat potřeby průmyslové praxe a inventarizovat kapacity relevantního aplikovaného výzkumu a jeho růstový potenciál pro účely efektivního zaměření výzkumné aktivity. Velkým potenciálem konceptu průmysl 4.0 je v neposlední řadě také snížení energetické náročnosti výroby, umožnění maximálního využití zbytkových materiálů jako vstupních komponent do následného výrobního procesu, vznik technologických řešení pro decentralizované systémy výroby a distribuce energie. Podpora perspektivních digitálních technologií a konceptů, zejména umělé inteligence, HPC, Digital Innovation, Block-chain apod. zvyšuje konkurenceschopnost MSP.</w:t>
            </w:r>
          </w:p>
        </w:tc>
        <w:tc>
          <w:tcPr>
            <w:tcW w:w="249" w:type="dxa"/>
            <w:tcBorders>
              <w:top w:val="nil"/>
              <w:bottom w:val="nil"/>
            </w:tcBorders>
            <w:shd w:val="clear" w:color="auto" w:fill="66CCFF"/>
          </w:tcPr>
          <w:p w14:paraId="1E69F58B" w14:textId="77777777" w:rsidR="00DD3EFA" w:rsidRPr="005A0E7C" w:rsidRDefault="00DD3EFA" w:rsidP="00B15ECB">
            <w:pPr>
              <w:rPr>
                <w:b/>
              </w:rPr>
            </w:pPr>
          </w:p>
        </w:tc>
      </w:tr>
      <w:tr w:rsidR="00DD3EFA" w:rsidRPr="005A0E7C" w14:paraId="58DFCDD7" w14:textId="77777777" w:rsidTr="00B15ECB">
        <w:trPr>
          <w:trHeight w:val="1202"/>
        </w:trPr>
        <w:tc>
          <w:tcPr>
            <w:tcW w:w="249" w:type="dxa"/>
            <w:tcBorders>
              <w:top w:val="nil"/>
              <w:bottom w:val="nil"/>
            </w:tcBorders>
            <w:shd w:val="clear" w:color="auto" w:fill="66CCFF"/>
          </w:tcPr>
          <w:p w14:paraId="56B8E76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E929D16"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29A104B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13EFBBC" w14:textId="77777777" w:rsidR="00DD3EFA" w:rsidRPr="005A0E7C" w:rsidRDefault="00DD3EFA" w:rsidP="00B15ECB">
            <w:pPr>
              <w:spacing w:before="240" w:line="259" w:lineRule="auto"/>
              <w:rPr>
                <w:b/>
              </w:rPr>
            </w:pPr>
            <w:r w:rsidRPr="005A0E7C">
              <w:rPr>
                <w:b/>
              </w:rPr>
              <w:t>Posun civilizace ke znalostní ekonomice</w:t>
            </w:r>
          </w:p>
          <w:p w14:paraId="084C1C90" w14:textId="77777777" w:rsidR="00DD3EFA" w:rsidRPr="005A0E7C" w:rsidRDefault="00DD3EFA" w:rsidP="00B15ECB">
            <w:pPr>
              <w:spacing w:before="40"/>
            </w:pPr>
            <w:r w:rsidRPr="005A0E7C">
              <w:t>Digitalizace, úzká specializace a aplikace vědeckých poznatků jsou zásadním předpokladem pro další rozvoj ekonomiky.</w:t>
            </w:r>
          </w:p>
          <w:p w14:paraId="6AF07BCE" w14:textId="77777777" w:rsidR="00DD3EFA" w:rsidRPr="005A0E7C" w:rsidRDefault="00DD3EFA" w:rsidP="00B15ECB">
            <w:pPr>
              <w:spacing w:before="240" w:line="259" w:lineRule="auto"/>
              <w:rPr>
                <w:b/>
              </w:rPr>
            </w:pPr>
            <w:r w:rsidRPr="005A0E7C">
              <w:rPr>
                <w:b/>
              </w:rPr>
              <w:t>Zvyšující se dostupnost technologií</w:t>
            </w:r>
          </w:p>
          <w:p w14:paraId="26CA7038" w14:textId="77777777" w:rsidR="00DD3EFA" w:rsidRPr="005A0E7C" w:rsidRDefault="00DD3EFA" w:rsidP="00B15ECB">
            <w:pPr>
              <w:spacing w:before="40"/>
            </w:pPr>
            <w:r w:rsidRPr="005A0E7C">
              <w:t>Technologie se čím dál víc stávají dostupnou součástí běžného života a prostupují všemi oblastmi společnosti.</w:t>
            </w:r>
          </w:p>
          <w:p w14:paraId="3F3FDADA" w14:textId="77777777" w:rsidR="00DD3EFA" w:rsidRPr="005A0E7C" w:rsidRDefault="00DD3EFA" w:rsidP="00B15ECB">
            <w:pPr>
              <w:spacing w:before="240" w:line="259" w:lineRule="auto"/>
              <w:rPr>
                <w:b/>
              </w:rPr>
            </w:pPr>
            <w:r w:rsidRPr="005A0E7C">
              <w:rPr>
                <w:b/>
              </w:rPr>
              <w:t>Zvyšující se rychlost technologické změny</w:t>
            </w:r>
          </w:p>
          <w:p w14:paraId="0FBBB41E" w14:textId="77777777" w:rsidR="00DD3EFA" w:rsidRPr="005A0E7C" w:rsidRDefault="00DD3EFA" w:rsidP="00B15ECB">
            <w:pPr>
              <w:spacing w:before="40"/>
            </w:pPr>
            <w:r w:rsidRPr="005A0E7C">
              <w:t>Dochází k rychlému rozvoji technologií a jejich bezodkladnému pronikání do společnosti.</w:t>
            </w:r>
          </w:p>
          <w:p w14:paraId="2EF98AFD" w14:textId="77777777" w:rsidR="00DD3EFA" w:rsidRPr="005A0E7C" w:rsidRDefault="00DD3EFA" w:rsidP="00B15ECB">
            <w:pPr>
              <w:spacing w:before="240" w:line="259" w:lineRule="auto"/>
              <w:rPr>
                <w:b/>
              </w:rPr>
            </w:pPr>
            <w:r w:rsidRPr="005A0E7C">
              <w:rPr>
                <w:b/>
              </w:rPr>
              <w:t>Demografické stárnutí</w:t>
            </w:r>
          </w:p>
          <w:p w14:paraId="3655C635" w14:textId="77777777" w:rsidR="00DD3EFA" w:rsidRPr="005A0E7C" w:rsidRDefault="00DD3EFA" w:rsidP="00B15ECB">
            <w:pPr>
              <w:spacing w:before="40"/>
            </w:pPr>
            <w:r w:rsidRPr="005A0E7C">
              <w:t>Stárnoucí populace vytváří tlak na zdravotní a sociální systém, přičemž může přispívat k oslabování výkonnosti ekonomiky v důsledku poklesu počtu pracovní síly. Zároveň je příležitosti pro nové typy služeb a zaměstnání.</w:t>
            </w:r>
          </w:p>
          <w:p w14:paraId="13A19EDF" w14:textId="77777777" w:rsidR="00DD3EFA" w:rsidRPr="005A0E7C" w:rsidRDefault="00DD3EFA" w:rsidP="00B15ECB">
            <w:pPr>
              <w:spacing w:before="240" w:line="259" w:lineRule="auto"/>
              <w:rPr>
                <w:b/>
              </w:rPr>
            </w:pPr>
            <w:r w:rsidRPr="005A0E7C">
              <w:rPr>
                <w:b/>
              </w:rPr>
              <w:t xml:space="preserve">Virtualizace světa </w:t>
            </w:r>
          </w:p>
          <w:p w14:paraId="3A588CA8" w14:textId="77777777" w:rsidR="00DD3EFA" w:rsidRPr="005A0E7C" w:rsidRDefault="00DD3EFA" w:rsidP="00B15ECB">
            <w:pPr>
              <w:spacing w:before="40"/>
            </w:pPr>
            <w:r w:rsidRPr="005A0E7C">
              <w:t xml:space="preserve">Stále více společenských aktivit včetně práce se neděje ve spojení s konkrétním fyzickým místem, ale jsou zprostředkovány virtuálně. </w:t>
            </w:r>
          </w:p>
          <w:p w14:paraId="7218D2FC" w14:textId="77777777" w:rsidR="00DD3EFA" w:rsidRPr="005A0E7C" w:rsidRDefault="00DD3EFA" w:rsidP="00B15ECB">
            <w:pPr>
              <w:spacing w:before="240" w:line="259" w:lineRule="auto"/>
              <w:rPr>
                <w:b/>
              </w:rPr>
            </w:pPr>
            <w:r w:rsidRPr="005A0E7C">
              <w:rPr>
                <w:b/>
              </w:rPr>
              <w:t>Rostoucí spotřeba zdrojů</w:t>
            </w:r>
          </w:p>
          <w:p w14:paraId="3D62F21A" w14:textId="77777777" w:rsidR="00DD3EFA" w:rsidRPr="005A0E7C" w:rsidRDefault="00DD3EFA" w:rsidP="00B15ECB">
            <w:pPr>
              <w:spacing w:before="40"/>
            </w:pPr>
            <w:r w:rsidRPr="005A0E7C">
              <w:t xml:space="preserve">Rozšiřování technologií a ekonomický růst vede k neustálému tlaku na spotřebu zejména primárních zdrojů. </w:t>
            </w:r>
          </w:p>
          <w:p w14:paraId="17EEA04C" w14:textId="77777777" w:rsidR="00DD3EFA" w:rsidRPr="005A0E7C" w:rsidRDefault="00DD3EFA" w:rsidP="00B15ECB">
            <w:pPr>
              <w:spacing w:before="240" w:line="259" w:lineRule="auto"/>
              <w:rPr>
                <w:b/>
              </w:rPr>
            </w:pPr>
            <w:r w:rsidRPr="005A0E7C">
              <w:rPr>
                <w:b/>
              </w:rPr>
              <w:t>Rostoucí spotřeba energie</w:t>
            </w:r>
          </w:p>
          <w:p w14:paraId="388836B6" w14:textId="77777777" w:rsidR="00DD3EFA" w:rsidRPr="005A0E7C" w:rsidRDefault="00DD3EFA" w:rsidP="00B15ECB">
            <w:pPr>
              <w:spacing w:before="40"/>
            </w:pPr>
            <w:r w:rsidRPr="005A0E7C">
              <w:t>Energetická náročnost lidské činnosti narůstá v souvislosti s rostoucím bohatstvím a populační expanzí.</w:t>
            </w:r>
          </w:p>
          <w:p w14:paraId="5CA7B94F" w14:textId="77777777" w:rsidR="00DD3EFA" w:rsidRPr="005A0E7C" w:rsidRDefault="00DD3EFA" w:rsidP="00B15ECB">
            <w:pPr>
              <w:spacing w:before="40"/>
              <w:rPr>
                <w:b/>
                <w:bCs/>
              </w:rPr>
            </w:pPr>
          </w:p>
          <w:p w14:paraId="297CF9B2" w14:textId="77777777" w:rsidR="00DD3EFA" w:rsidRPr="005A0E7C" w:rsidRDefault="00DD3EFA" w:rsidP="00B15ECB">
            <w:pPr>
              <w:spacing w:before="40"/>
              <w:rPr>
                <w:b/>
                <w:bCs/>
              </w:rPr>
            </w:pPr>
            <w:r w:rsidRPr="005A0E7C">
              <w:rPr>
                <w:b/>
                <w:bCs/>
              </w:rPr>
              <w:t>Kompetence pro budoucnost</w:t>
            </w:r>
          </w:p>
          <w:p w14:paraId="3A83EE04" w14:textId="77777777" w:rsidR="00DD3EFA" w:rsidRPr="005A0E7C" w:rsidRDefault="00DD3EFA" w:rsidP="00B15ECB">
            <w:pPr>
              <w:spacing w:before="40"/>
            </w:pPr>
            <w:r w:rsidRPr="005A0E7C">
              <w:t>Při definici cílů a obsahů vzdělávání musíme reflektovat bouřlivě se měnící společnost a fakt, že nyní vzděláváme lidi, jejichž ekonomický vrchol bude za třicet let, přičemž jeho podobu nedokážeme nyní ani odhadnout.</w:t>
            </w:r>
          </w:p>
        </w:tc>
        <w:tc>
          <w:tcPr>
            <w:tcW w:w="249" w:type="dxa"/>
            <w:tcBorders>
              <w:top w:val="nil"/>
              <w:bottom w:val="nil"/>
            </w:tcBorders>
            <w:shd w:val="clear" w:color="auto" w:fill="66CCFF"/>
          </w:tcPr>
          <w:p w14:paraId="724EECD0" w14:textId="77777777" w:rsidR="00DD3EFA" w:rsidRPr="005A0E7C" w:rsidRDefault="00DD3EFA" w:rsidP="00B15ECB">
            <w:pPr>
              <w:rPr>
                <w:b/>
              </w:rPr>
            </w:pPr>
          </w:p>
        </w:tc>
      </w:tr>
      <w:tr w:rsidR="00DD3EFA" w:rsidRPr="005A0E7C" w14:paraId="283C1DF9" w14:textId="77777777" w:rsidTr="00B15ECB">
        <w:trPr>
          <w:trHeight w:val="1202"/>
        </w:trPr>
        <w:tc>
          <w:tcPr>
            <w:tcW w:w="249" w:type="dxa"/>
            <w:tcBorders>
              <w:top w:val="nil"/>
              <w:bottom w:val="nil"/>
            </w:tcBorders>
            <w:shd w:val="clear" w:color="auto" w:fill="66CCFF"/>
          </w:tcPr>
          <w:p w14:paraId="1CE888B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FD0FB78"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F4BE62A" w14:textId="77777777" w:rsidR="00DD3EFA" w:rsidRPr="005A0E7C" w:rsidRDefault="00DD3EFA" w:rsidP="00B15ECB">
            <w:pPr>
              <w:spacing w:before="60" w:after="60"/>
              <w:rPr>
                <w:b/>
                <w:lang w:eastAsia="en-GB"/>
              </w:rPr>
            </w:pPr>
            <w:r w:rsidRPr="005A0E7C">
              <w:rPr>
                <w:u w:val="single"/>
                <w:lang w:eastAsia="en-GB"/>
              </w:rPr>
              <w:t>Článek 4 ON:</w:t>
            </w:r>
            <w:r w:rsidRPr="005A0E7C">
              <w:rPr>
                <w:u w:val="single"/>
                <w:lang w:eastAsia="en-GB"/>
              </w:rPr>
              <w:br/>
              <w:t>Politický cíl:</w:t>
            </w:r>
            <w:r w:rsidRPr="005A0E7C">
              <w:rPr>
                <w:lang w:eastAsia="en-GB"/>
              </w:rPr>
              <w:br/>
            </w:r>
            <w:r w:rsidRPr="005A0E7C">
              <w:rPr>
                <w:b/>
                <w:lang w:eastAsia="en-GB"/>
              </w:rPr>
              <w:t>a) inteligentnější Evropa díky podpoře inovativní a inteligentní hospodářské transformace;</w:t>
            </w:r>
          </w:p>
          <w:p w14:paraId="0DC99C3F" w14:textId="77777777" w:rsidR="00DD3EFA" w:rsidRPr="005A0E7C" w:rsidRDefault="00DD3EFA" w:rsidP="00B15ECB">
            <w:pPr>
              <w:spacing w:before="60" w:after="60"/>
              <w:rPr>
                <w:b/>
                <w:lang w:eastAsia="en-GB"/>
              </w:rPr>
            </w:pPr>
            <w:r w:rsidRPr="005A0E7C">
              <w:rPr>
                <w:b/>
                <w:lang w:eastAsia="en-GB"/>
              </w:rPr>
              <w:t>b) zelenější, nízkouhlíková Evropa díky podpoře přechodu na čistou a spravedlivou energii, zelených a modrých investic, oběhového hospodářství, přizpůsobení se změnám klimatu a prevence a řízení rizik</w:t>
            </w:r>
          </w:p>
          <w:p w14:paraId="0A7BDF34" w14:textId="77777777" w:rsidR="00DD3EFA" w:rsidRPr="005A0E7C" w:rsidRDefault="00DD3EFA" w:rsidP="00B15ECB">
            <w:pPr>
              <w:spacing w:before="60" w:after="60"/>
              <w:rPr>
                <w:b/>
                <w:lang w:eastAsia="en-GB"/>
              </w:rPr>
            </w:pPr>
            <w:r w:rsidRPr="005A0E7C">
              <w:rPr>
                <w:b/>
                <w:lang w:eastAsia="en-GB"/>
              </w:rPr>
              <w:t>c) propojenější Evropa díky zvyšování mobility a regionálního propojení IKT</w:t>
            </w:r>
          </w:p>
          <w:p w14:paraId="4D2E77DA" w14:textId="77777777" w:rsidR="00DD3EFA" w:rsidRPr="005A0E7C" w:rsidRDefault="00DD3EFA" w:rsidP="00B15ECB">
            <w:pPr>
              <w:spacing w:before="60" w:after="60"/>
              <w:rPr>
                <w:lang w:eastAsia="en-GB"/>
              </w:rPr>
            </w:pPr>
          </w:p>
          <w:p w14:paraId="0AB8B540" w14:textId="77777777" w:rsidR="00DD3EFA" w:rsidRPr="005A0E7C" w:rsidRDefault="00DD3EFA" w:rsidP="00B15ECB">
            <w:pPr>
              <w:spacing w:before="60" w:after="60"/>
              <w:rPr>
                <w:lang w:eastAsia="en-GB"/>
              </w:rPr>
            </w:pPr>
            <w:r w:rsidRPr="005A0E7C">
              <w:rPr>
                <w:u w:val="single"/>
                <w:lang w:eastAsia="en-GB"/>
              </w:rPr>
              <w:t>Článek 2 Nařízení EFRR a FS:</w:t>
            </w:r>
            <w:r w:rsidRPr="005A0E7C">
              <w:rPr>
                <w:lang w:eastAsia="en-GB"/>
              </w:rPr>
              <w:br/>
              <w:t xml:space="preserve">EFRR podporuje specifický cíl „inteligentnější Evropa díky podpoře inovativní a inteligentní ekonomické transformace“ (dále jen „CP 1“) prostřednictvím: </w:t>
            </w:r>
          </w:p>
          <w:p w14:paraId="6B0DFD90" w14:textId="77777777" w:rsidR="00DD3EFA" w:rsidRPr="005A0E7C" w:rsidRDefault="00DD3EFA" w:rsidP="00B15ECB">
            <w:pPr>
              <w:spacing w:before="60" w:after="60"/>
              <w:rPr>
                <w:b/>
                <w:lang w:eastAsia="en-GB"/>
              </w:rPr>
            </w:pPr>
            <w:r w:rsidRPr="005A0E7C">
              <w:rPr>
                <w:lang w:eastAsia="en-GB"/>
              </w:rPr>
              <w:t xml:space="preserve">- </w:t>
            </w:r>
            <w:r w:rsidRPr="005A0E7C">
              <w:rPr>
                <w:b/>
                <w:lang w:eastAsia="en-GB"/>
              </w:rPr>
              <w:t xml:space="preserve">posílení výzkumných a inovačních kapacit a zavádění pokročilých technologií; </w:t>
            </w:r>
          </w:p>
          <w:p w14:paraId="12C568B0" w14:textId="77777777" w:rsidR="00DD3EFA" w:rsidRPr="005A0E7C" w:rsidRDefault="00DD3EFA" w:rsidP="00B15ECB">
            <w:pPr>
              <w:spacing w:before="60" w:after="60"/>
              <w:rPr>
                <w:b/>
                <w:lang w:eastAsia="en-GB"/>
              </w:rPr>
            </w:pPr>
            <w:r w:rsidRPr="005A0E7C">
              <w:rPr>
                <w:b/>
                <w:lang w:eastAsia="en-GB"/>
              </w:rPr>
              <w:t>- využití přínosů digitalizace pro občany, podniky a vlády</w:t>
            </w:r>
          </w:p>
          <w:p w14:paraId="3A4DE6A7" w14:textId="77777777" w:rsidR="00DD3EFA" w:rsidRPr="005A0E7C" w:rsidRDefault="00DD3EFA" w:rsidP="00B15ECB">
            <w:pPr>
              <w:spacing w:before="60" w:after="60"/>
              <w:rPr>
                <w:b/>
                <w:lang w:eastAsia="en-GB"/>
              </w:rPr>
            </w:pPr>
            <w:r w:rsidRPr="005A0E7C">
              <w:rPr>
                <w:b/>
                <w:lang w:eastAsia="en-GB"/>
              </w:rPr>
              <w:t xml:space="preserve">- posílení růstu a konkurenceschopnosti malých a středních podniků; </w:t>
            </w:r>
          </w:p>
          <w:p w14:paraId="59966FC8" w14:textId="77777777" w:rsidR="00DD3EFA" w:rsidRPr="005A0E7C" w:rsidRDefault="00DD3EFA" w:rsidP="00B15ECB">
            <w:pPr>
              <w:spacing w:before="60" w:after="60"/>
              <w:rPr>
                <w:b/>
                <w:lang w:eastAsia="en-GB"/>
              </w:rPr>
            </w:pPr>
            <w:r w:rsidRPr="005A0E7C">
              <w:rPr>
                <w:b/>
                <w:lang w:eastAsia="en-GB"/>
              </w:rPr>
              <w:t xml:space="preserve">- rozvoje dovedností pro inteligentní specializaci, průmyslovou transformaci a podnikání; </w:t>
            </w:r>
          </w:p>
          <w:p w14:paraId="7B4B20B2" w14:textId="77777777" w:rsidR="00DD3EFA" w:rsidRPr="005A0E7C" w:rsidRDefault="00DD3EFA" w:rsidP="00B15ECB">
            <w:pPr>
              <w:spacing w:before="60" w:after="60"/>
              <w:rPr>
                <w:lang w:eastAsia="en-GB"/>
              </w:rPr>
            </w:pPr>
            <w:r w:rsidRPr="005A0E7C">
              <w:rPr>
                <w:lang w:eastAsia="en-GB"/>
              </w:rPr>
              <w:t>EFRR podporuje specifický cíl „zelenější, nízkouhlíková Evropa díky podpoře přechodu na čistou a spravedlivou energii, zelených a modrých investic, oběhového hospodářství, přizpůsobení se změnám klimatu a prevence a řízení rizik“ (dále jen CP 2“) prostřednictvím:</w:t>
            </w:r>
          </w:p>
          <w:p w14:paraId="0C325317" w14:textId="77777777" w:rsidR="00DD3EFA" w:rsidRPr="005A0E7C" w:rsidRDefault="00DD3EFA" w:rsidP="00391907">
            <w:pPr>
              <w:pStyle w:val="Odstavecseseznamem"/>
              <w:numPr>
                <w:ilvl w:val="0"/>
                <w:numId w:val="81"/>
              </w:numPr>
              <w:spacing w:before="60" w:after="60"/>
              <w:rPr>
                <w:b/>
                <w:lang w:eastAsia="en-GB"/>
              </w:rPr>
            </w:pPr>
            <w:r w:rsidRPr="005A0E7C">
              <w:rPr>
                <w:b/>
                <w:lang w:eastAsia="en-GB"/>
              </w:rPr>
              <w:t>podpory udržitelného hospodaření s vodou</w:t>
            </w:r>
          </w:p>
          <w:p w14:paraId="01AA47BD" w14:textId="77777777" w:rsidR="00DD3EFA" w:rsidRPr="005A0E7C" w:rsidRDefault="00DD3EFA" w:rsidP="00391907">
            <w:pPr>
              <w:pStyle w:val="Odstavecseseznamem"/>
              <w:numPr>
                <w:ilvl w:val="0"/>
                <w:numId w:val="81"/>
              </w:numPr>
              <w:spacing w:before="60" w:after="60"/>
              <w:rPr>
                <w:b/>
                <w:lang w:eastAsia="en-GB"/>
              </w:rPr>
            </w:pPr>
            <w:r w:rsidRPr="005A0E7C">
              <w:rPr>
                <w:b/>
                <w:lang w:eastAsia="en-GB"/>
              </w:rPr>
              <w:t>podpory přizpůsobení se změnám klimatu, prevence rizik a odolnosti vůči katastrofám</w:t>
            </w:r>
          </w:p>
          <w:p w14:paraId="7C8EE1D7" w14:textId="77777777" w:rsidR="00DD3EFA" w:rsidRPr="005A0E7C" w:rsidRDefault="00DD3EFA" w:rsidP="00391907">
            <w:pPr>
              <w:pStyle w:val="Odstavecseseznamem"/>
              <w:numPr>
                <w:ilvl w:val="0"/>
                <w:numId w:val="81"/>
              </w:numPr>
              <w:spacing w:before="60" w:after="60"/>
              <w:rPr>
                <w:b/>
                <w:lang w:eastAsia="en-GB"/>
              </w:rPr>
            </w:pPr>
            <w:r w:rsidRPr="005A0E7C">
              <w:rPr>
                <w:b/>
                <w:lang w:eastAsia="en-GB"/>
              </w:rPr>
              <w:t>podpory přechodu k oběhovému hospodářství</w:t>
            </w:r>
          </w:p>
          <w:p w14:paraId="107B008D" w14:textId="77777777" w:rsidR="00DD3EFA" w:rsidRPr="005A0E7C" w:rsidRDefault="00DD3EFA" w:rsidP="00B15ECB">
            <w:pPr>
              <w:spacing w:before="60" w:after="60"/>
              <w:rPr>
                <w:lang w:eastAsia="en-GB"/>
              </w:rPr>
            </w:pPr>
          </w:p>
          <w:p w14:paraId="59D0E196" w14:textId="77777777" w:rsidR="00DD3EFA" w:rsidRPr="005A0E7C" w:rsidRDefault="00DD3EFA" w:rsidP="00B15ECB">
            <w:pPr>
              <w:spacing w:before="60" w:after="60"/>
              <w:rPr>
                <w:lang w:eastAsia="en-GB"/>
              </w:rPr>
            </w:pPr>
            <w:r w:rsidRPr="005A0E7C">
              <w:rPr>
                <w:lang w:eastAsia="en-GB"/>
              </w:rPr>
              <w:t>EFRR podporuje specifický cíl „propojenější Evropa díky zvyšování mobility a regionálního propojení IKT“ (dále jen „CP 3“) prostřednictvím:</w:t>
            </w:r>
          </w:p>
          <w:p w14:paraId="3D6B1275" w14:textId="77777777" w:rsidR="00DD3EFA" w:rsidRPr="005A0E7C" w:rsidRDefault="00DD3EFA" w:rsidP="00391907">
            <w:pPr>
              <w:pStyle w:val="Odstavecseseznamem"/>
              <w:numPr>
                <w:ilvl w:val="0"/>
                <w:numId w:val="81"/>
              </w:numPr>
              <w:spacing w:before="60" w:after="60"/>
              <w:rPr>
                <w:b/>
                <w:lang w:eastAsia="en-GB"/>
              </w:rPr>
            </w:pPr>
            <w:r w:rsidRPr="005A0E7C">
              <w:rPr>
                <w:b/>
                <w:lang w:eastAsia="en-GB"/>
              </w:rPr>
              <w:t xml:space="preserve">zvýšení digitálního propojení </w:t>
            </w:r>
          </w:p>
        </w:tc>
        <w:tc>
          <w:tcPr>
            <w:tcW w:w="249" w:type="dxa"/>
            <w:tcBorders>
              <w:top w:val="nil"/>
              <w:bottom w:val="nil"/>
            </w:tcBorders>
            <w:shd w:val="clear" w:color="auto" w:fill="66CCFF"/>
          </w:tcPr>
          <w:p w14:paraId="4FAFD99C" w14:textId="77777777" w:rsidR="00DD3EFA" w:rsidRPr="005A0E7C" w:rsidRDefault="00DD3EFA" w:rsidP="00B15ECB">
            <w:pPr>
              <w:rPr>
                <w:b/>
              </w:rPr>
            </w:pPr>
          </w:p>
        </w:tc>
      </w:tr>
      <w:tr w:rsidR="00DD3EFA" w:rsidRPr="005A0E7C" w14:paraId="02F83E51" w14:textId="77777777" w:rsidTr="00B15ECB">
        <w:trPr>
          <w:trHeight w:val="1202"/>
        </w:trPr>
        <w:tc>
          <w:tcPr>
            <w:tcW w:w="249" w:type="dxa"/>
            <w:tcBorders>
              <w:top w:val="nil"/>
              <w:bottom w:val="nil"/>
            </w:tcBorders>
            <w:shd w:val="clear" w:color="auto" w:fill="66CCFF"/>
          </w:tcPr>
          <w:p w14:paraId="2556AD4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94346A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74F9584A" w14:textId="77777777" w:rsidR="00DD3EFA" w:rsidRPr="005A0E7C" w:rsidRDefault="00DD3EFA" w:rsidP="00B15ECB">
            <w:pPr>
              <w:spacing w:before="60" w:after="60"/>
              <w:rPr>
                <w:rStyle w:val="tlid-translation"/>
              </w:rPr>
            </w:pPr>
            <w:r w:rsidRPr="005A0E7C">
              <w:rPr>
                <w:rStyle w:val="tlid-translation"/>
              </w:rPr>
              <w:t xml:space="preserve">Zatímco se česká ekonomika přesouvá směrem k aktivitám s větší intenzitou znalostí, několik překážek stále brzdí rozvoj dobře fungujícího výzkumného a inovačního systému. Zvýšení investic do podnikatelského výzkumu a vývoje je primárně způsobeno přímými zahraničními investicemi. Výdaje na výzkum a vývoj domácích podniků se za poslední dva roky snížily. Navzdory značným veřejným investicím do výzkumu a vývoje vykazuje Česká republika zaostalost v oblasti kvality své veřejné vědecké základny. </w:t>
            </w:r>
          </w:p>
          <w:p w14:paraId="1CBD0BDE" w14:textId="77777777" w:rsidR="00DD3EFA" w:rsidRPr="005A0E7C" w:rsidRDefault="00DD3EFA" w:rsidP="00B15ECB">
            <w:pPr>
              <w:spacing w:before="60" w:after="60"/>
              <w:rPr>
                <w:rStyle w:val="tlid-translation"/>
              </w:rPr>
            </w:pPr>
            <w:r w:rsidRPr="005A0E7C">
              <w:rPr>
                <w:rStyle w:val="tlid-translation"/>
              </w:rPr>
              <w:t>Rada doporučila České republice odstranit překážky růstu, zejména dalším snižováním administrativní zátěže podniků a zlepšením kvality výzkumu a vývoje.</w:t>
            </w:r>
          </w:p>
          <w:p w14:paraId="1B7CF63A"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3FED9DA" w14:textId="77777777" w:rsidR="00DD3EFA" w:rsidRPr="005A0E7C" w:rsidRDefault="00DD3EFA" w:rsidP="00B15ECB">
            <w:pPr>
              <w:rPr>
                <w:b/>
              </w:rPr>
            </w:pPr>
          </w:p>
        </w:tc>
      </w:tr>
      <w:tr w:rsidR="00DD3EFA" w:rsidRPr="005A0E7C" w14:paraId="07613313" w14:textId="77777777" w:rsidTr="00B15ECB">
        <w:trPr>
          <w:trHeight w:val="180"/>
        </w:trPr>
        <w:tc>
          <w:tcPr>
            <w:tcW w:w="249" w:type="dxa"/>
            <w:tcBorders>
              <w:top w:val="nil"/>
              <w:bottom w:val="nil"/>
              <w:right w:val="nil"/>
            </w:tcBorders>
            <w:shd w:val="clear" w:color="auto" w:fill="66CCFF"/>
          </w:tcPr>
          <w:p w14:paraId="087B4CCC" w14:textId="77777777" w:rsidR="00DD3EFA" w:rsidRPr="005A0E7C" w:rsidRDefault="00DD3EFA" w:rsidP="00B15ECB">
            <w:pPr>
              <w:rPr>
                <w:b/>
              </w:rPr>
            </w:pPr>
          </w:p>
        </w:tc>
        <w:tc>
          <w:tcPr>
            <w:tcW w:w="2548" w:type="dxa"/>
            <w:tcBorders>
              <w:left w:val="nil"/>
              <w:right w:val="nil"/>
            </w:tcBorders>
            <w:shd w:val="clear" w:color="auto" w:fill="66CCFF"/>
          </w:tcPr>
          <w:p w14:paraId="7D3DD765" w14:textId="77777777" w:rsidR="00DD3EFA" w:rsidRPr="005A0E7C" w:rsidRDefault="00DD3EFA" w:rsidP="00B15ECB">
            <w:pPr>
              <w:rPr>
                <w:b/>
              </w:rPr>
            </w:pPr>
          </w:p>
        </w:tc>
        <w:tc>
          <w:tcPr>
            <w:tcW w:w="5978" w:type="dxa"/>
            <w:tcBorders>
              <w:left w:val="nil"/>
              <w:right w:val="nil"/>
            </w:tcBorders>
            <w:shd w:val="clear" w:color="auto" w:fill="66CCFF"/>
          </w:tcPr>
          <w:p w14:paraId="487D31BF" w14:textId="77777777" w:rsidR="00DD3EFA" w:rsidRPr="005A0E7C" w:rsidRDefault="00DD3EFA" w:rsidP="00B15ECB">
            <w:pPr>
              <w:rPr>
                <w:b/>
              </w:rPr>
            </w:pPr>
          </w:p>
        </w:tc>
        <w:tc>
          <w:tcPr>
            <w:tcW w:w="249" w:type="dxa"/>
            <w:tcBorders>
              <w:top w:val="nil"/>
              <w:left w:val="nil"/>
              <w:bottom w:val="nil"/>
            </w:tcBorders>
            <w:shd w:val="clear" w:color="auto" w:fill="66CCFF"/>
          </w:tcPr>
          <w:p w14:paraId="05EA44E2" w14:textId="77777777" w:rsidR="00DD3EFA" w:rsidRPr="005A0E7C" w:rsidRDefault="00DD3EFA" w:rsidP="00B15ECB">
            <w:pPr>
              <w:rPr>
                <w:b/>
              </w:rPr>
            </w:pPr>
          </w:p>
        </w:tc>
      </w:tr>
      <w:tr w:rsidR="00DD3EFA" w:rsidRPr="005A0E7C" w14:paraId="3201A11A" w14:textId="77777777" w:rsidTr="00B15ECB">
        <w:trPr>
          <w:trHeight w:val="938"/>
        </w:trPr>
        <w:tc>
          <w:tcPr>
            <w:tcW w:w="249" w:type="dxa"/>
            <w:tcBorders>
              <w:top w:val="nil"/>
              <w:bottom w:val="nil"/>
            </w:tcBorders>
            <w:shd w:val="clear" w:color="auto" w:fill="66CCFF"/>
          </w:tcPr>
          <w:p w14:paraId="36F1106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0E4715"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13C9D569"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410CDC6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256F812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b/>
              </w:rPr>
            </w:pPr>
            <w:r w:rsidRPr="005A0E7C">
              <w:rPr>
                <w:rFonts w:ascii="Times New Roman" w:hAnsi="Times New Roman"/>
                <w:b/>
              </w:rPr>
              <w:t>Strategie podpory malého a středního podnikání 2021+</w:t>
            </w:r>
          </w:p>
          <w:p w14:paraId="41B9AD8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color w:val="000000"/>
              </w:rPr>
            </w:pPr>
            <w:r w:rsidRPr="005A0E7C">
              <w:rPr>
                <w:rFonts w:ascii="Times New Roman" w:hAnsi="Times New Roman"/>
                <w:color w:val="000000"/>
              </w:rPr>
              <w:t xml:space="preserve">Tato strategie bude klíčovým dokumentem pro podporu malého a středního podnikání v České republice, který bude shrnovat české iniciativy na rozvoj podnikání a bude podkladovým materiálem pro přípravu operačních a národních programů v dalším programovacím období 2021+. Strategie bude rovněž zajišťovat synergie a komplementarity s evropskými rámcovými programy. </w:t>
            </w:r>
          </w:p>
          <w:p w14:paraId="0B43B68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Strategie se bude skládat z analytické, strategické a implementační částí. Ministerstvo průmyslu a obchodu ve spolupráci se Světovou bankou a Evropskou komisí aktivně pracuje nad skutečně rigorózním zpracováním analytické části Strategie, která má za cíl na základě komplexních dat posoudit stav podnikatelského prostředí v ČR, zhodnotit účinnost dosavadní podpory a identifikovat překážky pro rozvoj podnikání. </w:t>
            </w:r>
          </w:p>
          <w:p w14:paraId="3FBEAE7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Strategie bude zaměřená na následující oblasti:</w:t>
            </w:r>
          </w:p>
          <w:p w14:paraId="1136E485"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1. podnikatelské prostředí - administrativní zátěž, zásada "Mysli nejdřív na malé", daně, lepší regulace, veřejné zakázky.</w:t>
            </w:r>
          </w:p>
          <w:p w14:paraId="01E97007"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2. přístup k financování - tradiční a alternativní zdroje financování (rizikový kapitál a záruky, crowdfunding), přístup na kapitálové trhy, mikrofinancování.</w:t>
            </w:r>
          </w:p>
          <w:p w14:paraId="737B6860"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3. přístup na zahraniční  trhy - vnitřní trh EU a trhy třetích zemí.</w:t>
            </w:r>
          </w:p>
          <w:p w14:paraId="60600EAE"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4. podnikatelská kultura - podnikatelské vzdělávání na všech úrovních, druhá šance, převod podnikání, sociální podnikání, sdílená ekonomika, start - up infrastruktura, podpora znevýhodněných skupin (mladí lidé, ženy, seniory) sociální a environmentální problémy.</w:t>
            </w:r>
          </w:p>
          <w:p w14:paraId="60201807"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5. dovednosti a odborná příprava - celoživotní vzdělávání, soft skills, duální vzdělávání, spolupráce mezi univerzitami a malými a středními podniky</w:t>
            </w:r>
          </w:p>
          <w:p w14:paraId="4A46B72F"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6. udržitelný rozvoj - zvyšování energetické účinnosti, obnovitelné zdroje, oběhové hospodářství</w:t>
            </w:r>
          </w:p>
          <w:p w14:paraId="15EE5C78"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7. průmysl 4.0 - přístup malých a středních podniků k technologiím, IKT a pracovní síle, budování infrastruktury pro vysokorychlostní internet</w:t>
            </w:r>
          </w:p>
          <w:p w14:paraId="745E2BA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8. inovace - podpora aplikovaného výzkumu a vývoje, podpora KET, ochrana práv duševního vlastnictví, přenos znalostí a technologií, proof of concept. </w:t>
            </w:r>
          </w:p>
          <w:p w14:paraId="5BBC96A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Výše uvedená dominantní strategie pro danou oblast na období 2021+ bude navazovat na</w:t>
            </w:r>
            <w:r w:rsidRPr="005A0E7C">
              <w:rPr>
                <w:rFonts w:ascii="Times New Roman" w:hAnsi="Times New Roman"/>
                <w:b/>
              </w:rPr>
              <w:t xml:space="preserve"> Koncepci podpory malých a středních podnikatelů na období let 2014 – 2020 </w:t>
            </w:r>
            <w:r w:rsidRPr="005A0E7C">
              <w:rPr>
                <w:rFonts w:ascii="Times New Roman" w:hAnsi="Times New Roman"/>
              </w:rPr>
              <w:t>(dále jen Koncepce MSP 2014+), která přestavuje zásadní strategický dokument, který vymezuje 50 konkrétních opatření, jejichž cílem je efektivní fungování a celkový rozvoj malých a středních podniků jako významné součásti národní ekonomiky. Cílem Koncepce MSP 2014+ je stanovení prioritních oblastí podpory pro programovací období 2014 – 2020, jejichž opatření jsou financována z ESIF (zejména z Evropského fondu regionálního rozvoje a Evropského sociálního fondu) a národních prostředků (finanční nástroje).</w:t>
            </w:r>
          </w:p>
          <w:p w14:paraId="6CEB81E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Mezi hlavní nosné principy Koncepce MSP 2014+ patří zejména tematická koncentrace (určeny 4 strategické priority) a návaznost na evropské a národní strategické dokumenty. Součástí Koncepce MSP 2014+ je i rámcové vymezení podporovaných sektorů a nástrojů pro naplňování jednotlivých priorit. </w:t>
            </w:r>
          </w:p>
          <w:p w14:paraId="21E3EFA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406CFCFB" w14:textId="77777777" w:rsidR="00DD3EFA" w:rsidRPr="005A0E7C" w:rsidRDefault="00DD3EFA" w:rsidP="00B15ECB">
            <w:r w:rsidRPr="005A0E7C">
              <w:t>Evropský akt pro malé podniky (2008) a jeho revize (2011)</w:t>
            </w:r>
          </w:p>
          <w:p w14:paraId="30320EF0" w14:textId="77777777" w:rsidR="00DD3EFA" w:rsidRPr="005A0E7C" w:rsidRDefault="00DD3EFA" w:rsidP="00B15ECB">
            <w:r w:rsidRPr="005A0E7C">
              <w:t>Evropský akční program pro MSP (2017)</w:t>
            </w:r>
          </w:p>
          <w:p w14:paraId="0B73DA4B" w14:textId="77777777" w:rsidR="00DD3EFA" w:rsidRPr="005A0E7C" w:rsidRDefault="00DD3EFA" w:rsidP="00B15ECB">
            <w:pPr>
              <w:autoSpaceDE w:val="0"/>
              <w:autoSpaceDN w:val="0"/>
              <w:adjustRightInd w:val="0"/>
            </w:pPr>
            <w:r w:rsidRPr="005A0E7C">
              <w:t>Exportní strategie České republiky pro období 2012 –2020, 2020+ ( v roce 2019 proběhné analýza, v roce 2020 bude připravená nová Exportní strategie)</w:t>
            </w:r>
          </w:p>
          <w:p w14:paraId="768A1F32" w14:textId="77777777" w:rsidR="00DD3EFA" w:rsidRPr="005A0E7C" w:rsidRDefault="00DD3EFA" w:rsidP="00B15ECB">
            <w:r w:rsidRPr="005A0E7C">
              <w:t xml:space="preserve">Strategie ČR 2030 </w:t>
            </w:r>
          </w:p>
          <w:p w14:paraId="2BDBCAF5" w14:textId="77777777" w:rsidR="00DD3EFA" w:rsidRPr="005A0E7C" w:rsidRDefault="00DD3EFA" w:rsidP="00B15ECB">
            <w:r w:rsidRPr="005A0E7C">
              <w:t>Národní RIS3 Strategie, včetně regionálních příloh</w:t>
            </w:r>
          </w:p>
          <w:p w14:paraId="2A05F458" w14:textId="77777777" w:rsidR="00DD3EFA" w:rsidRPr="005A0E7C" w:rsidRDefault="00DD3EFA" w:rsidP="00B15ECB">
            <w:r w:rsidRPr="005A0E7C">
              <w:t>Digitální Česko</w:t>
            </w:r>
          </w:p>
          <w:p w14:paraId="417B978E" w14:textId="77777777" w:rsidR="00DD3EFA" w:rsidRPr="005A0E7C" w:rsidRDefault="00DD3EFA" w:rsidP="00B15ECB">
            <w:r w:rsidRPr="005A0E7C">
              <w:t>Politika druhotných surovin ČR</w:t>
            </w:r>
          </w:p>
          <w:p w14:paraId="3D71F64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Iniciativa Průmysl 4.0</w:t>
            </w:r>
          </w:p>
          <w:p w14:paraId="5801FDE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Strategický rámec hospodářské restrukturalizace Ústeckého, Moravskoslezského a Karlovarského kraje</w:t>
            </w:r>
          </w:p>
        </w:tc>
        <w:tc>
          <w:tcPr>
            <w:tcW w:w="249" w:type="dxa"/>
            <w:tcBorders>
              <w:top w:val="nil"/>
              <w:bottom w:val="nil"/>
            </w:tcBorders>
            <w:shd w:val="clear" w:color="auto" w:fill="66CCFF"/>
          </w:tcPr>
          <w:p w14:paraId="5F754C6B" w14:textId="77777777" w:rsidR="00DD3EFA" w:rsidRPr="005A0E7C" w:rsidRDefault="00DD3EFA" w:rsidP="00B15ECB">
            <w:pPr>
              <w:rPr>
                <w:b/>
              </w:rPr>
            </w:pPr>
          </w:p>
        </w:tc>
      </w:tr>
      <w:tr w:rsidR="00DD3EFA" w:rsidRPr="005A0E7C" w14:paraId="153D0339" w14:textId="77777777" w:rsidTr="00B15ECB">
        <w:trPr>
          <w:trHeight w:val="938"/>
        </w:trPr>
        <w:tc>
          <w:tcPr>
            <w:tcW w:w="249" w:type="dxa"/>
            <w:tcBorders>
              <w:top w:val="nil"/>
              <w:bottom w:val="nil"/>
            </w:tcBorders>
            <w:shd w:val="clear" w:color="auto" w:fill="66CCFF"/>
          </w:tcPr>
          <w:p w14:paraId="038E426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3974397"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5D08B23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1AA21A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Na jaře roku 2019 Světová banka představí první závěry analýzy připravované Strategie podpory MSP 2021+. Na základě výsledků této analýzy budou identifikovány základní problémy a potřeby MSP.</w:t>
            </w:r>
          </w:p>
          <w:p w14:paraId="66D9E18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 přípravě Koncepce MPS 2014+ MPO vycházelo rovněž ze studie společnosti Berman Group „Analýza věcných priorit a potřeb jednotlivých oblastí v působnosti MPO pro zaměření podpory ze strukturálních fondů v období 2014+“ a z podkladové studie DHV CR – QUARTUS „Analýza podpory podnikání ve vazbě s výzkumem, vývojem a inovacemi, vzděláváním, životním prostředím a rozvojem venkova a doporučení pro období 2014+.</w:t>
            </w:r>
          </w:p>
          <w:p w14:paraId="4FAECEE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b/>
              </w:rPr>
            </w:pPr>
            <w:r w:rsidRPr="005A0E7C">
              <w:rPr>
                <w:rFonts w:ascii="Times New Roman" w:hAnsi="Times New Roman"/>
                <w:b/>
              </w:rPr>
              <w:t>Koncepce MSP 2014+ uvádí následující problémy MSP:</w:t>
            </w:r>
          </w:p>
          <w:p w14:paraId="0044C80B" w14:textId="77777777" w:rsidR="00DD3EFA" w:rsidRPr="005A0E7C" w:rsidRDefault="00DD3EFA" w:rsidP="00391907">
            <w:pPr>
              <w:pStyle w:val="slovanodstavec"/>
              <w:numPr>
                <w:ilvl w:val="0"/>
                <w:numId w:val="90"/>
              </w:numPr>
              <w:tabs>
                <w:tab w:val="left" w:pos="284"/>
              </w:tabs>
              <w:suppressAutoHyphens/>
              <w:spacing w:after="0" w:line="240" w:lineRule="auto"/>
              <w:rPr>
                <w:rFonts w:ascii="Times New Roman" w:hAnsi="Times New Roman"/>
              </w:rPr>
            </w:pPr>
            <w:r w:rsidRPr="005A0E7C">
              <w:rPr>
                <w:rFonts w:ascii="Times New Roman" w:hAnsi="Times New Roman"/>
              </w:rPr>
              <w:t>Nedostatečná kapitálová vybavenost, zejména malých a drobných podnikatelů a samostatně podnikajících fyzických osob;</w:t>
            </w:r>
          </w:p>
          <w:p w14:paraId="69BB0A16"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 Obtížnější a nákladnější přístup ke kapitálu, informacím a znalostem;</w:t>
            </w:r>
          </w:p>
          <w:p w14:paraId="477EE1C2"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Komplikace při získávání bankovních úvěrů;</w:t>
            </w:r>
          </w:p>
          <w:p w14:paraId="69A7A9B0"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Slabý důraz na marketing z důvodů omezených financí, schopností či znalostí;</w:t>
            </w:r>
          </w:p>
          <w:p w14:paraId="6025B973"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Omezené finanční prostředky na technické vybavení podniků;</w:t>
            </w:r>
          </w:p>
          <w:p w14:paraId="22485BED"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Nedostatečná ochrana práv duševního vlastnictví;</w:t>
            </w:r>
          </w:p>
          <w:p w14:paraId="4CFB6332"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Převaha výroby s malou přidanou hodnotou;</w:t>
            </w:r>
          </w:p>
          <w:p w14:paraId="631955AB"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Nedostatečný důraz na rozvoj lidských zdrojů (další profesní vzdělávání);</w:t>
            </w:r>
          </w:p>
          <w:p w14:paraId="5DF87F86"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Nedostatečné manažerské dovednosti a netechnické kompetence;</w:t>
            </w:r>
          </w:p>
          <w:p w14:paraId="214121EE"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Menší schopnost eliminovat důsledky výkyvů vnějších vlivů v počátečním stadiu svého vývoje (startu);</w:t>
            </w:r>
          </w:p>
          <w:p w14:paraId="5ABF70AA"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 Nedostatečná spolupráce mezi MSP;</w:t>
            </w:r>
          </w:p>
          <w:p w14:paraId="7D52155A"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 Malá úspěšnost MSP v rámci veřejných zakázek;</w:t>
            </w:r>
          </w:p>
          <w:p w14:paraId="510A179A"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Relativně vysoká závislost na zákaznících a dodavatelích (slabší vyjednávací pozice);</w:t>
            </w:r>
          </w:p>
          <w:p w14:paraId="0B385D2B" w14:textId="77777777" w:rsidR="00DD3EFA" w:rsidRPr="005A0E7C" w:rsidRDefault="00DD3EFA" w:rsidP="00B15ECB">
            <w:pPr>
              <w:pStyle w:val="slovanodstavec"/>
              <w:tabs>
                <w:tab w:val="left" w:pos="284"/>
              </w:tabs>
              <w:suppressAutoHyphens/>
              <w:spacing w:after="0" w:line="240" w:lineRule="auto"/>
              <w:rPr>
                <w:rFonts w:ascii="Times New Roman" w:hAnsi="Times New Roman"/>
                <w:b/>
              </w:rPr>
            </w:pPr>
          </w:p>
          <w:p w14:paraId="0C5AF585" w14:textId="77777777" w:rsidR="00DD3EFA" w:rsidRPr="005A0E7C" w:rsidRDefault="00DD3EFA" w:rsidP="00B15ECB">
            <w:pPr>
              <w:pStyle w:val="slovanodstavec"/>
              <w:tabs>
                <w:tab w:val="left" w:pos="284"/>
              </w:tabs>
              <w:suppressAutoHyphens/>
              <w:spacing w:after="0" w:line="240" w:lineRule="auto"/>
              <w:rPr>
                <w:rFonts w:ascii="Times New Roman" w:hAnsi="Times New Roman"/>
                <w:b/>
              </w:rPr>
            </w:pPr>
            <w:r w:rsidRPr="005A0E7C">
              <w:rPr>
                <w:rFonts w:ascii="Times New Roman" w:hAnsi="Times New Roman"/>
                <w:b/>
              </w:rPr>
              <w:t xml:space="preserve">Potřeby: </w:t>
            </w:r>
          </w:p>
          <w:p w14:paraId="188999F4"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Rozvoj obchodu – expanze na zahraniční trhy; </w:t>
            </w:r>
          </w:p>
          <w:p w14:paraId="71E3E6AD"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Zavádění nových výrobků a služeb na základě nových technologií a znalostí; </w:t>
            </w:r>
          </w:p>
          <w:p w14:paraId="4F156E29"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Benefity vyplývající ze síťování podniků (klastry) včetně navázání spolupráce se zahraničními obchodními partnery a výzkumnými organizacemi; </w:t>
            </w:r>
          </w:p>
          <w:p w14:paraId="043009B8"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Široká nabídka podpůrných programů pro MSP; </w:t>
            </w:r>
          </w:p>
          <w:p w14:paraId="41F17DC2"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Rozvoj výzkumu, vývoje a inovací ve prospěch MSP; </w:t>
            </w:r>
          </w:p>
          <w:p w14:paraId="687251DE"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Spolupráce MSP a výzkumných organizací; </w:t>
            </w:r>
          </w:p>
          <w:p w14:paraId="04BB9C0D"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Zvýšení komercionalizace výsledků VaV; </w:t>
            </w:r>
          </w:p>
          <w:p w14:paraId="2C5E4F81"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Zvýšení patentové aktivity MSP; </w:t>
            </w:r>
          </w:p>
          <w:p w14:paraId="391CC4DB"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Rozvoj technických a netechnických inovací v MSP; </w:t>
            </w:r>
          </w:p>
          <w:p w14:paraId="1FB8D9DB"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Investice do technologického a laboratorního vybavení; </w:t>
            </w:r>
          </w:p>
          <w:p w14:paraId="118A674D"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Rozvoj podnikového vzdělávání a rozvoj klíčových dovednosti včetně rozvoje vzdělávání pro internacionalizaci; </w:t>
            </w:r>
          </w:p>
          <w:p w14:paraId="05A9A60E"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 Podnikání v high-tech oborech; </w:t>
            </w:r>
          </w:p>
          <w:p w14:paraId="58541996"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Budování nové podnikatelské infrastruktury včetně zázemí pro podnikové školení (školicí střediska); </w:t>
            </w:r>
          </w:p>
          <w:p w14:paraId="2D6679AB"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Zvýšení spolupráce MSP v rámci nákupních a odbytových sítí; </w:t>
            </w:r>
          </w:p>
          <w:p w14:paraId="4F56575B"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 Zlepšení dostupnosti veřejných zakázek v ČR pro MSP a zvýšení podílu MSP na veřejných zakázkách (i v zahraničí); </w:t>
            </w:r>
          </w:p>
          <w:p w14:paraId="3E622DC7"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Efektivní využívání obnovitelných a druhotných zdrojů energie; </w:t>
            </w:r>
          </w:p>
          <w:p w14:paraId="5782FE76"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Snížení energetické náročnosti podnikání MSP; </w:t>
            </w:r>
          </w:p>
          <w:p w14:paraId="5768E688" w14:textId="77777777" w:rsidR="00DD3EFA" w:rsidRPr="005A0E7C" w:rsidRDefault="00DD3EFA" w:rsidP="00391907">
            <w:pPr>
              <w:pStyle w:val="slovanodstavec"/>
              <w:numPr>
                <w:ilvl w:val="0"/>
                <w:numId w:val="81"/>
              </w:numPr>
              <w:tabs>
                <w:tab w:val="left" w:pos="284"/>
              </w:tabs>
              <w:suppressAutoHyphens/>
              <w:spacing w:after="0" w:line="240" w:lineRule="auto"/>
              <w:rPr>
                <w:rFonts w:ascii="Times New Roman" w:hAnsi="Times New Roman"/>
              </w:rPr>
            </w:pPr>
            <w:r w:rsidRPr="005A0E7C">
              <w:rPr>
                <w:rFonts w:ascii="Times New Roman" w:hAnsi="Times New Roman"/>
              </w:rPr>
              <w:t xml:space="preserve">Možnost využití unijních nástrojů. </w:t>
            </w:r>
          </w:p>
        </w:tc>
        <w:tc>
          <w:tcPr>
            <w:tcW w:w="249" w:type="dxa"/>
            <w:tcBorders>
              <w:top w:val="nil"/>
              <w:bottom w:val="nil"/>
            </w:tcBorders>
            <w:shd w:val="clear" w:color="auto" w:fill="66CCFF"/>
          </w:tcPr>
          <w:p w14:paraId="6E60DE4C" w14:textId="77777777" w:rsidR="00DD3EFA" w:rsidRPr="005A0E7C" w:rsidRDefault="00DD3EFA" w:rsidP="00B15ECB">
            <w:pPr>
              <w:rPr>
                <w:b/>
              </w:rPr>
            </w:pPr>
          </w:p>
        </w:tc>
      </w:tr>
      <w:tr w:rsidR="00DD3EFA" w:rsidRPr="005A0E7C" w14:paraId="69DF9F10" w14:textId="77777777" w:rsidTr="00B15ECB">
        <w:trPr>
          <w:trHeight w:val="938"/>
        </w:trPr>
        <w:tc>
          <w:tcPr>
            <w:tcW w:w="249" w:type="dxa"/>
            <w:tcBorders>
              <w:top w:val="nil"/>
              <w:bottom w:val="nil"/>
            </w:tcBorders>
            <w:shd w:val="clear" w:color="auto" w:fill="66CCFF"/>
          </w:tcPr>
          <w:p w14:paraId="60B14DB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CFE4AAF"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1283C4B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41E493D"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Na základě výsledků analýzy připravované Strategie na podporu MSP 2021+ budou definovány cíle a opatření pro budoucí programovací období.</w:t>
            </w:r>
          </w:p>
          <w:p w14:paraId="78ECA22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u w:val="single"/>
              </w:rPr>
            </w:pPr>
            <w:r w:rsidRPr="005A0E7C">
              <w:rPr>
                <w:rFonts w:ascii="Times New Roman" w:hAnsi="Times New Roman"/>
                <w:u w:val="single"/>
              </w:rPr>
              <w:t>Stávající koncepce podpory MSP uvádí následující cíle a opatření:</w:t>
            </w:r>
          </w:p>
          <w:p w14:paraId="291632E0" w14:textId="77777777" w:rsidR="00DD3EFA" w:rsidRPr="005A0E7C" w:rsidRDefault="00DD3EFA" w:rsidP="00391907">
            <w:pPr>
              <w:pStyle w:val="slovanodstavec"/>
              <w:numPr>
                <w:ilvl w:val="0"/>
                <w:numId w:val="82"/>
              </w:numPr>
              <w:tabs>
                <w:tab w:val="left" w:pos="284"/>
              </w:tabs>
              <w:suppressAutoHyphens/>
              <w:spacing w:line="240" w:lineRule="auto"/>
              <w:rPr>
                <w:rFonts w:ascii="Times New Roman" w:hAnsi="Times New Roman"/>
                <w:b/>
              </w:rPr>
            </w:pPr>
            <w:r w:rsidRPr="005A0E7C">
              <w:rPr>
                <w:rFonts w:ascii="Times New Roman" w:hAnsi="Times New Roman"/>
                <w:b/>
              </w:rPr>
              <w:t>Posílení postavení malých a středních podnikatelů v české ekonomice a růst konkurenceschopnosti malých a středních podnikatelů v evropském a světovém kontextu:</w:t>
            </w:r>
          </w:p>
          <w:p w14:paraId="53AA7A8A"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Vzdělávání a školení zaměřené na internacionalizaci;</w:t>
            </w:r>
          </w:p>
          <w:p w14:paraId="4E2BDEB1"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Informační, zpravodajské a poradenské služby pro podporu internacionalizace MSP; </w:t>
            </w:r>
          </w:p>
          <w:p w14:paraId="040B0EFC"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 Podpora hledání obchodních partnerů a partnerů pro technologickou spolupráci; </w:t>
            </w:r>
          </w:p>
          <w:p w14:paraId="374A957E"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Vytváření sítí spolupráce a inkubačních center v zahraničí; </w:t>
            </w:r>
          </w:p>
          <w:p w14:paraId="4355C23D"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účastí MSP na specializovaných veletrzích a výstavách; </w:t>
            </w:r>
          </w:p>
          <w:p w14:paraId="4C09723B"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MSP ve veřejných zakázkách v zahraničí </w:t>
            </w:r>
          </w:p>
          <w:p w14:paraId="217013A2"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Bilaterální i multilaterální programy mezinárodní spolupráce, nadnárodní projekty evropských a mezinárodních organizací; </w:t>
            </w:r>
          </w:p>
          <w:p w14:paraId="63ADEB4A"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Financování a pojištění exportu. </w:t>
            </w:r>
          </w:p>
          <w:p w14:paraId="222873FD" w14:textId="77777777" w:rsidR="00DD3EFA" w:rsidRPr="005A0E7C" w:rsidRDefault="00DD3EFA" w:rsidP="00391907">
            <w:pPr>
              <w:pStyle w:val="slovanodstavec"/>
              <w:numPr>
                <w:ilvl w:val="0"/>
                <w:numId w:val="82"/>
              </w:numPr>
              <w:tabs>
                <w:tab w:val="left" w:pos="284"/>
              </w:tabs>
              <w:suppressAutoHyphens/>
              <w:spacing w:line="240" w:lineRule="auto"/>
              <w:rPr>
                <w:rFonts w:ascii="Times New Roman" w:hAnsi="Times New Roman"/>
                <w:b/>
              </w:rPr>
            </w:pPr>
            <w:r w:rsidRPr="005A0E7C">
              <w:rPr>
                <w:rFonts w:ascii="Times New Roman" w:hAnsi="Times New Roman"/>
                <w:b/>
              </w:rPr>
              <w:t>Rozvoj a zkvalitňování podnikatelského prostředí a zvyšování kvality poradenských služeb pro MSP, včetně zvýšení atraktivity technického a přírodovědného vzdělávání, posílení a rozvoje technické inteligence:</w:t>
            </w:r>
          </w:p>
          <w:p w14:paraId="04F67F4A"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posuzování dopadu navrhované legislativní změny na MSP jako nedílné součásti legislativního procesu (RIA); </w:t>
            </w:r>
          </w:p>
          <w:p w14:paraId="7F7DED35"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promítání požadavků legislativy EU do českého právního řádu jen v nezbytném/potřebném rozsahu; </w:t>
            </w:r>
          </w:p>
          <w:p w14:paraId="1D01F45B"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zveřejňování právních předpisů v dostatečném předstihu před jejich účinností; </w:t>
            </w:r>
          </w:p>
          <w:p w14:paraId="6F080253"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dodržování režimu pro dovoz a vývoz zboří, celních, daňových, technických a zdravotních předpisů a důslednou činnost orgánů Celní správy; </w:t>
            </w:r>
          </w:p>
          <w:p w14:paraId="214E1DFE"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stimulování podnikatelů a zaměstnanců ke zvyšování kvalifikace; </w:t>
            </w:r>
          </w:p>
          <w:p w14:paraId="4CE16C38" w14:textId="77777777" w:rsidR="00DD3EFA" w:rsidRPr="005A0E7C" w:rsidRDefault="00DD3EFA" w:rsidP="00391907">
            <w:pPr>
              <w:pStyle w:val="Odstavecseseznamem"/>
              <w:numPr>
                <w:ilvl w:val="0"/>
                <w:numId w:val="81"/>
              </w:numPr>
              <w:autoSpaceDE w:val="0"/>
              <w:autoSpaceDN w:val="0"/>
              <w:adjustRightInd w:val="0"/>
              <w:spacing w:after="78"/>
              <w:jc w:val="both"/>
            </w:pPr>
            <w:r w:rsidRPr="005A0E7C">
              <w:rPr>
                <w:rFonts w:eastAsia="Calibri"/>
              </w:rPr>
              <w:t xml:space="preserve">zabezpečení podpory technické normalizace, metrologie a zkušebnictví v souladu s potřebami trhu a společnosti s cílem zvýšení konkurenceschopnosti MSP, apod. </w:t>
            </w:r>
          </w:p>
          <w:p w14:paraId="7F017D1A" w14:textId="77777777" w:rsidR="00DD3EFA" w:rsidRPr="005A0E7C" w:rsidRDefault="00DD3EFA" w:rsidP="00391907">
            <w:pPr>
              <w:pStyle w:val="slovanodstavec"/>
              <w:numPr>
                <w:ilvl w:val="0"/>
                <w:numId w:val="82"/>
              </w:numPr>
              <w:tabs>
                <w:tab w:val="left" w:pos="284"/>
              </w:tabs>
              <w:suppressAutoHyphens/>
              <w:spacing w:line="240" w:lineRule="auto"/>
              <w:rPr>
                <w:rFonts w:ascii="Times New Roman" w:hAnsi="Times New Roman"/>
                <w:b/>
              </w:rPr>
            </w:pPr>
            <w:r w:rsidRPr="005A0E7C">
              <w:rPr>
                <w:rFonts w:ascii="Times New Roman" w:hAnsi="Times New Roman"/>
                <w:b/>
              </w:rPr>
              <w:t>Posílení inovační schopnosti a efektivního nakládání s duševním vlastnictvím malých a středních podnikatelů a rozvoj podnikatelské a inovační infrastruktury:</w:t>
            </w:r>
          </w:p>
          <w:p w14:paraId="772949B3"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zavádění technických a netechnických inovací v podnicích a nových technologií; </w:t>
            </w:r>
          </w:p>
          <w:p w14:paraId="05FD5097"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zavádění nových produktů na bázi moderních technologií; </w:t>
            </w:r>
          </w:p>
          <w:p w14:paraId="62096E5F"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vlastních výzkumných a vývojových kapacit podniků, včetně podpory investic do technologického a laboratorního vybavení; </w:t>
            </w:r>
          </w:p>
          <w:p w14:paraId="1EDC1139"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spolupráce MSP a výzkumných organizací (inovační vouchery, profesorské židle, podpora horizontální mobility), včetně možných změn v rámci legislativy; </w:t>
            </w:r>
          </w:p>
          <w:p w14:paraId="7B8D81F5"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rozvoje klastrů; </w:t>
            </w:r>
          </w:p>
          <w:p w14:paraId="7EBF946D"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transferů znalostí a technologií, včetně rozvoje VTP, PI a CTT a jejich služeb; </w:t>
            </w:r>
          </w:p>
          <w:p w14:paraId="16AE26B1"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Podpora komercionalizace výsledků VaV a užší propojení VaV výzkumných organizací s poptávkou MSP;</w:t>
            </w:r>
          </w:p>
          <w:p w14:paraId="320F08FA"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designu; </w:t>
            </w:r>
          </w:p>
          <w:p w14:paraId="05D82CE6"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Rozvoj digitální ekonomiky – center progresivních ICT služeb; </w:t>
            </w:r>
          </w:p>
          <w:p w14:paraId="513F315F"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rozvoje ICT v malých a středních podnicích; </w:t>
            </w:r>
          </w:p>
          <w:p w14:paraId="0055DDBC"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vývoje nových řešení prostřednictvím veřejných zakázek; </w:t>
            </w:r>
          </w:p>
          <w:p w14:paraId="79282F10"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podnikatelské a inovační infrastruktury; </w:t>
            </w:r>
          </w:p>
          <w:p w14:paraId="15A27ABE"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Rozvoj průmyslových zón a parků a regenerace brownfieldů; </w:t>
            </w:r>
          </w:p>
          <w:p w14:paraId="154B8B8A"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výstavby nájemních objektů; </w:t>
            </w:r>
          </w:p>
          <w:p w14:paraId="0E34EFAC"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rekonstrukce podnikatelských objektů (včetně profinancování projektové dokumentace); </w:t>
            </w:r>
          </w:p>
          <w:p w14:paraId="1FDB585A"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Rozvoj strategických služeb a center sdílených služeb; </w:t>
            </w:r>
          </w:p>
          <w:p w14:paraId="3CD93762"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opravárenských center high-tech výrobků a technologií. </w:t>
            </w:r>
          </w:p>
          <w:p w14:paraId="742E7766" w14:textId="77777777" w:rsidR="00DD3EFA" w:rsidRPr="005A0E7C" w:rsidRDefault="00DD3EFA" w:rsidP="00391907">
            <w:pPr>
              <w:pStyle w:val="slovanodstavec"/>
              <w:numPr>
                <w:ilvl w:val="0"/>
                <w:numId w:val="82"/>
              </w:numPr>
              <w:tabs>
                <w:tab w:val="left" w:pos="284"/>
              </w:tabs>
              <w:suppressAutoHyphens/>
              <w:spacing w:line="240" w:lineRule="auto"/>
              <w:rPr>
                <w:rFonts w:ascii="Times New Roman" w:hAnsi="Times New Roman"/>
                <w:b/>
              </w:rPr>
            </w:pPr>
            <w:r w:rsidRPr="005A0E7C">
              <w:rPr>
                <w:rFonts w:ascii="Times New Roman" w:hAnsi="Times New Roman"/>
                <w:b/>
              </w:rPr>
              <w:t>Snižování energetické a materiálové náročnosti při podnikání malých a středních firem:</w:t>
            </w:r>
          </w:p>
          <w:p w14:paraId="35A78B3A"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Modernizace stávajících zařízení na výrobu energie pro vlastní potřebu vedoucí ke zvýšení jejich účinnosti; </w:t>
            </w:r>
          </w:p>
          <w:p w14:paraId="7794FD9E"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Zavádění a modernizace systémů měření a regulace; </w:t>
            </w:r>
          </w:p>
          <w:p w14:paraId="29D29687"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Modernizace, rekonstrukce a snižování ztrát v rozvodech elektřiny a tepla; </w:t>
            </w:r>
          </w:p>
          <w:p w14:paraId="0EE583E6"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Zlepšování tepelně technických vlastností budov, s výjimkou rodinných a bytových domů; </w:t>
            </w:r>
          </w:p>
          <w:p w14:paraId="1601D3A4"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Využití odpadní energie v průmyslových procesech; </w:t>
            </w:r>
          </w:p>
          <w:p w14:paraId="5F21002F"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Zvyšování energetické účinnosti zaváděním kombinované výroby elektřiny a tepla; </w:t>
            </w:r>
          </w:p>
          <w:p w14:paraId="10110177"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Snižování energetické náročnosti/zvyšování energetické účinnosti výrobních a technologických procesů.</w:t>
            </w:r>
          </w:p>
          <w:p w14:paraId="7771E567"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Výstavba nových a rekonstrukce stávajících výrobních zařízení na výrobu a rozvod elektrické energie a tepla vyrobené s využitím obnovitelných a druhotných zdrojů energie. </w:t>
            </w:r>
          </w:p>
          <w:p w14:paraId="677AA2F1" w14:textId="77777777" w:rsidR="00DD3EFA" w:rsidRPr="005A0E7C" w:rsidRDefault="00DD3EFA" w:rsidP="00391907">
            <w:pPr>
              <w:pStyle w:val="Odstavecseseznamem"/>
              <w:numPr>
                <w:ilvl w:val="0"/>
                <w:numId w:val="81"/>
              </w:numPr>
              <w:autoSpaceDE w:val="0"/>
              <w:autoSpaceDN w:val="0"/>
              <w:adjustRightInd w:val="0"/>
              <w:spacing w:after="78"/>
              <w:jc w:val="both"/>
              <w:rPr>
                <w:rFonts w:eastAsia="Calibri"/>
              </w:rPr>
            </w:pPr>
            <w:r w:rsidRPr="005A0E7C">
              <w:rPr>
                <w:rFonts w:eastAsia="Calibri"/>
              </w:rPr>
              <w:t xml:space="preserve">Podpora vyššího využívání druhotných surovin. </w:t>
            </w:r>
          </w:p>
        </w:tc>
        <w:tc>
          <w:tcPr>
            <w:tcW w:w="249" w:type="dxa"/>
            <w:tcBorders>
              <w:top w:val="nil"/>
              <w:bottom w:val="nil"/>
            </w:tcBorders>
            <w:shd w:val="clear" w:color="auto" w:fill="66CCFF"/>
          </w:tcPr>
          <w:p w14:paraId="66C9E193" w14:textId="77777777" w:rsidR="00DD3EFA" w:rsidRPr="005A0E7C" w:rsidRDefault="00DD3EFA" w:rsidP="00B15ECB">
            <w:pPr>
              <w:rPr>
                <w:b/>
              </w:rPr>
            </w:pPr>
          </w:p>
        </w:tc>
      </w:tr>
      <w:tr w:rsidR="00DD3EFA" w:rsidRPr="005A0E7C" w14:paraId="51C9B8A6" w14:textId="77777777" w:rsidTr="00B15ECB">
        <w:trPr>
          <w:trHeight w:val="938"/>
        </w:trPr>
        <w:tc>
          <w:tcPr>
            <w:tcW w:w="249" w:type="dxa"/>
            <w:tcBorders>
              <w:top w:val="nil"/>
              <w:bottom w:val="nil"/>
            </w:tcBorders>
            <w:shd w:val="clear" w:color="auto" w:fill="66CCFF"/>
          </w:tcPr>
          <w:p w14:paraId="42E620C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1841E5B"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148D350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838B26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Dle stanoveného harmonogramu přípravy Strategie podpory MSP 2021+ bude implementační mechanismus nastaven do konce roku 2019.</w:t>
            </w:r>
          </w:p>
          <w:p w14:paraId="021FDC6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Koncepce MSP 2014+ je realizována prostřednictvím několika nástrojů. Oproti minulosti je větší pozornost věnována obrátkovým nástrojům typu zvýhodněných úvěrů a záruk a také kapitálovým vstupům. Zároveň pokračuje i podpora prostřednictvím dotačních schémat. </w:t>
            </w:r>
          </w:p>
        </w:tc>
        <w:tc>
          <w:tcPr>
            <w:tcW w:w="249" w:type="dxa"/>
            <w:tcBorders>
              <w:top w:val="nil"/>
              <w:bottom w:val="nil"/>
            </w:tcBorders>
            <w:shd w:val="clear" w:color="auto" w:fill="66CCFF"/>
          </w:tcPr>
          <w:p w14:paraId="1B561E00" w14:textId="77777777" w:rsidR="00DD3EFA" w:rsidRPr="005A0E7C" w:rsidRDefault="00DD3EFA" w:rsidP="00B15ECB">
            <w:pPr>
              <w:rPr>
                <w:b/>
              </w:rPr>
            </w:pPr>
          </w:p>
        </w:tc>
      </w:tr>
      <w:tr w:rsidR="00DD3EFA" w:rsidRPr="005A0E7C" w14:paraId="2C390B95" w14:textId="77777777" w:rsidTr="00B15ECB">
        <w:trPr>
          <w:trHeight w:val="938"/>
        </w:trPr>
        <w:tc>
          <w:tcPr>
            <w:tcW w:w="249" w:type="dxa"/>
            <w:tcBorders>
              <w:top w:val="nil"/>
              <w:bottom w:val="nil"/>
            </w:tcBorders>
            <w:shd w:val="clear" w:color="auto" w:fill="66CCFF"/>
          </w:tcPr>
          <w:p w14:paraId="42BD903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D51AA7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4105DBC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Monitoring a evaluace budou nastaveny v prvním pololetí 2020.</w:t>
            </w:r>
          </w:p>
          <w:p w14:paraId="18CCD921"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Efektivita využití finančních prostředků a pokrok v podporovaných oblastech v rámci koncepce MSP 2014+ je sledovaný a vyhodnocovaný prostřednictvím jednotlivých programů podpory MSP.</w:t>
            </w:r>
          </w:p>
        </w:tc>
        <w:tc>
          <w:tcPr>
            <w:tcW w:w="249" w:type="dxa"/>
            <w:tcBorders>
              <w:top w:val="nil"/>
              <w:bottom w:val="nil"/>
            </w:tcBorders>
            <w:shd w:val="clear" w:color="auto" w:fill="66CCFF"/>
          </w:tcPr>
          <w:p w14:paraId="05B2822F" w14:textId="77777777" w:rsidR="00DD3EFA" w:rsidRPr="005A0E7C" w:rsidRDefault="00DD3EFA" w:rsidP="00B15ECB">
            <w:pPr>
              <w:rPr>
                <w:b/>
              </w:rPr>
            </w:pPr>
          </w:p>
        </w:tc>
      </w:tr>
      <w:tr w:rsidR="00DD3EFA" w:rsidRPr="005A0E7C" w14:paraId="36EDFDDA" w14:textId="77777777" w:rsidTr="00B15ECB">
        <w:trPr>
          <w:trHeight w:val="130"/>
        </w:trPr>
        <w:tc>
          <w:tcPr>
            <w:tcW w:w="249" w:type="dxa"/>
            <w:tcBorders>
              <w:top w:val="nil"/>
              <w:bottom w:val="nil"/>
              <w:right w:val="nil"/>
            </w:tcBorders>
            <w:shd w:val="clear" w:color="auto" w:fill="66CCFF"/>
          </w:tcPr>
          <w:p w14:paraId="237E2A0C" w14:textId="77777777" w:rsidR="00DD3EFA" w:rsidRPr="005A0E7C" w:rsidRDefault="00DD3EFA" w:rsidP="00B15ECB">
            <w:pPr>
              <w:rPr>
                <w:b/>
              </w:rPr>
            </w:pPr>
          </w:p>
        </w:tc>
        <w:tc>
          <w:tcPr>
            <w:tcW w:w="2548" w:type="dxa"/>
            <w:tcBorders>
              <w:left w:val="nil"/>
              <w:right w:val="nil"/>
            </w:tcBorders>
            <w:shd w:val="clear" w:color="auto" w:fill="66CCFF"/>
          </w:tcPr>
          <w:p w14:paraId="3A1FDCCF" w14:textId="77777777" w:rsidR="00DD3EFA" w:rsidRPr="005A0E7C" w:rsidRDefault="00DD3EFA" w:rsidP="00B15ECB">
            <w:pPr>
              <w:rPr>
                <w:b/>
              </w:rPr>
            </w:pPr>
          </w:p>
        </w:tc>
        <w:tc>
          <w:tcPr>
            <w:tcW w:w="5978" w:type="dxa"/>
            <w:tcBorders>
              <w:left w:val="nil"/>
              <w:right w:val="nil"/>
            </w:tcBorders>
            <w:shd w:val="clear" w:color="auto" w:fill="66CCFF"/>
          </w:tcPr>
          <w:p w14:paraId="7366D1D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4A8DA489" w14:textId="77777777" w:rsidR="00DD3EFA" w:rsidRPr="005A0E7C" w:rsidRDefault="00DD3EFA" w:rsidP="00B15ECB">
            <w:pPr>
              <w:rPr>
                <w:b/>
              </w:rPr>
            </w:pPr>
          </w:p>
        </w:tc>
      </w:tr>
      <w:tr w:rsidR="00DD3EFA" w:rsidRPr="005A0E7C" w14:paraId="12251B15" w14:textId="77777777" w:rsidTr="00B15ECB">
        <w:trPr>
          <w:trHeight w:val="1258"/>
        </w:trPr>
        <w:tc>
          <w:tcPr>
            <w:tcW w:w="249" w:type="dxa"/>
            <w:tcBorders>
              <w:top w:val="nil"/>
              <w:bottom w:val="nil"/>
              <w:right w:val="nil"/>
            </w:tcBorders>
            <w:shd w:val="clear" w:color="auto" w:fill="66CCFF"/>
          </w:tcPr>
          <w:p w14:paraId="6330651E" w14:textId="77777777" w:rsidR="00DD3EFA" w:rsidRPr="005A0E7C" w:rsidRDefault="00DD3EFA" w:rsidP="00B15ECB">
            <w:pPr>
              <w:rPr>
                <w:b/>
              </w:rPr>
            </w:pPr>
          </w:p>
        </w:tc>
        <w:tc>
          <w:tcPr>
            <w:tcW w:w="2548" w:type="dxa"/>
            <w:shd w:val="clear" w:color="auto" w:fill="FFFFFF" w:themeFill="background1"/>
          </w:tcPr>
          <w:p w14:paraId="52A41055"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7B135DF3"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OP PIK v současnosti významně preferuje podporu MSP, které tvoří rozhodující podíl podnikatelských subjektů v ČR. </w:t>
            </w:r>
          </w:p>
          <w:p w14:paraId="310821A6"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1FFFA636"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Úspěšný je program podpory Marketing, který je zaměřený na rozvoj aktivit českých exportérů na zahraničních trzích a zvýšení využití exportních příležitostí, a to zejména prostřednictvím individuálních účastí MSP na zahraničních veletrzích nebo prostřednictvím společných účastí v rámci interního projektu agentury CzechTrade. Součástí programu Marketing je též interní projekt agentury CzechInvest zaměřený na podporu Startupů v oblasti poradenství, mentoringu, matchmakingu a zahraniční inkubace. Málo se však doposud uplatňuje a využívá např. posílení brandingu, zlepšování celkového image podniků apod.</w:t>
            </w:r>
          </w:p>
          <w:p w14:paraId="2D983558"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43432EA3" w14:textId="77777777" w:rsidR="00DD3EFA" w:rsidRPr="005A0E7C" w:rsidRDefault="00DD3EFA" w:rsidP="00B15ECB">
            <w:pPr>
              <w:pStyle w:val="Textkomente"/>
            </w:pPr>
            <w:r w:rsidRPr="005A0E7C">
              <w:t>Významný vliv na rozvoj MSP a jejich inovační výkonnosti však mají i projekty velkých podniků, tedy podniků nesplňujících definici MSP, a to vzhledem k jejich potenciálu navázat na sebe MSP v rámci subdodavatelských vztahů. V rámci OP PIK se MPO s EK podařilo vyjednat, že projekty, projekty účinné spolupráce Velkých Podniků (VP) s MSP v programech Potenciál a Aplikace s kódem intervence 063 se nezapočítávají do jinak striktně sledovaného limitu 20% pro VP z alokace OP PIK. Tím byl podpořen inovační potenciál kooperace VP a MSP. Jinak převaha individuální podpory z OP PIK 2014-2020 byla směřována do oblasti MSP, zejména v PO 2 Rozvoj podnikání a konkurenceschopnosti MSP.</w:t>
            </w:r>
          </w:p>
          <w:p w14:paraId="0360E980" w14:textId="77777777" w:rsidR="00DD3EFA" w:rsidRPr="005A0E7C" w:rsidRDefault="00DD3EFA" w:rsidP="00B15ECB">
            <w:pPr>
              <w:pStyle w:val="Textkomente"/>
            </w:pPr>
          </w:p>
          <w:p w14:paraId="37EA958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 V této souvislosti je potřeba zmínit problematiku stávající definice MSP na evropské úrovni, která v současnosti české firmy znevýhodňuje. Oproti firmám z bohatších členských států totiž české firmy při srovnatelném obratu většinou mají vyšší počet zaměstnanců. Díky tomu nejsou schopni kritéria pro MSP splnit, a tak jsou následně znevýhodněny v evropském dotačním prostředí, neboť nemohou dotační nástroje na podporu MSP využívat. Řešením by bylo zrušení kritéria počtu zaměstnanců z definice MSP a ponechat pouze kritérium ročního obratu.</w:t>
            </w:r>
          </w:p>
          <w:p w14:paraId="3D769D67"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V oblasti podpory MSP hrají stále důležitější úlohu též finanční nástroje. V roce 2017 byl úspěšně spuštěn úvěrový program Expanze, který zpřístupňuje MSP úvěrové financování jejich investic do rozvoje firmy a zavádění nových technologií. Cílů podpory MSP je tedy dosahováno na návratném principu, který umožní zdroje z úvěrů v příštím období opět využít.</w:t>
            </w:r>
          </w:p>
          <w:p w14:paraId="0A8157F5"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1F17F5D2"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V rámci OPPIK se ve spolupráci s Evropským investičním fondem připravuje ke spuštění též historicky první nástroj na podporu startupů formou rizikového kapitálu, v modelu fondu fondů. Implementace je ve fázi výběru finančních zprostředkovatelů, kteří následně budou prostředky investovat.</w:t>
            </w:r>
          </w:p>
          <w:p w14:paraId="753E4C62"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7205364C"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Nízký zájem je naopak patrný v rámci programu podpory Školicí střediska, který se zaměřuje na rozvoj infrastruktury pro odborné vzdělávání v podnicích. </w:t>
            </w:r>
          </w:p>
          <w:p w14:paraId="4D00F4A0"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38B57112"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V rámci OP PIK je dále umožněna podpora poradenských služeb, nicméně výzvy na poradenství budou teprve vyhlašovány. Obecně je však patrná snaha o větší koncentraci prostředků na specializované a cílené služby zaměřené na podporu rozvoje a konkurenceschopnosti MSP v oblasti aktuálních výzev, jako např. v oblasti digitalizace MSP.  Rovněž je patrné úsilí směřující ke zlepšení podnikatelského prostředí a poradenských služeb pro start-upy umožňující jejich rozvoj. V této oblasti je snaha aktivně přizpůsobovat nabídku služeb aktuální poptávce ze strany start-upů.</w:t>
            </w:r>
          </w:p>
          <w:p w14:paraId="23BF9C4D"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08DC0ADF"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Jako obecně problematická je i nadále možnost vytvoření funkčních synergických a komplementárních vazeb mezi využitím evropských prostředků na národní úrovni v rámci OPPIK a zvýšenou účastí a úspěšností českých inovativních MSP v Rámcovém programu pro výzkum a inovace Horizont 2020. Kromě rozdílných implementačních pravidel a obtížnému sladění časového harmonogramu obou nástrojů zde hrají svou roli i přetrvávající tradiční vazby mezi partnery z tzv. starých členských států, kteří tak zůstávají dominantními žadateli a příjemci centrálně řízených programů.   </w:t>
            </w:r>
          </w:p>
          <w:p w14:paraId="7C99B8C4"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30523A67" w14:textId="77777777" w:rsidR="00DD3EFA" w:rsidRPr="005A0E7C" w:rsidRDefault="00DD3EFA" w:rsidP="00B15ECB">
            <w:pPr>
              <w:pStyle w:val="slovanodstavec"/>
              <w:tabs>
                <w:tab w:val="left" w:pos="284"/>
              </w:tabs>
              <w:suppressAutoHyphens/>
              <w:rPr>
                <w:rFonts w:ascii="Times New Roman" w:hAnsi="Times New Roman"/>
              </w:rPr>
            </w:pPr>
            <w:r w:rsidRPr="005A0E7C">
              <w:rPr>
                <w:rFonts w:ascii="Times New Roman" w:hAnsi="Times New Roman"/>
                <w:u w:val="single"/>
              </w:rPr>
              <w:t>Program rozvoje venkova</w:t>
            </w:r>
            <w:r w:rsidRPr="005A0E7C">
              <w:rPr>
                <w:rFonts w:ascii="Times New Roman" w:hAnsi="Times New Roman"/>
              </w:rPr>
              <w:t xml:space="preserve"> -  podpora malého a středního podnikání je realizována prostřednictvím následujících projektových operací. Investice do hmotného majetku (M04), operace 4.1.1 Investice do zemědělských podniků, a operace 4.2.1 Zpracování a uvádění na trh zemědělských produktů. Toto opatření je zaměřeno na zvýšení konkurenceschopnosti zemědělských MSP v oblastech zemědělství, potravinářství a lesnictví a také přispět k dosažení udržitelného hospodaření s přírodními zdroji. </w:t>
            </w:r>
            <w:r w:rsidRPr="005A0E7C">
              <w:rPr>
                <w:rFonts w:ascii="Times New Roman" w:hAnsi="Times New Roman"/>
                <w:i/>
              </w:rPr>
              <w:t>Investice do zemědělských podniků vykazují vysokou absorpční schopnost.</w:t>
            </w:r>
          </w:p>
          <w:p w14:paraId="5D975D5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Rozvoj zemědělských podniků a podnikatelské činnosti (M06) je realizován skrze operace 6.1.1 Zahájení činnosti mladých zemědělců, 6.4.1 Investice do nezemědělských činností, 6.4.2 Podpora agroturistiky, a 6.4.3 Investice na podporu energie z obnovitelných zdrojů. Cílem těchto opatření je napomoci generační obnově v zemědělství a současně usnadnit vstup dostatečně kvalifikovaných zemědělců do odvětví, usnadnit diverzifikaci do nezemědělských činností a stimulovat tak vytváření pracovních míst, přičemž jsou podporovány stavební a technologické investice v zemědělských podnicích vedoucí k rozdělení aktivit do dalších oblastí. </w:t>
            </w:r>
            <w:r w:rsidRPr="005A0E7C">
              <w:rPr>
                <w:rFonts w:ascii="Times New Roman" w:hAnsi="Times New Roman"/>
                <w:i/>
              </w:rPr>
              <w:t xml:space="preserve">V rámci podpořených projektů v této oblasti má být vytvořeno 1100 pracovních míst, ale do konce roku 2017 žádné vytvořeno nebylo. </w:t>
            </w:r>
          </w:p>
          <w:p w14:paraId="12E54108" w14:textId="77777777" w:rsidR="00DD3EFA" w:rsidRPr="005A0E7C" w:rsidRDefault="00DD3EFA" w:rsidP="00B15ECB">
            <w:pPr>
              <w:pStyle w:val="slovanodstavec"/>
              <w:tabs>
                <w:tab w:val="left" w:pos="284"/>
              </w:tabs>
              <w:suppressAutoHyphens/>
              <w:jc w:val="left"/>
              <w:rPr>
                <w:rFonts w:ascii="Times New Roman" w:hAnsi="Times New Roman"/>
              </w:rPr>
            </w:pPr>
            <w:r w:rsidRPr="005A0E7C">
              <w:rPr>
                <w:rFonts w:ascii="Times New Roman" w:hAnsi="Times New Roman"/>
              </w:rPr>
              <w:t>Investice do rozvoje lesních oblastí a zlepšování životaschopnosti lesů (M08) skrze operace 8.6.1 Technika a technologie pro lesní hospodářství a 8.6.2 Technické vybavení dřevozpracujících provozoven. Opatření je zaměřeno na ochranu životního prostředí a podporu účinného využívání zdrojů, podporu přizpůsobení se změně klimatu, přecházení rizikům a jejich řízení. Jeho účelem je přispět k dosažení udržitelného hospodaření s přírodními zdroji a zvýšení konkurenceschopnosti MSP v odvětví zemědělství.</w:t>
            </w:r>
          </w:p>
          <w:p w14:paraId="7FFC82A1" w14:textId="77777777" w:rsidR="00DD3EFA" w:rsidRPr="005A0E7C" w:rsidRDefault="00DD3EFA" w:rsidP="00B15ECB">
            <w:pPr>
              <w:pStyle w:val="slovanodstavec"/>
              <w:tabs>
                <w:tab w:val="left" w:pos="284"/>
              </w:tabs>
              <w:suppressAutoHyphens/>
              <w:rPr>
                <w:rFonts w:ascii="Times New Roman" w:hAnsi="Times New Roman"/>
                <w:i/>
              </w:rPr>
            </w:pPr>
            <w:r w:rsidRPr="005A0E7C">
              <w:rPr>
                <w:rFonts w:ascii="Times New Roman" w:hAnsi="Times New Roman"/>
              </w:rPr>
              <w:t>V rámci opatření 16.4.1 podporující krátké dodavatelské řetězce (KDŘ) mohou MSP podat žádost o grant</w:t>
            </w:r>
            <w:r w:rsidRPr="005A0E7C">
              <w:rPr>
                <w:rFonts w:ascii="Times New Roman" w:hAnsi="Times New Roman"/>
                <w:i/>
              </w:rPr>
              <w:t>, ale ze strany žadatelů o tyto projekty nebyl zájem.</w:t>
            </w:r>
          </w:p>
          <w:p w14:paraId="152C599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Na posílení místního rozvoje ve venkovských oblastech se PRV zaměřuje prostřednictvím opatření LEADER, spočívajícího v podpoře komunitně vedeného místního rozvoje a spolupráce místních akčních skupin. </w:t>
            </w:r>
          </w:p>
          <w:p w14:paraId="6174EBE9"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u w:val="single"/>
              </w:rPr>
              <w:t>Operační program Rybářství</w:t>
            </w:r>
            <w:r w:rsidRPr="005A0E7C">
              <w:rPr>
                <w:rFonts w:ascii="Times New Roman" w:hAnsi="Times New Roman"/>
              </w:rPr>
              <w:t xml:space="preserve"> rovněž nabízí podporu z ESI fondů (konkrétně ENRF) pro MSP, působící v akvakultuře.  Jsou podporovány inovace, produktivní investice do akvakultury, podpora nových chovatelů, recirkulační zařízení a průtočné systémy s dočišťováním, akvakultura poskytující environmentální služby, shromažďování údajů a sledovatelnost produktů, plány produkce, uvádění produktů na trh a investice do zpracování produktů. </w:t>
            </w:r>
            <w:r w:rsidRPr="005A0E7C">
              <w:rPr>
                <w:rFonts w:ascii="Times New Roman" w:hAnsi="Times New Roman"/>
                <w:i/>
              </w:rPr>
              <w:t>Zatímco o investice je zájem ze strany žadatelů, o shromažďování údajů a sledování produktů není zájem.</w:t>
            </w:r>
          </w:p>
          <w:p w14:paraId="5D8B3A7C"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414F960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Na území hl. m. Prahy jsou v rámci OP PPR podporovány aktivity, jejichž cílem je usnadnění rozvoje nových inovativních MSP; zlepšení služeb pro inovace a podnikání; a kvalitnější zařízení inovační infrastruktury pro začínající inovativní MSP. Jedná se o výzvy na zvyšování kvality a efektivity fungování vědeckotechnických parků (včetně inkubátorů), vznik a rozvoj kapacit poskytujících progresivní služby pro podnikatele a rozvoj inovačních firem v počátečních obdobích jejich životního cyklu. Mezi nejvýznamnější aktivity patří tzv. vouchery pro podnikatele, které se v současné době začínají realizovat. Co se týče aktivity týkající se vědeckotechnických parků, tak v 1. výzvě došlo k vyloučení velkého počtu podaných žádostí o podporu a v důsledku toho byla provedena revize nastavené výzvy. 2. výzva byla vyhlášena již za změněných podmínek. </w:t>
            </w:r>
          </w:p>
          <w:p w14:paraId="253AF1AB"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Kombinace národních zdrojů s prostředky ESIF hraje významnou roli také při ekonomické transformaci strukturálně postižených regionů, mezi které se řadí zejména Moravskoslezský, Ústecký a Karlovarský kraj. Nově jsou tyto kraje na úrovni NUTS-2 zařazeny mezi evropské regiony tzv. Uhelné platformy schválené Evropskou komisí. Tato Platforma pro uhelné regiony si klade za cíl podporovat přechod na čistou energii spolu s posílením strukturální transformace, podpory nových dovedností a financování pro reálnou ekonomiku zaměřenou zejména na začínající a rozvíjející se MSP. V podmínkách České republiky se jedná o posílení synergických efektů mezi OPPIK, národním programem RE:START a Akčním plánem hospodářské restrukturalizace těchto krajů s cílem přispět k realizaci procesu jejich úspěšné transformace a minimalizaci jejích negativních sociálních, ekonomických a environmentálních dopadů.</w:t>
            </w:r>
          </w:p>
          <w:p w14:paraId="6155FB45" w14:textId="77777777" w:rsidR="00DD3EFA" w:rsidRPr="005A0E7C" w:rsidRDefault="00DD3EFA" w:rsidP="00B15ECB">
            <w:pPr>
              <w:rPr>
                <w:b/>
              </w:rPr>
            </w:pPr>
          </w:p>
        </w:tc>
        <w:tc>
          <w:tcPr>
            <w:tcW w:w="249" w:type="dxa"/>
            <w:tcBorders>
              <w:top w:val="nil"/>
              <w:left w:val="nil"/>
              <w:bottom w:val="nil"/>
            </w:tcBorders>
            <w:shd w:val="clear" w:color="auto" w:fill="66CCFF"/>
          </w:tcPr>
          <w:p w14:paraId="3A957137" w14:textId="77777777" w:rsidR="00DD3EFA" w:rsidRPr="005A0E7C" w:rsidRDefault="00DD3EFA" w:rsidP="00B15ECB">
            <w:pPr>
              <w:rPr>
                <w:b/>
              </w:rPr>
            </w:pPr>
          </w:p>
        </w:tc>
      </w:tr>
      <w:tr w:rsidR="00DD3EFA" w:rsidRPr="005A0E7C" w14:paraId="08CFEA9F" w14:textId="77777777" w:rsidTr="00B15ECB">
        <w:trPr>
          <w:trHeight w:val="1258"/>
        </w:trPr>
        <w:tc>
          <w:tcPr>
            <w:tcW w:w="249" w:type="dxa"/>
            <w:tcBorders>
              <w:top w:val="nil"/>
              <w:bottom w:val="nil"/>
              <w:right w:val="nil"/>
            </w:tcBorders>
            <w:shd w:val="clear" w:color="auto" w:fill="66CCFF"/>
          </w:tcPr>
          <w:p w14:paraId="348CAEC6" w14:textId="77777777" w:rsidR="00DD3EFA" w:rsidRPr="005A0E7C" w:rsidRDefault="00DD3EFA" w:rsidP="00B15ECB">
            <w:pPr>
              <w:rPr>
                <w:b/>
              </w:rPr>
            </w:pPr>
          </w:p>
        </w:tc>
        <w:tc>
          <w:tcPr>
            <w:tcW w:w="2548" w:type="dxa"/>
            <w:shd w:val="clear" w:color="auto" w:fill="FFFFFF" w:themeFill="background1"/>
          </w:tcPr>
          <w:p w14:paraId="1419B9F9" w14:textId="77777777" w:rsidR="00DD3EFA" w:rsidRPr="005A0E7C" w:rsidRDefault="00DD3EFA" w:rsidP="00B15ECB">
            <w:pPr>
              <w:rPr>
                <w:rFonts w:eastAsiaTheme="majorEastAsia"/>
                <w:b/>
              </w:rPr>
            </w:pPr>
            <w:r w:rsidRPr="005A0E7C">
              <w:rPr>
                <w:rFonts w:eastAsiaTheme="majorEastAsia"/>
                <w:b/>
              </w:rPr>
              <w:t>Věcný posun oblasti</w:t>
            </w:r>
          </w:p>
          <w:p w14:paraId="3A004958"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380A7E2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ajorEastAsia" w:hAnsi="Times New Roman"/>
                <w:noProof/>
              </w:rPr>
            </w:pPr>
            <w:r w:rsidRPr="005A0E7C">
              <w:rPr>
                <w:rFonts w:ascii="Times New Roman" w:eastAsiaTheme="majorEastAsia" w:hAnsi="Times New Roman"/>
                <w:noProof/>
              </w:rPr>
              <w:t>V období 2007–2013 byly tyto aktivity předmětem podpory v programech Start, Progres, Záruka, Rozvoj, Poradenství, Marketing, částečně také Inovace a Potenciál, ICT a stategické služby a ICT v podnicích. Ty byly předmětem hodnocení v rámci Ex-post evaluace OPPI:</w:t>
            </w:r>
          </w:p>
          <w:p w14:paraId="05974996" w14:textId="77777777" w:rsidR="00DD3EFA" w:rsidRPr="005A0E7C" w:rsidRDefault="00DD3EFA" w:rsidP="00B15ECB">
            <w:pPr>
              <w:spacing w:before="60"/>
              <w:rPr>
                <w:rFonts w:eastAsiaTheme="majorEastAsia"/>
              </w:rPr>
            </w:pPr>
            <w:r w:rsidRPr="005A0E7C">
              <w:rPr>
                <w:rFonts w:eastAsiaTheme="majorEastAsia"/>
              </w:rPr>
              <w:t>Start: „Tento finanční nástroj dle názorů, získaných prostřednictvím realizovaných polostrukturovaných a skupinových rozhovorů se samotnými příjemci, výrazně pomáhá začátku podnikání a umožňuje rozjezd podnikání, který by bez finanční podpory nebyl možný. Fungování programu směrem k tomuto cíli popisují také případové studie vybraných konkrétních projektů programu podpory Start. Závěr: Operační cíl byl v rámci realizace programu naplněn.“</w:t>
            </w:r>
          </w:p>
          <w:p w14:paraId="17EEACAD" w14:textId="77777777" w:rsidR="00DD3EFA" w:rsidRPr="005A0E7C" w:rsidRDefault="00DD3EFA" w:rsidP="00B15ECB">
            <w:pPr>
              <w:spacing w:before="60"/>
              <w:rPr>
                <w:rFonts w:eastAsiaTheme="majorEastAsia"/>
              </w:rPr>
            </w:pPr>
            <w:r w:rsidRPr="005A0E7C">
              <w:rPr>
                <w:rFonts w:eastAsiaTheme="majorEastAsia"/>
              </w:rPr>
              <w:t>Progres, Záruka: „Rozvoj podniků na konkurenceschopnou úroveň je mnohdy limitován nedostatkem finančních prostředků. Finanční nástroje v rámci programu OPPI tento limit odstraňují a prostřednictvím záruk dávají možnost k rozvoji a zajištěné konkurenceschopnosti. Stejně jako u ostatních finančních nástrojů, i zde je dle realizovaného průzkumu a rozhovorů podpora vnímána velice pozitivně ze strany podpořených subjektů. Na základě provedené kontrafaktuální dopadové analýzy ale nelze v současné době prokázat, že by podpořené subjekty v porovnání s nepodpořenými, byly konkurenceschopnější.“</w:t>
            </w:r>
          </w:p>
          <w:p w14:paraId="3A6330A1" w14:textId="77777777" w:rsidR="00DD3EFA" w:rsidRPr="005A0E7C" w:rsidRDefault="00DD3EFA" w:rsidP="00B15ECB">
            <w:pPr>
              <w:spacing w:before="60"/>
              <w:rPr>
                <w:rFonts w:eastAsiaTheme="majorEastAsia"/>
              </w:rPr>
            </w:pPr>
            <w:r w:rsidRPr="005A0E7C">
              <w:rPr>
                <w:rFonts w:eastAsiaTheme="majorEastAsia"/>
              </w:rPr>
              <w:t>Rozvoj, ICT a stategické služby a ICT v podnicích: „Pořízení moderních technologií a zvyšování úrovně ICT infrastruktury proběhlo prostřednictvím programů Rozvoj, ICT v podnicích a ICT a strategické služby. V rámci programu došlo k naplnění všech plánovaných cílů, což dokazuje naplnění jednotlivých monitorovacích indikátorů. Z výsledků případových studií vyplývá, že tyto investice přispívají ke zvýšení konkurenceschopnosti podpořených firem, potažmo i k posílení sektoru ICT a služeb v rámci české ekonomiky. Závěr: Operační cíl byl v rámci realizace programu naplněn.“</w:t>
            </w:r>
          </w:p>
          <w:p w14:paraId="0A4D6AC8" w14:textId="77777777" w:rsidR="00DD3EFA" w:rsidRPr="005A0E7C" w:rsidRDefault="00DD3EFA" w:rsidP="00B15ECB">
            <w:pPr>
              <w:spacing w:before="60"/>
              <w:rPr>
                <w:rFonts w:eastAsiaTheme="majorEastAsia"/>
              </w:rPr>
            </w:pPr>
            <w:r w:rsidRPr="005A0E7C">
              <w:rPr>
                <w:rFonts w:eastAsiaTheme="majorEastAsia"/>
              </w:rPr>
              <w:t>Inovace: „Stimulace inovační aktivity podniků byla provedena prostřednictvím dotační podpory na zavádění inovativních procesů a výrobků. Inovace mají řadu pozitivních dopadů na podpořené subjekty, ale také na další subjekty na inovaci navázané, například spolupracující subjekty nebo odběratelé inovativních služeb a výrobků, které mohou jejich přidanou hodnotu využít pro svůj vlastní rozvoj. Na inovace tak nelze nahlížet pouze jako na podporu konkrétních podniků, ale jako na komplexní rozvoj technologické úrovně v daných oblastech a oborech. V rámci programu Inovace byly realizovány inovační aktivity v plánované míře včetně projektů zaměřených na ochranu práv průmyslového vlastnictví, což dokazuje naplnění většiny projektových indikátorů. Závěr: Operační cíl byl v rámci realizace programu naplněn.“</w:t>
            </w:r>
          </w:p>
          <w:p w14:paraId="57062969" w14:textId="77777777" w:rsidR="00DD3EFA" w:rsidRPr="005A0E7C" w:rsidRDefault="00DD3EFA" w:rsidP="00B15ECB">
            <w:pPr>
              <w:spacing w:before="60"/>
              <w:rPr>
                <w:rFonts w:eastAsiaTheme="majorEastAsia"/>
              </w:rPr>
            </w:pPr>
            <w:r w:rsidRPr="005A0E7C">
              <w:rPr>
                <w:rFonts w:eastAsiaTheme="majorEastAsia"/>
              </w:rPr>
              <w:t>Potenciál: „K plnění operačního cíle výrazně přispívá program Potenciál, v rámci kterého byly realizovány projekty zaměřené na rozvoj výzkumných a inovačních center. Efektivní výzkum a vývoj je podmínkou pro jakékoliv inovace. Realizace aktivit, které mají za úkol vznik a přenos výsledku VaV do praxe, výrazně zvyšují možnosti inovací na úrovní podniků. Z výsledků realizovaných průzkumů a analýzy konkrétních projektů v rámci případové studie programu podpory Potenciál vyplývá, že pořízení správných nových technologií vede ke zvyšování výzkumného potenciálu podniků realizujících výzkum a vývoj. Nové technologie výrazně rozšiřují možnost realizovat výzkum a přináší tak řadu navazujících efektů právě díky navazujícímu výzkumu a vývoji. Závěr: Operační cíl byl v rámci realizace programu naplněn.“</w:t>
            </w:r>
          </w:p>
          <w:p w14:paraId="226F882C" w14:textId="77777777" w:rsidR="00DD3EFA" w:rsidRPr="005A0E7C" w:rsidRDefault="00DD3EFA" w:rsidP="00B15ECB">
            <w:pPr>
              <w:spacing w:before="60"/>
              <w:rPr>
                <w:rFonts w:eastAsiaTheme="majorEastAsia"/>
              </w:rPr>
            </w:pPr>
            <w:r w:rsidRPr="005A0E7C">
              <w:rPr>
                <w:rFonts w:eastAsiaTheme="majorEastAsia"/>
              </w:rPr>
              <w:t>Poradenství: „Podpora poradenských služeb byla v programu zaměřena především na realizaci projektů, které spočívaly ve využití poradenských služeb podpořenými podniky. Pokud však v rámci operačního cíle hovoříme o rozvoji kvality poradenských služeb, tak v rámci tohoto programu chybí vyšší míra aktivit zaměřených na rozvoj a podporu podniků, které poradenství poskytují. Do určité míry lze tvrdit, že podpora těmto podnikům jde zprostředkovaně přes podpořené podniky, které si u nich poradenství objednají. Program samotný však nevytváří motivaci a podporu aktivit, které by vedly ke zkvalitňování poradenských služeb. Závěr: Operační cíl byl naplněn pouze v omezené míře.“</w:t>
            </w:r>
          </w:p>
          <w:p w14:paraId="2BC7D075" w14:textId="6F812538" w:rsidR="00DD3EFA" w:rsidRPr="005A0E7C" w:rsidRDefault="00DD3EFA" w:rsidP="00B15ECB">
            <w:pPr>
              <w:spacing w:before="60"/>
              <w:rPr>
                <w:rFonts w:eastAsiaTheme="majorEastAsia"/>
              </w:rPr>
            </w:pPr>
            <w:r w:rsidRPr="005A0E7C">
              <w:rPr>
                <w:rFonts w:eastAsiaTheme="majorEastAsia"/>
              </w:rPr>
              <w:t>Marketing: „Marketingová připravenost podniků byla v rámci OPPI podpořena prostřednictvím programu podpory Marketing. Příjemci díky němu získali možnost vlastní propagace na trzích prostřednictvím veletržních akcí, na které by se v plné míře bez dotační podpory nedostali. Ze zkušeností podpořených podniků je patrné, že tyto aktivity jejich konkurenceschopnosti prospěly nejen v krátkodobém horizontu jedné podpořené akce, ale příjemci na základě získaných zkušeností byli schopni v navazujících obdobích realizovat marketing z vlastních zdrojů s vyšší efektivitou a přidanou hodnotou. Z provedených průzkumů, rozhovorů a případových studií vyplývá, že bez dotační podpory by podniky mohly realizovat marketingové aktivity pouze v omezené podobě, což by mělo negativní dopady na jejich konkurenceschopnost. Na základě provedené kontrafaktuální dopadové analýzy</w:t>
            </w:r>
            <w:r w:rsidR="006A6ACB" w:rsidRPr="005A0E7C">
              <w:rPr>
                <w:rFonts w:eastAsiaTheme="majorEastAsia"/>
              </w:rPr>
              <w:t xml:space="preserve">, </w:t>
            </w:r>
            <w:r w:rsidRPr="005A0E7C">
              <w:rPr>
                <w:rFonts w:eastAsiaTheme="majorEastAsia"/>
              </w:rPr>
              <w:t>ale nelze v současné době prokázat, že by podpořené subjekty v porovnání s nepodpořenými, byly konkurenceschopnější. Závěr: Operační cíl byl naplněn pouze v omezené míře.“</w:t>
            </w:r>
          </w:p>
          <w:p w14:paraId="2B94F57E" w14:textId="77777777" w:rsidR="00DD3EFA" w:rsidRPr="005A0E7C" w:rsidRDefault="00DD3EFA" w:rsidP="00B15ECB">
            <w:pPr>
              <w:spacing w:before="60"/>
              <w:rPr>
                <w:rFonts w:eastAsiaTheme="majorEastAsia"/>
              </w:rPr>
            </w:pPr>
          </w:p>
          <w:p w14:paraId="0C9AA636" w14:textId="77777777" w:rsidR="00DD3EFA" w:rsidRPr="005A0E7C" w:rsidRDefault="00DD3EFA" w:rsidP="00B15ECB">
            <w:pPr>
              <w:rPr>
                <w:rFonts w:eastAsiaTheme="majorEastAsia"/>
              </w:rPr>
            </w:pPr>
            <w:r w:rsidRPr="005A0E7C">
              <w:rPr>
                <w:rFonts w:eastAsiaTheme="majorEastAsia"/>
              </w:rPr>
              <w:t>Za období 2014–2020 vyhodnocení probíhá v těchto dnech. Jde o Výsledkové evaluace SC 2.1, 2.2, 1.1 a 4.2 OP PIK</w:t>
            </w:r>
            <w:r w:rsidRPr="005A0E7C">
              <w:t>.</w:t>
            </w:r>
            <w:r w:rsidRPr="005A0E7C">
              <w:rPr>
                <w:rFonts w:eastAsiaTheme="majorEastAsia"/>
              </w:rPr>
              <w:t xml:space="preserve"> Dne 1. 2. 2019 byly předány Vstupní zprávy, Závěrečné zprávy se předpokládají v červnu 2019.</w:t>
            </w:r>
          </w:p>
          <w:p w14:paraId="23E72B61" w14:textId="77777777" w:rsidR="00DD3EFA" w:rsidRPr="005A0E7C" w:rsidRDefault="00DD3EFA" w:rsidP="00B15ECB">
            <w:pPr>
              <w:rPr>
                <w:rFonts w:eastAsiaTheme="majorEastAsia"/>
              </w:rPr>
            </w:pPr>
            <w:r w:rsidRPr="005A0E7C">
              <w:t xml:space="preserve">V současné době představuji malé a střední podniky v České republice více než 1 milion ekonomických subjektů a zaměstnávají téměř 60 % zaměstnanců. Počet podnikatelských subjektů a přidaná hodnota oproti předchozímu období mírně vzrostly. Za pozitivní trend se dá rovněž považovat nárůst investice do hmotného a nehmotného majetku, zaměstnanců a výkonu. </w:t>
            </w:r>
            <w:r w:rsidRPr="005A0E7C">
              <w:rPr>
                <w:rFonts w:eastAsiaTheme="majorEastAsia"/>
              </w:rPr>
              <w:t xml:space="preserve">Věcný posun v oblasti směrem k aktivitám blízkým trhu a komercializaci a využívání nových zjednodušených schémat typu inovační vouchery pro menší individuální projekty MSP je předpokladem pro zajištění vysoké absorpční kapacity tohoto SC. </w:t>
            </w:r>
          </w:p>
          <w:p w14:paraId="7677DFD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eastAsiaTheme="majorEastAsia" w:hAnsi="Times New Roman"/>
              </w:rPr>
              <w:t xml:space="preserve">V rámci naplňování dílčího cíle posílení internacionalizace MSP, ať už prostřednictvím účastí MSP na zahraničních veletrzích a výstavách nebo podporou start-upů prostřednictvím mentoringu a poradenských služeb zaměřených na jejich rozvoj na zahraničních trzích, je patrný permanentní zájem ze strany MSP. Určitým úskalím je spíše nižší objem finančních prostředků na tyto projekty a také opakující se zájem ze strany MSP.  </w:t>
            </w:r>
          </w:p>
        </w:tc>
        <w:tc>
          <w:tcPr>
            <w:tcW w:w="249" w:type="dxa"/>
            <w:tcBorders>
              <w:top w:val="nil"/>
              <w:left w:val="nil"/>
              <w:bottom w:val="nil"/>
            </w:tcBorders>
            <w:shd w:val="clear" w:color="auto" w:fill="66CCFF"/>
          </w:tcPr>
          <w:p w14:paraId="6FD2E609" w14:textId="77777777" w:rsidR="00DD3EFA" w:rsidRPr="005A0E7C" w:rsidRDefault="00DD3EFA" w:rsidP="00B15ECB">
            <w:pPr>
              <w:rPr>
                <w:b/>
              </w:rPr>
            </w:pPr>
          </w:p>
        </w:tc>
      </w:tr>
      <w:tr w:rsidR="00DD3EFA" w:rsidRPr="005A0E7C" w14:paraId="2493A042" w14:textId="77777777" w:rsidTr="00B15ECB">
        <w:trPr>
          <w:trHeight w:val="1258"/>
        </w:trPr>
        <w:tc>
          <w:tcPr>
            <w:tcW w:w="249" w:type="dxa"/>
            <w:tcBorders>
              <w:top w:val="nil"/>
              <w:bottom w:val="nil"/>
              <w:right w:val="nil"/>
            </w:tcBorders>
            <w:shd w:val="clear" w:color="auto" w:fill="66CCFF"/>
          </w:tcPr>
          <w:p w14:paraId="2B689946" w14:textId="77777777" w:rsidR="00DD3EFA" w:rsidRPr="005A0E7C" w:rsidRDefault="00DD3EFA" w:rsidP="00B15ECB">
            <w:pPr>
              <w:rPr>
                <w:b/>
              </w:rPr>
            </w:pPr>
          </w:p>
        </w:tc>
        <w:tc>
          <w:tcPr>
            <w:tcW w:w="2548" w:type="dxa"/>
            <w:shd w:val="clear" w:color="auto" w:fill="FFFFFF" w:themeFill="background1"/>
          </w:tcPr>
          <w:p w14:paraId="66CCDF27" w14:textId="77777777" w:rsidR="00DD3EFA" w:rsidRPr="005A0E7C" w:rsidRDefault="00DD3EFA" w:rsidP="00B15ECB">
            <w:pPr>
              <w:rPr>
                <w:rFonts w:eastAsiaTheme="majorEastAsia"/>
                <w:b/>
              </w:rPr>
            </w:pPr>
            <w:r w:rsidRPr="005A0E7C">
              <w:rPr>
                <w:rFonts w:eastAsiaTheme="majorEastAsia"/>
                <w:b/>
              </w:rPr>
              <w:t>Synergické a multiplikační efekty</w:t>
            </w:r>
          </w:p>
          <w:p w14:paraId="5C99DB5E"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15819D30" w14:textId="77777777" w:rsidR="00DD3EFA" w:rsidRPr="005A0E7C" w:rsidRDefault="00DD3EFA" w:rsidP="00B15ECB">
            <w:r w:rsidRPr="005A0E7C">
              <w:t>Vytvoření funkčních synergických a komplementárních vazeb využitím evropských prostředků na národní úrovni v rámci OPPIK a účastí českých inovativních MSP v rámcovém programu pro výzkum a inovace Horizont 2020 se ukázala jako problematická (rozdílná implementační pravidla, sladění časového harmonogramu obou nástrojů). Navzdory tomu byla vyhlášena speciální komplementární Clean Sky 2 výzva pod programem Aplikace, jež byla otevřena od prosince 2017 do dubna 2018. Komplementarita výzvy spočívala v tom, že předložená témata musela být komplementární s pracovním plánem rámcového programu na podporu leteckého průmyslu Clean Sky 2 a součástí hodnocení byly bodové bonusy za předchozí aktivitu v Clean Sky 2. Výzva byla založena na účinné spolupráci MSP s velkými podniky.</w:t>
            </w:r>
          </w:p>
          <w:p w14:paraId="2877ED7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Naopak rámcový program COSME se ukázal být vhodným nástrojem pro vytvoření synergických efektů, kdy národní program Záruka 2015-2023 využíl protizáruky COSME a později také EFSI. Tomuto nástroji byl vhodně přizpůsoben program podpory Expanze, který se oproti původní myšlence poskytování záručních a úvěrových nástrojů zaměřil pouze na nabídku zvýhodněných úvěrů.</w:t>
            </w:r>
          </w:p>
        </w:tc>
        <w:tc>
          <w:tcPr>
            <w:tcW w:w="249" w:type="dxa"/>
            <w:tcBorders>
              <w:top w:val="nil"/>
              <w:left w:val="nil"/>
              <w:bottom w:val="nil"/>
            </w:tcBorders>
            <w:shd w:val="clear" w:color="auto" w:fill="66CCFF"/>
          </w:tcPr>
          <w:p w14:paraId="1BDDBC75" w14:textId="77777777" w:rsidR="00DD3EFA" w:rsidRPr="005A0E7C" w:rsidRDefault="00DD3EFA" w:rsidP="00B15ECB">
            <w:pPr>
              <w:rPr>
                <w:b/>
              </w:rPr>
            </w:pPr>
          </w:p>
        </w:tc>
      </w:tr>
      <w:tr w:rsidR="00DD3EFA" w:rsidRPr="005A0E7C" w14:paraId="5AD3DA10" w14:textId="77777777" w:rsidTr="00B15ECB">
        <w:trPr>
          <w:trHeight w:val="180"/>
        </w:trPr>
        <w:tc>
          <w:tcPr>
            <w:tcW w:w="249" w:type="dxa"/>
            <w:tcBorders>
              <w:top w:val="nil"/>
              <w:bottom w:val="nil"/>
              <w:right w:val="nil"/>
            </w:tcBorders>
            <w:shd w:val="clear" w:color="auto" w:fill="66CCFF"/>
          </w:tcPr>
          <w:p w14:paraId="4E77CFF4"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6571A485"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3C17D33" w14:textId="77777777" w:rsidR="00DD3EFA" w:rsidRPr="005A0E7C" w:rsidRDefault="00DD3EFA" w:rsidP="00B15ECB">
            <w:pPr>
              <w:rPr>
                <w:b/>
              </w:rPr>
            </w:pPr>
          </w:p>
        </w:tc>
        <w:tc>
          <w:tcPr>
            <w:tcW w:w="249" w:type="dxa"/>
            <w:tcBorders>
              <w:top w:val="nil"/>
              <w:left w:val="nil"/>
              <w:bottom w:val="nil"/>
            </w:tcBorders>
            <w:shd w:val="clear" w:color="auto" w:fill="66CCFF"/>
          </w:tcPr>
          <w:p w14:paraId="40ECE32C" w14:textId="77777777" w:rsidR="00DD3EFA" w:rsidRPr="005A0E7C" w:rsidRDefault="00DD3EFA" w:rsidP="00B15ECB">
            <w:pPr>
              <w:rPr>
                <w:b/>
              </w:rPr>
            </w:pPr>
          </w:p>
        </w:tc>
      </w:tr>
      <w:tr w:rsidR="00DD3EFA" w:rsidRPr="005A0E7C" w14:paraId="2E3DF7C7" w14:textId="77777777" w:rsidTr="00B15ECB">
        <w:trPr>
          <w:trHeight w:val="990"/>
        </w:trPr>
        <w:tc>
          <w:tcPr>
            <w:tcW w:w="249" w:type="dxa"/>
            <w:tcBorders>
              <w:top w:val="nil"/>
              <w:bottom w:val="nil"/>
            </w:tcBorders>
            <w:shd w:val="clear" w:color="auto" w:fill="66CCFF"/>
          </w:tcPr>
          <w:p w14:paraId="0C6171C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157A516"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6A64E7C6"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3C1C8C45" w14:textId="77777777" w:rsidR="00DD3EFA" w:rsidRPr="005A0E7C" w:rsidRDefault="00DD3EFA" w:rsidP="00B15ECB">
            <w:pPr>
              <w:rPr>
                <w:b/>
              </w:rPr>
            </w:pPr>
          </w:p>
        </w:tc>
      </w:tr>
      <w:tr w:rsidR="00DD3EFA" w:rsidRPr="005A0E7C" w14:paraId="1C477F58" w14:textId="77777777" w:rsidTr="00B15ECB">
        <w:trPr>
          <w:trHeight w:val="1260"/>
        </w:trPr>
        <w:tc>
          <w:tcPr>
            <w:tcW w:w="249" w:type="dxa"/>
            <w:tcBorders>
              <w:top w:val="nil"/>
              <w:bottom w:val="nil"/>
            </w:tcBorders>
            <w:shd w:val="clear" w:color="auto" w:fill="66CCFF"/>
          </w:tcPr>
          <w:p w14:paraId="1A57566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39B51D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18A062F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color w:val="000000" w:themeColor="text1"/>
              </w:rPr>
            </w:pPr>
            <w:r w:rsidRPr="005A0E7C">
              <w:rPr>
                <w:rFonts w:ascii="Times New Roman" w:hAnsi="Times New Roman"/>
                <w:color w:val="000000" w:themeColor="text1"/>
              </w:rPr>
              <w:t xml:space="preserve">Poptávka žadatelů v rámci SC 1.1 Zvýšit inovační výkonnost podniků (nejen však MSP, ale i VP) převýšila plánovanou alokaci programů podpory, objem předložených žádostí výrazně překračoval plánované alokace výzev. V průběhu implementace již došlo k navyšování prostředků v dané podoblasti. Do konce stávajícího období se plánují další realokace do programů Inovace, Potenciál a Aplikace. </w:t>
            </w:r>
          </w:p>
          <w:p w14:paraId="5C00F20C" w14:textId="72F71576" w:rsidR="00DD3EFA" w:rsidRPr="005A0E7C" w:rsidRDefault="00DD3EFA" w:rsidP="00B15ECB">
            <w:pPr>
              <w:spacing w:before="60" w:after="60"/>
              <w:rPr>
                <w:rFonts w:eastAsiaTheme="majorEastAsia"/>
              </w:rPr>
            </w:pPr>
            <w:r w:rsidRPr="005A0E7C">
              <w:rPr>
                <w:rFonts w:eastAsiaTheme="majorEastAsia"/>
              </w:rPr>
              <w:t>V rámci implementace programu Marketing přetrvává ze strany MSP dlouhodobý zájem o možnost prezentovat se na zahraničních veletrzích a výstavách. Nicméně se jedná spíše o menší projekty v průměru cca 1 500 000 CZK a úskalím v plnění absorpční kapacity je zejména nevyužití schválených prostředků v důsledku změn v počtu veletrhů – jejich nerealizace, a to z důvodu změny strategie společnosti, finančních možností či ze strany organizátora veletrhu</w:t>
            </w:r>
            <w:r w:rsidR="006A6ACB" w:rsidRPr="005A0E7C">
              <w:rPr>
                <w:rFonts w:eastAsiaTheme="majorEastAsia"/>
              </w:rPr>
              <w:t xml:space="preserve">/výstavy. Ve stávajícím období </w:t>
            </w:r>
            <w:r w:rsidRPr="005A0E7C">
              <w:rPr>
                <w:rFonts w:eastAsiaTheme="majorEastAsia"/>
              </w:rPr>
              <w:t>nicméně evidujeme stálý zájem o program Marketing, ačkoli se často jedná o opakující se MSP.</w:t>
            </w:r>
          </w:p>
          <w:p w14:paraId="2B52942C" w14:textId="2942E71F" w:rsidR="00DD3EFA" w:rsidRPr="005A0E7C" w:rsidRDefault="00DD3EFA" w:rsidP="00B15ECB">
            <w:pPr>
              <w:spacing w:before="60" w:after="60"/>
              <w:rPr>
                <w:rFonts w:eastAsiaTheme="majorEastAsia"/>
              </w:rPr>
            </w:pPr>
            <w:r w:rsidRPr="005A0E7C">
              <w:rPr>
                <w:rFonts w:eastAsiaTheme="majorEastAsia"/>
              </w:rPr>
              <w:t xml:space="preserve">V rámci podpory start-upů se tyto služby rozvíjí pomaleji, nicméně s cílem se aktivně přizpůsobovat poptávce začínajících inovativních MSP. Předpokladem je zvyšování absorpční kapacity v dalších letech v návaznosti na rozvoj start-upové scény, zvyšování povědomí o těchto službách na trhu a </w:t>
            </w:r>
            <w:r w:rsidR="006A6ACB" w:rsidRPr="005A0E7C">
              <w:rPr>
                <w:rFonts w:eastAsiaTheme="majorEastAsia"/>
              </w:rPr>
              <w:t>rozšiřování</w:t>
            </w:r>
            <w:r w:rsidRPr="005A0E7C">
              <w:rPr>
                <w:rFonts w:eastAsiaTheme="majorEastAsia"/>
              </w:rPr>
              <w:t xml:space="preserve"> oblastí poskytovaných služeb.</w:t>
            </w:r>
          </w:p>
          <w:p w14:paraId="1A0B1F59" w14:textId="77777777" w:rsidR="00DD3EFA" w:rsidRPr="005A0E7C" w:rsidRDefault="00DD3EFA" w:rsidP="00B15ECB">
            <w:pPr>
              <w:spacing w:before="60" w:after="60"/>
              <w:rPr>
                <w:rFonts w:eastAsiaTheme="majorEastAsia"/>
              </w:rPr>
            </w:pPr>
            <w:r w:rsidRPr="005A0E7C">
              <w:rPr>
                <w:rFonts w:eastAsiaTheme="majorEastAsia"/>
              </w:rPr>
              <w:t xml:space="preserve">Absorpční kapacitu úvěrového nástroje pro MSP EXPANZE OPPIK lze za uplynulý rok a půl hodnotit pozitivně, s narůstající tendencí. K 1. lednu 2019 bylo registrováno 473 žádostí za 3,5 mld. Kč. Odráží se v tom podpora velmi širokého spektra podnikatelských rozvojových projektů, včetně investic do nemovitostí. Záruky v OPPIK byly spuštěny v roce 2019, jejich absorpci lze proto hodnotit až následně, nicméně zkušenosti s národním programem ZÁRUKA ukazují na velmi dobrou absorpční kapacitu. </w:t>
            </w:r>
          </w:p>
        </w:tc>
        <w:tc>
          <w:tcPr>
            <w:tcW w:w="249" w:type="dxa"/>
            <w:tcBorders>
              <w:top w:val="nil"/>
              <w:bottom w:val="nil"/>
            </w:tcBorders>
            <w:shd w:val="clear" w:color="auto" w:fill="66CCFF"/>
          </w:tcPr>
          <w:p w14:paraId="37BE581F" w14:textId="77777777" w:rsidR="00DD3EFA" w:rsidRPr="005A0E7C" w:rsidRDefault="00DD3EFA" w:rsidP="00B15ECB">
            <w:pPr>
              <w:rPr>
                <w:b/>
              </w:rPr>
            </w:pPr>
          </w:p>
        </w:tc>
      </w:tr>
      <w:tr w:rsidR="00DD3EFA" w:rsidRPr="005A0E7C" w14:paraId="1460E15A" w14:textId="77777777" w:rsidTr="00B15ECB">
        <w:trPr>
          <w:trHeight w:val="850"/>
        </w:trPr>
        <w:tc>
          <w:tcPr>
            <w:tcW w:w="249" w:type="dxa"/>
            <w:tcBorders>
              <w:top w:val="nil"/>
              <w:bottom w:val="nil"/>
            </w:tcBorders>
            <w:shd w:val="clear" w:color="auto" w:fill="66CCFF"/>
          </w:tcPr>
          <w:p w14:paraId="7DED23E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D86C24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05D7557E" w14:textId="77777777" w:rsidR="00DD3EFA" w:rsidRPr="005A0E7C" w:rsidRDefault="00DD3EFA" w:rsidP="00B15ECB">
            <w:pPr>
              <w:spacing w:before="60" w:after="60"/>
              <w:rPr>
                <w:rFonts w:eastAsiaTheme="majorEastAsia"/>
              </w:rPr>
            </w:pPr>
            <w:r w:rsidRPr="005A0E7C">
              <w:rPr>
                <w:rFonts w:eastAsiaTheme="majorEastAsia"/>
              </w:rPr>
              <w:t>V dané oblasti lze předpokládat existenci rámcových projektových záměrů vycházejících z aktuálních potřeb MSP. Na základě zkušeností z dosavadních intervencí ESIF lze v této oblasti očekávat větší množství kvalitních projektových záměrů.</w:t>
            </w:r>
          </w:p>
          <w:p w14:paraId="30F76B63" w14:textId="77777777" w:rsidR="00DD3EFA" w:rsidRPr="005A0E7C" w:rsidRDefault="00DD3EFA" w:rsidP="00B15ECB">
            <w:r w:rsidRPr="005A0E7C">
              <w:rPr>
                <w:rFonts w:eastAsiaTheme="majorEastAsia"/>
              </w:rPr>
              <w:t xml:space="preserve">MPO v současnosti řeší/soutěží </w:t>
            </w:r>
            <w:r w:rsidRPr="005A0E7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1EDF79AD" w14:textId="77777777" w:rsidR="00DD3EFA" w:rsidRPr="005A0E7C" w:rsidRDefault="00DD3EFA" w:rsidP="00B15ECB">
            <w:r w:rsidRPr="005A0E7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7E4BAAF9" w14:textId="77777777" w:rsidR="00DD3EFA" w:rsidRPr="005A0E7C" w:rsidRDefault="00DD3EFA" w:rsidP="00B15ECB"/>
          <w:p w14:paraId="37EB1D73" w14:textId="77777777" w:rsidR="00DD3EFA" w:rsidRPr="005A0E7C" w:rsidRDefault="00DD3EFA" w:rsidP="00B15ECB">
            <w:pPr>
              <w:pStyle w:val="Nadpis2"/>
              <w:tabs>
                <w:tab w:val="left" w:pos="3945"/>
              </w:tabs>
              <w:spacing w:after="90"/>
              <w:outlineLvl w:val="1"/>
              <w:rPr>
                <w:rFonts w:ascii="Times New Roman" w:hAnsi="Times New Roman" w:cs="Times New Roman"/>
                <w:b w:val="0"/>
                <w:color w:val="auto"/>
                <w:sz w:val="20"/>
                <w:szCs w:val="20"/>
              </w:rPr>
            </w:pPr>
            <w:r w:rsidRPr="005A0E7C">
              <w:rPr>
                <w:rFonts w:ascii="Times New Roman" w:hAnsi="Times New Roman" w:cs="Times New Roman"/>
                <w:color w:val="auto"/>
                <w:sz w:val="20"/>
                <w:szCs w:val="20"/>
              </w:rPr>
              <w:t>Analytické otázky:</w:t>
            </w:r>
          </w:p>
          <w:p w14:paraId="51D59C85" w14:textId="77777777" w:rsidR="00DD3EFA" w:rsidRPr="005A0E7C" w:rsidRDefault="00DD3EFA" w:rsidP="00B15ECB">
            <w:r w:rsidRPr="005A0E7C">
              <w:t xml:space="preserve">1. Do jaké míry byla naplněna plánovaná absorpční kapacita v současném a minulém programovém období (tj. 2014 - 2020 a 2007 - 2013)? Očekávání vs. realita. </w:t>
            </w:r>
          </w:p>
          <w:p w14:paraId="0AE268B2" w14:textId="77777777" w:rsidR="00DD3EFA" w:rsidRPr="005A0E7C" w:rsidRDefault="00DD3EFA" w:rsidP="00B15ECB">
            <w:r w:rsidRPr="005A0E7C">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2AD727FE" w14:textId="77777777" w:rsidR="00DD3EFA" w:rsidRPr="005A0E7C" w:rsidRDefault="00DD3EFA" w:rsidP="00B15ECB">
            <w:r w:rsidRPr="005A0E7C">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1B25FF03" w14:textId="77777777" w:rsidR="00DD3EFA" w:rsidRPr="005A0E7C" w:rsidRDefault="00DD3EFA" w:rsidP="00B15ECB">
            <w:r w:rsidRPr="005A0E7C">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1BB4D15C" w14:textId="77777777" w:rsidR="00DD3EFA" w:rsidRPr="005A0E7C" w:rsidRDefault="00DD3EFA" w:rsidP="00B15ECB">
            <w:pPr>
              <w:spacing w:before="60" w:after="60"/>
              <w:rPr>
                <w:rFonts w:eastAsiaTheme="majorEastAsia"/>
                <w:i/>
              </w:rPr>
            </w:pPr>
            <w:r w:rsidRPr="005A0E7C">
              <w:t>5. Jaké jsou návrhy opatření na odstranění bariér?</w:t>
            </w:r>
          </w:p>
        </w:tc>
        <w:tc>
          <w:tcPr>
            <w:tcW w:w="249" w:type="dxa"/>
            <w:tcBorders>
              <w:top w:val="nil"/>
              <w:bottom w:val="nil"/>
            </w:tcBorders>
            <w:shd w:val="clear" w:color="auto" w:fill="66CCFF"/>
          </w:tcPr>
          <w:p w14:paraId="02D083E7" w14:textId="77777777" w:rsidR="00DD3EFA" w:rsidRPr="005A0E7C" w:rsidRDefault="00DD3EFA" w:rsidP="00B15ECB">
            <w:pPr>
              <w:rPr>
                <w:b/>
              </w:rPr>
            </w:pPr>
          </w:p>
        </w:tc>
      </w:tr>
      <w:tr w:rsidR="00DD3EFA" w:rsidRPr="005A0E7C" w14:paraId="5FD881DF" w14:textId="77777777" w:rsidTr="00B15ECB">
        <w:trPr>
          <w:trHeight w:val="925"/>
        </w:trPr>
        <w:tc>
          <w:tcPr>
            <w:tcW w:w="249" w:type="dxa"/>
            <w:tcBorders>
              <w:top w:val="nil"/>
              <w:bottom w:val="nil"/>
            </w:tcBorders>
            <w:shd w:val="clear" w:color="auto" w:fill="66CCFF"/>
          </w:tcPr>
          <w:p w14:paraId="63B2088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FDCA7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064CB2D0" w14:textId="77777777" w:rsidR="00DD3EFA" w:rsidRPr="005A0E7C" w:rsidRDefault="00DD3EFA" w:rsidP="00B15ECB">
            <w:pPr>
              <w:spacing w:before="60" w:after="60"/>
              <w:rPr>
                <w:rFonts w:eastAsiaTheme="majorEastAsia"/>
              </w:rPr>
            </w:pPr>
            <w:r w:rsidRPr="005A0E7C">
              <w:rPr>
                <w:rFonts w:eastAsiaTheme="majorEastAsia"/>
              </w:rPr>
              <w:t>V dané oblasti lze předpokládat existenci rámcových projektových záměrů vycházejících z aktuálních potřeb MSP. Na základě zkušeností z dosavadních intervencí ESIF lze v této oblasti očekávat větší množství kvalitních projektových záměrů.</w:t>
            </w:r>
          </w:p>
          <w:p w14:paraId="477493E7" w14:textId="77777777" w:rsidR="00DD3EFA" w:rsidRPr="005A0E7C" w:rsidRDefault="00DD3EFA" w:rsidP="00B15ECB">
            <w:pPr>
              <w:spacing w:before="60" w:after="60"/>
              <w:rPr>
                <w:rFonts w:eastAsiaTheme="majorEastAsia"/>
              </w:rPr>
            </w:pPr>
            <w:r w:rsidRPr="005A0E7C">
              <w:rPr>
                <w:rFonts w:eastAsiaTheme="majorEastAsia"/>
              </w:rPr>
              <w:t>Projekty podnikatelů vznikají a budou vznikat průběžně.</w:t>
            </w:r>
          </w:p>
        </w:tc>
        <w:tc>
          <w:tcPr>
            <w:tcW w:w="249" w:type="dxa"/>
            <w:tcBorders>
              <w:top w:val="nil"/>
              <w:bottom w:val="nil"/>
            </w:tcBorders>
            <w:shd w:val="clear" w:color="auto" w:fill="66CCFF"/>
          </w:tcPr>
          <w:p w14:paraId="5E5AE38D" w14:textId="77777777" w:rsidR="00DD3EFA" w:rsidRPr="005A0E7C" w:rsidRDefault="00DD3EFA" w:rsidP="00B15ECB">
            <w:pPr>
              <w:rPr>
                <w:b/>
              </w:rPr>
            </w:pPr>
          </w:p>
        </w:tc>
      </w:tr>
      <w:tr w:rsidR="00DD3EFA" w:rsidRPr="005A0E7C" w14:paraId="4FAA7313" w14:textId="77777777" w:rsidTr="00B15ECB">
        <w:trPr>
          <w:trHeight w:val="1001"/>
        </w:trPr>
        <w:tc>
          <w:tcPr>
            <w:tcW w:w="249" w:type="dxa"/>
            <w:tcBorders>
              <w:top w:val="nil"/>
              <w:bottom w:val="nil"/>
            </w:tcBorders>
            <w:shd w:val="clear" w:color="auto" w:fill="66CCFF"/>
          </w:tcPr>
          <w:p w14:paraId="0FFB263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0F5325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499A10B2" w14:textId="77777777" w:rsidR="00DD3EFA" w:rsidRPr="005A0E7C" w:rsidRDefault="00DD3EFA" w:rsidP="00B15ECB">
            <w:pPr>
              <w:spacing w:before="60" w:after="60"/>
              <w:rPr>
                <w:rFonts w:eastAsiaTheme="majorEastAsia"/>
                <w:i/>
              </w:rPr>
            </w:pPr>
            <w:r w:rsidRPr="005A0E7C">
              <w:rPr>
                <w:rFonts w:eastAsiaTheme="majorEastAsia"/>
              </w:rPr>
              <w:t>V současné době odrazuje některé MSP v podávání projektů nedostatek kapacit / volných zdrojů pro vytvoření konkurenceschopných projektových záměrů, dále pak obava ze zvýšené byrokracie a kontroly využívání získaných finančních prostředků ze strany příslušných orgánů a rovněž celkově nižší znalost o nabízených programech podpory. Zmíněné bariéry může pomoci odstranit co největší zjednodušení osnov projektových žádostí, regulace administrativní zátěže vyplývající zejména z činnosti kontrolních a auditních orgánů a zvyšování povědomí o programech podpory určených MSP, především pomocí osvětových aktivit.</w:t>
            </w:r>
          </w:p>
        </w:tc>
        <w:tc>
          <w:tcPr>
            <w:tcW w:w="249" w:type="dxa"/>
            <w:tcBorders>
              <w:top w:val="nil"/>
              <w:bottom w:val="nil"/>
            </w:tcBorders>
            <w:shd w:val="clear" w:color="auto" w:fill="66CCFF"/>
          </w:tcPr>
          <w:p w14:paraId="367F609F" w14:textId="77777777" w:rsidR="00DD3EFA" w:rsidRPr="005A0E7C" w:rsidRDefault="00DD3EFA" w:rsidP="00B15ECB">
            <w:pPr>
              <w:rPr>
                <w:b/>
              </w:rPr>
            </w:pPr>
          </w:p>
        </w:tc>
      </w:tr>
      <w:tr w:rsidR="00DD3EFA" w:rsidRPr="005A0E7C" w14:paraId="19875F71"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90D8C66"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7CFFF7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18967D5"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0F610EF4" w14:textId="77777777" w:rsidR="00DD3EFA" w:rsidRPr="005A0E7C" w:rsidRDefault="00DD3EFA" w:rsidP="00B15ECB">
            <w:pPr>
              <w:rPr>
                <w:b/>
              </w:rPr>
            </w:pPr>
          </w:p>
        </w:tc>
      </w:tr>
      <w:tr w:rsidR="00DD3EFA" w:rsidRPr="005A0E7C" w14:paraId="092D513A" w14:textId="77777777" w:rsidTr="00B15ECB">
        <w:trPr>
          <w:trHeight w:val="1968"/>
        </w:trPr>
        <w:tc>
          <w:tcPr>
            <w:tcW w:w="249" w:type="dxa"/>
            <w:tcBorders>
              <w:top w:val="single" w:sz="4" w:space="0" w:color="auto"/>
              <w:bottom w:val="nil"/>
            </w:tcBorders>
            <w:shd w:val="clear" w:color="auto" w:fill="66CCFF"/>
          </w:tcPr>
          <w:p w14:paraId="796524E3"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38450ED1"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4C562AD6"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20B63573" w14:textId="77777777" w:rsidR="00DD3EFA" w:rsidRPr="005A0E7C" w:rsidRDefault="00DD3EFA" w:rsidP="00B15ECB">
            <w:pPr>
              <w:rPr>
                <w:b/>
              </w:rPr>
            </w:pPr>
          </w:p>
        </w:tc>
      </w:tr>
      <w:tr w:rsidR="00DD3EFA" w:rsidRPr="005A0E7C" w14:paraId="3C81288D" w14:textId="77777777" w:rsidTr="00B15ECB">
        <w:trPr>
          <w:trHeight w:val="1968"/>
        </w:trPr>
        <w:tc>
          <w:tcPr>
            <w:tcW w:w="249" w:type="dxa"/>
            <w:tcBorders>
              <w:top w:val="nil"/>
              <w:bottom w:val="nil"/>
            </w:tcBorders>
            <w:shd w:val="clear" w:color="auto" w:fill="66CCFF"/>
          </w:tcPr>
          <w:p w14:paraId="2A91C662" w14:textId="77777777" w:rsidR="00DD3EFA" w:rsidRPr="005A0E7C" w:rsidRDefault="00DD3EFA" w:rsidP="00B15ECB">
            <w:pPr>
              <w:rPr>
                <w:b/>
              </w:rPr>
            </w:pPr>
          </w:p>
        </w:tc>
        <w:tc>
          <w:tcPr>
            <w:tcW w:w="2548" w:type="dxa"/>
            <w:tcBorders>
              <w:top w:val="nil"/>
            </w:tcBorders>
            <w:shd w:val="clear" w:color="auto" w:fill="FFFFFF" w:themeFill="background1"/>
          </w:tcPr>
          <w:p w14:paraId="35746CCD"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4E7ECE16" w14:textId="41C5D763" w:rsidR="00DD3EFA" w:rsidRPr="005A0E7C" w:rsidRDefault="006A6ACB" w:rsidP="00B15ECB">
            <w:pPr>
              <w:spacing w:before="60" w:after="60"/>
              <w:rPr>
                <w:rFonts w:eastAsiaTheme="majorEastAsia"/>
              </w:rPr>
            </w:pPr>
            <w:r w:rsidRPr="005A0E7C">
              <w:rPr>
                <w:rFonts w:eastAsiaTheme="majorEastAsia"/>
              </w:rPr>
              <w:t>Specifický</w:t>
            </w:r>
            <w:r w:rsidR="00DD3EFA" w:rsidRPr="005A0E7C">
              <w:rPr>
                <w:rFonts w:eastAsiaTheme="majorEastAsia"/>
              </w:rPr>
              <w:t xml:space="preserve"> cíl se může částečně tematicky překrývat s </w:t>
            </w:r>
            <w:r w:rsidRPr="005A0E7C">
              <w:rPr>
                <w:rFonts w:eastAsiaTheme="majorEastAsia"/>
              </w:rPr>
              <w:t>následujícími</w:t>
            </w:r>
            <w:r w:rsidR="00DD3EFA" w:rsidRPr="005A0E7C">
              <w:rPr>
                <w:rFonts w:eastAsiaTheme="majorEastAsia"/>
              </w:rPr>
              <w:t xml:space="preserve"> unijními programy (případný překryv oblastí bude záležet na jejich finální podobě):</w:t>
            </w:r>
          </w:p>
          <w:p w14:paraId="71B5051F" w14:textId="77777777" w:rsidR="00DD3EFA" w:rsidRPr="005A0E7C" w:rsidRDefault="00DD3EFA" w:rsidP="00B15ECB">
            <w:pPr>
              <w:spacing w:before="60" w:after="60"/>
              <w:rPr>
                <w:rFonts w:eastAsiaTheme="majorEastAsia"/>
              </w:rPr>
            </w:pPr>
          </w:p>
          <w:p w14:paraId="48925C04" w14:textId="77777777" w:rsidR="00DD3EFA" w:rsidRPr="005A0E7C" w:rsidRDefault="00DD3EFA" w:rsidP="00B15ECB">
            <w:pPr>
              <w:spacing w:before="60" w:after="60"/>
              <w:rPr>
                <w:rFonts w:eastAsiaTheme="majorEastAsia"/>
              </w:rPr>
            </w:pPr>
            <w:r w:rsidRPr="005A0E7C">
              <w:rPr>
                <w:rFonts w:eastAsiaTheme="majorEastAsia"/>
              </w:rPr>
              <w:t>Horizont EU – budoucí klíčový program na podporu výzkumu a inovací</w:t>
            </w:r>
          </w:p>
          <w:p w14:paraId="31E0D2B5" w14:textId="77777777" w:rsidR="00DD3EFA" w:rsidRPr="005A0E7C" w:rsidRDefault="00DD3EFA" w:rsidP="00B15ECB">
            <w:pPr>
              <w:spacing w:before="60" w:after="60"/>
              <w:rPr>
                <w:rFonts w:eastAsiaTheme="majorEastAsia"/>
              </w:rPr>
            </w:pPr>
          </w:p>
          <w:p w14:paraId="190027A6" w14:textId="77777777" w:rsidR="00DD3EFA" w:rsidRPr="005A0E7C" w:rsidRDefault="00DD3EFA" w:rsidP="00B15ECB">
            <w:pPr>
              <w:spacing w:before="60" w:after="60"/>
              <w:rPr>
                <w:rFonts w:eastAsiaTheme="majorEastAsia"/>
              </w:rPr>
            </w:pPr>
            <w:r w:rsidRPr="005A0E7C">
              <w:rPr>
                <w:rFonts w:eastAsiaTheme="majorEastAsia"/>
              </w:rPr>
              <w:t>Digital Europe – program na podporu digitální transformace ve prospěch občanů a podnikání</w:t>
            </w:r>
          </w:p>
          <w:p w14:paraId="35FDC021" w14:textId="77777777" w:rsidR="00DD3EFA" w:rsidRPr="005A0E7C" w:rsidRDefault="00DD3EFA" w:rsidP="00B15ECB">
            <w:pPr>
              <w:spacing w:before="60" w:after="60"/>
              <w:rPr>
                <w:rFonts w:eastAsiaTheme="majorEastAsia"/>
              </w:rPr>
            </w:pPr>
          </w:p>
          <w:p w14:paraId="62C08E00" w14:textId="77777777" w:rsidR="00DD3EFA" w:rsidRPr="005A0E7C" w:rsidRDefault="00DD3EFA" w:rsidP="00B15ECB">
            <w:pPr>
              <w:spacing w:before="60" w:after="60"/>
              <w:rPr>
                <w:rFonts w:eastAsiaTheme="majorEastAsia"/>
              </w:rPr>
            </w:pPr>
            <w:r w:rsidRPr="005A0E7C">
              <w:rPr>
                <w:rFonts w:eastAsiaTheme="majorEastAsia"/>
              </w:rPr>
              <w:t>InvestEU – budoucí program zastřešující rozličné finanční nástroje včetně okna pro MSP</w:t>
            </w:r>
          </w:p>
          <w:p w14:paraId="101471F1" w14:textId="77777777" w:rsidR="00DD3EFA" w:rsidRPr="005A0E7C" w:rsidRDefault="00DD3EFA" w:rsidP="00B15ECB">
            <w:pPr>
              <w:spacing w:before="60" w:after="60"/>
              <w:rPr>
                <w:rFonts w:eastAsiaTheme="majorEastAsia"/>
              </w:rPr>
            </w:pPr>
            <w:r w:rsidRPr="005A0E7C">
              <w:rPr>
                <w:rFonts w:eastAsiaTheme="majorEastAsia"/>
              </w:rPr>
              <w:br/>
              <w:t xml:space="preserve">Program pro jednotný trh – specifický cíl Podpora malého a středního podnikání, podpora nefinančního charakteru </w:t>
            </w:r>
          </w:p>
          <w:p w14:paraId="7B63D927" w14:textId="77777777" w:rsidR="00DD3EFA" w:rsidRPr="005A0E7C" w:rsidRDefault="00DD3EFA" w:rsidP="00B15ECB">
            <w:pPr>
              <w:spacing w:before="60" w:after="60"/>
              <w:rPr>
                <w:rFonts w:eastAsiaTheme="majorEastAsia"/>
              </w:rPr>
            </w:pPr>
            <w:r w:rsidRPr="005A0E7C">
              <w:rPr>
                <w:rFonts w:eastAsiaTheme="majorEastAsia"/>
              </w:rPr>
              <w:br/>
              <w:t>Společné technologické iniciativy (JTIs) – tematicky zaměřená technologická partnerství soukromého a veřejného sektoru</w:t>
            </w:r>
          </w:p>
        </w:tc>
        <w:tc>
          <w:tcPr>
            <w:tcW w:w="249" w:type="dxa"/>
            <w:tcBorders>
              <w:top w:val="nil"/>
              <w:bottom w:val="nil"/>
            </w:tcBorders>
            <w:shd w:val="clear" w:color="auto" w:fill="66CCFF"/>
          </w:tcPr>
          <w:p w14:paraId="408EAC9F" w14:textId="77777777" w:rsidR="00DD3EFA" w:rsidRPr="005A0E7C" w:rsidRDefault="00DD3EFA" w:rsidP="00B15ECB">
            <w:pPr>
              <w:rPr>
                <w:b/>
              </w:rPr>
            </w:pPr>
          </w:p>
        </w:tc>
      </w:tr>
      <w:tr w:rsidR="00DD3EFA" w:rsidRPr="005A0E7C" w14:paraId="2690E7E3" w14:textId="77777777" w:rsidTr="00B15ECB">
        <w:trPr>
          <w:trHeight w:val="1968"/>
        </w:trPr>
        <w:tc>
          <w:tcPr>
            <w:tcW w:w="249" w:type="dxa"/>
            <w:tcBorders>
              <w:top w:val="nil"/>
              <w:bottom w:val="nil"/>
            </w:tcBorders>
            <w:shd w:val="clear" w:color="auto" w:fill="66CCFF"/>
          </w:tcPr>
          <w:p w14:paraId="41FD8C6E" w14:textId="77777777" w:rsidR="00DD3EFA" w:rsidRPr="005A0E7C" w:rsidRDefault="00DD3EFA" w:rsidP="00B15ECB">
            <w:pPr>
              <w:rPr>
                <w:b/>
              </w:rPr>
            </w:pPr>
          </w:p>
        </w:tc>
        <w:tc>
          <w:tcPr>
            <w:tcW w:w="2548" w:type="dxa"/>
            <w:tcBorders>
              <w:top w:val="nil"/>
            </w:tcBorders>
            <w:shd w:val="clear" w:color="auto" w:fill="FFFFFF" w:themeFill="background1"/>
          </w:tcPr>
          <w:p w14:paraId="37011E52"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40F4F8C5" w14:textId="77777777" w:rsidR="00DD3EFA" w:rsidRPr="005A0E7C" w:rsidRDefault="00DD3EFA" w:rsidP="00B15ECB">
            <w:pPr>
              <w:spacing w:before="60" w:after="60"/>
              <w:rPr>
                <w:rFonts w:eastAsiaTheme="majorEastAsia"/>
              </w:rPr>
            </w:pPr>
            <w:r w:rsidRPr="005A0E7C">
              <w:rPr>
                <w:rFonts w:eastAsiaTheme="majorEastAsia"/>
              </w:rPr>
              <w:t>Národní program Záruka 2015-2023 nabízí MSP bankovní záruky za investiční a provizní úvěry. Program využívá též protizáruku z COSME a EFSI.</w:t>
            </w:r>
          </w:p>
        </w:tc>
        <w:tc>
          <w:tcPr>
            <w:tcW w:w="249" w:type="dxa"/>
            <w:tcBorders>
              <w:top w:val="nil"/>
              <w:bottom w:val="nil"/>
            </w:tcBorders>
            <w:shd w:val="clear" w:color="auto" w:fill="66CCFF"/>
          </w:tcPr>
          <w:p w14:paraId="10F87443" w14:textId="77777777" w:rsidR="00DD3EFA" w:rsidRPr="005A0E7C" w:rsidRDefault="00DD3EFA" w:rsidP="00B15ECB">
            <w:pPr>
              <w:rPr>
                <w:b/>
              </w:rPr>
            </w:pPr>
          </w:p>
        </w:tc>
      </w:tr>
      <w:tr w:rsidR="00DD3EFA" w:rsidRPr="005A0E7C" w14:paraId="7698B22A" w14:textId="77777777" w:rsidTr="00B15ECB">
        <w:trPr>
          <w:trHeight w:val="1968"/>
        </w:trPr>
        <w:tc>
          <w:tcPr>
            <w:tcW w:w="249" w:type="dxa"/>
            <w:tcBorders>
              <w:top w:val="nil"/>
              <w:bottom w:val="nil"/>
            </w:tcBorders>
            <w:shd w:val="clear" w:color="auto" w:fill="66CCFF"/>
          </w:tcPr>
          <w:p w14:paraId="201CB620" w14:textId="77777777" w:rsidR="00DD3EFA" w:rsidRPr="005A0E7C" w:rsidRDefault="00DD3EFA" w:rsidP="00B15ECB">
            <w:pPr>
              <w:rPr>
                <w:b/>
              </w:rPr>
            </w:pPr>
          </w:p>
        </w:tc>
        <w:tc>
          <w:tcPr>
            <w:tcW w:w="2548" w:type="dxa"/>
            <w:tcBorders>
              <w:top w:val="nil"/>
            </w:tcBorders>
            <w:shd w:val="clear" w:color="auto" w:fill="FFFFFF" w:themeFill="background1"/>
          </w:tcPr>
          <w:p w14:paraId="0883A81E"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3DD54D1B" w14:textId="77777777" w:rsidR="00DD3EFA" w:rsidRPr="005A0E7C" w:rsidRDefault="00DD3EFA" w:rsidP="00B15ECB">
            <w:pPr>
              <w:spacing w:before="60" w:after="60"/>
              <w:rPr>
                <w:rFonts w:eastAsiaTheme="majorEastAsia"/>
              </w:rPr>
            </w:pPr>
            <w:r w:rsidRPr="005A0E7C">
              <w:rPr>
                <w:rFonts w:eastAsiaTheme="majorEastAsia"/>
              </w:rPr>
              <w:t>Dalšími zdroji mohou být soukromé seed fondy pro startupy, soukromé zdroje neveřejných společností, institucí, soukromých fondů atp.</w:t>
            </w:r>
          </w:p>
          <w:p w14:paraId="3AFBE637"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6CBBAAEA" w14:textId="77777777" w:rsidR="00DD3EFA" w:rsidRPr="005A0E7C" w:rsidRDefault="00DD3EFA" w:rsidP="00B15ECB">
            <w:pPr>
              <w:rPr>
                <w:b/>
              </w:rPr>
            </w:pPr>
          </w:p>
        </w:tc>
      </w:tr>
      <w:tr w:rsidR="00DD3EFA" w:rsidRPr="005A0E7C" w14:paraId="1EA382FB" w14:textId="77777777" w:rsidTr="00B15ECB">
        <w:trPr>
          <w:trHeight w:val="1968"/>
        </w:trPr>
        <w:tc>
          <w:tcPr>
            <w:tcW w:w="249" w:type="dxa"/>
            <w:tcBorders>
              <w:top w:val="nil"/>
              <w:bottom w:val="nil"/>
            </w:tcBorders>
            <w:shd w:val="clear" w:color="auto" w:fill="66CCFF"/>
          </w:tcPr>
          <w:p w14:paraId="5AF7E978" w14:textId="77777777" w:rsidR="00DD3EFA" w:rsidRPr="005A0E7C" w:rsidRDefault="00DD3EFA" w:rsidP="00B15ECB">
            <w:pPr>
              <w:rPr>
                <w:b/>
              </w:rPr>
            </w:pPr>
          </w:p>
        </w:tc>
        <w:tc>
          <w:tcPr>
            <w:tcW w:w="2548" w:type="dxa"/>
            <w:tcBorders>
              <w:top w:val="nil"/>
            </w:tcBorders>
            <w:shd w:val="clear" w:color="auto" w:fill="FFFFFF" w:themeFill="background1"/>
          </w:tcPr>
          <w:p w14:paraId="73C4964E"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57C715E3" w14:textId="3C35D83B" w:rsidR="00DD3EFA" w:rsidRPr="005A0E7C" w:rsidRDefault="00DD3EFA" w:rsidP="00B15ECB">
            <w:pPr>
              <w:spacing w:before="60" w:after="60"/>
              <w:rPr>
                <w:rFonts w:eastAsiaTheme="majorEastAsia"/>
              </w:rPr>
            </w:pPr>
            <w:r w:rsidRPr="005A0E7C">
              <w:rPr>
                <w:rFonts w:eastAsiaTheme="majorEastAsia"/>
              </w:rPr>
              <w:t xml:space="preserve">Na základě dosavadních zkušeností se předpokládá využití FN v tomto specifickém cíli. Jedná se primárně o podporu podnikatelských aktivit s potenciálem výnosu, v rámci kterých je pro podnikatele obtížné získat financování z důvodu rizik, chybějícího ručení, nedostatečně rozvinutého trhu či finančních nákladů. </w:t>
            </w:r>
            <w:r w:rsidR="006A6ACB" w:rsidRPr="005A0E7C">
              <w:rPr>
                <w:rFonts w:eastAsiaTheme="majorEastAsia"/>
              </w:rPr>
              <w:t>Příkladem</w:t>
            </w:r>
            <w:r w:rsidRPr="005A0E7C">
              <w:rPr>
                <w:rFonts w:eastAsiaTheme="majorEastAsia"/>
              </w:rPr>
              <w:t xml:space="preserve"> realizace FN jsou programy Rizikový kapitál a Expanze OPPIK.</w:t>
            </w:r>
          </w:p>
          <w:p w14:paraId="0B9F8082" w14:textId="77777777" w:rsidR="00DD3EFA" w:rsidRPr="005A0E7C" w:rsidRDefault="00DD3EFA" w:rsidP="00B15ECB">
            <w:pPr>
              <w:spacing w:before="60" w:after="60"/>
              <w:rPr>
                <w:rFonts w:eastAsiaTheme="majorEastAsia"/>
              </w:rPr>
            </w:pPr>
            <w:r w:rsidRPr="005A0E7C">
              <w:rPr>
                <w:rFonts w:eastAsiaTheme="majorEastAsia"/>
              </w:rPr>
              <w:t>K využití FN mohou být zváženy např. podpora inovační aktivity MSP a alternativních forem podnikání (sociální podnikání, sdílená ekonomika apod.), komercializace výsledků výzkumu, financování startupů a nových podnikatelských projektů.</w:t>
            </w:r>
          </w:p>
          <w:p w14:paraId="0111A2F1" w14:textId="77777777" w:rsidR="00DD3EFA" w:rsidRPr="005A0E7C" w:rsidRDefault="00DD3EFA" w:rsidP="00B15ECB">
            <w:pPr>
              <w:spacing w:before="60" w:after="60"/>
              <w:rPr>
                <w:rFonts w:eastAsiaTheme="majorEastAsia"/>
              </w:rPr>
            </w:pPr>
            <w:r w:rsidRPr="005A0E7C">
              <w:rPr>
                <w:rFonts w:eastAsiaTheme="majorEastAsia"/>
              </w:rPr>
              <w:t>Lze zvážit využití zvýhodněných úvěrů, záruk i rizikového kapitálu.</w:t>
            </w:r>
          </w:p>
          <w:p w14:paraId="1CA4B55E" w14:textId="69C4CBCB" w:rsidR="00DD3EFA" w:rsidRPr="005A0E7C" w:rsidRDefault="00DD3EFA" w:rsidP="00B15ECB">
            <w:pPr>
              <w:spacing w:before="60" w:after="60"/>
              <w:rPr>
                <w:rFonts w:eastAsiaTheme="majorEastAsia"/>
              </w:rPr>
            </w:pPr>
            <w:r w:rsidRPr="005A0E7C">
              <w:rPr>
                <w:rFonts w:eastAsiaTheme="majorEastAsia"/>
              </w:rPr>
              <w:t xml:space="preserve">Jednotlivé okruhy Karty Podnikání jsou spolu velmi úzce provázány. FN by mělo umožnit realizaci komplexních projektů napříč jednotlivými specifickými </w:t>
            </w:r>
            <w:r w:rsidR="006A6ACB" w:rsidRPr="005A0E7C">
              <w:rPr>
                <w:rFonts w:eastAsiaTheme="majorEastAsia"/>
              </w:rPr>
              <w:t>cíli</w:t>
            </w:r>
            <w:r w:rsidRPr="005A0E7C">
              <w:rPr>
                <w:rFonts w:eastAsiaTheme="majorEastAsia"/>
              </w:rPr>
              <w:t xml:space="preserve"> NKR, případně i napříč kartami</w:t>
            </w:r>
          </w:p>
          <w:p w14:paraId="75CEAB5E" w14:textId="77777777" w:rsidR="00DD3EFA" w:rsidRPr="005A0E7C" w:rsidRDefault="00DD3EFA" w:rsidP="00B15ECB">
            <w:pPr>
              <w:spacing w:before="60" w:after="60"/>
              <w:rPr>
                <w:rFonts w:eastAsiaTheme="majorEastAsia"/>
                <w:i/>
              </w:rPr>
            </w:pPr>
            <w:r w:rsidRPr="005A0E7C">
              <w:rPr>
                <w:rFonts w:eastAsiaTheme="majorEastAsia"/>
              </w:rPr>
              <w:t>FN jsou tak vhodným nástrojem pro plnění daného specifického cíle. V podpoře MSP jsou FN dlouhodobě úspěšným nástrojem. Díky revolvingovému a pákovému efektu, jsou zdroje opakovaně navraceny a z původní alokované částky je tak možné podpořit maximální počet podniků. Administrativní náročnost na zpracování je proti dotacím minimalizována. Konečný příjemce nemusí pracovat s MS2014+. Konkrétní podpora FN bude záviset na výstupu nového Předběžného posouzení FN pro programovací období 2021-2027.</w:t>
            </w:r>
            <w:r w:rsidRPr="005A0E7C">
              <w:rPr>
                <w:rFonts w:eastAsiaTheme="majorEastAsia"/>
                <w:i/>
              </w:rPr>
              <w:t xml:space="preserve"> </w:t>
            </w:r>
          </w:p>
        </w:tc>
        <w:tc>
          <w:tcPr>
            <w:tcW w:w="249" w:type="dxa"/>
            <w:tcBorders>
              <w:top w:val="nil"/>
              <w:bottom w:val="nil"/>
            </w:tcBorders>
            <w:shd w:val="clear" w:color="auto" w:fill="66CCFF"/>
          </w:tcPr>
          <w:p w14:paraId="149120C9" w14:textId="77777777" w:rsidR="00DD3EFA" w:rsidRPr="005A0E7C" w:rsidRDefault="00DD3EFA" w:rsidP="00B15ECB">
            <w:pPr>
              <w:rPr>
                <w:b/>
              </w:rPr>
            </w:pPr>
          </w:p>
        </w:tc>
      </w:tr>
      <w:tr w:rsidR="00DD3EFA" w:rsidRPr="005A0E7C" w14:paraId="0F68304C" w14:textId="77777777" w:rsidTr="00B15ECB">
        <w:trPr>
          <w:trHeight w:val="150"/>
        </w:trPr>
        <w:tc>
          <w:tcPr>
            <w:tcW w:w="249" w:type="dxa"/>
            <w:tcBorders>
              <w:top w:val="nil"/>
              <w:right w:val="nil"/>
            </w:tcBorders>
            <w:shd w:val="clear" w:color="auto" w:fill="66CCFF"/>
          </w:tcPr>
          <w:p w14:paraId="01E4A75C" w14:textId="77777777" w:rsidR="00DD3EFA" w:rsidRPr="005A0E7C" w:rsidRDefault="00DD3EFA" w:rsidP="00B15ECB">
            <w:pPr>
              <w:rPr>
                <w:b/>
              </w:rPr>
            </w:pPr>
          </w:p>
        </w:tc>
        <w:tc>
          <w:tcPr>
            <w:tcW w:w="2548" w:type="dxa"/>
            <w:tcBorders>
              <w:left w:val="nil"/>
              <w:right w:val="nil"/>
            </w:tcBorders>
            <w:shd w:val="clear" w:color="auto" w:fill="66CCFF"/>
          </w:tcPr>
          <w:p w14:paraId="3BF53589" w14:textId="77777777" w:rsidR="00DD3EFA" w:rsidRPr="005A0E7C" w:rsidRDefault="00DD3EFA" w:rsidP="00B15ECB">
            <w:pPr>
              <w:rPr>
                <w:b/>
              </w:rPr>
            </w:pPr>
          </w:p>
        </w:tc>
        <w:tc>
          <w:tcPr>
            <w:tcW w:w="5978" w:type="dxa"/>
            <w:tcBorders>
              <w:left w:val="nil"/>
              <w:right w:val="nil"/>
            </w:tcBorders>
            <w:shd w:val="clear" w:color="auto" w:fill="66CCFF"/>
          </w:tcPr>
          <w:p w14:paraId="49139CB1" w14:textId="77777777" w:rsidR="00DD3EFA" w:rsidRPr="005A0E7C" w:rsidRDefault="00DD3EFA" w:rsidP="00B15ECB">
            <w:pPr>
              <w:rPr>
                <w:b/>
              </w:rPr>
            </w:pPr>
          </w:p>
        </w:tc>
        <w:tc>
          <w:tcPr>
            <w:tcW w:w="249" w:type="dxa"/>
            <w:tcBorders>
              <w:top w:val="nil"/>
              <w:left w:val="nil"/>
            </w:tcBorders>
            <w:shd w:val="clear" w:color="auto" w:fill="66CCFF"/>
          </w:tcPr>
          <w:p w14:paraId="106F0D91" w14:textId="77777777" w:rsidR="00DD3EFA" w:rsidRPr="005A0E7C" w:rsidRDefault="00DD3EFA" w:rsidP="00B15ECB">
            <w:pPr>
              <w:rPr>
                <w:b/>
              </w:rPr>
            </w:pPr>
          </w:p>
        </w:tc>
      </w:tr>
    </w:tbl>
    <w:p w14:paraId="2B118510" w14:textId="77777777" w:rsidR="00DD3EFA" w:rsidRPr="005A0E7C" w:rsidRDefault="00DD3EFA">
      <w:pPr>
        <w:rPr>
          <w:rFonts w:ascii="Times New Roman" w:hAnsi="Times New Roman" w:cs="Times New Roman"/>
          <w:sz w:val="20"/>
          <w:szCs w:val="20"/>
        </w:rPr>
      </w:pPr>
    </w:p>
    <w:p w14:paraId="5A2A8C28"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5988D539" w14:textId="77777777" w:rsidTr="00B15ECB">
        <w:trPr>
          <w:trHeight w:val="180"/>
        </w:trPr>
        <w:tc>
          <w:tcPr>
            <w:tcW w:w="249" w:type="dxa"/>
            <w:tcBorders>
              <w:bottom w:val="nil"/>
              <w:right w:val="nil"/>
            </w:tcBorders>
            <w:shd w:val="clear" w:color="auto" w:fill="66CCFF"/>
          </w:tcPr>
          <w:p w14:paraId="2D4FB01A" w14:textId="77777777" w:rsidR="00DD3EFA" w:rsidRPr="005A0E7C" w:rsidRDefault="00DD3EFA" w:rsidP="00B15ECB">
            <w:pPr>
              <w:rPr>
                <w:b/>
              </w:rPr>
            </w:pPr>
          </w:p>
        </w:tc>
        <w:tc>
          <w:tcPr>
            <w:tcW w:w="2548" w:type="dxa"/>
            <w:tcBorders>
              <w:left w:val="nil"/>
              <w:right w:val="nil"/>
            </w:tcBorders>
            <w:shd w:val="clear" w:color="auto" w:fill="66CCFF"/>
          </w:tcPr>
          <w:p w14:paraId="6523998E" w14:textId="77777777" w:rsidR="00DD3EFA" w:rsidRPr="005A0E7C" w:rsidRDefault="00DD3EFA" w:rsidP="00B15ECB">
            <w:pPr>
              <w:rPr>
                <w:b/>
              </w:rPr>
            </w:pPr>
          </w:p>
        </w:tc>
        <w:tc>
          <w:tcPr>
            <w:tcW w:w="5978" w:type="dxa"/>
            <w:tcBorders>
              <w:left w:val="nil"/>
              <w:right w:val="nil"/>
            </w:tcBorders>
            <w:shd w:val="clear" w:color="auto" w:fill="66CCFF"/>
          </w:tcPr>
          <w:p w14:paraId="21C6BAB3" w14:textId="77777777" w:rsidR="00DD3EFA" w:rsidRPr="005A0E7C" w:rsidRDefault="00DD3EFA" w:rsidP="00B15ECB">
            <w:pPr>
              <w:rPr>
                <w:b/>
              </w:rPr>
            </w:pPr>
          </w:p>
        </w:tc>
        <w:tc>
          <w:tcPr>
            <w:tcW w:w="249" w:type="dxa"/>
            <w:tcBorders>
              <w:left w:val="nil"/>
              <w:bottom w:val="nil"/>
            </w:tcBorders>
            <w:shd w:val="clear" w:color="auto" w:fill="66CCFF"/>
          </w:tcPr>
          <w:p w14:paraId="5FF51DE5" w14:textId="77777777" w:rsidR="00DD3EFA" w:rsidRPr="005A0E7C" w:rsidRDefault="00DD3EFA" w:rsidP="00B15ECB">
            <w:pPr>
              <w:rPr>
                <w:b/>
              </w:rPr>
            </w:pPr>
          </w:p>
        </w:tc>
      </w:tr>
      <w:tr w:rsidR="00DD3EFA" w:rsidRPr="005A0E7C" w14:paraId="11D886DF" w14:textId="77777777" w:rsidTr="00B15ECB">
        <w:trPr>
          <w:trHeight w:val="561"/>
        </w:trPr>
        <w:tc>
          <w:tcPr>
            <w:tcW w:w="249" w:type="dxa"/>
            <w:tcBorders>
              <w:top w:val="nil"/>
              <w:bottom w:val="nil"/>
            </w:tcBorders>
            <w:shd w:val="clear" w:color="auto" w:fill="66CCFF"/>
          </w:tcPr>
          <w:p w14:paraId="7168CF49" w14:textId="77777777" w:rsidR="00DD3EFA" w:rsidRPr="005A0E7C" w:rsidRDefault="00DD3EFA" w:rsidP="00B15ECB">
            <w:pPr>
              <w:rPr>
                <w:b/>
              </w:rPr>
            </w:pPr>
          </w:p>
        </w:tc>
        <w:tc>
          <w:tcPr>
            <w:tcW w:w="2548" w:type="dxa"/>
            <w:shd w:val="clear" w:color="auto" w:fill="0070C0"/>
          </w:tcPr>
          <w:p w14:paraId="5CE50CB8"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w:t>
            </w:r>
            <w:r w:rsidRPr="005A0E7C">
              <w:rPr>
                <w:b/>
                <w:color w:val="FFFFFF" w:themeColor="background1"/>
              </w:rPr>
              <w:t>VÝZKUMNÝ A INOVAČNÍ SYSTÉM zvyšující konkurenceschopnost společnosti v kontextu technologické změny</w:t>
            </w:r>
          </w:p>
        </w:tc>
        <w:tc>
          <w:tcPr>
            <w:tcW w:w="5978" w:type="dxa"/>
            <w:shd w:val="clear" w:color="auto" w:fill="0070C0"/>
          </w:tcPr>
          <w:p w14:paraId="5A25C995"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b/>
                <w:color w:val="FFFFFF" w:themeColor="background1"/>
                <w:u w:val="single"/>
              </w:rPr>
              <w:t>1</w:t>
            </w:r>
            <w:r w:rsidRPr="005A0E7C">
              <w:rPr>
                <w:rFonts w:eastAsiaTheme="majorEastAsia"/>
                <w:b/>
                <w:color w:val="FFFFFF" w:themeColor="background1"/>
                <w:u w:val="single"/>
              </w:rPr>
              <w:t xml:space="preserve">: </w:t>
            </w:r>
          </w:p>
          <w:p w14:paraId="76B331B1" w14:textId="77777777" w:rsidR="00DD3EFA" w:rsidRPr="005A0E7C" w:rsidRDefault="00DD3EFA">
            <w:pPr>
              <w:spacing w:before="60" w:after="60"/>
              <w:rPr>
                <w:rFonts w:eastAsiaTheme="majorEastAsia"/>
                <w:b/>
                <w:color w:val="FFFFFF" w:themeColor="background1"/>
              </w:rPr>
            </w:pPr>
            <w:r w:rsidRPr="005A0E7C">
              <w:rPr>
                <w:b/>
                <w:color w:val="FFFFFF" w:themeColor="background1"/>
              </w:rPr>
              <w:t>ZVÝŠENÍ PŘIDANÉ HODNOTY VÝROBKŮ A SLUŽEB PODNIKŮ V PRODUKČNÍM ŘETĚZCI</w:t>
            </w:r>
            <w:r w:rsidRPr="005A0E7C">
              <w:rPr>
                <w:rStyle w:val="Znakapoznpodarou"/>
                <w:b/>
                <w:color w:val="FFFFFF" w:themeColor="background1"/>
              </w:rPr>
              <w:footnoteReference w:id="42"/>
            </w:r>
          </w:p>
        </w:tc>
        <w:tc>
          <w:tcPr>
            <w:tcW w:w="249" w:type="dxa"/>
            <w:tcBorders>
              <w:top w:val="nil"/>
              <w:bottom w:val="nil"/>
            </w:tcBorders>
            <w:shd w:val="clear" w:color="auto" w:fill="66CCFF"/>
          </w:tcPr>
          <w:p w14:paraId="6183A186" w14:textId="77777777" w:rsidR="00DD3EFA" w:rsidRPr="005A0E7C" w:rsidRDefault="00DD3EFA" w:rsidP="00B15ECB">
            <w:pPr>
              <w:rPr>
                <w:b/>
              </w:rPr>
            </w:pPr>
          </w:p>
        </w:tc>
      </w:tr>
      <w:tr w:rsidR="00DD3EFA" w:rsidRPr="005A0E7C" w14:paraId="64E08FFC" w14:textId="77777777" w:rsidTr="00B15ECB">
        <w:trPr>
          <w:trHeight w:val="180"/>
        </w:trPr>
        <w:tc>
          <w:tcPr>
            <w:tcW w:w="249" w:type="dxa"/>
            <w:tcBorders>
              <w:top w:val="nil"/>
              <w:bottom w:val="nil"/>
              <w:right w:val="nil"/>
            </w:tcBorders>
            <w:shd w:val="clear" w:color="auto" w:fill="66CCFF"/>
          </w:tcPr>
          <w:p w14:paraId="3ABACFC9" w14:textId="77777777" w:rsidR="00DD3EFA" w:rsidRPr="005A0E7C" w:rsidRDefault="00DD3EFA" w:rsidP="00B15ECB">
            <w:pPr>
              <w:rPr>
                <w:b/>
              </w:rPr>
            </w:pPr>
          </w:p>
        </w:tc>
        <w:tc>
          <w:tcPr>
            <w:tcW w:w="2548" w:type="dxa"/>
            <w:tcBorders>
              <w:left w:val="nil"/>
              <w:right w:val="nil"/>
            </w:tcBorders>
            <w:shd w:val="clear" w:color="auto" w:fill="66CCFF"/>
          </w:tcPr>
          <w:p w14:paraId="2BC22365" w14:textId="77777777" w:rsidR="00DD3EFA" w:rsidRPr="005A0E7C" w:rsidRDefault="00DD3EFA" w:rsidP="00B15ECB">
            <w:pPr>
              <w:rPr>
                <w:b/>
              </w:rPr>
            </w:pPr>
          </w:p>
        </w:tc>
        <w:tc>
          <w:tcPr>
            <w:tcW w:w="5978" w:type="dxa"/>
            <w:tcBorders>
              <w:left w:val="nil"/>
              <w:right w:val="nil"/>
            </w:tcBorders>
            <w:shd w:val="clear" w:color="auto" w:fill="66CCFF"/>
          </w:tcPr>
          <w:p w14:paraId="51D49735" w14:textId="77777777" w:rsidR="00DD3EFA" w:rsidRPr="005A0E7C" w:rsidRDefault="00DD3EFA" w:rsidP="00B15ECB">
            <w:pPr>
              <w:rPr>
                <w:b/>
              </w:rPr>
            </w:pPr>
          </w:p>
        </w:tc>
        <w:tc>
          <w:tcPr>
            <w:tcW w:w="249" w:type="dxa"/>
            <w:tcBorders>
              <w:top w:val="nil"/>
              <w:left w:val="nil"/>
              <w:bottom w:val="nil"/>
            </w:tcBorders>
            <w:shd w:val="clear" w:color="auto" w:fill="66CCFF"/>
          </w:tcPr>
          <w:p w14:paraId="63B9AAF6" w14:textId="77777777" w:rsidR="00DD3EFA" w:rsidRPr="005A0E7C" w:rsidRDefault="00DD3EFA" w:rsidP="00B15ECB">
            <w:pPr>
              <w:rPr>
                <w:b/>
              </w:rPr>
            </w:pPr>
          </w:p>
        </w:tc>
      </w:tr>
      <w:tr w:rsidR="00DD3EFA" w:rsidRPr="005A0E7C" w14:paraId="2E5EA6E4" w14:textId="77777777" w:rsidTr="00B15ECB">
        <w:trPr>
          <w:trHeight w:val="892"/>
        </w:trPr>
        <w:tc>
          <w:tcPr>
            <w:tcW w:w="249" w:type="dxa"/>
            <w:tcBorders>
              <w:top w:val="nil"/>
              <w:bottom w:val="nil"/>
            </w:tcBorders>
            <w:shd w:val="clear" w:color="auto" w:fill="66CCFF"/>
          </w:tcPr>
          <w:p w14:paraId="1600909D" w14:textId="77777777" w:rsidR="00DD3EFA" w:rsidRPr="005A0E7C" w:rsidRDefault="00DD3EFA" w:rsidP="00B15ECB">
            <w:pPr>
              <w:rPr>
                <w:b/>
              </w:rPr>
            </w:pPr>
          </w:p>
        </w:tc>
        <w:tc>
          <w:tcPr>
            <w:tcW w:w="2548" w:type="dxa"/>
            <w:shd w:val="clear" w:color="auto" w:fill="FFFFFF" w:themeFill="background1"/>
          </w:tcPr>
          <w:p w14:paraId="2EB89740"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7A8F3F46" w14:textId="77777777" w:rsidR="00DD3EFA" w:rsidRPr="005A0E7C" w:rsidRDefault="00DD3EFA" w:rsidP="00B15ECB">
            <w:r w:rsidRPr="005A0E7C">
              <w:t>Jedná se o následující prvky rozvoje podnikání s vyšší přidanou hodnotou:</w:t>
            </w:r>
          </w:p>
          <w:p w14:paraId="647B5624" w14:textId="77777777" w:rsidR="00DD3EFA" w:rsidRPr="005A0E7C" w:rsidRDefault="00DD3EFA" w:rsidP="00B15ECB"/>
          <w:p w14:paraId="6AA48AB4" w14:textId="77777777" w:rsidR="00DD3EFA" w:rsidRPr="005A0E7C" w:rsidRDefault="00DD3EFA" w:rsidP="00391907">
            <w:pPr>
              <w:pStyle w:val="Odstavecseseznamem"/>
              <w:numPr>
                <w:ilvl w:val="0"/>
                <w:numId w:val="84"/>
              </w:numPr>
            </w:pPr>
            <w:r w:rsidRPr="005A0E7C">
              <w:rPr>
                <w:rFonts w:eastAsia="Calibri"/>
                <w:color w:val="000000" w:themeColor="text1"/>
              </w:rPr>
              <w:t>Urychlit rozvoj nových průmyslových odvětví (p</w:t>
            </w:r>
            <w:r w:rsidRPr="005A0E7C">
              <w:t>odpora průmyslovým odvětvím s R</w:t>
            </w:r>
            <w:r w:rsidRPr="005A0E7C">
              <w:rPr>
                <w:lang w:val="en-US"/>
              </w:rPr>
              <w:t>&amp;</w:t>
            </w:r>
            <w:r w:rsidRPr="005A0E7C">
              <w:t>D centry, nebo inovačními a výzkumnými kapacitami, napříč zpracovatelským průmyslem, včetně podpory při následném zavádění výroby pro výrobky s vyšší přidanou hodnotou)</w:t>
            </w:r>
          </w:p>
          <w:p w14:paraId="4569FD3F" w14:textId="77777777" w:rsidR="00DD3EFA" w:rsidRPr="005A0E7C" w:rsidRDefault="00DD3EFA" w:rsidP="00B15ECB">
            <w:pPr>
              <w:pStyle w:val="Odstavecseseznamem"/>
              <w:rPr>
                <w:rFonts w:eastAsia="Calibri"/>
                <w:color w:val="000000" w:themeColor="text1"/>
              </w:rPr>
            </w:pPr>
          </w:p>
          <w:p w14:paraId="0E253C45" w14:textId="77777777" w:rsidR="00DD3EFA" w:rsidRPr="005A0E7C" w:rsidRDefault="00DD3EFA" w:rsidP="00391907">
            <w:pPr>
              <w:pStyle w:val="Odstavecseseznamem"/>
              <w:numPr>
                <w:ilvl w:val="0"/>
                <w:numId w:val="84"/>
              </w:numPr>
            </w:pPr>
            <w:r w:rsidRPr="005A0E7C">
              <w:rPr>
                <w:rFonts w:eastAsia="Calibri"/>
                <w:color w:val="000000" w:themeColor="text1"/>
              </w:rPr>
              <w:t>Posílit sektor služeb v ČR, urychlit modernizaci služeb a podpora při rozvoji nových služeb</w:t>
            </w:r>
          </w:p>
          <w:p w14:paraId="4585E980" w14:textId="77777777" w:rsidR="00DD3EFA" w:rsidRPr="005A0E7C" w:rsidRDefault="00DD3EFA" w:rsidP="00B15ECB">
            <w:pPr>
              <w:pStyle w:val="Odstavecseseznamem"/>
              <w:rPr>
                <w:rFonts w:eastAsia="Calibri"/>
                <w:color w:val="000000" w:themeColor="text1"/>
              </w:rPr>
            </w:pPr>
          </w:p>
          <w:p w14:paraId="3D5BA373" w14:textId="77777777" w:rsidR="00DD3EFA" w:rsidRPr="005A0E7C" w:rsidRDefault="00DD3EFA" w:rsidP="00391907">
            <w:pPr>
              <w:pStyle w:val="Odstavecseseznamem"/>
              <w:numPr>
                <w:ilvl w:val="0"/>
                <w:numId w:val="84"/>
              </w:numPr>
            </w:pPr>
            <w:r w:rsidRPr="005A0E7C">
              <w:rPr>
                <w:rFonts w:eastAsia="Calibri"/>
                <w:color w:val="000000" w:themeColor="text1"/>
              </w:rPr>
              <w:t>Udržet vedoucí postavení průmyslu v ČR a urychlit modernizaci tradiční průmyslové báze</w:t>
            </w:r>
          </w:p>
          <w:p w14:paraId="7F9A4558" w14:textId="77777777" w:rsidR="00DD3EFA" w:rsidRPr="005A0E7C" w:rsidRDefault="00DD3EFA" w:rsidP="00B15ECB">
            <w:pPr>
              <w:pStyle w:val="Odstavecseseznamem"/>
              <w:rPr>
                <w:color w:val="000000" w:themeColor="text1"/>
                <w:lang w:eastAsia="cs-CZ"/>
              </w:rPr>
            </w:pPr>
          </w:p>
          <w:p w14:paraId="5C63479D" w14:textId="77777777" w:rsidR="00DD3EFA" w:rsidRPr="005A0E7C" w:rsidRDefault="00DD3EFA" w:rsidP="00391907">
            <w:pPr>
              <w:pStyle w:val="Odstavecseseznamem"/>
              <w:numPr>
                <w:ilvl w:val="0"/>
                <w:numId w:val="84"/>
              </w:numPr>
            </w:pPr>
            <w:r w:rsidRPr="005A0E7C">
              <w:rPr>
                <w:color w:val="000000" w:themeColor="text1"/>
                <w:lang w:eastAsia="cs-CZ"/>
              </w:rPr>
              <w:t xml:space="preserve">Vytvoření podmínek pro rychlejší zavádění nových klíčových technologií v průmyslu </w:t>
            </w:r>
          </w:p>
        </w:tc>
        <w:tc>
          <w:tcPr>
            <w:tcW w:w="249" w:type="dxa"/>
            <w:tcBorders>
              <w:top w:val="nil"/>
              <w:bottom w:val="nil"/>
            </w:tcBorders>
            <w:shd w:val="clear" w:color="auto" w:fill="66CCFF"/>
          </w:tcPr>
          <w:p w14:paraId="67BF3B9B" w14:textId="77777777" w:rsidR="00DD3EFA" w:rsidRPr="005A0E7C" w:rsidRDefault="00DD3EFA" w:rsidP="00B15ECB">
            <w:pPr>
              <w:rPr>
                <w:b/>
              </w:rPr>
            </w:pPr>
          </w:p>
        </w:tc>
      </w:tr>
      <w:tr w:rsidR="00DD3EFA" w:rsidRPr="005A0E7C" w14:paraId="65B120C2" w14:textId="77777777" w:rsidTr="00B15ECB">
        <w:trPr>
          <w:trHeight w:val="46"/>
        </w:trPr>
        <w:tc>
          <w:tcPr>
            <w:tcW w:w="249" w:type="dxa"/>
            <w:tcBorders>
              <w:top w:val="nil"/>
              <w:bottom w:val="nil"/>
              <w:right w:val="nil"/>
            </w:tcBorders>
            <w:shd w:val="clear" w:color="auto" w:fill="66CCFF"/>
          </w:tcPr>
          <w:p w14:paraId="00353CCB"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1569E18F"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19FEEC11" w14:textId="77777777" w:rsidR="00DD3EFA" w:rsidRPr="005A0E7C" w:rsidRDefault="00DD3EFA" w:rsidP="00B15ECB">
            <w:pPr>
              <w:rPr>
                <w:b/>
              </w:rPr>
            </w:pPr>
          </w:p>
        </w:tc>
        <w:tc>
          <w:tcPr>
            <w:tcW w:w="249" w:type="dxa"/>
            <w:tcBorders>
              <w:top w:val="nil"/>
              <w:left w:val="nil"/>
              <w:bottom w:val="nil"/>
            </w:tcBorders>
            <w:shd w:val="clear" w:color="auto" w:fill="66CCFF"/>
          </w:tcPr>
          <w:p w14:paraId="63B30419" w14:textId="77777777" w:rsidR="00DD3EFA" w:rsidRPr="005A0E7C" w:rsidRDefault="00DD3EFA" w:rsidP="00B15ECB">
            <w:pPr>
              <w:rPr>
                <w:b/>
              </w:rPr>
            </w:pPr>
          </w:p>
        </w:tc>
      </w:tr>
      <w:tr w:rsidR="00DD3EFA" w:rsidRPr="005A0E7C" w14:paraId="3C08B44D" w14:textId="77777777" w:rsidTr="00B15ECB">
        <w:trPr>
          <w:trHeight w:val="1274"/>
        </w:trPr>
        <w:tc>
          <w:tcPr>
            <w:tcW w:w="249" w:type="dxa"/>
            <w:tcBorders>
              <w:top w:val="nil"/>
              <w:bottom w:val="nil"/>
            </w:tcBorders>
            <w:shd w:val="clear" w:color="auto" w:fill="66CCFF"/>
          </w:tcPr>
          <w:p w14:paraId="5742912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FC8A8B1"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FFC685D"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Tato podoblast se týká obecného cíle dosažení vyšší přidané hodnoty u firem, bez ohledu na velikost, v rámci české ekonomiky. V rámci analýzy byla identifikována jako jedna ze slabých stránek oblasti podnikání nízká přidaná hodnota ekonomických aktivit v  ČR. V Česku je totiž typická vysoká koncentrace firem, které jsou v nevýhodných postaveních v rámcích globálních produkčních sítí a hodnotových řetězců. Obecně je tak cílem dlouhodobě dosahovat vyšší přidané hodnoty v produkci českých firem, na základě inovačního potenciálu malých a středních podniků rozvíjet nové meziodvětvové průmyslové hodnotové řetězce a podporovat rozvoj nových průmyslových odvětví, které zajistí budoucí růst a zaměstnanost. Dokončení transformace původní tradiční průmyslové základny EU se musí zaměřit na rozvoj dlouhodobých mezinárodně konkurenceschopných služeb a zboží, které vyžadují kombinaci různých kompetencí a inovativních řešení. Rozvoj nových hodnotových řetězců vyžaduje spolupráci a integraci různých aktérů v oblasti inovací, včetně velkých podniků, a zejména malých a středních podniků, napříč různými sektory směrem k realizaci společné vize.</w:t>
            </w:r>
          </w:p>
          <w:p w14:paraId="513C9E5C" w14:textId="77777777" w:rsidR="00DD3EFA" w:rsidRPr="005A0E7C" w:rsidRDefault="00DD3EFA" w:rsidP="00B15ECB">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A0E7C">
              <w:rPr>
                <w:rFonts w:cs="Times New Roman"/>
              </w:rPr>
              <w:t>Novými technologiemi usnadněná přímá komunikace výrobců se zákazníky bude mít vliv na fragmentaci hodnotového řetězce. Tím se otevřou širší příležitosti pro malé firmy a rovněž vstup nových hráčů na trh bude snadnější. Umožní to také malým subjektům včetně jednotlivců se pracovně a podnikatelsky realizovat bez ohledu na lokalitu jejich bydliště. Budou tak moci profitovat na globální poptávce někdy i velmi úzce vymezených segmentů spotřebitelů. Tento charakter práce klade nároky nejen na odborné znalosti ale i na podnikatelské a marketingové dovednosti. Bude nutné ale obstát na trhu nových možností, a to pouze za předpokladu nabídky produktů a služeb s vyšší přidanou hodnotou, ideálně však již nabídkou koncového produktu, resp. manuálu na jeho vyrobení, zcela umožňující jeho zákaznické přizpůsobení.</w:t>
            </w:r>
          </w:p>
          <w:p w14:paraId="1D9422D0" w14:textId="77777777" w:rsidR="00DD3EFA" w:rsidRPr="005A0E7C" w:rsidRDefault="00DD3EFA" w:rsidP="00B15ECB">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A0E7C">
              <w:rPr>
                <w:rFonts w:cs="Times New Roman"/>
              </w:rPr>
              <w:t>Individualizace poptávky povede k výrobě v menších sériích a k velmi specializované výrobě podle požadavků zákazníků. Bude vyžadována rychlá reakce v odpovědi na změny potřeb různých zákazníků, přičemž taková výroba bude s využitím robotů nejen rychle realizovatelná, ale i daleko efektivnější. Bude to však vyžadovat velkou profesní flexibilitu ze strany pracovníků, jejich neustálé vzdělávání a výchovu příslušných specialistů, které si podniky budou dovzdělávat podle svých potřeb.</w:t>
            </w:r>
          </w:p>
          <w:p w14:paraId="570854E9" w14:textId="77777777" w:rsidR="00DD3EFA" w:rsidRPr="005A0E7C" w:rsidRDefault="00DD3EFA" w:rsidP="00B15ECB">
            <w:pPr>
              <w:pStyle w:val="P4bodytext"/>
              <w:pBdr>
                <w:top w:val="none" w:sz="0" w:space="0" w:color="auto"/>
                <w:left w:val="none" w:sz="0" w:space="0" w:color="auto"/>
                <w:bottom w:val="none" w:sz="0" w:space="0" w:color="auto"/>
                <w:right w:val="none" w:sz="0" w:space="0" w:color="auto"/>
                <w:bar w:val="none" w:sz="0" w:color="auto"/>
              </w:pBdr>
              <w:rPr>
                <w:rFonts w:cs="Times New Roman"/>
              </w:rPr>
            </w:pPr>
          </w:p>
          <w:p w14:paraId="75AE5631"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Horizontální integrace, tzn. propojení hodnotového řetězce od zajištění odpovídající surovinové základny, dostupných, zejména strategických surovin a energie, dodávky dílů od sub-dodavatelů až po dodání finálního výrobku koncovému zákazníkovi, následný servis a recyklaci surovin, ev. využití odpadů, pak umožní další zvýšení efektivnosti firem. Dodavatelé, kteří budou mít k dispozici jednak digitální model dodávaných komponent, ale také informace o stavu skladových zásob a potřebách dodávky dílů ve finální výrobě v reálném čase, budou moci nejen optimalizovat svoje vlastní vertikální výrobní postupy, ale taktéž lépe plánovat výrobu, minimalizovat skladové zásoby a navrhnout optimální logistické trasy.</w:t>
            </w:r>
          </w:p>
        </w:tc>
        <w:tc>
          <w:tcPr>
            <w:tcW w:w="249" w:type="dxa"/>
            <w:tcBorders>
              <w:top w:val="nil"/>
              <w:bottom w:val="nil"/>
            </w:tcBorders>
            <w:shd w:val="clear" w:color="auto" w:fill="66CCFF"/>
          </w:tcPr>
          <w:p w14:paraId="3C2D970D" w14:textId="77777777" w:rsidR="00DD3EFA" w:rsidRPr="005A0E7C" w:rsidRDefault="00DD3EFA" w:rsidP="00B15ECB">
            <w:pPr>
              <w:rPr>
                <w:b/>
              </w:rPr>
            </w:pPr>
          </w:p>
        </w:tc>
      </w:tr>
      <w:tr w:rsidR="00DD3EFA" w:rsidRPr="005A0E7C" w14:paraId="76F4D358" w14:textId="77777777" w:rsidTr="00B15ECB">
        <w:trPr>
          <w:trHeight w:val="1274"/>
        </w:trPr>
        <w:tc>
          <w:tcPr>
            <w:tcW w:w="249" w:type="dxa"/>
            <w:tcBorders>
              <w:top w:val="nil"/>
              <w:bottom w:val="nil"/>
            </w:tcBorders>
            <w:shd w:val="clear" w:color="auto" w:fill="66CCFF"/>
          </w:tcPr>
          <w:p w14:paraId="34F9BB0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B87BE59"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519E43E2" w14:textId="77777777" w:rsidR="00DD3EFA" w:rsidRPr="005A0E7C" w:rsidRDefault="00DD3EFA" w:rsidP="00B15ECB">
            <w:pPr>
              <w:pStyle w:val="Normal1"/>
              <w:spacing w:before="120" w:line="264" w:lineRule="auto"/>
              <w:ind w:left="-70"/>
              <w:jc w:val="both"/>
              <w:rPr>
                <w:rFonts w:ascii="Times New Roman" w:hAnsi="Times New Roman" w:cs="Times New Roman"/>
              </w:rPr>
            </w:pPr>
            <w:r w:rsidRPr="005A0E7C">
              <w:rPr>
                <w:rFonts w:ascii="Times New Roman" w:hAnsi="Times New Roman" w:cs="Times New Roman"/>
              </w:rPr>
              <w:t>Připravenost země na strukturální přeměnu ekonomiky je mimo jiné charakterizována vyšším hodnotovým systémem, tj. kvalitou tvorby přidané hodnoty, otevřeností průmyslu, inovačními sítěmi, digitalizací ekonomiky, integrací tradičních odvětví do nových řetězců, využitím inteligentních technologií a využíváním internetu. Stav těchto předpokladů je v dnešní době nevyhovující.</w:t>
            </w:r>
          </w:p>
          <w:p w14:paraId="3F9F1024" w14:textId="77777777" w:rsidR="00DD3EFA" w:rsidRPr="005A0E7C" w:rsidRDefault="00DD3EFA" w:rsidP="00B15ECB">
            <w:pPr>
              <w:spacing w:before="60" w:after="60"/>
            </w:pPr>
            <w:r w:rsidRPr="005A0E7C">
              <w:t xml:space="preserve">Nástup nových technologií může měnit celé hodnotové řetězce, vytváří příležitosti pro nové obchodní modely, ale i tlak na flexibilitu moderní průmyslové výroby a služeb nebo zvýšené nároky na kybernetickou bezpečnost a interdisciplinaritu přístupu. Pro tuto strukturální přeměnu ekonomiky je nutné připravit vhodné prostředí. V současnosti je připravenost pro zvyšování přidané hodnoty v hodnotových řetězcích nízká. Podporou produkce vyšší přidané hodnoty můžeme připravit podmínky pro rozvinutí digitální ekonomiky a P4.0 v ČR (vyšší konkurenceschopnost domácích firem) a předejít i jeho negativním dopadům. (pracovní síla, struktura trhu práce). Souvislost mezi stabilizovanou a vzdělanou pracovní silou a znalostní ekonomikou zvyšující přidanou hodnotu je v této souvislosti zřejmá. </w:t>
            </w:r>
          </w:p>
        </w:tc>
        <w:tc>
          <w:tcPr>
            <w:tcW w:w="249" w:type="dxa"/>
            <w:tcBorders>
              <w:top w:val="nil"/>
              <w:bottom w:val="nil"/>
            </w:tcBorders>
            <w:shd w:val="clear" w:color="auto" w:fill="66CCFF"/>
          </w:tcPr>
          <w:p w14:paraId="543B0327" w14:textId="77777777" w:rsidR="00DD3EFA" w:rsidRPr="005A0E7C" w:rsidRDefault="00DD3EFA" w:rsidP="00B15ECB">
            <w:pPr>
              <w:rPr>
                <w:b/>
              </w:rPr>
            </w:pPr>
          </w:p>
        </w:tc>
      </w:tr>
      <w:tr w:rsidR="00DD3EFA" w:rsidRPr="005A0E7C" w14:paraId="291FFC94" w14:textId="77777777" w:rsidTr="00B15ECB">
        <w:trPr>
          <w:trHeight w:val="1274"/>
        </w:trPr>
        <w:tc>
          <w:tcPr>
            <w:tcW w:w="249" w:type="dxa"/>
            <w:tcBorders>
              <w:top w:val="nil"/>
              <w:bottom w:val="nil"/>
            </w:tcBorders>
            <w:shd w:val="clear" w:color="auto" w:fill="66CCFF"/>
          </w:tcPr>
          <w:p w14:paraId="295CD18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8DFEE5A"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71C7F49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F005041" w14:textId="77777777" w:rsidR="00DD3EFA" w:rsidRPr="005A0E7C" w:rsidRDefault="00DD3EFA" w:rsidP="00391907">
            <w:pPr>
              <w:pStyle w:val="Odstavecseseznamem"/>
              <w:numPr>
                <w:ilvl w:val="0"/>
                <w:numId w:val="79"/>
              </w:numPr>
              <w:ind w:left="714" w:hanging="357"/>
              <w:contextualSpacing w:val="0"/>
              <w:jc w:val="both"/>
            </w:pPr>
            <w:r w:rsidRPr="005A0E7C">
              <w:rPr>
                <w:rFonts w:eastAsiaTheme="majorEastAsia"/>
              </w:rPr>
              <w:t>Modernizace stávající výroby a služeb</w:t>
            </w:r>
          </w:p>
          <w:p w14:paraId="6A139505" w14:textId="77777777" w:rsidR="00DD3EFA" w:rsidRPr="005A0E7C" w:rsidRDefault="00DD3EFA" w:rsidP="00391907">
            <w:pPr>
              <w:pStyle w:val="Odstavecseseznamem"/>
              <w:numPr>
                <w:ilvl w:val="0"/>
                <w:numId w:val="79"/>
              </w:numPr>
              <w:ind w:left="714" w:hanging="357"/>
              <w:contextualSpacing w:val="0"/>
              <w:jc w:val="both"/>
              <w:rPr>
                <w:rFonts w:eastAsiaTheme="majorEastAsia"/>
                <w:u w:val="single"/>
              </w:rPr>
            </w:pPr>
            <w:r w:rsidRPr="005A0E7C">
              <w:t>Výroba s vyšší přidanou hodnotou</w:t>
            </w:r>
          </w:p>
          <w:p w14:paraId="0C48BEA1" w14:textId="77777777" w:rsidR="00DD3EFA" w:rsidRPr="005A0E7C" w:rsidRDefault="00DD3EFA" w:rsidP="00391907">
            <w:pPr>
              <w:pStyle w:val="Odstavecseseznamem"/>
              <w:numPr>
                <w:ilvl w:val="0"/>
                <w:numId w:val="79"/>
              </w:numPr>
              <w:ind w:left="714" w:hanging="357"/>
              <w:contextualSpacing w:val="0"/>
              <w:jc w:val="both"/>
              <w:rPr>
                <w:rFonts w:eastAsiaTheme="majorEastAsia"/>
              </w:rPr>
            </w:pPr>
            <w:r w:rsidRPr="005A0E7C">
              <w:rPr>
                <w:rFonts w:eastAsiaTheme="majorEastAsia"/>
              </w:rPr>
              <w:t xml:space="preserve">Zavádění nových klíčových technologií </w:t>
            </w:r>
          </w:p>
          <w:p w14:paraId="5DC5E9D9" w14:textId="77777777" w:rsidR="00DD3EFA" w:rsidRPr="005A0E7C" w:rsidRDefault="00DD3EFA" w:rsidP="00391907">
            <w:pPr>
              <w:pStyle w:val="slovanodstavec"/>
              <w:numPr>
                <w:ilvl w:val="0"/>
                <w:numId w:val="79"/>
              </w:numPr>
              <w:tabs>
                <w:tab w:val="clear" w:pos="567"/>
                <w:tab w:val="left" w:pos="284"/>
              </w:tabs>
              <w:suppressAutoHyphens/>
              <w:spacing w:after="0" w:line="240" w:lineRule="auto"/>
              <w:ind w:left="714" w:hanging="357"/>
              <w:rPr>
                <w:rFonts w:ascii="Times New Roman" w:eastAsiaTheme="majorEastAsia" w:hAnsi="Times New Roman"/>
                <w:noProof/>
              </w:rPr>
            </w:pPr>
            <w:r w:rsidRPr="005A0E7C">
              <w:rPr>
                <w:rFonts w:ascii="Times New Roman" w:eastAsiaTheme="majorEastAsia" w:hAnsi="Times New Roman"/>
                <w:noProof/>
              </w:rPr>
              <w:t>Zintenzivnění znalostního a technologického transferu v MSP</w:t>
            </w:r>
          </w:p>
          <w:p w14:paraId="0CA90EFD" w14:textId="77777777" w:rsidR="00DD3EFA" w:rsidRPr="005A0E7C" w:rsidRDefault="00DD3EFA" w:rsidP="00391907">
            <w:pPr>
              <w:pStyle w:val="Odstavecseseznamem"/>
              <w:numPr>
                <w:ilvl w:val="0"/>
                <w:numId w:val="79"/>
              </w:numPr>
              <w:ind w:left="714" w:hanging="357"/>
              <w:contextualSpacing w:val="0"/>
              <w:jc w:val="both"/>
              <w:rPr>
                <w:rFonts w:eastAsiaTheme="majorEastAsia"/>
                <w:u w:val="single"/>
              </w:rPr>
            </w:pPr>
            <w:r w:rsidRPr="005A0E7C">
              <w:rPr>
                <w:rFonts w:eastAsiaTheme="majorEastAsia"/>
              </w:rPr>
              <w:t>Zvýšení produktivity práce v podnicích, zejména MSP, mj. i v důsledku vyšší odbornosti a kvalifikace zaměstnanců a zaměstnavatelů a přístupu MSP k technologiím, inovativním procesům, ICT a vysokorychlostnímu internetu</w:t>
            </w:r>
          </w:p>
          <w:p w14:paraId="4CB0BBA1" w14:textId="77777777" w:rsidR="00DD3EFA" w:rsidRPr="005A0E7C" w:rsidRDefault="00DD3EFA" w:rsidP="00391907">
            <w:pPr>
              <w:pStyle w:val="Odstavecseseznamem"/>
              <w:numPr>
                <w:ilvl w:val="0"/>
                <w:numId w:val="79"/>
              </w:numPr>
              <w:ind w:left="714" w:hanging="357"/>
              <w:contextualSpacing w:val="0"/>
              <w:jc w:val="both"/>
            </w:pPr>
            <w:r w:rsidRPr="005A0E7C">
              <w:rPr>
                <w:rFonts w:eastAsiaTheme="majorEastAsia"/>
              </w:rPr>
              <w:t>Zlepšení netechnických kompetencí podniků, především MSP (strategické řízení, marketing, inovační management, zahraniční obchod ad.)</w:t>
            </w:r>
          </w:p>
        </w:tc>
        <w:tc>
          <w:tcPr>
            <w:tcW w:w="249" w:type="dxa"/>
            <w:tcBorders>
              <w:top w:val="nil"/>
              <w:bottom w:val="nil"/>
            </w:tcBorders>
            <w:shd w:val="clear" w:color="auto" w:fill="66CCFF"/>
          </w:tcPr>
          <w:p w14:paraId="331AE069" w14:textId="77777777" w:rsidR="00DD3EFA" w:rsidRPr="005A0E7C" w:rsidRDefault="00DD3EFA" w:rsidP="00B15ECB">
            <w:pPr>
              <w:rPr>
                <w:b/>
              </w:rPr>
            </w:pPr>
          </w:p>
        </w:tc>
      </w:tr>
      <w:tr w:rsidR="00DD3EFA" w:rsidRPr="005A0E7C" w14:paraId="296FC473" w14:textId="77777777" w:rsidTr="00B15ECB">
        <w:trPr>
          <w:trHeight w:val="1274"/>
        </w:trPr>
        <w:tc>
          <w:tcPr>
            <w:tcW w:w="249" w:type="dxa"/>
            <w:tcBorders>
              <w:top w:val="nil"/>
              <w:bottom w:val="nil"/>
            </w:tcBorders>
            <w:shd w:val="clear" w:color="auto" w:fill="66CCFF"/>
          </w:tcPr>
          <w:p w14:paraId="4B298AD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3C0221D"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4CE97B5D" w14:textId="77777777" w:rsidR="00DD3EFA" w:rsidRPr="005A0E7C" w:rsidRDefault="00DD3EFA" w:rsidP="00391907">
            <w:pPr>
              <w:pStyle w:val="Odstavecseseznamem"/>
              <w:numPr>
                <w:ilvl w:val="0"/>
                <w:numId w:val="79"/>
              </w:numPr>
              <w:ind w:left="714" w:hanging="357"/>
              <w:contextualSpacing w:val="0"/>
              <w:jc w:val="both"/>
            </w:pPr>
            <w:r w:rsidRPr="005A0E7C">
              <w:t>Vyšší podíl výroby s vyšší přidanou hodnotou</w:t>
            </w:r>
          </w:p>
          <w:p w14:paraId="342E8DE8" w14:textId="77777777" w:rsidR="00DD3EFA" w:rsidRPr="005A0E7C" w:rsidRDefault="00DD3EFA" w:rsidP="00391907">
            <w:pPr>
              <w:pStyle w:val="Odstavecseseznamem"/>
              <w:numPr>
                <w:ilvl w:val="0"/>
                <w:numId w:val="79"/>
              </w:numPr>
              <w:ind w:left="714" w:hanging="357"/>
              <w:contextualSpacing w:val="0"/>
              <w:jc w:val="both"/>
            </w:pPr>
            <w:r w:rsidRPr="005A0E7C">
              <w:t>Zlepšení aplikovaného výzkumu a R</w:t>
            </w:r>
            <w:r w:rsidRPr="005A0E7C">
              <w:rPr>
                <w:lang w:val="en-US"/>
              </w:rPr>
              <w:t>&amp;</w:t>
            </w:r>
            <w:r w:rsidRPr="005A0E7C">
              <w:t>D prostředí v ČR</w:t>
            </w:r>
          </w:p>
          <w:p w14:paraId="7906BF11" w14:textId="77777777" w:rsidR="00DD3EFA" w:rsidRPr="005A0E7C" w:rsidRDefault="00DD3EFA" w:rsidP="00391907">
            <w:pPr>
              <w:pStyle w:val="Odstavecseseznamem"/>
              <w:numPr>
                <w:ilvl w:val="0"/>
                <w:numId w:val="79"/>
              </w:numPr>
              <w:ind w:left="714" w:hanging="357"/>
              <w:contextualSpacing w:val="0"/>
              <w:jc w:val="both"/>
              <w:rPr>
                <w:rFonts w:eastAsiaTheme="majorEastAsia"/>
                <w:u w:val="single"/>
              </w:rPr>
            </w:pPr>
            <w:r w:rsidRPr="005A0E7C">
              <w:t>Vyšší konkurenceschopnost výroby a služeb</w:t>
            </w:r>
          </w:p>
          <w:p w14:paraId="12DCDB73" w14:textId="77777777" w:rsidR="00DD3EFA" w:rsidRPr="005A0E7C" w:rsidRDefault="00DD3EFA" w:rsidP="00391907">
            <w:pPr>
              <w:pStyle w:val="slovanodstavec"/>
              <w:numPr>
                <w:ilvl w:val="0"/>
                <w:numId w:val="79"/>
              </w:numPr>
              <w:tabs>
                <w:tab w:val="clear" w:pos="567"/>
                <w:tab w:val="left" w:pos="284"/>
              </w:tabs>
              <w:suppressAutoHyphens/>
              <w:spacing w:after="0" w:line="240" w:lineRule="auto"/>
              <w:ind w:left="714" w:hanging="357"/>
              <w:rPr>
                <w:rFonts w:ascii="Times New Roman" w:eastAsiaTheme="majorEastAsia" w:hAnsi="Times New Roman"/>
                <w:noProof/>
              </w:rPr>
            </w:pPr>
            <w:r w:rsidRPr="005A0E7C">
              <w:rPr>
                <w:rFonts w:ascii="Times New Roman" w:eastAsiaTheme="majorEastAsia" w:hAnsi="Times New Roman"/>
                <w:noProof/>
              </w:rPr>
              <w:t>Zintenzivnění znalostního a technologického transferu v MSP</w:t>
            </w:r>
          </w:p>
          <w:p w14:paraId="3DDB9063" w14:textId="77777777" w:rsidR="00DD3EFA" w:rsidRPr="005A0E7C" w:rsidRDefault="00DD3EFA" w:rsidP="00391907">
            <w:pPr>
              <w:pStyle w:val="Odstavecseseznamem"/>
              <w:numPr>
                <w:ilvl w:val="0"/>
                <w:numId w:val="79"/>
              </w:numPr>
              <w:ind w:left="714" w:hanging="357"/>
              <w:contextualSpacing w:val="0"/>
              <w:jc w:val="both"/>
              <w:rPr>
                <w:rFonts w:eastAsiaTheme="majorEastAsia"/>
                <w:i/>
                <w:u w:val="single"/>
              </w:rPr>
            </w:pPr>
            <w:r w:rsidRPr="005A0E7C">
              <w:rPr>
                <w:rFonts w:eastAsiaTheme="majorEastAsia"/>
              </w:rPr>
              <w:t>Zvýšení produktivity práce v podnicích</w:t>
            </w:r>
          </w:p>
        </w:tc>
        <w:tc>
          <w:tcPr>
            <w:tcW w:w="249" w:type="dxa"/>
            <w:tcBorders>
              <w:top w:val="nil"/>
              <w:bottom w:val="nil"/>
            </w:tcBorders>
            <w:shd w:val="clear" w:color="auto" w:fill="66CCFF"/>
          </w:tcPr>
          <w:p w14:paraId="2B3EF5FD" w14:textId="77777777" w:rsidR="00DD3EFA" w:rsidRPr="005A0E7C" w:rsidRDefault="00DD3EFA" w:rsidP="00B15ECB">
            <w:pPr>
              <w:rPr>
                <w:b/>
              </w:rPr>
            </w:pPr>
          </w:p>
        </w:tc>
      </w:tr>
      <w:tr w:rsidR="00DD3EFA" w:rsidRPr="005A0E7C" w14:paraId="27390F21" w14:textId="77777777" w:rsidTr="00B15ECB">
        <w:trPr>
          <w:trHeight w:val="1274"/>
        </w:trPr>
        <w:tc>
          <w:tcPr>
            <w:tcW w:w="249" w:type="dxa"/>
            <w:tcBorders>
              <w:top w:val="nil"/>
              <w:bottom w:val="nil"/>
            </w:tcBorders>
            <w:shd w:val="clear" w:color="auto" w:fill="66CCFF"/>
          </w:tcPr>
          <w:p w14:paraId="3FD04BF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4FE2010"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1420D28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Stanovení</w:t>
            </w:r>
            <w:r w:rsidRPr="005A0E7C">
              <w:rPr>
                <w:rFonts w:ascii="Times New Roman" w:hAnsi="Times New Roman"/>
                <w:color w:val="000000" w:themeColor="text1"/>
              </w:rPr>
              <w:t xml:space="preserve"> předpokládaného podílu ESIF není možné v tuto chvíli detailněji kvantifikovat. L</w:t>
            </w:r>
            <w:r w:rsidRPr="005A0E7C">
              <w:rPr>
                <w:rFonts w:ascii="Times New Roman" w:eastAsiaTheme="majorEastAsia" w:hAnsi="Times New Roman"/>
                <w:color w:val="000000" w:themeColor="text1"/>
              </w:rPr>
              <w:t>ze však očekávat, že předpokládaný podíl ESIF na plnění tohoto specifického cíle bude poměrně významný</w:t>
            </w:r>
            <w:r w:rsidRPr="005A0E7C">
              <w:rPr>
                <w:rFonts w:ascii="Times New Roman" w:hAnsi="Times New Roman"/>
                <w:color w:val="000000" w:themeColor="text1"/>
              </w:rPr>
              <w:t>, tzn. alespoň 50 %.</w:t>
            </w:r>
          </w:p>
        </w:tc>
        <w:tc>
          <w:tcPr>
            <w:tcW w:w="249" w:type="dxa"/>
            <w:tcBorders>
              <w:top w:val="nil"/>
              <w:bottom w:val="nil"/>
            </w:tcBorders>
            <w:shd w:val="clear" w:color="auto" w:fill="66CCFF"/>
          </w:tcPr>
          <w:p w14:paraId="4A39D1F9" w14:textId="77777777" w:rsidR="00DD3EFA" w:rsidRPr="005A0E7C" w:rsidRDefault="00DD3EFA" w:rsidP="00B15ECB">
            <w:pPr>
              <w:rPr>
                <w:b/>
              </w:rPr>
            </w:pPr>
          </w:p>
        </w:tc>
      </w:tr>
      <w:tr w:rsidR="00DD3EFA" w:rsidRPr="005A0E7C" w14:paraId="686FD98F" w14:textId="77777777" w:rsidTr="00B15ECB">
        <w:trPr>
          <w:trHeight w:val="841"/>
        </w:trPr>
        <w:tc>
          <w:tcPr>
            <w:tcW w:w="249" w:type="dxa"/>
            <w:tcBorders>
              <w:top w:val="nil"/>
              <w:bottom w:val="nil"/>
            </w:tcBorders>
            <w:shd w:val="clear" w:color="auto" w:fill="66CCFF"/>
          </w:tcPr>
          <w:p w14:paraId="53063E6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193DD77"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10A3E9F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S ohledem na rychlost a masovost nasazení nových řešení (internetová řešení) a nových obchodních modelů dochází k proměně firemního zaměření na výstupy a konečný užitek. V kontextu strukturální přeměnu ekonomiky je proto zásadní propojování oblastí a oborů (tj. ICT a společensko-vědní výzkum anebo třeba zcela nové materiály (nano) ve strojírenství anebo biotechnologie v elektrotechnice).</w:t>
            </w:r>
            <w:r w:rsidRPr="005A0E7C">
              <w:rPr>
                <w:rFonts w:ascii="Times New Roman" w:hAnsi="Times New Roman"/>
                <w:bCs/>
              </w:rPr>
              <w:t xml:space="preserve"> Zaměření podpory aplikovaného výzkumu musí vycházet z kombinace silného průmyslového zázemí (oborová struktura firemních investic do VaV či exportní výkonnost a přidaná hodnota), kvality a koncentrace veřejného výzkumu (existující výzkumná infrastruktura a kvalita výzkumného výkonu vědních oborů) a predikce technologického a společenského vývoje. Kombinace analýz jednotlivých složek pak musí reflektovat koncepčně odlišné pohledy (členění dle NACE, členění dle oblastí nebo volněji definovaných sektorů, exportní členění či vědní obory). Interdisciplinarita je pak důležitým aspektem správně cílené podpory VaV, a proto je potřeba při výběru vycházet právě z kombinace těchto různých pohledů. Mnoho vyspělých zemí provedlo foresightové studie za účelem identifikace příležitostí a výzev spojených s novými technologiemi. Výsledky pak slouží k identifikaci a prioritizaci široce pojatých sektorů a technologií místo tradičního úzkého cílení dle oborů. Jedná se o zcela novou oblast podpory, která byla řešena pouze částečně v období 2014-2020 podporou inovací a pouze izolovaně, spíše na bázi experimentálního charakteru.</w:t>
            </w:r>
          </w:p>
        </w:tc>
        <w:tc>
          <w:tcPr>
            <w:tcW w:w="249" w:type="dxa"/>
            <w:tcBorders>
              <w:top w:val="nil"/>
              <w:bottom w:val="nil"/>
            </w:tcBorders>
            <w:shd w:val="clear" w:color="auto" w:fill="66CCFF"/>
          </w:tcPr>
          <w:p w14:paraId="7B543485" w14:textId="77777777" w:rsidR="00DD3EFA" w:rsidRPr="005A0E7C" w:rsidRDefault="00DD3EFA" w:rsidP="00B15ECB">
            <w:pPr>
              <w:rPr>
                <w:b/>
              </w:rPr>
            </w:pPr>
          </w:p>
        </w:tc>
      </w:tr>
      <w:tr w:rsidR="00DD3EFA" w:rsidRPr="005A0E7C" w14:paraId="230EEEB6" w14:textId="77777777" w:rsidTr="00B15ECB">
        <w:trPr>
          <w:trHeight w:val="272"/>
        </w:trPr>
        <w:tc>
          <w:tcPr>
            <w:tcW w:w="249" w:type="dxa"/>
            <w:tcBorders>
              <w:top w:val="nil"/>
              <w:bottom w:val="nil"/>
              <w:right w:val="nil"/>
            </w:tcBorders>
            <w:shd w:val="clear" w:color="auto" w:fill="66CCFF"/>
          </w:tcPr>
          <w:p w14:paraId="25FA3DE9"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C25C9E5"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0BF1D27"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5ECE152B" w14:textId="77777777" w:rsidR="00DD3EFA" w:rsidRPr="005A0E7C" w:rsidRDefault="00DD3EFA" w:rsidP="00B15ECB">
            <w:pPr>
              <w:rPr>
                <w:b/>
              </w:rPr>
            </w:pPr>
          </w:p>
        </w:tc>
      </w:tr>
      <w:tr w:rsidR="00DD3EFA" w:rsidRPr="005A0E7C" w14:paraId="7B291367" w14:textId="77777777" w:rsidTr="00B15ECB">
        <w:trPr>
          <w:trHeight w:val="835"/>
        </w:trPr>
        <w:tc>
          <w:tcPr>
            <w:tcW w:w="249" w:type="dxa"/>
            <w:tcBorders>
              <w:top w:val="nil"/>
              <w:bottom w:val="nil"/>
            </w:tcBorders>
            <w:shd w:val="clear" w:color="auto" w:fill="66CCFF"/>
          </w:tcPr>
          <w:p w14:paraId="0EE878AA"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769BC3F"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7E676FFC"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6140121A" w14:textId="77777777" w:rsidR="00DD3EFA" w:rsidRPr="005A0E7C" w:rsidRDefault="00DD3EFA" w:rsidP="00B15ECB">
            <w:pPr>
              <w:rPr>
                <w:u w:val="single"/>
              </w:rPr>
            </w:pPr>
            <w:r w:rsidRPr="005A0E7C">
              <w:rPr>
                <w:u w:val="single"/>
              </w:rPr>
              <w:t>Dosažení cílů bude realizováno následujícími způsoby:</w:t>
            </w:r>
          </w:p>
          <w:p w14:paraId="72035D83" w14:textId="77777777" w:rsidR="00DD3EFA" w:rsidRPr="005A0E7C" w:rsidRDefault="00DD3EFA" w:rsidP="00391907">
            <w:pPr>
              <w:pStyle w:val="Odstavecseseznamem"/>
              <w:numPr>
                <w:ilvl w:val="0"/>
                <w:numId w:val="78"/>
              </w:numPr>
              <w:jc w:val="both"/>
            </w:pPr>
            <w:r w:rsidRPr="005A0E7C">
              <w:t>posílení vlivu a zaměření podpory na tvorbu nových, globálně konkurenceschopných průmyslových hodnotových řetězců</w:t>
            </w:r>
          </w:p>
          <w:p w14:paraId="06276447" w14:textId="77777777" w:rsidR="00DD3EFA" w:rsidRPr="005A0E7C" w:rsidRDefault="00DD3EFA" w:rsidP="00391907">
            <w:pPr>
              <w:pStyle w:val="Odstavecseseznamem"/>
              <w:numPr>
                <w:ilvl w:val="0"/>
                <w:numId w:val="78"/>
              </w:numPr>
              <w:jc w:val="both"/>
            </w:pPr>
            <w:r w:rsidRPr="005A0E7C">
              <w:t xml:space="preserve">integrace inovačních aktérů včetně velkých podniků </w:t>
            </w:r>
            <w:r w:rsidRPr="005A0E7C">
              <w:br/>
              <w:t>a MSP se zaměřením na mezinárodně konkurenceschopné zboží a služby</w:t>
            </w:r>
          </w:p>
          <w:p w14:paraId="303EAAAC" w14:textId="77777777" w:rsidR="00DD3EFA" w:rsidRPr="005A0E7C" w:rsidRDefault="00DD3EFA" w:rsidP="00391907">
            <w:pPr>
              <w:pStyle w:val="Odstavecseseznamem"/>
              <w:numPr>
                <w:ilvl w:val="0"/>
                <w:numId w:val="78"/>
              </w:numPr>
              <w:jc w:val="both"/>
            </w:pPr>
            <w:r w:rsidRPr="005A0E7C">
              <w:t>strategická meziodvětvová a meziregionální spolupráce s vazbou na Tematické platformy inteligentní specializace v rámci EU</w:t>
            </w:r>
          </w:p>
          <w:p w14:paraId="6F2648C5" w14:textId="77777777" w:rsidR="00DD3EFA" w:rsidRPr="005A0E7C" w:rsidRDefault="00DD3EFA" w:rsidP="00391907">
            <w:pPr>
              <w:pStyle w:val="Odstavecseseznamem"/>
              <w:numPr>
                <w:ilvl w:val="0"/>
                <w:numId w:val="78"/>
              </w:numPr>
              <w:jc w:val="both"/>
            </w:pPr>
            <w:r w:rsidRPr="005A0E7C">
              <w:t>podpora integrace tradičních odvětví do nových hodnotových řetězců</w:t>
            </w:r>
          </w:p>
          <w:p w14:paraId="2AC2A7ED" w14:textId="77777777" w:rsidR="00DD3EFA" w:rsidRPr="005A0E7C" w:rsidRDefault="00DD3EFA" w:rsidP="00391907">
            <w:pPr>
              <w:pStyle w:val="Odstavecseseznamem"/>
              <w:numPr>
                <w:ilvl w:val="0"/>
                <w:numId w:val="78"/>
              </w:numPr>
              <w:jc w:val="both"/>
            </w:pPr>
            <w:r w:rsidRPr="005A0E7C">
              <w:t xml:space="preserve">podpora zapojení podniků do inkubátorů, akcelerátorů </w:t>
            </w:r>
          </w:p>
          <w:p w14:paraId="08B0FA67" w14:textId="77777777" w:rsidR="00DD3EFA" w:rsidRPr="005A0E7C" w:rsidRDefault="00DD3EFA" w:rsidP="00391907">
            <w:pPr>
              <w:pStyle w:val="Odstavecseseznamem"/>
              <w:numPr>
                <w:ilvl w:val="0"/>
                <w:numId w:val="78"/>
              </w:numPr>
              <w:jc w:val="both"/>
            </w:pPr>
            <w:r w:rsidRPr="005A0E7C">
              <w:t>rozvoj otevřené podpůrné VaV infrastruktury pro testování a validaci nových technologií</w:t>
            </w:r>
          </w:p>
          <w:p w14:paraId="088309F4" w14:textId="77777777" w:rsidR="00DD3EFA" w:rsidRPr="005A0E7C" w:rsidRDefault="00DD3EFA" w:rsidP="00391907">
            <w:pPr>
              <w:pStyle w:val="Odstavecseseznamem"/>
              <w:numPr>
                <w:ilvl w:val="0"/>
                <w:numId w:val="78"/>
              </w:numPr>
              <w:jc w:val="both"/>
            </w:pPr>
            <w:r w:rsidRPr="005A0E7C">
              <w:t>tržní uplatnění přelomových inovačních řešení</w:t>
            </w:r>
          </w:p>
          <w:p w14:paraId="26218286" w14:textId="77777777" w:rsidR="00DD3EFA" w:rsidRPr="005A0E7C" w:rsidRDefault="00DD3EFA" w:rsidP="00391907">
            <w:pPr>
              <w:pStyle w:val="Odstavecseseznamem"/>
              <w:numPr>
                <w:ilvl w:val="0"/>
                <w:numId w:val="78"/>
              </w:numPr>
              <w:jc w:val="both"/>
            </w:pPr>
            <w:r w:rsidRPr="005A0E7C">
              <w:t>facilitace společných inovačních projektů MSP a dalších inovačních aktérů, validace a testování nových nápadů a inovačních řešení</w:t>
            </w:r>
          </w:p>
          <w:p w14:paraId="6E9920F3" w14:textId="77777777" w:rsidR="00DD3EFA" w:rsidRPr="005A0E7C" w:rsidRDefault="00DD3EFA" w:rsidP="00391907">
            <w:pPr>
              <w:pStyle w:val="Odstavecseseznamem"/>
              <w:numPr>
                <w:ilvl w:val="0"/>
                <w:numId w:val="78"/>
              </w:numPr>
              <w:jc w:val="both"/>
              <w:rPr>
                <w:color w:val="000000" w:themeColor="text1"/>
              </w:rPr>
            </w:pPr>
            <w:r w:rsidRPr="005A0E7C">
              <w:t>i</w:t>
            </w:r>
            <w:r w:rsidRPr="005A0E7C">
              <w:rPr>
                <w:color w:val="000000" w:themeColor="text1"/>
              </w:rPr>
              <w:t>mplementace inteligentních technologií do produktů a výrobních procesů</w:t>
            </w:r>
          </w:p>
          <w:p w14:paraId="0391F50E" w14:textId="77777777" w:rsidR="00DD3EFA" w:rsidRPr="005A0E7C" w:rsidRDefault="00DD3EFA" w:rsidP="00391907">
            <w:pPr>
              <w:numPr>
                <w:ilvl w:val="0"/>
                <w:numId w:val="78"/>
              </w:numPr>
              <w:spacing w:before="60" w:after="60"/>
              <w:jc w:val="both"/>
              <w:rPr>
                <w:color w:val="000000" w:themeColor="text1"/>
                <w:lang w:eastAsia="cs-CZ"/>
              </w:rPr>
            </w:pPr>
            <w:r w:rsidRPr="005A0E7C">
              <w:rPr>
                <w:color w:val="000000" w:themeColor="text1"/>
                <w:lang w:eastAsia="cs-CZ"/>
              </w:rPr>
              <w:t>vytvoření podmínek pro vznik a rozvoj Digital Innovation Hubs, disponujících infrastrukturou pro technologie HPC, poskytujících podporu pro MSP v jejich digitálních aktivitách a zapojujících se do mezinárodních aktivit Digital Networks</w:t>
            </w:r>
          </w:p>
          <w:p w14:paraId="1172C76C" w14:textId="77777777" w:rsidR="00DD3EFA" w:rsidRPr="005A0E7C" w:rsidRDefault="00DD3EFA" w:rsidP="00391907">
            <w:pPr>
              <w:numPr>
                <w:ilvl w:val="0"/>
                <w:numId w:val="78"/>
              </w:numPr>
              <w:spacing w:before="60" w:after="60"/>
              <w:jc w:val="both"/>
              <w:rPr>
                <w:color w:val="000000" w:themeColor="text1"/>
                <w:lang w:eastAsia="cs-CZ"/>
              </w:rPr>
            </w:pPr>
            <w:r w:rsidRPr="005A0E7C">
              <w:rPr>
                <w:color w:val="000000" w:themeColor="text1"/>
                <w:lang w:eastAsia="cs-CZ"/>
              </w:rPr>
              <w:t>zavádění moderních technologií (např. umělé inteligence) v MSP</w:t>
            </w:r>
          </w:p>
          <w:p w14:paraId="7B592996" w14:textId="77777777" w:rsidR="00DD3EFA" w:rsidRPr="005A0E7C" w:rsidRDefault="00DD3EFA" w:rsidP="00391907">
            <w:pPr>
              <w:pStyle w:val="Odstavecseseznamem"/>
              <w:numPr>
                <w:ilvl w:val="0"/>
                <w:numId w:val="78"/>
              </w:numPr>
              <w:jc w:val="both"/>
            </w:pPr>
            <w:r w:rsidRPr="005A0E7C">
              <w:t>vnitropodnikový aplikovaný výzkum, vývoj a inovace</w:t>
            </w:r>
          </w:p>
          <w:p w14:paraId="269D57E7" w14:textId="77777777" w:rsidR="00DD3EFA" w:rsidRPr="005A0E7C" w:rsidRDefault="00DD3EFA" w:rsidP="00391907">
            <w:pPr>
              <w:pStyle w:val="Odstavecseseznamem"/>
              <w:numPr>
                <w:ilvl w:val="0"/>
                <w:numId w:val="78"/>
              </w:numPr>
              <w:jc w:val="both"/>
            </w:pPr>
            <w:r w:rsidRPr="005A0E7C">
              <w:t>tržní uplatnění přelomových inovačních řešení</w:t>
            </w:r>
          </w:p>
          <w:p w14:paraId="7D420EDB" w14:textId="77777777" w:rsidR="00DD3EFA" w:rsidRPr="005A0E7C" w:rsidRDefault="00DD3EFA" w:rsidP="00391907">
            <w:pPr>
              <w:pStyle w:val="Odstavecseseznamem"/>
              <w:numPr>
                <w:ilvl w:val="0"/>
                <w:numId w:val="78"/>
              </w:numPr>
              <w:jc w:val="both"/>
            </w:pPr>
            <w:r w:rsidRPr="005A0E7C">
              <w:t>spolupráce s velkými podniky a výzkumnými organizacemi, mj. při vytváření konsorcií</w:t>
            </w:r>
          </w:p>
          <w:p w14:paraId="6A40F4DF" w14:textId="77777777" w:rsidR="00DD3EFA" w:rsidRPr="005A0E7C" w:rsidRDefault="00DD3EFA" w:rsidP="00391907">
            <w:pPr>
              <w:pStyle w:val="Odstavecseseznamem"/>
              <w:numPr>
                <w:ilvl w:val="0"/>
                <w:numId w:val="78"/>
              </w:numPr>
              <w:jc w:val="both"/>
            </w:pPr>
            <w:r w:rsidRPr="005A0E7C">
              <w:t>marketingové, organizační a procesní inovace</w:t>
            </w:r>
          </w:p>
          <w:p w14:paraId="58FEFF07" w14:textId="77777777" w:rsidR="00DD3EFA" w:rsidRPr="005A0E7C" w:rsidRDefault="00DD3EFA" w:rsidP="00391907">
            <w:pPr>
              <w:pStyle w:val="Odstavecseseznamem"/>
              <w:numPr>
                <w:ilvl w:val="0"/>
                <w:numId w:val="78"/>
              </w:numPr>
              <w:jc w:val="both"/>
            </w:pPr>
            <w:r w:rsidRPr="005A0E7C">
              <w:t>produktový a průmyslový design</w:t>
            </w:r>
          </w:p>
          <w:p w14:paraId="498A9E96" w14:textId="77777777" w:rsidR="00DD3EFA" w:rsidRPr="005A0E7C" w:rsidRDefault="00DD3EFA" w:rsidP="00391907">
            <w:pPr>
              <w:pStyle w:val="Odstavecseseznamem"/>
              <w:numPr>
                <w:ilvl w:val="0"/>
                <w:numId w:val="78"/>
              </w:numPr>
              <w:jc w:val="both"/>
            </w:pPr>
            <w:r w:rsidRPr="005A0E7C">
              <w:t>využívání interdisciplinarity, např. užitého umění a kulturního dědictví</w:t>
            </w:r>
          </w:p>
          <w:p w14:paraId="65F2C1AC" w14:textId="77777777" w:rsidR="00DD3EFA" w:rsidRPr="005A0E7C" w:rsidRDefault="00DD3EFA" w:rsidP="00391907">
            <w:pPr>
              <w:pStyle w:val="Odstavecseseznamem"/>
              <w:numPr>
                <w:ilvl w:val="0"/>
                <w:numId w:val="78"/>
              </w:numPr>
              <w:jc w:val="both"/>
            </w:pPr>
            <w:r w:rsidRPr="005A0E7C">
              <w:t xml:space="preserve">potřeba zohlednit tvorbu nových digitálních řešení, využít doménových specializací ČR – např. v oblasti bezpečnostního software.  </w:t>
            </w:r>
          </w:p>
          <w:p w14:paraId="2CFCD3E1" w14:textId="17856099" w:rsidR="00DD3EFA" w:rsidRPr="005A0E7C" w:rsidRDefault="00DD3EFA" w:rsidP="00391907">
            <w:pPr>
              <w:pStyle w:val="Odstavecseseznamem"/>
              <w:numPr>
                <w:ilvl w:val="0"/>
                <w:numId w:val="78"/>
              </w:numPr>
              <w:jc w:val="both"/>
            </w:pPr>
            <w:r w:rsidRPr="005A0E7C">
              <w:t>podpora tvorby vysoké přidané hodnoty skrze motivaci veřejného</w:t>
            </w:r>
            <w:r w:rsidR="006A6ACB" w:rsidRPr="005A0E7C">
              <w:t xml:space="preserve"> a soukromého sektoru k využití </w:t>
            </w:r>
            <w:r w:rsidRPr="005A0E7C">
              <w:t>inovativních výrobků a služeb</w:t>
            </w:r>
          </w:p>
          <w:p w14:paraId="7A5923E5" w14:textId="77777777" w:rsidR="00DD3EFA" w:rsidRPr="005A0E7C" w:rsidRDefault="00DD3EFA" w:rsidP="00391907">
            <w:pPr>
              <w:pStyle w:val="Odstavecseseznamem"/>
              <w:numPr>
                <w:ilvl w:val="0"/>
                <w:numId w:val="78"/>
              </w:numPr>
              <w:jc w:val="both"/>
            </w:pPr>
            <w:r w:rsidRPr="005A0E7C">
              <w:rPr>
                <w:rFonts w:eastAsiaTheme="majorEastAsia"/>
              </w:rPr>
              <w:t>vyšší využívání druhotných surovin a zavádění inovativních technologií s důrazem na aplikaci postupů ekodesignu při návrhu výrobku či pro jeho další fáze životnosti s ohledem na úsporu spotřeby energií a materiálu (je plánováno řešení pomocí postupů uvedených na kartě „Oběhové hospodářství a účinné využívání zdrojů“ včetně nahrazování primárních zdrojů surovin druhotnými zdroji)</w:t>
            </w:r>
          </w:p>
        </w:tc>
        <w:tc>
          <w:tcPr>
            <w:tcW w:w="249" w:type="dxa"/>
            <w:tcBorders>
              <w:top w:val="nil"/>
              <w:bottom w:val="nil"/>
            </w:tcBorders>
            <w:shd w:val="clear" w:color="auto" w:fill="66CCFF"/>
          </w:tcPr>
          <w:p w14:paraId="48C2FB22" w14:textId="77777777" w:rsidR="00DD3EFA" w:rsidRPr="005A0E7C" w:rsidRDefault="00DD3EFA" w:rsidP="00B15ECB">
            <w:pPr>
              <w:rPr>
                <w:b/>
              </w:rPr>
            </w:pPr>
          </w:p>
        </w:tc>
      </w:tr>
      <w:tr w:rsidR="00DD3EFA" w:rsidRPr="005A0E7C" w14:paraId="027C9EE2" w14:textId="77777777" w:rsidTr="00B15ECB">
        <w:trPr>
          <w:trHeight w:val="377"/>
        </w:trPr>
        <w:tc>
          <w:tcPr>
            <w:tcW w:w="249" w:type="dxa"/>
            <w:tcBorders>
              <w:top w:val="nil"/>
              <w:bottom w:val="nil"/>
              <w:right w:val="nil"/>
            </w:tcBorders>
            <w:shd w:val="clear" w:color="auto" w:fill="66CCFF"/>
          </w:tcPr>
          <w:p w14:paraId="71DA3E44"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C93AD9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8784411"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28D80676" w14:textId="77777777" w:rsidR="00DD3EFA" w:rsidRPr="005A0E7C" w:rsidRDefault="00DD3EFA" w:rsidP="00B15ECB">
            <w:pPr>
              <w:rPr>
                <w:b/>
              </w:rPr>
            </w:pPr>
          </w:p>
        </w:tc>
      </w:tr>
      <w:tr w:rsidR="00DD3EFA" w:rsidRPr="005A0E7C" w14:paraId="2D88F62A" w14:textId="77777777" w:rsidTr="00B15ECB">
        <w:trPr>
          <w:trHeight w:val="607"/>
        </w:trPr>
        <w:tc>
          <w:tcPr>
            <w:tcW w:w="249" w:type="dxa"/>
            <w:tcBorders>
              <w:top w:val="nil"/>
              <w:bottom w:val="nil"/>
            </w:tcBorders>
            <w:shd w:val="clear" w:color="auto" w:fill="66CCFF"/>
          </w:tcPr>
          <w:p w14:paraId="01E7F88E"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3B3718C2" w14:textId="77777777" w:rsidR="00DD3EFA" w:rsidRPr="005A0E7C" w:rsidRDefault="00DD3EFA">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4BBDABA7"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66F0E6B" w14:textId="77777777" w:rsidR="00DD3EFA" w:rsidRPr="005A0E7C" w:rsidRDefault="00DD3EFA" w:rsidP="00B15ECB">
            <w:pPr>
              <w:rPr>
                <w:b/>
              </w:rPr>
            </w:pPr>
          </w:p>
        </w:tc>
      </w:tr>
      <w:tr w:rsidR="00DD3EFA" w:rsidRPr="005A0E7C" w14:paraId="305E7CAB" w14:textId="77777777" w:rsidTr="00B15ECB">
        <w:trPr>
          <w:trHeight w:val="1202"/>
        </w:trPr>
        <w:tc>
          <w:tcPr>
            <w:tcW w:w="249" w:type="dxa"/>
            <w:tcBorders>
              <w:top w:val="nil"/>
              <w:bottom w:val="nil"/>
            </w:tcBorders>
            <w:shd w:val="clear" w:color="auto" w:fill="66CCFF"/>
          </w:tcPr>
          <w:p w14:paraId="7A58742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E6E217E"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5207A05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99EDA9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Hlavní současné přístupy k vysvětlení rozdílné konkurenceschopnosti regionů zdůrazňují význam pozice firem v globálních produkčních sítích. Z hlediska regionální konkurenceschopnosti je tedy klíčová struktura a postavení firem v těchto dodavatelsko-odběratelských řetězcích. Obecně existuje systematická pravidelnost mezi vyspělostí regionů a koncentrací firem „vyššího“ řádu (které produkují vyšší přidanou hodnotu). Vertikální dezintegrace firem na globální úrovni i současné tendence v chování těchto nadnárodních korporací (např. tzv. streamlining) poskytují velký potenciál pro firmy v české ekonomice a v jednotlivých regionech. Podpora firem a zvyšování přidané hodnoty u jejich výrobků by měla být obecnou snahou aktérů v jednotlivých regionech. Nicméně tyto firmy zapojené do globálních produkčních sítí a hodnotových řetězců nejsou rovnoměrně koncentrované a mají tendenci se více koncentrovat do funkčních celků aglomerací a metropolí.</w:t>
            </w:r>
          </w:p>
          <w:p w14:paraId="2E356492"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Ekonomická základna těchto regionů je stále v převažující míře tvořena firmami, které zaujímají nevýhodné postavení v rámci globálních produkčních sítí či jsou součástí velkých nadnárodních korporací a jsou tedy citlivé na výkyvy světových trhů. Navíc se nedaří maximalizovat ekonomické přínosy veřejných investic do VaV v těchto regionech, komerční využití výsledků VaV, celková míra spolupráce s aplikační sférou a ambicióznost firem je nadále nízká.</w:t>
            </w:r>
          </w:p>
          <w:p w14:paraId="515FFCF8"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V případě zahraničních firem je nezbytné zlepšovat podmínky pro alokaci koncernových aktivit s vyšší přidanou hodnotou v ČR (ve všech typech sídel) a v případě domácích firem je nezbytné podporovat jejich snaha o zlepšení postavení v globálních hodnotových řetězcích, především jejich posun na vyšší úroveň v nich (upgrading) a intenzivnější zapojení na mezinárodních trzích. Praktické implikace v této oblasti by tedy měly směřovat k podpoře repositioningu firem, k čemuž povedou cílené a koordinované kroky a reformy na úrovni regionů </w:t>
            </w:r>
            <w:r w:rsidRPr="005A0E7C">
              <w:rPr>
                <w:rFonts w:ascii="Times New Roman" w:hAnsi="Times New Roman"/>
              </w:rPr>
              <w:br/>
              <w:t>i celého Česka.</w:t>
            </w:r>
          </w:p>
        </w:tc>
        <w:tc>
          <w:tcPr>
            <w:tcW w:w="249" w:type="dxa"/>
            <w:tcBorders>
              <w:top w:val="nil"/>
              <w:bottom w:val="nil"/>
            </w:tcBorders>
            <w:shd w:val="clear" w:color="auto" w:fill="66CCFF"/>
          </w:tcPr>
          <w:p w14:paraId="6A789E51" w14:textId="77777777" w:rsidR="00DD3EFA" w:rsidRPr="005A0E7C" w:rsidRDefault="00DD3EFA" w:rsidP="00B15ECB">
            <w:pPr>
              <w:rPr>
                <w:b/>
              </w:rPr>
            </w:pPr>
          </w:p>
        </w:tc>
      </w:tr>
      <w:tr w:rsidR="00DD3EFA" w:rsidRPr="005A0E7C" w14:paraId="40F26AE2" w14:textId="77777777" w:rsidTr="00B15ECB">
        <w:trPr>
          <w:trHeight w:val="1202"/>
        </w:trPr>
        <w:tc>
          <w:tcPr>
            <w:tcW w:w="249" w:type="dxa"/>
            <w:tcBorders>
              <w:top w:val="nil"/>
              <w:bottom w:val="nil"/>
            </w:tcBorders>
            <w:shd w:val="clear" w:color="auto" w:fill="66CCFF"/>
          </w:tcPr>
          <w:p w14:paraId="33E16D8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A33EA32"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64AC80A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8D0E74E" w14:textId="77777777" w:rsidR="00DD3EFA" w:rsidRPr="005A0E7C" w:rsidRDefault="00DD3EFA" w:rsidP="00B15ECB">
            <w:pPr>
              <w:autoSpaceDE w:val="0"/>
              <w:autoSpaceDN w:val="0"/>
              <w:adjustRightInd w:val="0"/>
            </w:pPr>
            <w:r w:rsidRPr="005A0E7C">
              <w:t xml:space="preserve">Zvyšování přidané hodnoty v produkci firem v oblasti výrobků a služeb by mělo být doprovázeno snahou snížit nebo alespoň řešit snížení dopadů na klima. Dá se předpokládat, že zvyšování přidané hodnoty bude znamenat zapojení chytrých řešení, která budou zohledňovat i ekologické aspekty inovací. </w:t>
            </w:r>
          </w:p>
          <w:p w14:paraId="1146643F" w14:textId="77777777" w:rsidR="00DD3EFA" w:rsidRPr="005A0E7C" w:rsidRDefault="00DD3EFA" w:rsidP="00B15ECB">
            <w:pPr>
              <w:autoSpaceDE w:val="0"/>
              <w:autoSpaceDN w:val="0"/>
              <w:adjustRightInd w:val="0"/>
            </w:pPr>
          </w:p>
          <w:p w14:paraId="54806E3F" w14:textId="77777777" w:rsidR="00DD3EFA" w:rsidRPr="005A0E7C" w:rsidRDefault="00DD3EFA" w:rsidP="00B15ECB">
            <w:pPr>
              <w:autoSpaceDE w:val="0"/>
              <w:autoSpaceDN w:val="0"/>
              <w:adjustRightInd w:val="0"/>
            </w:pPr>
            <w:r w:rsidRPr="005A0E7C">
              <w:t>Opatření v sektoru průmyslové výroby by měla přispět k minimalizaci přímých emisí skleníkových plynů z průmyslových procesů a ke snížení nepřímých emisí ze spotřeby pohonných hmot, elektřiny a tepla.</w:t>
            </w:r>
          </w:p>
          <w:p w14:paraId="5E124AEA" w14:textId="77777777" w:rsidR="00DD3EFA" w:rsidRPr="005A0E7C" w:rsidRDefault="00DD3EFA" w:rsidP="00B15ECB">
            <w:pPr>
              <w:autoSpaceDE w:val="0"/>
              <w:autoSpaceDN w:val="0"/>
              <w:adjustRightInd w:val="0"/>
            </w:pPr>
          </w:p>
          <w:p w14:paraId="7ED0DFA6"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Je zde také příležitost v rozvoji tzv. zelené ekonomiky, adaptace na změny klimatu je totiž tržní příležitostí k rozvoji trhu úspor a vyšší materiálové a energetické efektivity. </w:t>
            </w:r>
          </w:p>
        </w:tc>
        <w:tc>
          <w:tcPr>
            <w:tcW w:w="249" w:type="dxa"/>
            <w:tcBorders>
              <w:top w:val="nil"/>
              <w:bottom w:val="nil"/>
            </w:tcBorders>
            <w:shd w:val="clear" w:color="auto" w:fill="66CCFF"/>
          </w:tcPr>
          <w:p w14:paraId="2E20F20B" w14:textId="77777777" w:rsidR="00DD3EFA" w:rsidRPr="005A0E7C" w:rsidRDefault="00DD3EFA" w:rsidP="00B15ECB">
            <w:pPr>
              <w:rPr>
                <w:b/>
              </w:rPr>
            </w:pPr>
          </w:p>
        </w:tc>
      </w:tr>
      <w:tr w:rsidR="00DD3EFA" w:rsidRPr="005A0E7C" w14:paraId="155D73F6" w14:textId="77777777" w:rsidTr="00B15ECB">
        <w:trPr>
          <w:trHeight w:val="1202"/>
        </w:trPr>
        <w:tc>
          <w:tcPr>
            <w:tcW w:w="249" w:type="dxa"/>
            <w:tcBorders>
              <w:top w:val="nil"/>
              <w:bottom w:val="nil"/>
            </w:tcBorders>
            <w:shd w:val="clear" w:color="auto" w:fill="66CCFF"/>
          </w:tcPr>
          <w:p w14:paraId="2EFB469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8D06E5D" w14:textId="77777777" w:rsidR="00DD3EFA" w:rsidRPr="005A0E7C" w:rsidRDefault="00DD3EFA" w:rsidP="00391907">
            <w:pPr>
              <w:pStyle w:val="slovanodstavec"/>
              <w:numPr>
                <w:ilvl w:val="0"/>
                <w:numId w:val="2"/>
              </w:numPr>
              <w:tabs>
                <w:tab w:val="left" w:pos="284"/>
              </w:tabs>
              <w:suppressAutoHyphens/>
              <w:spacing w:line="240" w:lineRule="auto"/>
              <w:rPr>
                <w:rFonts w:ascii="Times New Roman" w:hAnsi="Times New Roman"/>
                <w:b/>
                <w:color w:val="000000" w:themeColor="text1"/>
              </w:rPr>
            </w:pPr>
            <w:r w:rsidRPr="005A0E7C">
              <w:rPr>
                <w:rFonts w:ascii="Times New Roman" w:hAnsi="Times New Roman"/>
                <w:b/>
                <w:color w:val="000000" w:themeColor="text1"/>
              </w:rPr>
              <w:t xml:space="preserve">Společnost 4.0 </w:t>
            </w:r>
          </w:p>
          <w:p w14:paraId="6F26DF9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15D97B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V rámci příspěvku zvyšování přidané hodnoty produkce domácích podniků bude nutné zvýšit povědomí o nárocích na celospolečenskou proměnu, která v kontextu rozvinutí digitální ekonomiky nastane. Zde je nutné zejména zdůraznit potřebu orientace vzdělávání a orientace školství na přípravu průlomu v přístupu k technologiím. Právě zvýšení přidané hodnoty bude mít kvalitativní dopad na celou ekonomiku. Negativní vlivy digitalizace a Průmyslu 4.0 v sociální oblasti může napomoci řešit zapojení humanitních aplikovaných věd do komplexních interdisciplinárních. Dopady (pozitivní i negativní) zvyšování přidané hodnoty v produkci firem v návaznosti na digitální ekonomiku a Průmysl 4.0 mohou mít zejména ve znevýhodněných regionech, kde mohou být výzvou díky dematerializovaným technologiím a přenosu dat nezávislé na chybějící dopravní infrastruktuře, ale také na zvýšení nezaměstnanosti těžící z levné, nízce kvalifikované pracovní síly.</w:t>
            </w:r>
          </w:p>
        </w:tc>
        <w:tc>
          <w:tcPr>
            <w:tcW w:w="249" w:type="dxa"/>
            <w:tcBorders>
              <w:top w:val="nil"/>
              <w:bottom w:val="nil"/>
            </w:tcBorders>
            <w:shd w:val="clear" w:color="auto" w:fill="66CCFF"/>
          </w:tcPr>
          <w:p w14:paraId="3E9280A1" w14:textId="77777777" w:rsidR="00DD3EFA" w:rsidRPr="005A0E7C" w:rsidRDefault="00DD3EFA" w:rsidP="00B15ECB">
            <w:pPr>
              <w:rPr>
                <w:b/>
              </w:rPr>
            </w:pPr>
          </w:p>
        </w:tc>
      </w:tr>
      <w:tr w:rsidR="00DD3EFA" w:rsidRPr="005A0E7C" w14:paraId="6F014B6C" w14:textId="77777777" w:rsidTr="00B15ECB">
        <w:trPr>
          <w:trHeight w:val="1202"/>
        </w:trPr>
        <w:tc>
          <w:tcPr>
            <w:tcW w:w="249" w:type="dxa"/>
            <w:tcBorders>
              <w:top w:val="nil"/>
              <w:bottom w:val="nil"/>
            </w:tcBorders>
            <w:shd w:val="clear" w:color="auto" w:fill="66CCFF"/>
          </w:tcPr>
          <w:p w14:paraId="3D36652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AD4741E"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73779E0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EF576FC" w14:textId="77777777" w:rsidR="00DD3EFA" w:rsidRPr="005A0E7C" w:rsidRDefault="00DD3EFA" w:rsidP="00B15ECB">
            <w:pPr>
              <w:spacing w:before="240" w:line="259" w:lineRule="auto"/>
              <w:rPr>
                <w:b/>
              </w:rPr>
            </w:pPr>
            <w:r w:rsidRPr="005A0E7C">
              <w:rPr>
                <w:b/>
              </w:rPr>
              <w:t>Posun civilizace ke znalostní ekonomice</w:t>
            </w:r>
          </w:p>
          <w:p w14:paraId="39E28DAB" w14:textId="77777777" w:rsidR="00DD3EFA" w:rsidRPr="005A0E7C" w:rsidRDefault="00DD3EFA" w:rsidP="00B15ECB">
            <w:pPr>
              <w:spacing w:before="40"/>
            </w:pPr>
            <w:r w:rsidRPr="005A0E7C">
              <w:t>Digitalizace, úzká specializace a aplikace vědeckých poznatků jsou zásadním předpokladem pro další rozvoj ekonomiky.</w:t>
            </w:r>
          </w:p>
          <w:p w14:paraId="4361B715" w14:textId="77777777" w:rsidR="00DD3EFA" w:rsidRPr="005A0E7C" w:rsidRDefault="00DD3EFA" w:rsidP="00B15ECB">
            <w:pPr>
              <w:spacing w:before="240" w:line="259" w:lineRule="auto"/>
              <w:rPr>
                <w:b/>
              </w:rPr>
            </w:pPr>
            <w:r w:rsidRPr="005A0E7C">
              <w:rPr>
                <w:b/>
              </w:rPr>
              <w:t>Zvyšující se dostupnost technologií</w:t>
            </w:r>
          </w:p>
          <w:p w14:paraId="16B971EE" w14:textId="77777777" w:rsidR="00DD3EFA" w:rsidRPr="005A0E7C" w:rsidRDefault="00DD3EFA" w:rsidP="00B15ECB">
            <w:pPr>
              <w:spacing w:before="40"/>
            </w:pPr>
            <w:r w:rsidRPr="005A0E7C">
              <w:t>Technologie se čím dál víc stávají dostupnou součástí běžného života a prostupují všemi oblastmi společnosti.</w:t>
            </w:r>
          </w:p>
          <w:p w14:paraId="63546E02" w14:textId="77777777" w:rsidR="00DD3EFA" w:rsidRPr="005A0E7C" w:rsidRDefault="00DD3EFA" w:rsidP="00B15ECB">
            <w:pPr>
              <w:spacing w:before="240" w:line="259" w:lineRule="auto"/>
              <w:rPr>
                <w:b/>
              </w:rPr>
            </w:pPr>
            <w:r w:rsidRPr="005A0E7C">
              <w:rPr>
                <w:b/>
              </w:rPr>
              <w:t>Zvyšující se rychlost technologické změny</w:t>
            </w:r>
          </w:p>
          <w:p w14:paraId="390D258F" w14:textId="77777777" w:rsidR="00DD3EFA" w:rsidRPr="005A0E7C" w:rsidRDefault="00DD3EFA" w:rsidP="00B15ECB">
            <w:pPr>
              <w:spacing w:before="40"/>
            </w:pPr>
            <w:r w:rsidRPr="005A0E7C">
              <w:t>Dochází k rychlému rozvoji technologií a jejich bezodkladnému pronikání do výroby a služeb.</w:t>
            </w:r>
          </w:p>
          <w:p w14:paraId="4866A8D4" w14:textId="77777777" w:rsidR="00DD3EFA" w:rsidRPr="005A0E7C" w:rsidRDefault="00DD3EFA" w:rsidP="00B15ECB">
            <w:pPr>
              <w:spacing w:before="240" w:line="259" w:lineRule="auto"/>
              <w:rPr>
                <w:b/>
              </w:rPr>
            </w:pPr>
            <w:r w:rsidRPr="005A0E7C">
              <w:rPr>
                <w:b/>
              </w:rPr>
              <w:t>Demografické stárnutí</w:t>
            </w:r>
          </w:p>
          <w:p w14:paraId="2567AA9A" w14:textId="77777777" w:rsidR="00DD3EFA" w:rsidRPr="005A0E7C" w:rsidRDefault="00DD3EFA" w:rsidP="00B15ECB">
            <w:pPr>
              <w:spacing w:before="40"/>
            </w:pPr>
            <w:r w:rsidRPr="005A0E7C">
              <w:t>Stárnoucí populace vytváří tlak na zdravotní a sociální systém, přičemž může přispívat k oslabování výkonnosti ekonomiky v důsledku poklesu počtu pracovní síly. Zároveň je příležitosti pro nové typy služeb a zaměstnání.</w:t>
            </w:r>
          </w:p>
          <w:p w14:paraId="1508AAC4" w14:textId="77777777" w:rsidR="00DD3EFA" w:rsidRPr="005A0E7C" w:rsidRDefault="00DD3EFA" w:rsidP="00B15ECB">
            <w:pPr>
              <w:spacing w:before="240" w:line="259" w:lineRule="auto"/>
              <w:rPr>
                <w:b/>
              </w:rPr>
            </w:pPr>
            <w:r w:rsidRPr="005A0E7C">
              <w:rPr>
                <w:b/>
              </w:rPr>
              <w:t xml:space="preserve">Virtualizace světa </w:t>
            </w:r>
          </w:p>
          <w:p w14:paraId="088BEC5C" w14:textId="77777777" w:rsidR="00DD3EFA" w:rsidRPr="005A0E7C" w:rsidRDefault="00DD3EFA" w:rsidP="00B15ECB">
            <w:pPr>
              <w:spacing w:before="40"/>
            </w:pPr>
            <w:r w:rsidRPr="005A0E7C">
              <w:t xml:space="preserve">Stále více společenských aktivit včetně práce se neděje ve spojení s konkrétním fyzickým místem, ale jsou zprostředkovány virtuálně. </w:t>
            </w:r>
          </w:p>
          <w:p w14:paraId="7AF74003" w14:textId="77777777" w:rsidR="00DD3EFA" w:rsidRPr="005A0E7C" w:rsidRDefault="00DD3EFA" w:rsidP="00B15ECB">
            <w:pPr>
              <w:spacing w:before="240" w:line="259" w:lineRule="auto"/>
              <w:rPr>
                <w:b/>
              </w:rPr>
            </w:pPr>
            <w:r w:rsidRPr="005A0E7C">
              <w:rPr>
                <w:b/>
              </w:rPr>
              <w:t>Rostoucí spotřeba zdrojů</w:t>
            </w:r>
          </w:p>
          <w:p w14:paraId="7A5FB4F0" w14:textId="77777777" w:rsidR="00DD3EFA" w:rsidRPr="005A0E7C" w:rsidRDefault="00DD3EFA" w:rsidP="00B15ECB">
            <w:pPr>
              <w:spacing w:before="40"/>
            </w:pPr>
            <w:r w:rsidRPr="005A0E7C">
              <w:t xml:space="preserve">Rozšiřování technologií a ekonomický růst vede k neustálému tlaku na spotřebu zejména primárních zdrojů. </w:t>
            </w:r>
          </w:p>
          <w:p w14:paraId="44AD5326" w14:textId="77777777" w:rsidR="00DD3EFA" w:rsidRPr="005A0E7C" w:rsidRDefault="00DD3EFA" w:rsidP="00B15ECB">
            <w:pPr>
              <w:spacing w:before="240" w:line="259" w:lineRule="auto"/>
              <w:rPr>
                <w:b/>
              </w:rPr>
            </w:pPr>
            <w:r w:rsidRPr="005A0E7C">
              <w:rPr>
                <w:b/>
              </w:rPr>
              <w:t>Rostoucí spotřeba energie</w:t>
            </w:r>
          </w:p>
          <w:p w14:paraId="485BAB4D" w14:textId="77777777" w:rsidR="00DD3EFA" w:rsidRPr="005A0E7C" w:rsidRDefault="00DD3EFA" w:rsidP="00B15ECB">
            <w:pPr>
              <w:spacing w:before="40"/>
            </w:pPr>
            <w:r w:rsidRPr="005A0E7C">
              <w:t>Energetická náročnost lidské činnosti narůstá v souvislosti s rostoucím bohatstvím a populační expanzí.</w:t>
            </w:r>
          </w:p>
          <w:p w14:paraId="7FC78249" w14:textId="77777777" w:rsidR="00DD3EFA" w:rsidRPr="005A0E7C" w:rsidRDefault="00DD3EFA" w:rsidP="00B15ECB">
            <w:pPr>
              <w:spacing w:before="40"/>
              <w:rPr>
                <w:b/>
                <w:bCs/>
              </w:rPr>
            </w:pPr>
          </w:p>
          <w:p w14:paraId="23DE1824" w14:textId="77777777" w:rsidR="00DD3EFA" w:rsidRPr="005A0E7C" w:rsidRDefault="00DD3EFA" w:rsidP="00B15ECB">
            <w:pPr>
              <w:spacing w:before="40"/>
              <w:rPr>
                <w:b/>
                <w:bCs/>
              </w:rPr>
            </w:pPr>
            <w:r w:rsidRPr="005A0E7C">
              <w:rPr>
                <w:b/>
                <w:bCs/>
              </w:rPr>
              <w:t>Kompetence pro budoucnost</w:t>
            </w:r>
          </w:p>
          <w:p w14:paraId="1A50ED07" w14:textId="77777777" w:rsidR="00DD3EFA" w:rsidRPr="005A0E7C" w:rsidRDefault="00DD3EFA" w:rsidP="00B15ECB">
            <w:pPr>
              <w:spacing w:before="40"/>
            </w:pPr>
            <w:r w:rsidRPr="005A0E7C">
              <w:t>Při definici cílů a obsahů vzdělávání musíme reflektovat bouřlivě se měnící společnost a fakt, že nyní vzděláváme lidi, jejichž ekonomický vrchol bude za třicet let, přičemž jeho podobu nedokážeme nyní ani odhadnout.</w:t>
            </w:r>
          </w:p>
          <w:p w14:paraId="2DA1F81E"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39B850D2" w14:textId="77777777" w:rsidR="00DD3EFA" w:rsidRPr="005A0E7C" w:rsidRDefault="00DD3EFA" w:rsidP="00B15ECB">
            <w:pPr>
              <w:rPr>
                <w:b/>
              </w:rPr>
            </w:pPr>
          </w:p>
        </w:tc>
      </w:tr>
      <w:tr w:rsidR="00DD3EFA" w:rsidRPr="005A0E7C" w14:paraId="0E305792" w14:textId="77777777" w:rsidTr="00B15ECB">
        <w:trPr>
          <w:trHeight w:val="1202"/>
        </w:trPr>
        <w:tc>
          <w:tcPr>
            <w:tcW w:w="249" w:type="dxa"/>
            <w:tcBorders>
              <w:top w:val="nil"/>
              <w:bottom w:val="nil"/>
            </w:tcBorders>
            <w:shd w:val="clear" w:color="auto" w:fill="66CCFF"/>
          </w:tcPr>
          <w:p w14:paraId="1FB764D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A4A0F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1BC0E0AE" w14:textId="77777777" w:rsidR="00DD3EFA" w:rsidRPr="005A0E7C" w:rsidRDefault="00DD3EFA" w:rsidP="00B15ECB">
            <w:pPr>
              <w:spacing w:before="60" w:after="60"/>
              <w:rPr>
                <w:b/>
                <w:lang w:eastAsia="en-GB"/>
              </w:rPr>
            </w:pPr>
            <w:r w:rsidRPr="005A0E7C">
              <w:rPr>
                <w:u w:val="single"/>
                <w:lang w:eastAsia="en-GB"/>
              </w:rPr>
              <w:t>Článek 4 ON:</w:t>
            </w:r>
            <w:r w:rsidRPr="005A0E7C">
              <w:rPr>
                <w:u w:val="single"/>
                <w:lang w:eastAsia="en-GB"/>
              </w:rPr>
              <w:br/>
              <w:t>Politický cíl:</w:t>
            </w:r>
            <w:r w:rsidRPr="005A0E7C">
              <w:rPr>
                <w:lang w:eastAsia="en-GB"/>
              </w:rPr>
              <w:br/>
            </w:r>
            <w:r w:rsidRPr="005A0E7C">
              <w:rPr>
                <w:b/>
                <w:lang w:eastAsia="en-GB"/>
              </w:rPr>
              <w:t>a) inteligentnější Evropa díky podpoře inovativní a inteligentní hospodářské transformace;</w:t>
            </w:r>
          </w:p>
          <w:p w14:paraId="517833B9" w14:textId="77777777" w:rsidR="00DD3EFA" w:rsidRPr="005A0E7C" w:rsidRDefault="00DD3EFA" w:rsidP="00B15ECB">
            <w:pPr>
              <w:spacing w:before="60" w:after="60"/>
              <w:rPr>
                <w:b/>
                <w:lang w:eastAsia="en-GB"/>
              </w:rPr>
            </w:pPr>
            <w:r w:rsidRPr="005A0E7C">
              <w:rPr>
                <w:b/>
                <w:lang w:eastAsia="en-GB"/>
              </w:rPr>
              <w:t>b) zelenější, nízkouhlíková Evropa díky podpoře přechodu na čistou a spravedlivou energii, zelených a modrých investic, oběhového hospodářství, přizpůsobení se změnám klimatu a prevence a řízení rizik</w:t>
            </w:r>
          </w:p>
          <w:p w14:paraId="0B65291C" w14:textId="77777777" w:rsidR="00DD3EFA" w:rsidRPr="005A0E7C" w:rsidRDefault="00DD3EFA" w:rsidP="00B15ECB">
            <w:pPr>
              <w:spacing w:before="60" w:after="60"/>
              <w:rPr>
                <w:b/>
                <w:lang w:eastAsia="en-GB"/>
              </w:rPr>
            </w:pPr>
            <w:r w:rsidRPr="005A0E7C">
              <w:rPr>
                <w:b/>
                <w:lang w:eastAsia="en-GB"/>
              </w:rPr>
              <w:t>c) propojenější Evropa díky zvyšování mobility a regionálního propojení IKT</w:t>
            </w:r>
          </w:p>
          <w:p w14:paraId="42E6D609" w14:textId="77777777" w:rsidR="00DD3EFA" w:rsidRPr="005A0E7C" w:rsidRDefault="00DD3EFA" w:rsidP="00B15ECB">
            <w:pPr>
              <w:spacing w:before="60" w:after="60"/>
              <w:rPr>
                <w:lang w:eastAsia="en-GB"/>
              </w:rPr>
            </w:pPr>
          </w:p>
          <w:p w14:paraId="2CAE0052" w14:textId="77777777" w:rsidR="00DD3EFA" w:rsidRPr="005A0E7C" w:rsidRDefault="00DD3EFA" w:rsidP="00B15ECB">
            <w:pPr>
              <w:spacing w:before="60" w:after="60"/>
              <w:rPr>
                <w:lang w:eastAsia="en-GB"/>
              </w:rPr>
            </w:pPr>
            <w:r w:rsidRPr="005A0E7C">
              <w:rPr>
                <w:u w:val="single"/>
                <w:lang w:eastAsia="en-GB"/>
              </w:rPr>
              <w:t>Článek 2 Nařízení EFRR a FS:</w:t>
            </w:r>
            <w:r w:rsidRPr="005A0E7C">
              <w:rPr>
                <w:lang w:eastAsia="en-GB"/>
              </w:rPr>
              <w:br/>
              <w:t xml:space="preserve">EFRR podporuje specifický cíl „inteligentnější Evropa díky podpoře inovativní a inteligentní ekonomické transformace“ (dále jen „CP 1“) prostřednictvím: </w:t>
            </w:r>
          </w:p>
          <w:p w14:paraId="2A4F1698" w14:textId="77777777" w:rsidR="00DD3EFA" w:rsidRPr="005A0E7C" w:rsidRDefault="00DD3EFA" w:rsidP="00B15ECB">
            <w:pPr>
              <w:spacing w:before="60" w:after="60"/>
              <w:rPr>
                <w:b/>
                <w:lang w:eastAsia="en-GB"/>
              </w:rPr>
            </w:pPr>
            <w:r w:rsidRPr="005A0E7C">
              <w:rPr>
                <w:lang w:eastAsia="en-GB"/>
              </w:rPr>
              <w:t xml:space="preserve">- </w:t>
            </w:r>
            <w:r w:rsidRPr="005A0E7C">
              <w:rPr>
                <w:b/>
                <w:lang w:eastAsia="en-GB"/>
              </w:rPr>
              <w:t xml:space="preserve">posílení výzkumných a inovačních kapacit a zavádění pokročilých technologií; </w:t>
            </w:r>
          </w:p>
          <w:p w14:paraId="37227FAA" w14:textId="77777777" w:rsidR="00DD3EFA" w:rsidRPr="005A0E7C" w:rsidRDefault="00DD3EFA" w:rsidP="00B15ECB">
            <w:pPr>
              <w:spacing w:before="60" w:after="60"/>
              <w:rPr>
                <w:b/>
                <w:lang w:eastAsia="en-GB"/>
              </w:rPr>
            </w:pPr>
            <w:r w:rsidRPr="005A0E7C">
              <w:rPr>
                <w:b/>
                <w:lang w:eastAsia="en-GB"/>
              </w:rPr>
              <w:t>- využití přínosů digitalizace pro občany, podniky a vlády</w:t>
            </w:r>
          </w:p>
          <w:p w14:paraId="41886A4F" w14:textId="77777777" w:rsidR="00DD3EFA" w:rsidRPr="005A0E7C" w:rsidRDefault="00DD3EFA" w:rsidP="00B15ECB">
            <w:pPr>
              <w:spacing w:before="60" w:after="60"/>
              <w:rPr>
                <w:b/>
                <w:lang w:eastAsia="en-GB"/>
              </w:rPr>
            </w:pPr>
            <w:r w:rsidRPr="005A0E7C">
              <w:rPr>
                <w:b/>
                <w:lang w:eastAsia="en-GB"/>
              </w:rPr>
              <w:t xml:space="preserve">- posílení růstu a konkurenceschopnosti malých a středních podniků; </w:t>
            </w:r>
          </w:p>
          <w:p w14:paraId="29633277" w14:textId="77777777" w:rsidR="00DD3EFA" w:rsidRPr="005A0E7C" w:rsidRDefault="00DD3EFA" w:rsidP="00B15ECB">
            <w:pPr>
              <w:spacing w:before="60" w:after="60"/>
              <w:rPr>
                <w:b/>
                <w:lang w:eastAsia="en-GB"/>
              </w:rPr>
            </w:pPr>
            <w:r w:rsidRPr="005A0E7C">
              <w:rPr>
                <w:b/>
                <w:lang w:eastAsia="en-GB"/>
              </w:rPr>
              <w:t xml:space="preserve">- rozvoje dovedností pro inteligentní specializaci, průmyslovou transformaci a podnikání; </w:t>
            </w:r>
          </w:p>
          <w:p w14:paraId="5D93C9EF" w14:textId="77777777" w:rsidR="00DD3EFA" w:rsidRPr="005A0E7C" w:rsidRDefault="00DD3EFA" w:rsidP="00B15ECB">
            <w:pPr>
              <w:spacing w:before="60" w:after="60"/>
              <w:rPr>
                <w:lang w:eastAsia="en-GB"/>
              </w:rPr>
            </w:pPr>
            <w:r w:rsidRPr="005A0E7C">
              <w:rPr>
                <w:lang w:eastAsia="en-GB"/>
              </w:rPr>
              <w:t>EFRR podporuje specifický cíl „zelenější, nízkouhlíková Evropa díky podpoře přechodu na čistou a spravedlivou energii, zelených a modrých investic, oběhového hospodářství, přizpůsobení se změnám klimatu a prevence a řízení rizik“ (dále jen CP 2“) prostřednictvím:</w:t>
            </w:r>
          </w:p>
          <w:p w14:paraId="09B6B357" w14:textId="77777777" w:rsidR="00DD3EFA" w:rsidRPr="005A0E7C" w:rsidRDefault="00DD3EFA" w:rsidP="00391907">
            <w:pPr>
              <w:pStyle w:val="Odstavecseseznamem"/>
              <w:numPr>
                <w:ilvl w:val="0"/>
                <w:numId w:val="81"/>
              </w:numPr>
              <w:spacing w:before="60" w:after="60"/>
              <w:rPr>
                <w:b/>
                <w:lang w:eastAsia="en-GB"/>
              </w:rPr>
            </w:pPr>
            <w:r w:rsidRPr="005A0E7C">
              <w:rPr>
                <w:b/>
                <w:lang w:eastAsia="en-GB"/>
              </w:rPr>
              <w:t>podpory přechodu k oběhovému hospodářství</w:t>
            </w:r>
          </w:p>
          <w:p w14:paraId="410AB818" w14:textId="77777777" w:rsidR="00DD3EFA" w:rsidRPr="005A0E7C" w:rsidRDefault="00DD3EFA" w:rsidP="00B15ECB">
            <w:pPr>
              <w:spacing w:before="60" w:after="60"/>
              <w:rPr>
                <w:lang w:eastAsia="en-GB"/>
              </w:rPr>
            </w:pPr>
            <w:r w:rsidRPr="005A0E7C">
              <w:rPr>
                <w:lang w:eastAsia="en-GB"/>
              </w:rPr>
              <w:t>EFRR podporuje specifický cíl „propojenější Evropa díky zvyšování mobility a regionálního propojení IKT“ (dále jen „CP 3“) prostřednictvím:</w:t>
            </w:r>
          </w:p>
          <w:p w14:paraId="53453FFE" w14:textId="77777777" w:rsidR="00DD3EFA" w:rsidRPr="005A0E7C" w:rsidRDefault="00DD3EFA" w:rsidP="00391907">
            <w:pPr>
              <w:pStyle w:val="Odstavecseseznamem"/>
              <w:numPr>
                <w:ilvl w:val="0"/>
                <w:numId w:val="81"/>
              </w:numPr>
              <w:spacing w:before="60" w:after="60"/>
              <w:rPr>
                <w:b/>
                <w:lang w:eastAsia="en-GB"/>
              </w:rPr>
            </w:pPr>
            <w:r w:rsidRPr="005A0E7C">
              <w:rPr>
                <w:b/>
                <w:lang w:eastAsia="en-GB"/>
              </w:rPr>
              <w:t xml:space="preserve">zvýšení digitálního propojení </w:t>
            </w:r>
          </w:p>
        </w:tc>
        <w:tc>
          <w:tcPr>
            <w:tcW w:w="249" w:type="dxa"/>
            <w:tcBorders>
              <w:top w:val="nil"/>
              <w:bottom w:val="nil"/>
            </w:tcBorders>
            <w:shd w:val="clear" w:color="auto" w:fill="66CCFF"/>
          </w:tcPr>
          <w:p w14:paraId="22B4D3DC" w14:textId="77777777" w:rsidR="00DD3EFA" w:rsidRPr="005A0E7C" w:rsidRDefault="00DD3EFA" w:rsidP="00B15ECB">
            <w:pPr>
              <w:rPr>
                <w:b/>
              </w:rPr>
            </w:pPr>
          </w:p>
        </w:tc>
      </w:tr>
      <w:tr w:rsidR="00DD3EFA" w:rsidRPr="005A0E7C" w14:paraId="1BB21F04" w14:textId="77777777" w:rsidTr="00B15ECB">
        <w:trPr>
          <w:trHeight w:val="1202"/>
        </w:trPr>
        <w:tc>
          <w:tcPr>
            <w:tcW w:w="249" w:type="dxa"/>
            <w:tcBorders>
              <w:top w:val="nil"/>
              <w:bottom w:val="nil"/>
            </w:tcBorders>
            <w:shd w:val="clear" w:color="auto" w:fill="66CCFF"/>
          </w:tcPr>
          <w:p w14:paraId="6F9C3BC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7AF176A"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732225BB" w14:textId="77777777" w:rsidR="00DD3EFA" w:rsidRPr="005A0E7C" w:rsidRDefault="00DD3EFA" w:rsidP="00B15ECB">
            <w:pPr>
              <w:spacing w:before="60" w:after="60"/>
              <w:rPr>
                <w:rStyle w:val="tlid-translation"/>
              </w:rPr>
            </w:pPr>
            <w:r w:rsidRPr="005A0E7C">
              <w:rPr>
                <w:rStyle w:val="tlid-translation"/>
              </w:rPr>
              <w:t>Zatímco se česká ekonomika přesouvá směrem k aktivitám s větší intenzitou znalostí, několik překážek stále brzdí rozvoj dobře fungujícího výzkumného a inovačního systému. Zvýšení investic do podnikatelského výzkumu a vývoje je primárně způsobeno přímými zahraničními investicemi. Výdaje na výzkum a vývoj domácích podniků se za poslední dva roky snížily. Navzdory značným veřejným investicím do výzkumu a vývoje vykazuje Česká republika zaostalost v oblasti kvality své veřejné vědecké základny. Byla přijata politická opatření pro budování vazeb mezi akademickou obcí a podniky a pro zlepšení výkonnosti veřejné vědecké základny, dosud však byly výsledky omezené a reformy dosud nebyly plně realizovány. Navíc řízení systému výzkumu a inovací je i nadále roztříštěné.</w:t>
            </w:r>
          </w:p>
          <w:p w14:paraId="000E6A2D" w14:textId="77777777" w:rsidR="00DD3EFA" w:rsidRPr="005A0E7C" w:rsidRDefault="00DD3EFA" w:rsidP="00B15ECB">
            <w:pPr>
              <w:spacing w:before="60" w:after="60"/>
            </w:pPr>
            <w:r w:rsidRPr="005A0E7C">
              <w:rPr>
                <w:rStyle w:val="tlid-translation"/>
              </w:rPr>
              <w:t>Rada doporučila České republice odstranit překážky růstu, zejména dalším snižováním administrativní zátěže podniků a zlepšením kvality výzkumu a vývoje.</w:t>
            </w:r>
          </w:p>
        </w:tc>
        <w:tc>
          <w:tcPr>
            <w:tcW w:w="249" w:type="dxa"/>
            <w:tcBorders>
              <w:top w:val="nil"/>
              <w:bottom w:val="nil"/>
            </w:tcBorders>
            <w:shd w:val="clear" w:color="auto" w:fill="66CCFF"/>
          </w:tcPr>
          <w:p w14:paraId="440C01E9" w14:textId="77777777" w:rsidR="00DD3EFA" w:rsidRPr="005A0E7C" w:rsidRDefault="00DD3EFA" w:rsidP="00B15ECB">
            <w:pPr>
              <w:rPr>
                <w:b/>
              </w:rPr>
            </w:pPr>
          </w:p>
        </w:tc>
      </w:tr>
      <w:tr w:rsidR="00DD3EFA" w:rsidRPr="005A0E7C" w14:paraId="714E820B" w14:textId="77777777" w:rsidTr="00B15ECB">
        <w:trPr>
          <w:trHeight w:val="180"/>
        </w:trPr>
        <w:tc>
          <w:tcPr>
            <w:tcW w:w="249" w:type="dxa"/>
            <w:tcBorders>
              <w:top w:val="nil"/>
              <w:bottom w:val="nil"/>
              <w:right w:val="nil"/>
            </w:tcBorders>
            <w:shd w:val="clear" w:color="auto" w:fill="66CCFF"/>
          </w:tcPr>
          <w:p w14:paraId="1B5C95A0" w14:textId="77777777" w:rsidR="00DD3EFA" w:rsidRPr="005A0E7C" w:rsidRDefault="00DD3EFA" w:rsidP="00B15ECB">
            <w:pPr>
              <w:rPr>
                <w:b/>
              </w:rPr>
            </w:pPr>
          </w:p>
        </w:tc>
        <w:tc>
          <w:tcPr>
            <w:tcW w:w="2548" w:type="dxa"/>
            <w:tcBorders>
              <w:left w:val="nil"/>
              <w:right w:val="nil"/>
            </w:tcBorders>
            <w:shd w:val="clear" w:color="auto" w:fill="66CCFF"/>
          </w:tcPr>
          <w:p w14:paraId="49E4E54E" w14:textId="77777777" w:rsidR="00DD3EFA" w:rsidRPr="005A0E7C" w:rsidRDefault="00DD3EFA" w:rsidP="00B15ECB">
            <w:pPr>
              <w:rPr>
                <w:b/>
              </w:rPr>
            </w:pPr>
          </w:p>
        </w:tc>
        <w:tc>
          <w:tcPr>
            <w:tcW w:w="5978" w:type="dxa"/>
            <w:tcBorders>
              <w:left w:val="nil"/>
              <w:right w:val="nil"/>
            </w:tcBorders>
            <w:shd w:val="clear" w:color="auto" w:fill="66CCFF"/>
          </w:tcPr>
          <w:p w14:paraId="6D3DB46E" w14:textId="77777777" w:rsidR="00DD3EFA" w:rsidRPr="005A0E7C" w:rsidRDefault="00DD3EFA" w:rsidP="00B15ECB">
            <w:pPr>
              <w:rPr>
                <w:b/>
              </w:rPr>
            </w:pPr>
          </w:p>
        </w:tc>
        <w:tc>
          <w:tcPr>
            <w:tcW w:w="249" w:type="dxa"/>
            <w:tcBorders>
              <w:top w:val="nil"/>
              <w:left w:val="nil"/>
              <w:bottom w:val="nil"/>
            </w:tcBorders>
            <w:shd w:val="clear" w:color="auto" w:fill="66CCFF"/>
          </w:tcPr>
          <w:p w14:paraId="733FCAA8" w14:textId="77777777" w:rsidR="00DD3EFA" w:rsidRPr="005A0E7C" w:rsidRDefault="00DD3EFA" w:rsidP="00B15ECB">
            <w:pPr>
              <w:rPr>
                <w:b/>
              </w:rPr>
            </w:pPr>
          </w:p>
        </w:tc>
      </w:tr>
      <w:tr w:rsidR="00DD3EFA" w:rsidRPr="005A0E7C" w14:paraId="6BE3A2C6" w14:textId="77777777" w:rsidTr="00B15ECB">
        <w:trPr>
          <w:trHeight w:val="938"/>
        </w:trPr>
        <w:tc>
          <w:tcPr>
            <w:tcW w:w="249" w:type="dxa"/>
            <w:tcBorders>
              <w:top w:val="nil"/>
              <w:bottom w:val="nil"/>
            </w:tcBorders>
            <w:shd w:val="clear" w:color="auto" w:fill="66CCFF"/>
          </w:tcPr>
          <w:p w14:paraId="6BDFD94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5A0622D"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74E30DEB"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4599EBB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3CF431A1" w14:textId="77777777" w:rsidR="00DD3EFA" w:rsidRPr="005A0E7C" w:rsidRDefault="00DD3EFA" w:rsidP="00B15ECB">
            <w:r w:rsidRPr="005A0E7C">
              <w:rPr>
                <w:u w:val="single"/>
              </w:rPr>
              <w:t>I</w:t>
            </w:r>
            <w:r w:rsidRPr="005A0E7C">
              <w:t xml:space="preserve">novační strategie České republiky 2019–2030, případně Strategie ČR 2030 </w:t>
            </w:r>
          </w:p>
          <w:p w14:paraId="7F20D423" w14:textId="77777777" w:rsidR="00DD3EFA" w:rsidRPr="005A0E7C" w:rsidRDefault="00DD3EFA" w:rsidP="00B15ECB"/>
          <w:p w14:paraId="29773D1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5E6ECD34" w14:textId="77777777" w:rsidR="00DD3EFA" w:rsidRPr="005A0E7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5A0E7C">
              <w:rPr>
                <w:rFonts w:ascii="Times New Roman" w:hAnsi="Times New Roman"/>
              </w:rPr>
              <w:t xml:space="preserve">Digitální Česko </w:t>
            </w:r>
          </w:p>
          <w:p w14:paraId="5BC332C8" w14:textId="77777777" w:rsidR="00DD3EFA" w:rsidRPr="005A0E7C" w:rsidRDefault="00DD3EFA" w:rsidP="00B15ECB">
            <w:pPr>
              <w:autoSpaceDE w:val="0"/>
              <w:autoSpaceDN w:val="0"/>
              <w:adjustRightInd w:val="0"/>
            </w:pPr>
            <w:r w:rsidRPr="005A0E7C">
              <w:t>Národní RIS3 strategie, včetně regionálních příloh</w:t>
            </w:r>
          </w:p>
          <w:p w14:paraId="6A801C43" w14:textId="77777777" w:rsidR="00DD3EFA" w:rsidRPr="005A0E7C" w:rsidRDefault="00DD3EFA" w:rsidP="00B15ECB">
            <w:r w:rsidRPr="005A0E7C">
              <w:t>Připravovaná Strategie podpory malého a středního podnikání 2021+ (resp. aktuální Koncepce podpory malých a středních podnikatelů na období let 2014-2020)</w:t>
            </w:r>
          </w:p>
          <w:p w14:paraId="4FC92EF9" w14:textId="77777777" w:rsidR="00DD3EFA" w:rsidRPr="005A0E7C" w:rsidRDefault="00DD3EFA" w:rsidP="00B15ECB">
            <w:r w:rsidRPr="005A0E7C">
              <w:t>Evropský akční program pro MSP (2017)</w:t>
            </w:r>
          </w:p>
          <w:p w14:paraId="741BF13A" w14:textId="77777777" w:rsidR="00DD3EFA" w:rsidRPr="005A0E7C" w:rsidRDefault="00DD3EFA" w:rsidP="00B15ECB">
            <w:r w:rsidRPr="005A0E7C">
              <w:t>Investice do inteligentního, inovativního a udržitelného průmyslu</w:t>
            </w:r>
          </w:p>
          <w:p w14:paraId="6F02380D" w14:textId="77777777" w:rsidR="00DD3EFA" w:rsidRPr="005A0E7C" w:rsidRDefault="00DD3EFA" w:rsidP="00B15ECB">
            <w:r w:rsidRPr="005A0E7C">
              <w:t>Obnovená strategie průmyslové politiky EU.</w:t>
            </w:r>
          </w:p>
          <w:p w14:paraId="432D3FD6" w14:textId="77777777" w:rsidR="00DD3EFA" w:rsidRPr="005A0E7C" w:rsidRDefault="00DD3EFA" w:rsidP="00B15ECB">
            <w:pPr>
              <w:autoSpaceDE w:val="0"/>
              <w:autoSpaceDN w:val="0"/>
              <w:adjustRightInd w:val="0"/>
            </w:pPr>
            <w:r w:rsidRPr="005A0E7C">
              <w:t>Národní RIS3 strategie, včetně regionálních příloh</w:t>
            </w:r>
          </w:p>
          <w:p w14:paraId="39F6CAFC" w14:textId="77777777" w:rsidR="00DD3EFA" w:rsidRPr="005A0E7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5A0E7C">
              <w:rPr>
                <w:rFonts w:ascii="Times New Roman" w:hAnsi="Times New Roman"/>
              </w:rPr>
              <w:t>Iniciativa Průmysl 4.0</w:t>
            </w:r>
          </w:p>
          <w:p w14:paraId="4BD60202" w14:textId="77777777" w:rsidR="00DD3EFA" w:rsidRPr="005A0E7C" w:rsidRDefault="00DD3EFA" w:rsidP="00B15ECB">
            <w:pPr>
              <w:pStyle w:val="slovanodstavec"/>
              <w:tabs>
                <w:tab w:val="clear" w:pos="567"/>
                <w:tab w:val="left" w:pos="284"/>
              </w:tabs>
              <w:suppressAutoHyphens/>
              <w:spacing w:after="0" w:line="240" w:lineRule="auto"/>
              <w:jc w:val="left"/>
              <w:rPr>
                <w:rFonts w:ascii="Times New Roman" w:hAnsi="Times New Roman"/>
              </w:rPr>
            </w:pPr>
          </w:p>
        </w:tc>
        <w:tc>
          <w:tcPr>
            <w:tcW w:w="249" w:type="dxa"/>
            <w:tcBorders>
              <w:top w:val="nil"/>
              <w:bottom w:val="nil"/>
            </w:tcBorders>
            <w:shd w:val="clear" w:color="auto" w:fill="66CCFF"/>
          </w:tcPr>
          <w:p w14:paraId="6C17E61C" w14:textId="77777777" w:rsidR="00DD3EFA" w:rsidRPr="005A0E7C" w:rsidRDefault="00DD3EFA" w:rsidP="00B15ECB">
            <w:pPr>
              <w:rPr>
                <w:b/>
              </w:rPr>
            </w:pPr>
          </w:p>
        </w:tc>
      </w:tr>
      <w:tr w:rsidR="00DD3EFA" w:rsidRPr="005A0E7C" w14:paraId="3B40B319" w14:textId="77777777" w:rsidTr="00B15ECB">
        <w:trPr>
          <w:trHeight w:val="938"/>
        </w:trPr>
        <w:tc>
          <w:tcPr>
            <w:tcW w:w="249" w:type="dxa"/>
            <w:tcBorders>
              <w:top w:val="nil"/>
              <w:bottom w:val="nil"/>
            </w:tcBorders>
            <w:shd w:val="clear" w:color="auto" w:fill="66CCFF"/>
          </w:tcPr>
          <w:p w14:paraId="16E887A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1A81582"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584E1D4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7C5185C"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color w:val="000000" w:themeColor="text1"/>
              </w:rPr>
            </w:pPr>
            <w:r w:rsidRPr="005A0E7C">
              <w:rPr>
                <w:rFonts w:ascii="Times New Roman" w:hAnsi="Times New Roman"/>
                <w:color w:val="000000" w:themeColor="text1"/>
              </w:rPr>
              <w:t>Země, které se rozhodly podporovat vědu, výzkum a inovace jako klíčové národní priority, patří dnes mezi nejvíce prosperující. Máme na mysli například Švýcarsko, Finsko, Švédsko nebo Dánsko, které jsou ČR geograficky i ekonomicky blízké a které se před časem rozhodly vydat na cestu masivní podpory inovací. Díky tomu dnes patří do absolutní světové špičky. Česká republika má k tomu všechny předpoklady. Zaměstnavatelé v průmyslu se potýkají s nedostatkem kvalifikovaných pracovníků některých technických profesí a disproporce mezi počtem odborníků odcházejících do důchodu v nejbližších letech a množstvím kvalitních absolventů klíčových oborů středních a vysokých škol je vážným problémem je vážným problémem, který může ohrozit dosažení vymezených cílů.</w:t>
            </w:r>
          </w:p>
          <w:p w14:paraId="6F4461C7" w14:textId="77777777" w:rsidR="00DD3EFA" w:rsidRPr="005A0E7C" w:rsidRDefault="00DD3EFA" w:rsidP="00B15ECB">
            <w:pPr>
              <w:autoSpaceDE w:val="0"/>
              <w:autoSpaceDN w:val="0"/>
              <w:adjustRightInd w:val="0"/>
              <w:rPr>
                <w:color w:val="000000" w:themeColor="text1"/>
              </w:rPr>
            </w:pPr>
            <w:r w:rsidRPr="005A0E7C">
              <w:rPr>
                <w:color w:val="000000" w:themeColor="text1"/>
              </w:rPr>
              <w:t>Česká republika v hodnocení konkurenceschopnosti (dle The Global Competitiveness Report 2017–2018) mírně zlepšila svou pozici a nachází se na 31 pozici ze 137 hodnocených zemí. Česká republika patří mezi země, které jsou zařazovány do skupiny průměrných inovátorů (moderate innovators dle IUS) nebo v některých případech dokonce mezi inovačně založené ekonomiky (pro účely žebříčku GCI). Z analytické části RIS3 i z analýz prováděných pro jiné účely však vyplývá, že z pohledu znalostní náročnosti a konkurenceschopnosti založené na inovacích nepatří Česká republika mezi nejvyspělejší země, přestože mezi méně vyspělými evropskými zeměmi náleží mezi nejinovativnější. Z toho důvodu je pro ČR důležité realizovat intervence, vedoucí nejen k posílení a rozvíjení specializace, jako je tomu v nejvyspělejších zemích a regionech Evropy, ale soustředit se také na intervence, které rozvíjení inovační systém jako celek, zlepšují jeho podmínky a fungování a dobudovávají jej. Jedním ze specifických cílů Národní RIS3 strategie je potřeba zvýšit počet nových firem usilujících o inovace, zejména vyšších řádů. Účelem tohoto cíle je zajistit vhodné podmínky pro vznik a rozvoj nových technologických firem v oblastech s vysokým růstovým potenciálem. Zahájení podnikání v těchto oblastech je často investičně náročnější a rizikovější. Zakladatelé úspěšných podniků tohoto typu často již mají předchozí podnikatelské zkušenosti, nicméně k realizaci podnikatelského záměru potřebují různorodé specifické služby a podmínky. Ty se různými způsoby snaží vytvořit prakticky všechny rozvinuté země ve světě.</w:t>
            </w:r>
          </w:p>
          <w:p w14:paraId="2D67FFC3" w14:textId="77777777" w:rsidR="00DD3EFA" w:rsidRPr="005A0E7C" w:rsidRDefault="00DD3EFA" w:rsidP="00B15ECB">
            <w:pPr>
              <w:autoSpaceDE w:val="0"/>
              <w:autoSpaceDN w:val="0"/>
              <w:adjustRightInd w:val="0"/>
              <w:rPr>
                <w:rFonts w:eastAsia="Calibri"/>
                <w:color w:val="000000" w:themeColor="text1"/>
              </w:rPr>
            </w:pPr>
          </w:p>
          <w:p w14:paraId="09CBA80C" w14:textId="77777777" w:rsidR="00DD3EFA" w:rsidRPr="005A0E7C" w:rsidRDefault="00DD3EFA" w:rsidP="00B15ECB">
            <w:pPr>
              <w:autoSpaceDE w:val="0"/>
              <w:autoSpaceDN w:val="0"/>
              <w:adjustRightInd w:val="0"/>
              <w:rPr>
                <w:color w:val="000000" w:themeColor="text1"/>
              </w:rPr>
            </w:pPr>
            <w:r w:rsidRPr="005A0E7C">
              <w:rPr>
                <w:rFonts w:eastAsia="Calibri"/>
                <w:color w:val="000000" w:themeColor="text1"/>
              </w:rPr>
              <w:t xml:space="preserve">Digitální ekonomika pak představuje základní pilíř celospolečenských změn, které přináší tzv. čtvrtá průmyslová revoluce. Digitální transformace je pro Českou republiku šanci k vnitřní modernizaci, přechodu na vzdělanostní ekonomiku a vznik </w:t>
            </w:r>
            <w:r w:rsidRPr="005A0E7C">
              <w:rPr>
                <w:color w:val="000000" w:themeColor="text1"/>
              </w:rPr>
              <w:t xml:space="preserve">domácích inovativních podniků s vysokou přidanou hodnotou. </w:t>
            </w:r>
          </w:p>
          <w:p w14:paraId="64FA7D6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Rovněž lze uvést, že v současné době mezi MSP převládá omezená výroba produktů s vyšší přidanou hodnotou. Také je relativně vysoká závislost na zákaznících a dodavatelích (slabší vyjednávací pozice).  V této souvislosti je nezbytné posílit spolupráci mezi MSP a výzkumnými organizacemi a zároveň stimulovat lepší postavení MSP v hodnotových řetězcích. </w:t>
            </w:r>
          </w:p>
        </w:tc>
        <w:tc>
          <w:tcPr>
            <w:tcW w:w="249" w:type="dxa"/>
            <w:tcBorders>
              <w:top w:val="nil"/>
              <w:bottom w:val="nil"/>
            </w:tcBorders>
            <w:shd w:val="clear" w:color="auto" w:fill="66CCFF"/>
          </w:tcPr>
          <w:p w14:paraId="78AA6063" w14:textId="77777777" w:rsidR="00DD3EFA" w:rsidRPr="005A0E7C" w:rsidRDefault="00DD3EFA" w:rsidP="00B15ECB">
            <w:pPr>
              <w:rPr>
                <w:b/>
              </w:rPr>
            </w:pPr>
          </w:p>
        </w:tc>
      </w:tr>
      <w:tr w:rsidR="00DD3EFA" w:rsidRPr="005A0E7C" w14:paraId="4A60A80B" w14:textId="77777777" w:rsidTr="00B15ECB">
        <w:trPr>
          <w:trHeight w:val="938"/>
        </w:trPr>
        <w:tc>
          <w:tcPr>
            <w:tcW w:w="249" w:type="dxa"/>
            <w:tcBorders>
              <w:top w:val="nil"/>
              <w:bottom w:val="nil"/>
            </w:tcBorders>
            <w:shd w:val="clear" w:color="auto" w:fill="66CCFF"/>
          </w:tcPr>
          <w:p w14:paraId="3C2386B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9F51DDC"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0B875DE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32A771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Z dokumentu Inovační strategie České republiky 2019-2030 vyplývá zaměření na:</w:t>
            </w:r>
          </w:p>
          <w:p w14:paraId="6F272662" w14:textId="77777777" w:rsidR="00DD3EFA" w:rsidRPr="005A0E7C" w:rsidRDefault="00DD3EFA" w:rsidP="00391907">
            <w:pPr>
              <w:pStyle w:val="slovanodstavec"/>
              <w:numPr>
                <w:ilvl w:val="0"/>
                <w:numId w:val="81"/>
              </w:numPr>
              <w:tabs>
                <w:tab w:val="clear" w:pos="567"/>
                <w:tab w:val="left" w:pos="284"/>
              </w:tabs>
              <w:suppressAutoHyphens/>
              <w:spacing w:after="0" w:line="240" w:lineRule="auto"/>
              <w:ind w:left="714" w:hanging="357"/>
              <w:rPr>
                <w:rFonts w:ascii="Times New Roman" w:hAnsi="Times New Roman"/>
              </w:rPr>
            </w:pPr>
            <w:r w:rsidRPr="005A0E7C">
              <w:rPr>
                <w:rFonts w:ascii="Times New Roman" w:hAnsi="Times New Roman"/>
              </w:rPr>
              <w:t>Podpora a posilování aktivit inovačních a výzkumných center</w:t>
            </w:r>
          </w:p>
          <w:p w14:paraId="4BF881ED" w14:textId="77777777" w:rsidR="00DD3EFA" w:rsidRPr="005A0E7C" w:rsidRDefault="00DD3EFA" w:rsidP="00391907">
            <w:pPr>
              <w:pStyle w:val="slovanodstavec"/>
              <w:numPr>
                <w:ilvl w:val="0"/>
                <w:numId w:val="81"/>
              </w:numPr>
              <w:tabs>
                <w:tab w:val="clear" w:pos="567"/>
                <w:tab w:val="left" w:pos="284"/>
              </w:tabs>
              <w:suppressAutoHyphens/>
              <w:spacing w:after="0" w:line="240" w:lineRule="auto"/>
              <w:ind w:left="714" w:hanging="357"/>
              <w:rPr>
                <w:rFonts w:ascii="Times New Roman" w:hAnsi="Times New Roman"/>
              </w:rPr>
            </w:pPr>
            <w:r w:rsidRPr="005A0E7C">
              <w:rPr>
                <w:rFonts w:ascii="Times New Roman" w:hAnsi="Times New Roman"/>
              </w:rPr>
              <w:t>Podpora polytechnického vzdělávání</w:t>
            </w:r>
          </w:p>
          <w:p w14:paraId="179D328C" w14:textId="77777777" w:rsidR="00DD3EFA" w:rsidRPr="005A0E7C" w:rsidRDefault="00DD3EFA" w:rsidP="00391907">
            <w:pPr>
              <w:pStyle w:val="slovanodstavec"/>
              <w:numPr>
                <w:ilvl w:val="0"/>
                <w:numId w:val="81"/>
              </w:numPr>
              <w:tabs>
                <w:tab w:val="clear" w:pos="567"/>
                <w:tab w:val="left" w:pos="284"/>
              </w:tabs>
              <w:suppressAutoHyphens/>
              <w:spacing w:after="0" w:line="240" w:lineRule="auto"/>
              <w:ind w:left="714" w:hanging="357"/>
              <w:rPr>
                <w:rFonts w:ascii="Times New Roman" w:hAnsi="Times New Roman"/>
              </w:rPr>
            </w:pPr>
            <w:r w:rsidRPr="005A0E7C">
              <w:rPr>
                <w:rFonts w:ascii="Times New Roman" w:hAnsi="Times New Roman"/>
              </w:rPr>
              <w:t>Zlepšování národního startup a spin-off prostředí</w:t>
            </w:r>
          </w:p>
          <w:p w14:paraId="04A8E959" w14:textId="77777777" w:rsidR="00DD3EFA" w:rsidRPr="005A0E7C" w:rsidRDefault="00DD3EFA" w:rsidP="00391907">
            <w:pPr>
              <w:pStyle w:val="slovanodstavec"/>
              <w:numPr>
                <w:ilvl w:val="0"/>
                <w:numId w:val="81"/>
              </w:numPr>
              <w:tabs>
                <w:tab w:val="clear" w:pos="567"/>
                <w:tab w:val="left" w:pos="284"/>
              </w:tabs>
              <w:suppressAutoHyphens/>
              <w:spacing w:after="0" w:line="240" w:lineRule="auto"/>
              <w:ind w:left="714" w:hanging="357"/>
              <w:rPr>
                <w:rFonts w:ascii="Times New Roman" w:hAnsi="Times New Roman"/>
              </w:rPr>
            </w:pPr>
            <w:r w:rsidRPr="005A0E7C">
              <w:rPr>
                <w:rFonts w:ascii="Times New Roman" w:hAnsi="Times New Roman"/>
              </w:rPr>
              <w:t>Zaměření na chytré investice</w:t>
            </w:r>
          </w:p>
          <w:p w14:paraId="5F0CAF8E" w14:textId="77777777" w:rsidR="00DD3EFA" w:rsidRPr="005A0E7C" w:rsidRDefault="00DD3EFA" w:rsidP="00391907">
            <w:pPr>
              <w:pStyle w:val="slovanodstavec"/>
              <w:numPr>
                <w:ilvl w:val="0"/>
                <w:numId w:val="81"/>
              </w:numPr>
              <w:tabs>
                <w:tab w:val="clear" w:pos="567"/>
                <w:tab w:val="left" w:pos="284"/>
              </w:tabs>
              <w:suppressAutoHyphens/>
              <w:spacing w:after="0" w:line="240" w:lineRule="auto"/>
              <w:ind w:left="714" w:hanging="357"/>
              <w:rPr>
                <w:rFonts w:ascii="Times New Roman" w:hAnsi="Times New Roman"/>
              </w:rPr>
            </w:pPr>
            <w:r w:rsidRPr="005A0E7C">
              <w:rPr>
                <w:rFonts w:ascii="Times New Roman" w:hAnsi="Times New Roman"/>
              </w:rPr>
              <w:t>Podpora zaměřená na digitální stát, výrobu a služby</w:t>
            </w:r>
          </w:p>
          <w:p w14:paraId="04B7CB95" w14:textId="77777777" w:rsidR="00DD3EFA" w:rsidRPr="005A0E7C" w:rsidRDefault="00DD3EFA" w:rsidP="00391907">
            <w:pPr>
              <w:pStyle w:val="slovanodstavec"/>
              <w:numPr>
                <w:ilvl w:val="0"/>
                <w:numId w:val="81"/>
              </w:numPr>
              <w:tabs>
                <w:tab w:val="clear" w:pos="567"/>
                <w:tab w:val="left" w:pos="284"/>
              </w:tabs>
              <w:suppressAutoHyphens/>
              <w:spacing w:after="0" w:line="240" w:lineRule="auto"/>
              <w:ind w:left="714" w:hanging="357"/>
              <w:rPr>
                <w:rFonts w:ascii="Times New Roman" w:hAnsi="Times New Roman"/>
              </w:rPr>
            </w:pPr>
            <w:r w:rsidRPr="005A0E7C">
              <w:rPr>
                <w:rFonts w:ascii="Times New Roman" w:hAnsi="Times New Roman"/>
              </w:rPr>
              <w:t>Podpora ochrany duševního vlastnictví</w:t>
            </w:r>
          </w:p>
          <w:p w14:paraId="1A09C34F" w14:textId="77777777" w:rsidR="00DD3EFA" w:rsidRPr="005A0E7C" w:rsidRDefault="00DD3EFA" w:rsidP="00391907">
            <w:pPr>
              <w:pStyle w:val="slovanodstavec"/>
              <w:numPr>
                <w:ilvl w:val="0"/>
                <w:numId w:val="81"/>
              </w:numPr>
              <w:tabs>
                <w:tab w:val="clear" w:pos="567"/>
                <w:tab w:val="left" w:pos="284"/>
              </w:tabs>
              <w:suppressAutoHyphens/>
              <w:spacing w:after="0" w:line="240" w:lineRule="auto"/>
              <w:ind w:left="714" w:hanging="357"/>
              <w:rPr>
                <w:rFonts w:ascii="Times New Roman" w:hAnsi="Times New Roman"/>
              </w:rPr>
            </w:pPr>
            <w:r w:rsidRPr="005A0E7C">
              <w:rPr>
                <w:rFonts w:ascii="Times New Roman" w:hAnsi="Times New Roman"/>
              </w:rPr>
              <w:t>Rozvoj chytrého marketingu</w:t>
            </w:r>
          </w:p>
          <w:p w14:paraId="03967FAD" w14:textId="77777777" w:rsidR="00DD3EFA" w:rsidRPr="005A0E7C" w:rsidRDefault="00DD3EFA" w:rsidP="00B15ECB">
            <w:pPr>
              <w:pStyle w:val="slovanodstavec"/>
              <w:tabs>
                <w:tab w:val="clear" w:pos="567"/>
                <w:tab w:val="left" w:pos="284"/>
              </w:tabs>
              <w:suppressAutoHyphens/>
              <w:spacing w:after="0" w:line="240" w:lineRule="auto"/>
              <w:ind w:left="714"/>
              <w:rPr>
                <w:rFonts w:ascii="Times New Roman" w:hAnsi="Times New Roman"/>
              </w:rPr>
            </w:pPr>
          </w:p>
          <w:p w14:paraId="3FACB862" w14:textId="77777777" w:rsidR="00DD3EFA" w:rsidRPr="005A0E7C" w:rsidRDefault="00DD3EFA" w:rsidP="00B15ECB">
            <w:pPr>
              <w:pStyle w:val="Textkomente"/>
            </w:pPr>
            <w:r w:rsidRPr="005A0E7C">
              <w:t>Dále lze vyjít z dokumentu Digitální ekonomika společnost (Digitální Česko), která se zaměřuje na:</w:t>
            </w:r>
          </w:p>
          <w:p w14:paraId="602A6BB4" w14:textId="77777777" w:rsidR="00DD3EFA" w:rsidRPr="005A0E7C" w:rsidRDefault="00DD3EFA" w:rsidP="00391907">
            <w:pPr>
              <w:pStyle w:val="Textkomente"/>
              <w:numPr>
                <w:ilvl w:val="0"/>
                <w:numId w:val="85"/>
              </w:numPr>
              <w:rPr>
                <w:i/>
              </w:rPr>
            </w:pPr>
            <w:r w:rsidRPr="005A0E7C">
              <w:t>Efektivnější systém přímé i nepřímé podpory výzkumu, vývoje a inovací</w:t>
            </w:r>
          </w:p>
          <w:p w14:paraId="5672CC01" w14:textId="77777777" w:rsidR="00DD3EFA" w:rsidRPr="005A0E7C" w:rsidRDefault="00DD3EFA" w:rsidP="00391907">
            <w:pPr>
              <w:pStyle w:val="Textkomente"/>
              <w:numPr>
                <w:ilvl w:val="0"/>
                <w:numId w:val="85"/>
              </w:numPr>
              <w:rPr>
                <w:i/>
              </w:rPr>
            </w:pPr>
            <w:r w:rsidRPr="005A0E7C">
              <w:t>Zralost a připravenost sektorů ekonomiky na digitální transformaci</w:t>
            </w:r>
          </w:p>
          <w:p w14:paraId="0D09269F" w14:textId="77777777" w:rsidR="00DD3EFA" w:rsidRPr="005A0E7C" w:rsidRDefault="00DD3EFA" w:rsidP="00391907">
            <w:pPr>
              <w:pStyle w:val="Textkomente"/>
              <w:numPr>
                <w:ilvl w:val="0"/>
                <w:numId w:val="85"/>
              </w:numPr>
              <w:rPr>
                <w:i/>
              </w:rPr>
            </w:pPr>
            <w:r w:rsidRPr="005A0E7C">
              <w:t>Připravenost občanů na změny trhu práce, vzdělávání a rozvoj digitálních dovedností</w:t>
            </w:r>
          </w:p>
          <w:p w14:paraId="331B5696" w14:textId="77777777" w:rsidR="00DD3EFA" w:rsidRPr="005A0E7C" w:rsidRDefault="00DD3EFA" w:rsidP="00391907">
            <w:pPr>
              <w:pStyle w:val="Textkomente"/>
              <w:numPr>
                <w:ilvl w:val="0"/>
                <w:numId w:val="85"/>
              </w:numPr>
              <w:rPr>
                <w:i/>
              </w:rPr>
            </w:pPr>
            <w:r w:rsidRPr="005A0E7C">
              <w:t>Podpora konektivity a infrastruktury digitální ekonomiky a společnosti</w:t>
            </w:r>
          </w:p>
          <w:p w14:paraId="3AD59481" w14:textId="77777777" w:rsidR="00DD3EFA" w:rsidRPr="005A0E7C" w:rsidRDefault="00DD3EFA" w:rsidP="00391907">
            <w:pPr>
              <w:pStyle w:val="Textkomente"/>
              <w:numPr>
                <w:ilvl w:val="0"/>
                <w:numId w:val="85"/>
              </w:numPr>
              <w:rPr>
                <w:i/>
              </w:rPr>
            </w:pPr>
            <w:r w:rsidRPr="005A0E7C">
              <w:t>Zajištění bezpečnosti a důvěry v prostředí digitální ekonomiky a společnosti</w:t>
            </w:r>
          </w:p>
          <w:p w14:paraId="2EAEF4CD" w14:textId="77777777" w:rsidR="00DD3EFA" w:rsidRPr="005A0E7C" w:rsidRDefault="00DD3EFA" w:rsidP="00391907">
            <w:pPr>
              <w:pStyle w:val="Textkomente"/>
              <w:numPr>
                <w:ilvl w:val="0"/>
                <w:numId w:val="85"/>
              </w:numPr>
              <w:rPr>
                <w:i/>
              </w:rPr>
            </w:pPr>
            <w:r w:rsidRPr="005A0E7C">
              <w:t>Legislativa podporující všechny aspekty digitální ekonomiky a společnosti</w:t>
            </w:r>
          </w:p>
          <w:p w14:paraId="08F23172" w14:textId="77777777" w:rsidR="00DD3EFA" w:rsidRPr="005A0E7C" w:rsidRDefault="00DD3EFA" w:rsidP="00391907">
            <w:pPr>
              <w:pStyle w:val="Textkomente"/>
              <w:numPr>
                <w:ilvl w:val="0"/>
                <w:numId w:val="85"/>
              </w:numPr>
              <w:rPr>
                <w:i/>
              </w:rPr>
            </w:pPr>
            <w:r w:rsidRPr="005A0E7C">
              <w:t>Optimální systém financování digitální ekonomiky a společnosti</w:t>
            </w:r>
          </w:p>
          <w:p w14:paraId="4E5F9524" w14:textId="77777777" w:rsidR="00DD3EFA" w:rsidRPr="005A0E7C" w:rsidRDefault="00DD3EFA" w:rsidP="00391907">
            <w:pPr>
              <w:pStyle w:val="Textkomente"/>
              <w:numPr>
                <w:ilvl w:val="0"/>
                <w:numId w:val="85"/>
              </w:numPr>
              <w:rPr>
                <w:i/>
              </w:rPr>
            </w:pPr>
            <w:r w:rsidRPr="005A0E7C">
              <w:t>Institucionální zajištění centrální koordinace politik na podporu digitální ekonomiky a společnosti</w:t>
            </w:r>
          </w:p>
          <w:p w14:paraId="43E95ECB" w14:textId="77777777" w:rsidR="00DD3EFA" w:rsidRPr="005A0E7C" w:rsidRDefault="00DD3EFA"/>
          <w:p w14:paraId="6AE66DFB" w14:textId="77777777" w:rsidR="00DD3EFA" w:rsidRPr="005A0E7C" w:rsidRDefault="00DD3EFA" w:rsidP="00B15ECB">
            <w:r w:rsidRPr="005A0E7C">
              <w:t>Připravovaná Strategie podpory malého a středního podnikání 2021+ (resp. aktuální Koncepce podpory malých a středních podnikatelů na období let 2014-2020) se zaměřuje na:</w:t>
            </w:r>
          </w:p>
          <w:p w14:paraId="25162707" w14:textId="77777777" w:rsidR="00DD3EFA" w:rsidRPr="005A0E7C" w:rsidRDefault="00DD3EFA" w:rsidP="00391907">
            <w:pPr>
              <w:pStyle w:val="Odstavecseseznamem"/>
              <w:numPr>
                <w:ilvl w:val="0"/>
                <w:numId w:val="86"/>
              </w:numPr>
              <w:jc w:val="both"/>
            </w:pPr>
            <w:r w:rsidRPr="005A0E7C">
              <w:t xml:space="preserve">podporu zavádění technických a netechnických inovací v podnicích a nových technologií; </w:t>
            </w:r>
          </w:p>
          <w:p w14:paraId="5DE4004C" w14:textId="77777777" w:rsidR="00DD3EFA" w:rsidRPr="005A0E7C" w:rsidRDefault="00DD3EFA" w:rsidP="00391907">
            <w:pPr>
              <w:pStyle w:val="Odstavecseseznamem"/>
              <w:numPr>
                <w:ilvl w:val="0"/>
                <w:numId w:val="86"/>
              </w:numPr>
              <w:jc w:val="both"/>
            </w:pPr>
            <w:r w:rsidRPr="005A0E7C">
              <w:t xml:space="preserve">podporu z zavádění nových produktů na bázi moderních technologií; </w:t>
            </w:r>
          </w:p>
          <w:p w14:paraId="0EEC4BC3" w14:textId="77777777" w:rsidR="00DD3EFA" w:rsidRPr="005A0E7C" w:rsidRDefault="00DD3EFA" w:rsidP="00391907">
            <w:pPr>
              <w:pStyle w:val="Odstavecseseznamem"/>
              <w:numPr>
                <w:ilvl w:val="0"/>
                <w:numId w:val="86"/>
              </w:numPr>
              <w:jc w:val="both"/>
            </w:pPr>
            <w:r w:rsidRPr="005A0E7C">
              <w:t xml:space="preserve">podporu vlastních výzkumných a vývojových kapacit podniků, včetně podpory investic do technologického a laboratorního vybavení; </w:t>
            </w:r>
          </w:p>
          <w:p w14:paraId="1A233DC0" w14:textId="77777777" w:rsidR="00DD3EFA" w:rsidRPr="005A0E7C" w:rsidRDefault="00DD3EFA" w:rsidP="00391907">
            <w:pPr>
              <w:pStyle w:val="Odstavecseseznamem"/>
              <w:numPr>
                <w:ilvl w:val="0"/>
                <w:numId w:val="86"/>
              </w:numPr>
              <w:jc w:val="both"/>
            </w:pPr>
            <w:r w:rsidRPr="005A0E7C">
              <w:t xml:space="preserve">podporu z spolupráce MSP a výzkumných organizací (inovační vouchery, profesorské židle, podpora horizontální mobility), včetně možných změn v rámci legislativy; </w:t>
            </w:r>
          </w:p>
          <w:p w14:paraId="5504B448" w14:textId="77777777" w:rsidR="00DD3EFA" w:rsidRPr="005A0E7C" w:rsidRDefault="00DD3EFA" w:rsidP="00391907">
            <w:pPr>
              <w:pStyle w:val="Odstavecseseznamem"/>
              <w:numPr>
                <w:ilvl w:val="0"/>
                <w:numId w:val="86"/>
              </w:numPr>
              <w:jc w:val="both"/>
            </w:pPr>
            <w:r w:rsidRPr="005A0E7C">
              <w:t xml:space="preserve">podporu zrozvoje klastrů; </w:t>
            </w:r>
          </w:p>
          <w:p w14:paraId="30851D93" w14:textId="77777777" w:rsidR="00DD3EFA" w:rsidRPr="005A0E7C" w:rsidRDefault="00DD3EFA" w:rsidP="00391907">
            <w:pPr>
              <w:pStyle w:val="Odstavecseseznamem"/>
              <w:numPr>
                <w:ilvl w:val="0"/>
                <w:numId w:val="86"/>
              </w:numPr>
              <w:jc w:val="both"/>
            </w:pPr>
            <w:r w:rsidRPr="005A0E7C">
              <w:t xml:space="preserve">podporu transferů znalostí a technologií, včetně rozvoje VTP, PI a CTT a jejich služeb; </w:t>
            </w:r>
          </w:p>
          <w:p w14:paraId="7DCC6E0F" w14:textId="77777777" w:rsidR="00DD3EFA" w:rsidRPr="005A0E7C" w:rsidRDefault="00DD3EFA" w:rsidP="00391907">
            <w:pPr>
              <w:pStyle w:val="Odstavecseseznamem"/>
              <w:numPr>
                <w:ilvl w:val="0"/>
                <w:numId w:val="86"/>
              </w:numPr>
              <w:jc w:val="both"/>
            </w:pPr>
            <w:r w:rsidRPr="005A0E7C">
              <w:t xml:space="preserve">podporu vývoje nových řešení prostřednictvím veřejných zakázek; </w:t>
            </w:r>
          </w:p>
          <w:p w14:paraId="26A7379A" w14:textId="77777777" w:rsidR="00DD3EFA" w:rsidRPr="005A0E7C" w:rsidRDefault="00DD3EFA" w:rsidP="00391907">
            <w:pPr>
              <w:pStyle w:val="Odstavecseseznamem"/>
              <w:numPr>
                <w:ilvl w:val="0"/>
                <w:numId w:val="86"/>
              </w:numPr>
              <w:jc w:val="both"/>
            </w:pPr>
            <w:r w:rsidRPr="005A0E7C">
              <w:t xml:space="preserve">podporu podnikatelské a inovační infrastruktury; </w:t>
            </w:r>
          </w:p>
          <w:p w14:paraId="780CD60D" w14:textId="77777777" w:rsidR="00DD3EFA" w:rsidRPr="005A0E7C" w:rsidRDefault="00DD3EFA" w:rsidP="00B15ECB">
            <w:pPr>
              <w:autoSpaceDE w:val="0"/>
              <w:autoSpaceDN w:val="0"/>
              <w:adjustRightInd w:val="0"/>
              <w:rPr>
                <w:color w:val="000000"/>
              </w:rPr>
            </w:pPr>
          </w:p>
          <w:p w14:paraId="1F7C9906" w14:textId="77777777" w:rsidR="00DD3EFA" w:rsidRPr="005A0E7C" w:rsidRDefault="00DD3EFA" w:rsidP="00B15ECB">
            <w:pPr>
              <w:autoSpaceDE w:val="0"/>
              <w:autoSpaceDN w:val="0"/>
              <w:adjustRightInd w:val="0"/>
            </w:pPr>
            <w:r w:rsidRPr="005A0E7C">
              <w:rPr>
                <w:color w:val="000000"/>
              </w:rPr>
              <w:t>Národní RIS3 strategie - s</w:t>
            </w:r>
            <w:r w:rsidRPr="005A0E7C">
              <w:t xml:space="preserve">pecifický cíl: </w:t>
            </w:r>
          </w:p>
          <w:p w14:paraId="0A074F07" w14:textId="77777777" w:rsidR="00DD3EFA" w:rsidRPr="005A0E7C" w:rsidRDefault="00DD3EFA" w:rsidP="00B15ECB">
            <w:pPr>
              <w:autoSpaceDE w:val="0"/>
              <w:autoSpaceDN w:val="0"/>
              <w:adjustRightInd w:val="0"/>
            </w:pPr>
            <w:r w:rsidRPr="005A0E7C">
              <w:rPr>
                <w:i/>
              </w:rPr>
              <w:t>Zvýšit počet nových firem usilujících o inovace, zejména vyšších řádů</w:t>
            </w:r>
            <w:r w:rsidRPr="005A0E7C">
              <w:t>.</w:t>
            </w:r>
          </w:p>
          <w:p w14:paraId="556F7CD5" w14:textId="77777777" w:rsidR="00DD3EFA" w:rsidRPr="005A0E7C" w:rsidRDefault="00DD3EFA" w:rsidP="00B15ECB">
            <w:r w:rsidRPr="005A0E7C">
              <w:t>Jedná se o plánované aktivity zaměřené mimo jiné na:</w:t>
            </w:r>
          </w:p>
          <w:p w14:paraId="3114E78C" w14:textId="77777777" w:rsidR="00DD3EFA" w:rsidRPr="005A0E7C" w:rsidRDefault="00DD3EFA" w:rsidP="00391907">
            <w:pPr>
              <w:pStyle w:val="Odstavecseseznamem"/>
              <w:numPr>
                <w:ilvl w:val="0"/>
                <w:numId w:val="87"/>
              </w:numPr>
              <w:ind w:left="781"/>
              <w:jc w:val="both"/>
            </w:pPr>
            <w:r w:rsidRPr="005A0E7C">
              <w:t xml:space="preserve">podporu pro vytváření </w:t>
            </w:r>
            <w:r w:rsidRPr="005A0E7C">
              <w:rPr>
                <w:i/>
              </w:rPr>
              <w:t>technologických inkubátorů</w:t>
            </w:r>
            <w:r w:rsidRPr="005A0E7C">
              <w:t xml:space="preserve"> (poskytovatelů inkubačních služeb), </w:t>
            </w:r>
          </w:p>
          <w:p w14:paraId="0A03BC7B" w14:textId="77777777" w:rsidR="00DD3EFA" w:rsidRPr="005A0E7C" w:rsidRDefault="00DD3EFA" w:rsidP="00391907">
            <w:pPr>
              <w:pStyle w:val="Odstavecseseznamem"/>
              <w:numPr>
                <w:ilvl w:val="0"/>
                <w:numId w:val="87"/>
              </w:numPr>
              <w:ind w:left="781"/>
              <w:jc w:val="both"/>
            </w:pPr>
            <w:r w:rsidRPr="005A0E7C">
              <w:t xml:space="preserve">podporu aktivit typu </w:t>
            </w:r>
            <w:r w:rsidRPr="005A0E7C">
              <w:rPr>
                <w:i/>
              </w:rPr>
              <w:t>proof-of-concept</w:t>
            </w:r>
            <w:r w:rsidRPr="005A0E7C">
              <w:t xml:space="preserve"> (národní i regionální),</w:t>
            </w:r>
          </w:p>
          <w:p w14:paraId="4C626D42" w14:textId="77777777" w:rsidR="00DD3EFA" w:rsidRPr="005A0E7C" w:rsidRDefault="00DD3EFA" w:rsidP="00391907">
            <w:pPr>
              <w:pStyle w:val="Odstavecseseznamem"/>
              <w:numPr>
                <w:ilvl w:val="0"/>
                <w:numId w:val="87"/>
              </w:numPr>
              <w:ind w:left="781"/>
              <w:jc w:val="both"/>
            </w:pPr>
            <w:r w:rsidRPr="005A0E7C">
              <w:t xml:space="preserve">podporu </w:t>
            </w:r>
            <w:r w:rsidRPr="005A0E7C">
              <w:rPr>
                <w:i/>
              </w:rPr>
              <w:t>spolupráce</w:t>
            </w:r>
            <w:r w:rsidRPr="005A0E7C">
              <w:t xml:space="preserve"> provozovatelů podnikatelských inkubátorů, inovačních center a akcelerátorů s předními technologickými firmami a klastrovými organizacemi na zajištění speciálních služeb pro začínající podnikatele.</w:t>
            </w:r>
          </w:p>
          <w:p w14:paraId="77066E1E" w14:textId="77777777" w:rsidR="00DD3EFA" w:rsidRPr="005A0E7C" w:rsidRDefault="00DD3EFA" w:rsidP="00B15ECB">
            <w:pPr>
              <w:pStyle w:val="Odstavecseseznamem"/>
              <w:ind w:left="360"/>
              <w:rPr>
                <w:i/>
              </w:rPr>
            </w:pPr>
          </w:p>
        </w:tc>
        <w:tc>
          <w:tcPr>
            <w:tcW w:w="249" w:type="dxa"/>
            <w:tcBorders>
              <w:top w:val="nil"/>
              <w:bottom w:val="nil"/>
            </w:tcBorders>
            <w:shd w:val="clear" w:color="auto" w:fill="66CCFF"/>
          </w:tcPr>
          <w:p w14:paraId="4CBB5960" w14:textId="77777777" w:rsidR="00DD3EFA" w:rsidRPr="005A0E7C" w:rsidRDefault="00DD3EFA" w:rsidP="00B15ECB">
            <w:pPr>
              <w:rPr>
                <w:b/>
              </w:rPr>
            </w:pPr>
          </w:p>
        </w:tc>
      </w:tr>
      <w:tr w:rsidR="00DD3EFA" w:rsidRPr="005A0E7C" w14:paraId="372CF159" w14:textId="77777777" w:rsidTr="00B15ECB">
        <w:trPr>
          <w:trHeight w:val="938"/>
        </w:trPr>
        <w:tc>
          <w:tcPr>
            <w:tcW w:w="249" w:type="dxa"/>
            <w:tcBorders>
              <w:top w:val="nil"/>
              <w:bottom w:val="nil"/>
            </w:tcBorders>
            <w:shd w:val="clear" w:color="auto" w:fill="66CCFF"/>
          </w:tcPr>
          <w:p w14:paraId="791B849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FBB53FA"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409168A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56979E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Vzhledem k šíři a složitosti této problematiky probíhá implementační mechanismus v několika rovinách napříč jednotlivými resorty. Viz jednotlivé relevantní strategické dokumenty. </w:t>
            </w:r>
          </w:p>
        </w:tc>
        <w:tc>
          <w:tcPr>
            <w:tcW w:w="249" w:type="dxa"/>
            <w:tcBorders>
              <w:top w:val="nil"/>
              <w:bottom w:val="nil"/>
            </w:tcBorders>
            <w:shd w:val="clear" w:color="auto" w:fill="66CCFF"/>
          </w:tcPr>
          <w:p w14:paraId="5A778B6E" w14:textId="77777777" w:rsidR="00DD3EFA" w:rsidRPr="005A0E7C" w:rsidRDefault="00DD3EFA" w:rsidP="00B15ECB">
            <w:pPr>
              <w:rPr>
                <w:b/>
              </w:rPr>
            </w:pPr>
          </w:p>
        </w:tc>
      </w:tr>
      <w:tr w:rsidR="00DD3EFA" w:rsidRPr="005A0E7C" w14:paraId="4EAB1625" w14:textId="77777777" w:rsidTr="00B15ECB">
        <w:trPr>
          <w:trHeight w:val="938"/>
        </w:trPr>
        <w:tc>
          <w:tcPr>
            <w:tcW w:w="249" w:type="dxa"/>
            <w:tcBorders>
              <w:top w:val="nil"/>
              <w:bottom w:val="nil"/>
            </w:tcBorders>
            <w:shd w:val="clear" w:color="auto" w:fill="66CCFF"/>
          </w:tcPr>
          <w:p w14:paraId="5233BCD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5E1932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59D7E8DB"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i/>
              </w:rPr>
            </w:pPr>
            <w:r w:rsidRPr="005A0E7C">
              <w:rPr>
                <w:rFonts w:ascii="Times New Roman" w:hAnsi="Times New Roman"/>
              </w:rPr>
              <w:t>Vzhledem k šíři a složitosti této problematiky probíhá monitoring a evaluace v několika rovinách napříč jednotlivými resorty. Viz jednotlivé relevantní strategické dokumenty.</w:t>
            </w:r>
          </w:p>
        </w:tc>
        <w:tc>
          <w:tcPr>
            <w:tcW w:w="249" w:type="dxa"/>
            <w:tcBorders>
              <w:top w:val="nil"/>
              <w:bottom w:val="nil"/>
            </w:tcBorders>
            <w:shd w:val="clear" w:color="auto" w:fill="66CCFF"/>
          </w:tcPr>
          <w:p w14:paraId="4B0D0CA6" w14:textId="77777777" w:rsidR="00DD3EFA" w:rsidRPr="005A0E7C" w:rsidRDefault="00DD3EFA" w:rsidP="00B15ECB">
            <w:pPr>
              <w:rPr>
                <w:b/>
              </w:rPr>
            </w:pPr>
          </w:p>
        </w:tc>
      </w:tr>
      <w:tr w:rsidR="00DD3EFA" w:rsidRPr="005A0E7C" w14:paraId="4828A142" w14:textId="77777777" w:rsidTr="00B15ECB">
        <w:trPr>
          <w:trHeight w:val="130"/>
        </w:trPr>
        <w:tc>
          <w:tcPr>
            <w:tcW w:w="249" w:type="dxa"/>
            <w:tcBorders>
              <w:top w:val="nil"/>
              <w:bottom w:val="nil"/>
              <w:right w:val="nil"/>
            </w:tcBorders>
            <w:shd w:val="clear" w:color="auto" w:fill="66CCFF"/>
          </w:tcPr>
          <w:p w14:paraId="147D5B1E" w14:textId="77777777" w:rsidR="00DD3EFA" w:rsidRPr="005A0E7C" w:rsidRDefault="00DD3EFA" w:rsidP="00B15ECB">
            <w:pPr>
              <w:rPr>
                <w:b/>
              </w:rPr>
            </w:pPr>
          </w:p>
        </w:tc>
        <w:tc>
          <w:tcPr>
            <w:tcW w:w="2548" w:type="dxa"/>
            <w:tcBorders>
              <w:left w:val="nil"/>
              <w:right w:val="nil"/>
            </w:tcBorders>
            <w:shd w:val="clear" w:color="auto" w:fill="66CCFF"/>
          </w:tcPr>
          <w:p w14:paraId="281D40ED" w14:textId="77777777" w:rsidR="00DD3EFA" w:rsidRPr="005A0E7C" w:rsidRDefault="00DD3EFA" w:rsidP="00B15ECB">
            <w:pPr>
              <w:rPr>
                <w:b/>
              </w:rPr>
            </w:pPr>
          </w:p>
        </w:tc>
        <w:tc>
          <w:tcPr>
            <w:tcW w:w="5978" w:type="dxa"/>
            <w:tcBorders>
              <w:left w:val="nil"/>
              <w:right w:val="nil"/>
            </w:tcBorders>
            <w:shd w:val="clear" w:color="auto" w:fill="66CCFF"/>
          </w:tcPr>
          <w:p w14:paraId="0550925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7F0A45E7" w14:textId="77777777" w:rsidR="00DD3EFA" w:rsidRPr="005A0E7C" w:rsidRDefault="00DD3EFA" w:rsidP="00B15ECB">
            <w:pPr>
              <w:rPr>
                <w:b/>
              </w:rPr>
            </w:pPr>
          </w:p>
        </w:tc>
      </w:tr>
      <w:tr w:rsidR="00DD3EFA" w:rsidRPr="005A0E7C" w14:paraId="4A7E4727" w14:textId="77777777" w:rsidTr="00B15ECB">
        <w:trPr>
          <w:trHeight w:val="1258"/>
        </w:trPr>
        <w:tc>
          <w:tcPr>
            <w:tcW w:w="249" w:type="dxa"/>
            <w:tcBorders>
              <w:top w:val="nil"/>
              <w:bottom w:val="nil"/>
              <w:right w:val="nil"/>
            </w:tcBorders>
            <w:shd w:val="clear" w:color="auto" w:fill="66CCFF"/>
          </w:tcPr>
          <w:p w14:paraId="59BF4202" w14:textId="77777777" w:rsidR="00DD3EFA" w:rsidRPr="005A0E7C" w:rsidRDefault="00DD3EFA" w:rsidP="00B15ECB">
            <w:pPr>
              <w:rPr>
                <w:b/>
              </w:rPr>
            </w:pPr>
          </w:p>
        </w:tc>
        <w:tc>
          <w:tcPr>
            <w:tcW w:w="2548" w:type="dxa"/>
            <w:shd w:val="clear" w:color="auto" w:fill="FFFFFF" w:themeFill="background1"/>
          </w:tcPr>
          <w:p w14:paraId="1954292F"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4CBCBD7A"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Velkou roli zde hrají velké podniky, které svým výzkumným, vývojovým i inovačním potenciálem zajišťují přidanou hodnotu pro vysoký počet MSP, které plní roli subdodavatelů, a se kterými vstupují do společných výzkumných projektů. Výzkumné a inovační aktivity velkých podniků tak vytvářejí větší poptávku po produktech a službách MSP. Velké podniky se navíc zaměřují na inovace vyšších řádů, které si mnohé MSP nemohou dovolit vzhledem k délce procesu. Celkově byl posilován význam výzkumných a inovačních aktivit a produkce s vyšší přidanou hodnotou. (jedná se o programy Inovace, Potenciál, Aplikace, přičemž všechny tyto programy se vyznačovaly vysokou absorpční kapacitou, přičemž charakteristický byl vysoký podíl velkých podniků)</w:t>
            </w:r>
          </w:p>
          <w:p w14:paraId="7FBDBD25" w14:textId="77777777" w:rsidR="00DD3EFA" w:rsidRPr="005A0E7C" w:rsidRDefault="00DD3EFA" w:rsidP="00B15ECB">
            <w:pPr>
              <w:pStyle w:val="Default"/>
              <w:jc w:val="both"/>
              <w:rPr>
                <w:rFonts w:ascii="Times New Roman" w:hAnsi="Times New Roman" w:cs="Times New Roman"/>
                <w:sz w:val="20"/>
                <w:szCs w:val="20"/>
              </w:rPr>
            </w:pPr>
          </w:p>
          <w:p w14:paraId="2D0E2DC0"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Rovněž úspěšný je program Technologie (dotace) či Expanze (FN) určený výhradně pro MSP, který se zaměřoval na růst konkurenceschopnosti MSP prostřednictvím zvýšení počtu nových podnikatelských subjektů a nových podnikatelských záměrů zejména inovačního charakteru s vysokým potenciálem růstu, ale i na nižších hodnotových řetězcích.</w:t>
            </w:r>
          </w:p>
          <w:p w14:paraId="13FDFB97"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Poslední výzvy vyhlášené v rámci programu Technologie byly zaměřené na zvyšování digitální úrovně a akcelerování digitální transformace MSP, tj. implementace komunikačních a výrobních zařízení, která jsou kompatibilní a interoperabilní v rámci globálních odběratelsko-dodavatelských řetězců. Novým a stěžejním prvkem v hodnocení projektů bylo posouzení komplexního plánu digitální transformace společnosti, který žadatel popsal v Podnikatelském záměru. Žadatel uvedl, jaké technologie, postupy a procesy v současnosti používá spolu s prvky digitalizace, jež bude využívat buď zcela nově či výraznější měrou po realizaci projektu.</w:t>
            </w:r>
          </w:p>
          <w:p w14:paraId="11A9855C"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Výzvy byly určené  pro malé a střední podniky s minimálně 3letou podnikatelskou historií.</w:t>
            </w:r>
          </w:p>
          <w:p w14:paraId="2F6DC20F"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Podpora ve výši 1 - 20 mil. Kč byla určena na pořízení DHM (technologie, hardware) a DNM (software, licence a data).</w:t>
            </w:r>
          </w:p>
          <w:p w14:paraId="20BA96AA" w14:textId="77777777" w:rsidR="00DD3EFA" w:rsidRPr="005A0E7C" w:rsidRDefault="00DD3EFA" w:rsidP="00B15ECB">
            <w:pPr>
              <w:pStyle w:val="Default"/>
              <w:jc w:val="both"/>
              <w:rPr>
                <w:rFonts w:ascii="Times New Roman" w:hAnsi="Times New Roman" w:cs="Times New Roman"/>
                <w:sz w:val="20"/>
                <w:szCs w:val="20"/>
              </w:rPr>
            </w:pPr>
          </w:p>
          <w:p w14:paraId="3132A9BC" w14:textId="77777777" w:rsidR="00DD3EFA" w:rsidRPr="005A0E7C" w:rsidRDefault="00DD3EFA" w:rsidP="00B15ECB">
            <w:pPr>
              <w:spacing w:before="60" w:after="60" w:line="264" w:lineRule="auto"/>
              <w:rPr>
                <w:rFonts w:eastAsia="Calibri"/>
              </w:rPr>
            </w:pPr>
            <w:r w:rsidRPr="005A0E7C">
              <w:rPr>
                <w:rFonts w:eastAsia="Calibri"/>
              </w:rPr>
              <w:t xml:space="preserve">Podpora z OP PIK pro tzv. nová odvětví je realizována v rámci těchto programů podpory: </w:t>
            </w:r>
          </w:p>
          <w:p w14:paraId="7FA6710D" w14:textId="77777777" w:rsidR="00DD3EFA" w:rsidRPr="005A0E7C" w:rsidRDefault="00DD3EFA" w:rsidP="00391907">
            <w:pPr>
              <w:pStyle w:val="Odstavecseseznamem"/>
              <w:widowControl w:val="0"/>
              <w:numPr>
                <w:ilvl w:val="0"/>
                <w:numId w:val="80"/>
              </w:numPr>
              <w:autoSpaceDE w:val="0"/>
              <w:autoSpaceDN w:val="0"/>
              <w:adjustRightInd w:val="0"/>
              <w:spacing w:after="260"/>
            </w:pPr>
            <w:r w:rsidRPr="005A0E7C">
              <w:rPr>
                <w:rFonts w:eastAsia="Calibri"/>
              </w:rPr>
              <w:t>Technologie a Expanze (</w:t>
            </w:r>
            <w:r w:rsidRPr="005A0E7C">
              <w:t>zaměřuje se na pořízení nových strojů a technologických zařízení a vybavení, může se tedy jednat i o vybavení řemeslných dílen, pokud příjemcem bude podnikatel, který bude dané produkty následně vyrábět a prodávat;</w:t>
            </w:r>
          </w:p>
          <w:p w14:paraId="2F4C052C" w14:textId="77777777" w:rsidR="00DD3EFA" w:rsidRPr="005A0E7C" w:rsidRDefault="00DD3EFA" w:rsidP="00391907">
            <w:pPr>
              <w:pStyle w:val="Odstavecseseznamem"/>
              <w:widowControl w:val="0"/>
              <w:numPr>
                <w:ilvl w:val="0"/>
                <w:numId w:val="80"/>
              </w:numPr>
              <w:autoSpaceDE w:val="0"/>
              <w:autoSpaceDN w:val="0"/>
              <w:adjustRightInd w:val="0"/>
              <w:spacing w:after="260"/>
            </w:pPr>
            <w:r w:rsidRPr="005A0E7C">
              <w:t>Rizikový kapitál (zaměřuje se na podporu inovativních startupů v přístupu k rizikovému financování)</w:t>
            </w:r>
          </w:p>
          <w:p w14:paraId="126F2FCB" w14:textId="77777777" w:rsidR="00DD3EFA" w:rsidRPr="005A0E7C" w:rsidRDefault="00DD3EFA" w:rsidP="00391907">
            <w:pPr>
              <w:pStyle w:val="Odstavecseseznamem"/>
              <w:widowControl w:val="0"/>
              <w:numPr>
                <w:ilvl w:val="0"/>
                <w:numId w:val="80"/>
              </w:numPr>
              <w:autoSpaceDE w:val="0"/>
              <w:autoSpaceDN w:val="0"/>
              <w:adjustRightInd w:val="0"/>
              <w:spacing w:after="240"/>
            </w:pPr>
            <w:r w:rsidRPr="005A0E7C">
              <w:rPr>
                <w:rFonts w:eastAsia="Calibri"/>
              </w:rPr>
              <w:t>Spolupráce (</w:t>
            </w:r>
            <w:r w:rsidRPr="005A0E7C">
              <w:t>zaměřuje se na rozvoj klastrové organizace sdružující MSP v oblasti kreativního průmyslu, může se jednat o čistě odvětvově zaměřené seskupení (např. audiovize), nebo průřezové seskupení zahrnující jak kreativní průmysl, tak výrobní podniky zpracovatelského průmyslu (design, oděvní klastr apod.).  Rozvoj klastrové organizace spočívá zejména v aktivitách vedoucích k rozšiřování a propagaci klastru, zvýšení kvality jeho řízení, zlepšení spolupráce, sdílení znalostí, networking, apod.);</w:t>
            </w:r>
          </w:p>
          <w:p w14:paraId="4E894B2C" w14:textId="77777777" w:rsidR="00DD3EFA" w:rsidRPr="005A0E7C" w:rsidRDefault="00DD3EFA" w:rsidP="00391907">
            <w:pPr>
              <w:pStyle w:val="Odstavecseseznamem"/>
              <w:widowControl w:val="0"/>
              <w:numPr>
                <w:ilvl w:val="0"/>
                <w:numId w:val="80"/>
              </w:numPr>
              <w:autoSpaceDE w:val="0"/>
              <w:autoSpaceDN w:val="0"/>
              <w:adjustRightInd w:val="0"/>
              <w:spacing w:after="240"/>
            </w:pPr>
            <w:r w:rsidRPr="005A0E7C">
              <w:rPr>
                <w:rFonts w:eastAsia="Calibri"/>
              </w:rPr>
              <w:t>Potenciál (</w:t>
            </w:r>
            <w:r w:rsidRPr="005A0E7C">
              <w:t>podporovány jsou projekty, kde dochází nejprve k výzkumu a vývoji např. materiálových vlastností výrobků, který je ale následován vlastní podnikovou výrobou.);</w:t>
            </w:r>
          </w:p>
          <w:p w14:paraId="0415BB51" w14:textId="77777777" w:rsidR="00DD3EFA" w:rsidRPr="005A0E7C" w:rsidRDefault="00DD3EFA" w:rsidP="00391907">
            <w:pPr>
              <w:pStyle w:val="Odstavecseseznamem"/>
              <w:widowControl w:val="0"/>
              <w:numPr>
                <w:ilvl w:val="0"/>
                <w:numId w:val="80"/>
              </w:numPr>
              <w:autoSpaceDE w:val="0"/>
              <w:autoSpaceDN w:val="0"/>
              <w:adjustRightInd w:val="0"/>
              <w:spacing w:after="240"/>
            </w:pPr>
            <w:r w:rsidRPr="005A0E7C">
              <w:rPr>
                <w:rFonts w:eastAsia="Calibri"/>
              </w:rPr>
              <w:t>Aplikace (</w:t>
            </w:r>
            <w:r w:rsidRPr="005A0E7C">
              <w:t>lze zmínit řadu cílů uvedených rovněž v národních výzkumných prioritách. Patří sem např. systémy pro řízení a rozhodování, moderní telematické metody a logistika, chytré sítě, senzorika a využití simulačních prostředků a prostředků virtuální reality, propojování inženýrských a umělecko-designerských činností, chytré materiály a jejich performance – based design, simulace situací ve výrobních procesech a optimalizace jejich nastavení z hlediska minimalizace rizika selhání, digitální továrny (virtuální simulace celého výrobního procesu) atd.);</w:t>
            </w:r>
          </w:p>
          <w:p w14:paraId="50BFCE38" w14:textId="77777777" w:rsidR="00DD3EFA" w:rsidRPr="005A0E7C" w:rsidRDefault="00DD3EFA" w:rsidP="00391907">
            <w:pPr>
              <w:pStyle w:val="Odstavecseseznamem"/>
              <w:widowControl w:val="0"/>
              <w:numPr>
                <w:ilvl w:val="0"/>
                <w:numId w:val="80"/>
              </w:numPr>
              <w:autoSpaceDE w:val="0"/>
              <w:autoSpaceDN w:val="0"/>
              <w:adjustRightInd w:val="0"/>
              <w:spacing w:after="240"/>
            </w:pPr>
            <w:r w:rsidRPr="005A0E7C">
              <w:t>Proof-of-Concept (podpora přípravy komercializace výsledků výzkumu a vývoje)</w:t>
            </w:r>
          </w:p>
          <w:p w14:paraId="6957123C" w14:textId="77777777" w:rsidR="00DD3EFA" w:rsidRPr="005A0E7C" w:rsidRDefault="00DD3EFA" w:rsidP="00391907">
            <w:pPr>
              <w:pStyle w:val="Odstavecseseznamem"/>
              <w:numPr>
                <w:ilvl w:val="0"/>
                <w:numId w:val="80"/>
              </w:numPr>
              <w:spacing w:before="60" w:after="60" w:line="264" w:lineRule="auto"/>
              <w:rPr>
                <w:rFonts w:eastAsia="Calibri"/>
              </w:rPr>
            </w:pPr>
            <w:r w:rsidRPr="005A0E7C">
              <w:rPr>
                <w:rFonts w:eastAsia="Calibri"/>
              </w:rPr>
              <w:t>Služby infrastruktury (možnost podpory na v</w:t>
            </w:r>
            <w:r w:rsidRPr="005A0E7C">
              <w:rPr>
                <w:bCs/>
              </w:rPr>
              <w:t>ýstavbu a vybavení podnikatelského inkubátoru zaměřeného na mladé talenty/start-upy. Vybavení vědeckotechnického parku unikátní technologií, kterou mohou sdílet začínající firmy.);</w:t>
            </w:r>
          </w:p>
          <w:p w14:paraId="4C63641C" w14:textId="77777777" w:rsidR="00DD3EFA" w:rsidRPr="005A0E7C" w:rsidRDefault="00DD3EFA" w:rsidP="00391907">
            <w:pPr>
              <w:pStyle w:val="Odstavecseseznamem"/>
              <w:numPr>
                <w:ilvl w:val="0"/>
                <w:numId w:val="80"/>
              </w:numPr>
              <w:spacing w:before="60" w:after="60" w:line="264" w:lineRule="auto"/>
              <w:rPr>
                <w:rFonts w:eastAsia="Calibri"/>
              </w:rPr>
            </w:pPr>
            <w:r w:rsidRPr="005A0E7C">
              <w:rPr>
                <w:rFonts w:eastAsia="Calibri"/>
              </w:rPr>
              <w:t>ICT a sdílené služby (</w:t>
            </w:r>
            <w:r w:rsidRPr="005A0E7C">
              <w:t>v rámci podporované aktivity Tvorba nových IS/ICT řešení lze vyvinout jakékoliv řešení, které nebude směřovat do oblasti komerčních turistických či volnočasových zařízení. Vývoj řešení musí být výsledkem aktivit samotného žadatele o dotaci, nemůže si tedy nechat toto řešení vyvinout od třetích stran. V rámci programu ICT a sdílené služby může být podpořena tvorba aplikací pro prodej přes internet, tvorba mobilních aplikací, CRM, ERP a dalšího komerčně využitelného SW.</w:t>
            </w:r>
          </w:p>
          <w:p w14:paraId="1C04579F"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eastAsia="Calibri" w:hAnsi="Times New Roman" w:cs="Times New Roman"/>
                <w:sz w:val="20"/>
                <w:szCs w:val="20"/>
              </w:rPr>
              <w:t>Obecně vysoká absorpční kapacita byla identifikována u programu podpory Technologie, Expanze, Aplikace, Potenciál a ICT a sdílené služby. V rámci programů Partnerství znalostního transferu a Služby infrastruktury byla identifikována nízká absorpční kapacita a rovněž došlo k realokaci prostředků z těchto aktivit do programů Aplikace či Potenciál.</w:t>
            </w:r>
          </w:p>
          <w:p w14:paraId="6DA2333E"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eastAsia="Calibri" w:hAnsi="Times New Roman" w:cs="Times New Roman"/>
                <w:sz w:val="20"/>
                <w:szCs w:val="20"/>
              </w:rPr>
              <w:t>Program Spolupráce má nižší absorpční kapacitu, ale vzhledem k počtu aktivních klastrů a technologických platforem v ČR lze absorpční kapacitu považovat za adekvátní. Vyšší absorpční kapacitu lze zajistit při využití klastrů také jako zprostředkovatelů podpory pro MSP.</w:t>
            </w:r>
          </w:p>
          <w:p w14:paraId="0294D27B" w14:textId="77777777" w:rsidR="00DD3EFA" w:rsidRPr="005A0E7C" w:rsidRDefault="00DD3EFA" w:rsidP="00B15ECB">
            <w:pPr>
              <w:pStyle w:val="Default"/>
              <w:jc w:val="both"/>
              <w:rPr>
                <w:rFonts w:ascii="Times New Roman" w:hAnsi="Times New Roman" w:cs="Times New Roman"/>
                <w:sz w:val="20"/>
                <w:szCs w:val="20"/>
              </w:rPr>
            </w:pPr>
          </w:p>
          <w:p w14:paraId="225B5D07"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V oblasti ICT se pak podpora zaměřuje na aktivity k rozvoji digitální ekonomiky a rozvoji ICT v podnicích a centrech progresivních ICT služeb. Tvorba nových sofistikovaných ICT řešení (zejména ERP systémy, CRM systémy, platební a karetní systémy, bezpečnost dat, personální systémy, B2B systémy, B2C systémy, IS pro neziskový a státní sektor, power management, procesně orientované webové aplikace, řešení pro mobilní zařízení, Business Intelligence řešení, softwarové simulace, cloud computing), tzn. tvorba moderních a pokrokových digitálních služeb a aplikací např. v oblasti komunikace, zábavy, obchodování, vzdělávání, zdravotnictví, přístupu k zaměstnání nebo i v oblasti kulturních a kreativních průmyslů, poskytování sofistikovaných sdílených služeb (služeb s vysokou přidanou hodnotou). Velmi úspěšnou aktivitu z hlediska poptávky podniků představuje tvorba nových ICT řešení.</w:t>
            </w:r>
          </w:p>
        </w:tc>
        <w:tc>
          <w:tcPr>
            <w:tcW w:w="249" w:type="dxa"/>
            <w:tcBorders>
              <w:top w:val="nil"/>
              <w:left w:val="nil"/>
              <w:bottom w:val="nil"/>
            </w:tcBorders>
            <w:shd w:val="clear" w:color="auto" w:fill="66CCFF"/>
          </w:tcPr>
          <w:p w14:paraId="260C8CB2" w14:textId="77777777" w:rsidR="00DD3EFA" w:rsidRPr="005A0E7C" w:rsidRDefault="00DD3EFA" w:rsidP="00B15ECB">
            <w:pPr>
              <w:rPr>
                <w:b/>
              </w:rPr>
            </w:pPr>
          </w:p>
        </w:tc>
      </w:tr>
      <w:tr w:rsidR="00DD3EFA" w:rsidRPr="005A0E7C" w14:paraId="41BBABB9" w14:textId="77777777" w:rsidTr="00B15ECB">
        <w:trPr>
          <w:trHeight w:val="1258"/>
        </w:trPr>
        <w:tc>
          <w:tcPr>
            <w:tcW w:w="249" w:type="dxa"/>
            <w:tcBorders>
              <w:top w:val="nil"/>
              <w:bottom w:val="nil"/>
              <w:right w:val="nil"/>
            </w:tcBorders>
            <w:shd w:val="clear" w:color="auto" w:fill="66CCFF"/>
          </w:tcPr>
          <w:p w14:paraId="697C8FBD" w14:textId="77777777" w:rsidR="00DD3EFA" w:rsidRPr="002D2123" w:rsidRDefault="00DD3EFA" w:rsidP="00B15ECB">
            <w:pPr>
              <w:rPr>
                <w:b/>
                <w:sz w:val="10"/>
                <w:szCs w:val="10"/>
              </w:rPr>
            </w:pPr>
          </w:p>
        </w:tc>
        <w:tc>
          <w:tcPr>
            <w:tcW w:w="2548" w:type="dxa"/>
            <w:shd w:val="clear" w:color="auto" w:fill="FFFFFF" w:themeFill="background1"/>
          </w:tcPr>
          <w:p w14:paraId="6AA32711" w14:textId="77777777" w:rsidR="00DD3EFA" w:rsidRPr="002D2123" w:rsidRDefault="00DD3EFA" w:rsidP="00B15ECB">
            <w:pPr>
              <w:rPr>
                <w:rFonts w:eastAsiaTheme="majorEastAsia"/>
                <w:b/>
              </w:rPr>
            </w:pPr>
            <w:r w:rsidRPr="002D2123">
              <w:rPr>
                <w:rFonts w:eastAsiaTheme="majorEastAsia"/>
                <w:b/>
              </w:rPr>
              <w:t>Věcný posun oblasti</w:t>
            </w:r>
          </w:p>
          <w:p w14:paraId="101E961D" w14:textId="77777777" w:rsidR="00DD3EFA" w:rsidRPr="002D2123" w:rsidRDefault="00DD3EFA" w:rsidP="00B15ECB">
            <w:pPr>
              <w:rPr>
                <w:rFonts w:eastAsiaTheme="majorEastAsia"/>
                <w:b/>
              </w:rPr>
            </w:pPr>
            <w:r w:rsidRPr="002D2123">
              <w:rPr>
                <w:rFonts w:eastAsiaTheme="majorEastAsia"/>
                <w:b/>
              </w:rPr>
              <w:t>(tj. v období 2014 – 2020, příp. 2007 – 2013)</w:t>
            </w:r>
          </w:p>
        </w:tc>
        <w:tc>
          <w:tcPr>
            <w:tcW w:w="5978" w:type="dxa"/>
            <w:shd w:val="clear" w:color="auto" w:fill="FFFFFF" w:themeFill="background1"/>
          </w:tcPr>
          <w:p w14:paraId="00718F5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Přínosy a reálný posun intervencí OPPIK v dané oblasti jsou sledovány indikátorovou soustavou. Ukazatele výsledků specifických cílů prioritní osy 1 OP PIK (vazba na TC 1) vykázaly oproti výchozím hodnotám pozitivní vývoj a některé z posledních dostupných údajů naznačují dosažení cílových hodnot stanovených na rok 2023. Další podpora aktivit v rámci posilování inovačních kapacit podniků a spolupráce podniků s VO (SC 1.1 a SC 1.2) je oprávněná a žádoucí. Cílem je dosavadní trend udržet a zároveň vytvořit dostatečně stabilní a robustní základnu pro výzkum, technologický rozvoj a inovace v ČR v dlouhodobém horizontu. Inovační výkonnost je měřena zejména prostřednictvím tržeb podpořených podniků v důsledku zavedené inovace, počtu podniků spolupracujících s výzkumnými institucemi a počtu nových přihlášených výsledků výzkumu a vývoje.</w:t>
            </w:r>
          </w:p>
          <w:p w14:paraId="1F947D95"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Vyšší absorpční kapacita by měla být zajištěna novým důrazem na společné projekty s potenciálem posunu celého odvětví na vyšší technologickou úroveň. Tyto projekty by měly směřovat k 1) posunu nových  technologií na vyšší stupeň „Technology readiness level“ (TRL 6-8), tj. technologie, které jsou otestovány v reálných provozních podmínkách, 2) akceleraci technologického transferu a zavádění nových technologií do podnikové praxe pomocí pilotních a demonstračních aktivit.  </w:t>
            </w:r>
          </w:p>
          <w:p w14:paraId="1EA27E78" w14:textId="77777777" w:rsidR="00DD3EFA" w:rsidRPr="005A0E7C" w:rsidRDefault="00DD3EFA" w:rsidP="00B15ECB">
            <w:pPr>
              <w:spacing w:before="60"/>
              <w:rPr>
                <w:rFonts w:eastAsiaTheme="majorEastAsia"/>
              </w:rPr>
            </w:pPr>
            <w:r w:rsidRPr="005A0E7C">
              <w:rPr>
                <w:rFonts w:eastAsiaTheme="majorEastAsia"/>
              </w:rPr>
              <w:t>V období 2007–2013 byly tyto aktivity předmětem podpory v programech Start, Progres, Záruka, Rozvoj, Poradenství, Marketing, Inovace, Potenciál, ICT a stategické služby, ICT v podnicích, Spolupráce a Prosperita. Ty byly předmětem hodnocení v rámci Ex-post evaluace OPPI:</w:t>
            </w:r>
          </w:p>
          <w:p w14:paraId="5ADA8F8E" w14:textId="77777777" w:rsidR="00DD3EFA" w:rsidRPr="005A0E7C" w:rsidRDefault="00DD3EFA" w:rsidP="00B15ECB">
            <w:pPr>
              <w:spacing w:before="60"/>
              <w:rPr>
                <w:rFonts w:eastAsiaTheme="majorEastAsia"/>
              </w:rPr>
            </w:pPr>
            <w:r w:rsidRPr="005A0E7C">
              <w:rPr>
                <w:rFonts w:eastAsiaTheme="majorEastAsia"/>
              </w:rPr>
              <w:t>Start: „Tento finanční nástroj dle názorů, získaných prostřednictvím realizovaných polostrukturovaných a skupinových rozhovorů se samotnými příjemci, výrazně pomáhá začátku podnikání a umožňuje rozjezd podnikání, který by bez finanční podpory nebyl možný. Fungování programu směrem k tomuto cíli popisují také případové studie vybraných konkrétních projektů programu podpory Start. Závěr: Operační cíl byl v rámci realizace programu naplněn.“</w:t>
            </w:r>
          </w:p>
          <w:p w14:paraId="0DC2277F" w14:textId="77777777" w:rsidR="00DD3EFA" w:rsidRPr="005A0E7C" w:rsidRDefault="00DD3EFA" w:rsidP="00B15ECB">
            <w:pPr>
              <w:spacing w:before="60"/>
              <w:rPr>
                <w:rFonts w:eastAsiaTheme="majorEastAsia"/>
              </w:rPr>
            </w:pPr>
            <w:r w:rsidRPr="005A0E7C">
              <w:rPr>
                <w:rFonts w:eastAsiaTheme="majorEastAsia"/>
              </w:rPr>
              <w:t>Progres, Záruka: „Rozvoj podniků na konkurenceschopnou úroveň je mnohdy limitován nedostatkem finančních prostředků. Finanční nástroje v rámci programu OPPI tento limit odstraňují a prostřednictvím záruk dávají možnost k rozvoji a zajištěné konkurenceschopnosti. Stejně jako u ostatních finančních nástrojů, i zde je dle realizovaného průzkumu a rozhovorů podpora vnímána velice pozitivně ze strany podpořených subjektů. Na základě provedené kontrafaktuální dopadové analýzy ale nelze v současné době prokázat, že by podpořené subjekty v porovnání s nepodpořenými, byly konkurenceschopnější.“</w:t>
            </w:r>
          </w:p>
          <w:p w14:paraId="6C71FA51" w14:textId="0B35860B" w:rsidR="00DD3EFA" w:rsidRPr="005A0E7C" w:rsidRDefault="00DD3EFA" w:rsidP="00B15ECB">
            <w:pPr>
              <w:spacing w:before="60"/>
              <w:rPr>
                <w:rFonts w:eastAsiaTheme="majorEastAsia"/>
              </w:rPr>
            </w:pPr>
            <w:r w:rsidRPr="005A0E7C">
              <w:rPr>
                <w:rFonts w:eastAsiaTheme="majorEastAsia"/>
              </w:rPr>
              <w:t xml:space="preserve">Rozvoj, ICT a </w:t>
            </w:r>
            <w:r w:rsidR="006A6ACB" w:rsidRPr="005A0E7C">
              <w:rPr>
                <w:rFonts w:eastAsiaTheme="majorEastAsia"/>
              </w:rPr>
              <w:t>strategické</w:t>
            </w:r>
            <w:r w:rsidRPr="005A0E7C">
              <w:rPr>
                <w:rFonts w:eastAsiaTheme="majorEastAsia"/>
              </w:rPr>
              <w:t xml:space="preserve"> služby a ICT v podnicích: „Pořízení moderních technologií a zvyšování úrovně ICT infrastruktury proběhlo prostřednictvím programů Rozvoj, ICT v podnicích a ICT a strategické služby. V rámci programu došlo k naplnění všech plánovaných cílů, což dokazuje naplnění jednotlivých monitorovacích indikátorů. Z výsledků případových studií vyplývá, že tyto investice přispívají ke zvýšení konkurenceschopnosti podpořených firem, potažmo i k posílení sektoru ICT a služeb v rámci české ekonomiky. Závěr: Operační cíl byl v rámci realizace programu naplněn.“</w:t>
            </w:r>
          </w:p>
          <w:p w14:paraId="6B9CE4B1" w14:textId="77777777" w:rsidR="00DD3EFA" w:rsidRPr="005A0E7C" w:rsidRDefault="00DD3EFA" w:rsidP="00B15ECB">
            <w:pPr>
              <w:spacing w:before="60"/>
              <w:rPr>
                <w:rFonts w:eastAsiaTheme="majorEastAsia"/>
              </w:rPr>
            </w:pPr>
            <w:r w:rsidRPr="005A0E7C">
              <w:rPr>
                <w:rFonts w:eastAsiaTheme="majorEastAsia"/>
              </w:rPr>
              <w:t>Inovace: „Stimulace inovační aktivity podniků byla provedena prostřednictvím dotační podpory na zavádění inovativních procesů a výrobků. Inovace mají řadu pozitivních dopadů na podpořené subjekty, ale také na další subjekty na inovaci navázané, například spolupracující subjekty nebo odběratelé inovativních služeb a výrobků, které mohou jejich přidanou hodnotu využít pro svůj vlastní rozvoj. Na inovace tak nelze nahlížet pouze jako na podporu konkrétních podniků, ale jako na komplexní rozvoj technologické úrovně v daných oblastech a oborech. V rámci programu Inovace byly realizovány inovační aktivity v plánované míře včetně projektů zaměřených na ochranu práv průmyslového vlastnictví, což dokazuje naplnění většiny projektových indikátorů. Závěr: Operační cíl byl v rámci realizace programu naplněn.“</w:t>
            </w:r>
          </w:p>
          <w:p w14:paraId="7CFE5076" w14:textId="77777777" w:rsidR="00DD3EFA" w:rsidRPr="005A0E7C" w:rsidRDefault="00DD3EFA" w:rsidP="00B15ECB">
            <w:pPr>
              <w:spacing w:before="60"/>
              <w:rPr>
                <w:rFonts w:eastAsiaTheme="majorEastAsia"/>
              </w:rPr>
            </w:pPr>
            <w:r w:rsidRPr="005A0E7C">
              <w:rPr>
                <w:rFonts w:eastAsiaTheme="majorEastAsia"/>
              </w:rPr>
              <w:t>Potenciál: „K plnění operačního cíle výrazně přispívá program Potenciál, v rámci kterého byly realizovány projekty zaměřené na rozvoj výzkumných a inovačních center. Efektivní výzkum a vývoj je podmínkou pro jakékoliv inovace. Realizace aktivit, které mají za úkol vznik a přenos výsledku VaV do praxe, výrazně zvyšují možnosti inovací na úrovní podniků. Z výsledků realizovaných průzkumů a analýzy konkrétních projektů v rámci případové studie programu podpory Potenciál vyplývá, že pořízení správných nových technologií vede ke zvyšování výzkumného potenciálu podniků realizujících výzkum a vývoj. Nové technologie výrazně rozšiřují možnost realizovat výzkum a přináší tak řadu navazujících efektů právě díky navazujícímu výzkumu a vývoji. Závěr: Operační cíl byl v rámci realizace programu naplněn.“</w:t>
            </w:r>
          </w:p>
          <w:p w14:paraId="4361A9F1" w14:textId="77777777" w:rsidR="00DD3EFA" w:rsidRPr="005A0E7C" w:rsidRDefault="00DD3EFA" w:rsidP="00B15ECB">
            <w:pPr>
              <w:spacing w:before="60"/>
              <w:rPr>
                <w:rFonts w:eastAsiaTheme="majorEastAsia"/>
              </w:rPr>
            </w:pPr>
            <w:r w:rsidRPr="005A0E7C">
              <w:rPr>
                <w:rFonts w:eastAsiaTheme="majorEastAsia"/>
              </w:rPr>
              <w:t>Poradenství: „Podpora poradenských služeb byla v programu zaměřena především na realizaci projektů, které spočívaly ve využití poradenských služeb podpořenými podniky. Pokud však v rámci operačního cíle hovoříme o rozvoji kvality poradenských služeb, tak v rámci tohoto programu chybí vyšší míra aktivit zaměřených na rozvoj a podporu podniků, které poradenství poskytují. Do určité míry lze tvrdit, že podpora těmto podnikům jde zprostředkovaně přes podpořené podniky, které si u nich poradenství objednají. Program samotný však nevytváří motivaci a podporu aktivit, které by vedly ke zkvalitňování poradenských služeb. Závěr: Operační cíl byl naplněn pouze v omezené míře.“</w:t>
            </w:r>
          </w:p>
          <w:p w14:paraId="14C14BC2" w14:textId="5769C5C9" w:rsidR="00DD3EFA" w:rsidRPr="005A0E7C" w:rsidRDefault="00DD3EFA" w:rsidP="00B15ECB">
            <w:pPr>
              <w:spacing w:before="60"/>
              <w:rPr>
                <w:rFonts w:eastAsiaTheme="majorEastAsia"/>
              </w:rPr>
            </w:pPr>
            <w:r w:rsidRPr="005A0E7C">
              <w:rPr>
                <w:rFonts w:eastAsiaTheme="majorEastAsia"/>
              </w:rPr>
              <w:t>Marketing: „Marketingová připravenost podniků byla v rámci OPPI podpořena prostřednictvím programu podpory Marketing. Příjemci díky němu získali možnost vlastní propagace na trzích prostřednictvím veletržních akcí, na které by se v plné míře bez dotační podpory nedostali. Ze zkušeností podpořených podniků je patrné, že tyto aktivity jejich konkurenceschopnosti prospěly nejen v krátkodobém horizontu jedné podpořené akce, ale příjemci na základě získaných zkušeností byli schopni v navazujících obdobích realizovat marketing z vlastních zdrojů s vyšší efektivitou a přidanou hodnotou. Z provedených průzkumů, rozhovorů a případových studií vyplývá, že bez dotační podpory by podniky mohly realizovat marketingové aktivity pouze v omezené podobě, což by mělo negativní dopady na jejich konkurenceschopnost. Na základě provedené kontrafaktuální dopadové analýzy</w:t>
            </w:r>
            <w:r w:rsidR="006A6ACB" w:rsidRPr="005A0E7C">
              <w:rPr>
                <w:rFonts w:eastAsiaTheme="majorEastAsia"/>
              </w:rPr>
              <w:t>,</w:t>
            </w:r>
            <w:r w:rsidRPr="005A0E7C">
              <w:rPr>
                <w:rFonts w:eastAsiaTheme="majorEastAsia"/>
              </w:rPr>
              <w:t xml:space="preserve"> ale nelze v současné době prokázat, že by podpořené subjekty v porovnání s nepodpořenými, byly konkurenceschopnější. Závěr: Operační cíl byl naplněn pouze v omezené míře.“</w:t>
            </w:r>
          </w:p>
          <w:p w14:paraId="568416B6" w14:textId="77777777" w:rsidR="00DD3EFA" w:rsidRPr="005A0E7C" w:rsidRDefault="00DD3EFA" w:rsidP="00B15ECB">
            <w:pPr>
              <w:spacing w:before="60"/>
              <w:rPr>
                <w:rFonts w:eastAsiaTheme="majorEastAsia"/>
              </w:rPr>
            </w:pPr>
            <w:r w:rsidRPr="005A0E7C">
              <w:rPr>
                <w:rFonts w:eastAsiaTheme="majorEastAsia"/>
              </w:rPr>
              <w:t>Spolupráce, Prosperita: „Program podpořil zakládání a rozvoj technologických platforem, klastrů, vědeckotechnických parků atd. za účelem navazování a podpory spolupráce v oblasti podnikového výzkumu a vývoje. Navazováním spoluprací dochází k odstraňování bariér rozvoje a výzkumu a vývoje na úrovni jednotlivých podniků a spolupráce tak výrazně přispívá ke zvyšování konkurenceschopnosti. Naplnění operačního cíle v podobě vzniku infrastruktury pro rozvoj spolupráce potvrzuje také naplnění programových indikátorů související prioritní osy a v rámci kvalitativního hodnocení lze konstatovat, že byl operační cíl naplněn. K této hypotéze přispívají také výsledky případových studií výše uvedených programů podpory, které popisují přínosy navázaných spoluprací v podobě přístupu k aktivitám, který by bez spolupráce nebyl možný, snížení provozních nákladů, zvýšení atraktivity realizovaných činností apod. Závěr: Operační cíl byl v rámci realizace programu naplněn.“</w:t>
            </w:r>
          </w:p>
          <w:p w14:paraId="246817AA" w14:textId="77777777" w:rsidR="00DD3EFA" w:rsidRPr="005A0E7C" w:rsidRDefault="00DD3EFA" w:rsidP="00B15ECB">
            <w:pPr>
              <w:spacing w:before="60"/>
              <w:rPr>
                <w:rFonts w:eastAsiaTheme="majorEastAsia"/>
              </w:rPr>
            </w:pPr>
          </w:p>
          <w:p w14:paraId="48609C8A" w14:textId="77777777" w:rsidR="00DD3EFA" w:rsidRPr="005A0E7C" w:rsidRDefault="00DD3EFA" w:rsidP="00B15ECB">
            <w:pPr>
              <w:rPr>
                <w:rFonts w:eastAsiaTheme="majorEastAsia"/>
              </w:rPr>
            </w:pPr>
            <w:r w:rsidRPr="005A0E7C">
              <w:rPr>
                <w:rFonts w:eastAsiaTheme="majorEastAsia"/>
              </w:rPr>
              <w:t>Za období 2014–2020 vyhodnocení probíhá v těchto dnech. Jde o Výsledkové evaluace SC 2.1, 2.2, 1.1, 1.2 a 4.2 OP PIK</w:t>
            </w:r>
            <w:r w:rsidRPr="005A0E7C">
              <w:t>.</w:t>
            </w:r>
            <w:r w:rsidRPr="005A0E7C">
              <w:rPr>
                <w:rFonts w:eastAsiaTheme="majorEastAsia"/>
              </w:rPr>
              <w:t xml:space="preserve"> Dne 1. 2. 2019 byly předány Vstupní zprávy, Závěrečné zprávy se předpokládají v červnu 2019.</w:t>
            </w:r>
          </w:p>
          <w:p w14:paraId="3D62346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left w:val="nil"/>
              <w:bottom w:val="nil"/>
            </w:tcBorders>
            <w:shd w:val="clear" w:color="auto" w:fill="66CCFF"/>
          </w:tcPr>
          <w:p w14:paraId="7B81E859" w14:textId="77777777" w:rsidR="00DD3EFA" w:rsidRPr="005A0E7C" w:rsidRDefault="00DD3EFA" w:rsidP="00B15ECB">
            <w:pPr>
              <w:rPr>
                <w:b/>
              </w:rPr>
            </w:pPr>
          </w:p>
        </w:tc>
      </w:tr>
      <w:tr w:rsidR="00DD3EFA" w:rsidRPr="002D2123" w14:paraId="77CC31B6" w14:textId="77777777" w:rsidTr="00B15ECB">
        <w:trPr>
          <w:trHeight w:val="1258"/>
        </w:trPr>
        <w:tc>
          <w:tcPr>
            <w:tcW w:w="249" w:type="dxa"/>
            <w:tcBorders>
              <w:top w:val="nil"/>
              <w:bottom w:val="nil"/>
              <w:right w:val="nil"/>
            </w:tcBorders>
            <w:shd w:val="clear" w:color="auto" w:fill="66CCFF"/>
          </w:tcPr>
          <w:p w14:paraId="57B7A8C1" w14:textId="77777777" w:rsidR="00DD3EFA" w:rsidRPr="002D2123" w:rsidRDefault="00DD3EFA" w:rsidP="00B15ECB">
            <w:pPr>
              <w:rPr>
                <w:b/>
                <w:sz w:val="10"/>
                <w:szCs w:val="10"/>
              </w:rPr>
            </w:pPr>
          </w:p>
        </w:tc>
        <w:tc>
          <w:tcPr>
            <w:tcW w:w="2548" w:type="dxa"/>
            <w:shd w:val="clear" w:color="auto" w:fill="FFFFFF" w:themeFill="background1"/>
          </w:tcPr>
          <w:p w14:paraId="3BD1D811" w14:textId="77777777" w:rsidR="00DD3EFA" w:rsidRPr="002D2123" w:rsidRDefault="00DD3EFA" w:rsidP="00B15ECB">
            <w:pPr>
              <w:rPr>
                <w:rFonts w:eastAsiaTheme="majorEastAsia"/>
                <w:b/>
              </w:rPr>
            </w:pPr>
            <w:r w:rsidRPr="002D2123">
              <w:rPr>
                <w:rFonts w:eastAsiaTheme="majorEastAsia"/>
                <w:b/>
              </w:rPr>
              <w:t>Synergické a multiplikační efekty</w:t>
            </w:r>
          </w:p>
          <w:p w14:paraId="7C5AE9DA" w14:textId="77777777" w:rsidR="00DD3EFA" w:rsidRPr="002D2123" w:rsidRDefault="00DD3EFA" w:rsidP="00B15ECB">
            <w:pPr>
              <w:rPr>
                <w:rFonts w:eastAsiaTheme="majorEastAsia"/>
                <w:b/>
              </w:rPr>
            </w:pPr>
            <w:r w:rsidRPr="002D2123">
              <w:rPr>
                <w:rFonts w:eastAsiaTheme="majorEastAsia"/>
                <w:b/>
              </w:rPr>
              <w:t>(tj. v období 2014 – 2020, příp. 2007 – 2013)</w:t>
            </w:r>
          </w:p>
        </w:tc>
        <w:tc>
          <w:tcPr>
            <w:tcW w:w="5978" w:type="dxa"/>
            <w:shd w:val="clear" w:color="auto" w:fill="FFFFFF" w:themeFill="background1"/>
          </w:tcPr>
          <w:p w14:paraId="46CA3CB1" w14:textId="77777777" w:rsidR="00DD3EFA" w:rsidRPr="002D2123" w:rsidRDefault="00DD3EFA" w:rsidP="00B15ECB">
            <w:pPr>
              <w:pStyle w:val="slovanodstavec"/>
              <w:tabs>
                <w:tab w:val="clear" w:pos="567"/>
                <w:tab w:val="left" w:pos="284"/>
              </w:tabs>
              <w:suppressAutoHyphens/>
              <w:spacing w:line="240" w:lineRule="auto"/>
              <w:rPr>
                <w:rFonts w:ascii="Times New Roman" w:hAnsi="Times New Roman"/>
                <w:i/>
              </w:rPr>
            </w:pPr>
            <w:r w:rsidRPr="002D2123">
              <w:rPr>
                <w:rFonts w:ascii="Times New Roman" w:hAnsi="Times New Roman"/>
              </w:rPr>
              <w:t>Vytvoření funkčních synergických a komplementárních vazeb využitím evropských prostředků na národní úrovni v rámci OPPIK a účastí českých inovativních MSP v Rámcovém programu pro výzkum a inovace Horizont 2020 se ukázala jako problematická (rozdílná implementační pravidla, sladění časového harmonogramu obou nástrojů) Navzdory tomu byla vyhlášena speciální komplementární Clean Sky 2 výzva pod programem Aplikace, jež byla otevřena od prosince 2017 do dubna 2018. Komplementarita výzvy spočívala v tom, že předložená témata musela být komplementární s pracovním plánem rámcového programu na podporu leteckého průmyslu Clean Sky 2 a součástí hodnocení byly bodové bonusy za předchozí aktivitu v Clean Sky 2. Výzva byla založena na účinné spolupráci MSP s velkými podniky.</w:t>
            </w:r>
          </w:p>
        </w:tc>
        <w:tc>
          <w:tcPr>
            <w:tcW w:w="249" w:type="dxa"/>
            <w:tcBorders>
              <w:top w:val="nil"/>
              <w:left w:val="nil"/>
              <w:bottom w:val="nil"/>
            </w:tcBorders>
            <w:shd w:val="clear" w:color="auto" w:fill="66CCFF"/>
          </w:tcPr>
          <w:p w14:paraId="57872CBD" w14:textId="77777777" w:rsidR="00DD3EFA" w:rsidRPr="002D2123" w:rsidRDefault="00DD3EFA" w:rsidP="00B15ECB">
            <w:pPr>
              <w:rPr>
                <w:b/>
                <w:sz w:val="10"/>
                <w:szCs w:val="10"/>
              </w:rPr>
            </w:pPr>
          </w:p>
        </w:tc>
      </w:tr>
      <w:tr w:rsidR="00DD3EFA" w:rsidRPr="002D2123" w14:paraId="74D05316" w14:textId="77777777" w:rsidTr="00B15ECB">
        <w:trPr>
          <w:trHeight w:val="180"/>
        </w:trPr>
        <w:tc>
          <w:tcPr>
            <w:tcW w:w="249" w:type="dxa"/>
            <w:tcBorders>
              <w:top w:val="nil"/>
              <w:bottom w:val="nil"/>
              <w:right w:val="nil"/>
            </w:tcBorders>
            <w:shd w:val="clear" w:color="auto" w:fill="66CCFF"/>
          </w:tcPr>
          <w:p w14:paraId="6F9C1843" w14:textId="77777777" w:rsidR="00DD3EFA" w:rsidRPr="002D2123" w:rsidRDefault="00DD3EFA" w:rsidP="00B15ECB">
            <w:pPr>
              <w:rPr>
                <w:b/>
                <w:sz w:val="10"/>
                <w:szCs w:val="10"/>
              </w:rPr>
            </w:pPr>
          </w:p>
        </w:tc>
        <w:tc>
          <w:tcPr>
            <w:tcW w:w="2548" w:type="dxa"/>
            <w:tcBorders>
              <w:left w:val="nil"/>
              <w:bottom w:val="single" w:sz="4" w:space="0" w:color="auto"/>
              <w:right w:val="nil"/>
            </w:tcBorders>
            <w:shd w:val="clear" w:color="auto" w:fill="66CCFF"/>
          </w:tcPr>
          <w:p w14:paraId="525BBA00" w14:textId="77777777" w:rsidR="00DD3EFA" w:rsidRPr="002D2123" w:rsidRDefault="00DD3EFA" w:rsidP="00B15ECB">
            <w:pPr>
              <w:rPr>
                <w:b/>
                <w:sz w:val="10"/>
                <w:szCs w:val="10"/>
              </w:rPr>
            </w:pPr>
          </w:p>
        </w:tc>
        <w:tc>
          <w:tcPr>
            <w:tcW w:w="5978" w:type="dxa"/>
            <w:tcBorders>
              <w:left w:val="nil"/>
              <w:bottom w:val="single" w:sz="4" w:space="0" w:color="auto"/>
              <w:right w:val="nil"/>
            </w:tcBorders>
            <w:shd w:val="clear" w:color="auto" w:fill="66CCFF"/>
          </w:tcPr>
          <w:p w14:paraId="23FB6EFD" w14:textId="77777777" w:rsidR="00DD3EFA" w:rsidRPr="002D2123" w:rsidRDefault="00DD3EFA" w:rsidP="00B15ECB">
            <w:pPr>
              <w:rPr>
                <w:b/>
                <w:sz w:val="10"/>
                <w:szCs w:val="10"/>
              </w:rPr>
            </w:pPr>
          </w:p>
        </w:tc>
        <w:tc>
          <w:tcPr>
            <w:tcW w:w="249" w:type="dxa"/>
            <w:tcBorders>
              <w:top w:val="nil"/>
              <w:left w:val="nil"/>
              <w:bottom w:val="nil"/>
            </w:tcBorders>
            <w:shd w:val="clear" w:color="auto" w:fill="66CCFF"/>
          </w:tcPr>
          <w:p w14:paraId="7FDDA358" w14:textId="77777777" w:rsidR="00DD3EFA" w:rsidRPr="002D2123" w:rsidRDefault="00DD3EFA" w:rsidP="00B15ECB">
            <w:pPr>
              <w:rPr>
                <w:b/>
                <w:sz w:val="10"/>
                <w:szCs w:val="10"/>
              </w:rPr>
            </w:pPr>
          </w:p>
        </w:tc>
      </w:tr>
      <w:tr w:rsidR="00DD3EFA" w:rsidRPr="002D2123" w14:paraId="071D4F48" w14:textId="77777777" w:rsidTr="00B15ECB">
        <w:trPr>
          <w:trHeight w:val="990"/>
        </w:trPr>
        <w:tc>
          <w:tcPr>
            <w:tcW w:w="249" w:type="dxa"/>
            <w:tcBorders>
              <w:top w:val="nil"/>
              <w:bottom w:val="nil"/>
            </w:tcBorders>
            <w:shd w:val="clear" w:color="auto" w:fill="66CCFF"/>
          </w:tcPr>
          <w:p w14:paraId="77107763"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4DC10FAB" w14:textId="77777777" w:rsidR="00DD3EFA" w:rsidRPr="002D2123" w:rsidRDefault="00DD3EFA" w:rsidP="00B15ECB">
            <w:pPr>
              <w:spacing w:before="60" w:after="60"/>
              <w:rPr>
                <w:rFonts w:eastAsiaTheme="majorEastAsia"/>
                <w:b/>
              </w:rPr>
            </w:pPr>
            <w:r w:rsidRPr="002D2123">
              <w:rPr>
                <w:rFonts w:eastAsiaTheme="majorEastAsia"/>
                <w:b/>
              </w:rPr>
              <w:t>Absorpční kapacita</w:t>
            </w:r>
          </w:p>
        </w:tc>
        <w:tc>
          <w:tcPr>
            <w:tcW w:w="5978" w:type="dxa"/>
            <w:tcBorders>
              <w:bottom w:val="single" w:sz="4" w:space="0" w:color="auto"/>
            </w:tcBorders>
            <w:shd w:val="clear" w:color="auto" w:fill="FFFFFF" w:themeFill="background1"/>
          </w:tcPr>
          <w:p w14:paraId="0282F2F5" w14:textId="77777777" w:rsidR="00DD3EFA" w:rsidRPr="002D2123" w:rsidRDefault="00DD3EFA" w:rsidP="00B15ECB">
            <w:pPr>
              <w:spacing w:before="60" w:after="60"/>
              <w:rPr>
                <w:rFonts w:eastAsiaTheme="majorEastAsia"/>
                <w:i/>
              </w:rPr>
            </w:pPr>
          </w:p>
        </w:tc>
        <w:tc>
          <w:tcPr>
            <w:tcW w:w="249" w:type="dxa"/>
            <w:tcBorders>
              <w:top w:val="nil"/>
              <w:bottom w:val="nil"/>
            </w:tcBorders>
            <w:shd w:val="clear" w:color="auto" w:fill="66CCFF"/>
          </w:tcPr>
          <w:p w14:paraId="74AF60B1" w14:textId="77777777" w:rsidR="00DD3EFA" w:rsidRPr="002D2123" w:rsidRDefault="00DD3EFA" w:rsidP="00B15ECB">
            <w:pPr>
              <w:rPr>
                <w:b/>
                <w:sz w:val="10"/>
                <w:szCs w:val="10"/>
              </w:rPr>
            </w:pPr>
          </w:p>
        </w:tc>
      </w:tr>
      <w:tr w:rsidR="00DD3EFA" w:rsidRPr="005A0E7C" w14:paraId="68DEF238" w14:textId="77777777" w:rsidTr="00B15ECB">
        <w:trPr>
          <w:trHeight w:val="1260"/>
        </w:trPr>
        <w:tc>
          <w:tcPr>
            <w:tcW w:w="249" w:type="dxa"/>
            <w:tcBorders>
              <w:top w:val="nil"/>
              <w:bottom w:val="nil"/>
            </w:tcBorders>
            <w:shd w:val="clear" w:color="auto" w:fill="66CCFF"/>
          </w:tcPr>
          <w:p w14:paraId="0A7733A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A04835A"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3A2FE1B2"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color w:val="000000" w:themeColor="text1"/>
              </w:rPr>
            </w:pPr>
            <w:r w:rsidRPr="005A0E7C">
              <w:rPr>
                <w:rFonts w:ascii="Times New Roman" w:hAnsi="Times New Roman"/>
                <w:color w:val="000000" w:themeColor="text1"/>
              </w:rPr>
              <w:t xml:space="preserve">Absorpční kapacita v SC 1.1 převýšila plánované alokace programů, objem předložených žádostí výrazně překračoval plánované alokace výzev. V průběhu implementace již došlo k navyšování prostředků v dané podoblasti. Do konce stávajícího období se plánují další realokace do programů Inovace, Potenciál a Aplikace. </w:t>
            </w:r>
          </w:p>
          <w:p w14:paraId="59F246E0"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color w:val="000000" w:themeColor="text1"/>
              </w:rPr>
            </w:pPr>
            <w:r w:rsidRPr="005A0E7C">
              <w:rPr>
                <w:rFonts w:ascii="Times New Roman" w:hAnsi="Times New Roman"/>
                <w:color w:val="000000" w:themeColor="text1"/>
              </w:rPr>
              <w:t>V případě dotčených programů podpory OP PIK je věcný milník naplňován na 123 %, což svědčí o velkém zájmu podnikatelů o tyto oblasti.</w:t>
            </w:r>
          </w:p>
          <w:p w14:paraId="3E95D7B7" w14:textId="77777777" w:rsidR="00DD3EFA" w:rsidRPr="005A0E7C" w:rsidRDefault="00DD3EFA" w:rsidP="00B15ECB">
            <w:pPr>
              <w:spacing w:before="60" w:after="60"/>
              <w:rPr>
                <w:color w:val="000000" w:themeColor="text1"/>
              </w:rPr>
            </w:pPr>
            <w:r w:rsidRPr="005A0E7C">
              <w:rPr>
                <w:color w:val="000000" w:themeColor="text1"/>
              </w:rPr>
              <w:t>V případě SC 1.2. byla identifikována nižší absorpční kapacita, zejména u programu Služby infrastruktury a dále u programů, ve kterých je vyžadováno intenzivnější zapojení pracovníků z výzkumných organizací – projekty zaměřené na transfer znalostí, případně ověření výsledků VaV  v podnicích (programy Partnerství znalostního transferu, Proof of Concept). Vysoká absorpční kapacita byla identifikována u Inovačních voucherů, které nabízejí rychlé a efektivní čerpání na základní aktivity spolupráce s VO (expertní služby typu testování, měření, apod.)</w:t>
            </w:r>
          </w:p>
          <w:p w14:paraId="1581673E" w14:textId="77777777" w:rsidR="00DD3EFA" w:rsidRPr="005A0E7C" w:rsidRDefault="00DD3EFA" w:rsidP="00B15ECB">
            <w:pPr>
              <w:spacing w:line="276" w:lineRule="auto"/>
              <w:rPr>
                <w:color w:val="000000" w:themeColor="text1"/>
              </w:rPr>
            </w:pPr>
            <w:r w:rsidRPr="005A0E7C">
              <w:rPr>
                <w:color w:val="000000" w:themeColor="text1"/>
              </w:rPr>
              <w:t>V případě SC 2.1 nebyla absorpční kapacita naplněna u výzev progamu Technologie zaměřených na digitální transformaci. Lze se domnívat, že na relativně nízkém zájmu, zejména o první výzvu, a na její úspěšnosti, která byla méně než 50% doporučených projektů, mohla mít podíl samotná novost této výzvy, kdy potencionální příjemci neporozuměli jejímu účelu a neměli zkušenosti s nově nastaveným model hodnocením a významem jednotlivých kritérií pro hodnocení.</w:t>
            </w:r>
          </w:p>
          <w:p w14:paraId="20626E3F" w14:textId="77777777" w:rsidR="00DD3EFA" w:rsidRPr="005A0E7C" w:rsidRDefault="00DD3EFA" w:rsidP="00B15ECB">
            <w:pPr>
              <w:spacing w:line="276" w:lineRule="auto"/>
              <w:rPr>
                <w:color w:val="000000" w:themeColor="text1"/>
              </w:rPr>
            </w:pPr>
            <w:r w:rsidRPr="005A0E7C">
              <w:rPr>
                <w:color w:val="000000" w:themeColor="text1"/>
              </w:rPr>
              <w:t>Z tohoto důvodu byly u dalších výzev organizovány semináře pro žadatele za účelem jeich představení a seznámení žadatelů s nastavenými podmínkami a modelem hodnocení. O informace k těmto výzvám byl velký zájem a jejich propagace přispěla k popularizaci implementaci Průmyslu 4.0 do podnikových strategií.</w:t>
            </w:r>
          </w:p>
        </w:tc>
        <w:tc>
          <w:tcPr>
            <w:tcW w:w="249" w:type="dxa"/>
            <w:tcBorders>
              <w:top w:val="nil"/>
              <w:bottom w:val="nil"/>
            </w:tcBorders>
            <w:shd w:val="clear" w:color="auto" w:fill="66CCFF"/>
          </w:tcPr>
          <w:p w14:paraId="7B2C2D9E" w14:textId="77777777" w:rsidR="00DD3EFA" w:rsidRPr="005A0E7C" w:rsidRDefault="00DD3EFA" w:rsidP="00B15ECB">
            <w:pPr>
              <w:rPr>
                <w:b/>
              </w:rPr>
            </w:pPr>
          </w:p>
        </w:tc>
      </w:tr>
      <w:tr w:rsidR="00DD3EFA" w:rsidRPr="005A0E7C" w14:paraId="4B7B2A66" w14:textId="77777777" w:rsidTr="00B15ECB">
        <w:trPr>
          <w:trHeight w:val="850"/>
        </w:trPr>
        <w:tc>
          <w:tcPr>
            <w:tcW w:w="249" w:type="dxa"/>
            <w:tcBorders>
              <w:top w:val="nil"/>
              <w:bottom w:val="nil"/>
            </w:tcBorders>
            <w:shd w:val="clear" w:color="auto" w:fill="66CCFF"/>
          </w:tcPr>
          <w:p w14:paraId="4BFF36D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8E8CB6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35CFDF5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 dané oblasti lze předpokládat vysoký zájem příjemců - v návaznosti na předchozí intervence z ESIF se navyšuje počet podniků schopných realizovat vlastní výzkumné a vývojové aktivity a zároveň i počet podniků, které spolupracují s výzkumnými organizacemi na projektech průmyslového výzkumu a experimentálního vývoje a s tím související posílení endogenního podnikatelského sektoru v oblasti zavádění technologických i netechnologických inovací.</w:t>
            </w:r>
          </w:p>
          <w:p w14:paraId="02B82444" w14:textId="77777777" w:rsidR="00DD3EFA" w:rsidRPr="005A0E7C" w:rsidRDefault="00DD3EFA" w:rsidP="00B15ECB">
            <w:pPr>
              <w:spacing w:before="60" w:after="60"/>
            </w:pPr>
            <w:r w:rsidRPr="005A0E7C">
              <w:t>V návaznosti na strategický posun oblasti směrem k zavádění nových klíčových technologií a průmyslovou transformaci se pro zajištění vysoké absorpční kapacity předpokládá vyšší intenzita spolupráce mezi jednotlivými inovačními aktéry, jak ze strany dodavatelů nových technologických řešení (ICT, fotonika, apod.) a podpůrných infrastruktur VaVaI, tak ze strany výrobních podniků ze zpracovatelského průmyslu a podniků služeb.</w:t>
            </w:r>
          </w:p>
          <w:p w14:paraId="6D53EA64" w14:textId="77777777" w:rsidR="00DD3EFA" w:rsidRPr="005A0E7C" w:rsidRDefault="00DD3EFA" w:rsidP="00B15ECB">
            <w:r w:rsidRPr="005A0E7C">
              <w:rPr>
                <w:rFonts w:eastAsiaTheme="majorEastAsia"/>
              </w:rPr>
              <w:t xml:space="preserve">MPO v současnosti řeší/soutěží </w:t>
            </w:r>
            <w:r w:rsidRPr="005A0E7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4753E62E" w14:textId="77777777" w:rsidR="00DD3EFA" w:rsidRPr="005A0E7C" w:rsidRDefault="00DD3EFA" w:rsidP="00B15ECB">
            <w:r w:rsidRPr="005A0E7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78B25A2F" w14:textId="77777777" w:rsidR="00DD3EFA" w:rsidRPr="005A0E7C" w:rsidRDefault="00DD3EFA" w:rsidP="00B15ECB"/>
          <w:p w14:paraId="6D3AB75B" w14:textId="77777777" w:rsidR="00DD3EFA" w:rsidRPr="005A0E7C" w:rsidRDefault="00DD3EFA" w:rsidP="00B15ECB">
            <w:pPr>
              <w:pStyle w:val="Nadpis2"/>
              <w:tabs>
                <w:tab w:val="left" w:pos="3945"/>
              </w:tabs>
              <w:spacing w:after="90"/>
              <w:outlineLvl w:val="1"/>
              <w:rPr>
                <w:rFonts w:ascii="Times New Roman" w:hAnsi="Times New Roman" w:cs="Times New Roman"/>
                <w:b w:val="0"/>
                <w:color w:val="auto"/>
                <w:sz w:val="20"/>
                <w:szCs w:val="20"/>
              </w:rPr>
            </w:pPr>
            <w:r w:rsidRPr="005A0E7C">
              <w:rPr>
                <w:rFonts w:ascii="Times New Roman" w:hAnsi="Times New Roman" w:cs="Times New Roman"/>
                <w:color w:val="auto"/>
                <w:sz w:val="20"/>
                <w:szCs w:val="20"/>
              </w:rPr>
              <w:t>Analytické otázky:</w:t>
            </w:r>
          </w:p>
          <w:p w14:paraId="009908B0" w14:textId="77777777" w:rsidR="00DD3EFA" w:rsidRPr="005A0E7C" w:rsidRDefault="00DD3EFA" w:rsidP="00B15ECB">
            <w:r w:rsidRPr="005A0E7C">
              <w:t xml:space="preserve">1. Do jaké míry byla naplněna plánovaná absorpční kapacita v současném a minulém programovém období (tj. 2014 - 2020 a 2007 - 2013)? Očekávání vs. realita. </w:t>
            </w:r>
          </w:p>
          <w:p w14:paraId="09EEE756" w14:textId="77777777" w:rsidR="00DD3EFA" w:rsidRPr="005A0E7C" w:rsidRDefault="00DD3EFA" w:rsidP="00B15ECB">
            <w:r w:rsidRPr="005A0E7C">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2D2D85D7" w14:textId="77777777" w:rsidR="00DD3EFA" w:rsidRPr="005A0E7C" w:rsidRDefault="00DD3EFA" w:rsidP="00B15ECB">
            <w:r w:rsidRPr="005A0E7C">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467465E7" w14:textId="77777777" w:rsidR="00DD3EFA" w:rsidRPr="005A0E7C" w:rsidRDefault="00DD3EFA" w:rsidP="00B15ECB">
            <w:r w:rsidRPr="005A0E7C">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7A763A79" w14:textId="77777777" w:rsidR="00DD3EFA" w:rsidRPr="005A0E7C" w:rsidRDefault="00DD3EFA" w:rsidP="00B15ECB">
            <w:pPr>
              <w:spacing w:before="60" w:after="60"/>
              <w:rPr>
                <w:rFonts w:eastAsiaTheme="majorEastAsia"/>
                <w:i/>
              </w:rPr>
            </w:pPr>
            <w:r w:rsidRPr="005A0E7C">
              <w:t>5. Jaké jsou návrhy opatření na odstranění bariér?</w:t>
            </w:r>
          </w:p>
        </w:tc>
        <w:tc>
          <w:tcPr>
            <w:tcW w:w="249" w:type="dxa"/>
            <w:tcBorders>
              <w:top w:val="nil"/>
              <w:bottom w:val="nil"/>
            </w:tcBorders>
            <w:shd w:val="clear" w:color="auto" w:fill="66CCFF"/>
          </w:tcPr>
          <w:p w14:paraId="24AE3D87" w14:textId="77777777" w:rsidR="00DD3EFA" w:rsidRPr="005A0E7C" w:rsidRDefault="00DD3EFA" w:rsidP="00B15ECB">
            <w:pPr>
              <w:rPr>
                <w:b/>
              </w:rPr>
            </w:pPr>
          </w:p>
        </w:tc>
      </w:tr>
      <w:tr w:rsidR="00DD3EFA" w:rsidRPr="005A0E7C" w14:paraId="29A6438F" w14:textId="77777777" w:rsidTr="00B15ECB">
        <w:trPr>
          <w:trHeight w:val="925"/>
        </w:trPr>
        <w:tc>
          <w:tcPr>
            <w:tcW w:w="249" w:type="dxa"/>
            <w:tcBorders>
              <w:top w:val="nil"/>
              <w:bottom w:val="nil"/>
            </w:tcBorders>
            <w:shd w:val="clear" w:color="auto" w:fill="66CCFF"/>
          </w:tcPr>
          <w:p w14:paraId="4F167A6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C6271C0"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57B28C4B" w14:textId="77777777" w:rsidR="00DD3EFA" w:rsidRPr="005A0E7C" w:rsidRDefault="00DD3EFA" w:rsidP="00B15ECB">
            <w:pPr>
              <w:spacing w:before="60" w:after="60"/>
              <w:rPr>
                <w:rFonts w:eastAsiaTheme="majorEastAsia"/>
              </w:rPr>
            </w:pPr>
            <w:r w:rsidRPr="005A0E7C">
              <w:rPr>
                <w:rFonts w:eastAsiaTheme="majorEastAsia"/>
              </w:rPr>
              <w:t>V dané oblasti lze předpokládat existenci rámcových projektových záměrů vycházejících z aktuálních inovačních potřeb podnikatelských subjektů. Na základě zkušeností z dosavadních intervencí ESIF lze v této oblasti očekávat větší množství kvalitních projektových záměrů.</w:t>
            </w:r>
          </w:p>
        </w:tc>
        <w:tc>
          <w:tcPr>
            <w:tcW w:w="249" w:type="dxa"/>
            <w:tcBorders>
              <w:top w:val="nil"/>
              <w:bottom w:val="nil"/>
            </w:tcBorders>
            <w:shd w:val="clear" w:color="auto" w:fill="66CCFF"/>
          </w:tcPr>
          <w:p w14:paraId="77BD0644" w14:textId="77777777" w:rsidR="00DD3EFA" w:rsidRPr="005A0E7C" w:rsidRDefault="00DD3EFA" w:rsidP="00B15ECB">
            <w:pPr>
              <w:rPr>
                <w:b/>
              </w:rPr>
            </w:pPr>
          </w:p>
        </w:tc>
      </w:tr>
      <w:tr w:rsidR="00DD3EFA" w:rsidRPr="005A0E7C" w14:paraId="0F69F0F0" w14:textId="77777777" w:rsidTr="00B15ECB">
        <w:trPr>
          <w:trHeight w:val="1001"/>
        </w:trPr>
        <w:tc>
          <w:tcPr>
            <w:tcW w:w="249" w:type="dxa"/>
            <w:tcBorders>
              <w:top w:val="nil"/>
              <w:bottom w:val="nil"/>
            </w:tcBorders>
            <w:shd w:val="clear" w:color="auto" w:fill="66CCFF"/>
          </w:tcPr>
          <w:p w14:paraId="6A7A8B4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A3F1EA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6288CFE7" w14:textId="77777777" w:rsidR="00DD3EFA" w:rsidRPr="005A0E7C" w:rsidRDefault="00DD3EFA" w:rsidP="00B15ECB">
            <w:pPr>
              <w:spacing w:before="60" w:after="60"/>
              <w:rPr>
                <w:rFonts w:eastAsiaTheme="majorEastAsia"/>
              </w:rPr>
            </w:pPr>
            <w:r w:rsidRPr="005A0E7C">
              <w:rPr>
                <w:rFonts w:eastAsiaTheme="majorEastAsia"/>
              </w:rPr>
              <w:t xml:space="preserve">Veřejná podpora – při vyšší intenzitě zapojování MSP do aktivit testování a ověřování nových technologií v reálných podmínkách a zavádění nových inovačních řešení mohou být omezujícím faktorem stávající pravidla veřejné podpory, která nedostatečně reflektují podporu aktivit, které jsou blízké trhu (nejednoznačné zařazení inovačních aktivit typu demonstrace, pilotní projekty, prototyping, případně nízká míra podpory na experimentální vývoj oproti programu Horizon 2020, zejména SME Instrument). </w:t>
            </w:r>
          </w:p>
          <w:p w14:paraId="359CB0E7" w14:textId="77777777" w:rsidR="00DD3EFA" w:rsidRPr="005A0E7C" w:rsidRDefault="00DD3EFA" w:rsidP="00B15ECB">
            <w:pPr>
              <w:spacing w:before="60" w:after="60"/>
              <w:rPr>
                <w:rFonts w:eastAsiaTheme="majorEastAsia"/>
              </w:rPr>
            </w:pPr>
          </w:p>
          <w:p w14:paraId="573B5B8B" w14:textId="77777777" w:rsidR="00DD3EFA" w:rsidRPr="005A0E7C" w:rsidRDefault="00DD3EFA" w:rsidP="00B15ECB">
            <w:pPr>
              <w:spacing w:before="60" w:after="60"/>
              <w:rPr>
                <w:rFonts w:eastAsiaTheme="majorEastAsia"/>
              </w:rPr>
            </w:pPr>
            <w:r w:rsidRPr="005A0E7C">
              <w:rPr>
                <w:rFonts w:eastAsiaTheme="majorEastAsia"/>
              </w:rPr>
              <w:t xml:space="preserve">Pro zajištění vysoké absorpční kapacity bude zásadní využívat rychlé a flexibilní nástroje podpory na výše zmíněné aktivity. Předpokladem pro rychlejší zavádění nových řešení a technologií je přesun od malých pilotních projektů a prototypů k většímu množství projektů blízkých trhu a validace nových řešení v reálných provozních podmínkách u větších skupin MSP. </w:t>
            </w:r>
          </w:p>
          <w:p w14:paraId="1B33C43B" w14:textId="77777777" w:rsidR="00DD3EFA" w:rsidRPr="005A0E7C" w:rsidRDefault="00DD3EFA" w:rsidP="00B15ECB">
            <w:pPr>
              <w:spacing w:before="60" w:after="60"/>
              <w:rPr>
                <w:rFonts w:eastAsiaTheme="majorEastAsia"/>
              </w:rPr>
            </w:pPr>
            <w:r w:rsidRPr="005A0E7C">
              <w:rPr>
                <w:rFonts w:eastAsiaTheme="majorEastAsia"/>
              </w:rPr>
              <w:t>Jako výhodné se pro tento účel jeví využívání zprostředkovatelů služeb pro MSP (tzv. „SME intermediaries“), kteří mohou za předem daných podmínek zprostředkovávat podporu skupinám MSP prostřednictvím inovačních voucherů, případně dalších inovačních schémat. V rámci využívání ESIF pro tyto účely je třeba předem stanovit jasná pravidla pro výběr zprostředkovatelů podpory.</w:t>
            </w:r>
          </w:p>
          <w:p w14:paraId="2BFBD205" w14:textId="77777777" w:rsidR="00DD3EFA" w:rsidRPr="005A0E7C" w:rsidRDefault="00DD3EFA" w:rsidP="00B15ECB">
            <w:pPr>
              <w:spacing w:before="60" w:after="60"/>
              <w:rPr>
                <w:rFonts w:eastAsiaTheme="majorEastAsia"/>
                <w:i/>
              </w:rPr>
            </w:pPr>
            <w:r w:rsidRPr="005A0E7C">
              <w:rPr>
                <w:rFonts w:eastAsiaTheme="majorEastAsia"/>
              </w:rPr>
              <w:t>Pro zajištění naplnění absorpční kapacity u výzev zaměřených na digitální transformaci bude i do budoucna nutná propagace daného tématu. Dále bude nutné navázat užší spolupráci s odbornými partnery z oblasti digitalizace, robotiky a kybernetiky za účelem vhodného nastavení podmínek výzvy a modelu hodnocení a tím zvýšit současnou úroveň digitální vyspělosti MSP v ČR.</w:t>
            </w:r>
          </w:p>
        </w:tc>
        <w:tc>
          <w:tcPr>
            <w:tcW w:w="249" w:type="dxa"/>
            <w:tcBorders>
              <w:top w:val="nil"/>
              <w:bottom w:val="nil"/>
            </w:tcBorders>
            <w:shd w:val="clear" w:color="auto" w:fill="66CCFF"/>
          </w:tcPr>
          <w:p w14:paraId="76B4C156" w14:textId="77777777" w:rsidR="00DD3EFA" w:rsidRPr="005A0E7C" w:rsidRDefault="00DD3EFA" w:rsidP="00B15ECB">
            <w:pPr>
              <w:rPr>
                <w:b/>
              </w:rPr>
            </w:pPr>
          </w:p>
        </w:tc>
      </w:tr>
      <w:tr w:rsidR="00DD3EFA" w:rsidRPr="005A0E7C" w14:paraId="0C2AD0D8"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6E4CE1DB"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6817104"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ED97400"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77442420" w14:textId="77777777" w:rsidR="00DD3EFA" w:rsidRPr="005A0E7C" w:rsidRDefault="00DD3EFA" w:rsidP="00B15ECB">
            <w:pPr>
              <w:rPr>
                <w:b/>
              </w:rPr>
            </w:pPr>
          </w:p>
        </w:tc>
      </w:tr>
      <w:tr w:rsidR="00DD3EFA" w:rsidRPr="005A0E7C" w14:paraId="0A416E5B" w14:textId="77777777" w:rsidTr="00B15ECB">
        <w:trPr>
          <w:trHeight w:val="1968"/>
        </w:trPr>
        <w:tc>
          <w:tcPr>
            <w:tcW w:w="249" w:type="dxa"/>
            <w:tcBorders>
              <w:top w:val="single" w:sz="4" w:space="0" w:color="auto"/>
              <w:bottom w:val="nil"/>
            </w:tcBorders>
            <w:shd w:val="clear" w:color="auto" w:fill="66CCFF"/>
          </w:tcPr>
          <w:p w14:paraId="619AB3A0"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06E9F412"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5844FC14"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6987652D" w14:textId="77777777" w:rsidR="00DD3EFA" w:rsidRPr="005A0E7C" w:rsidRDefault="00DD3EFA" w:rsidP="00B15ECB">
            <w:pPr>
              <w:rPr>
                <w:b/>
              </w:rPr>
            </w:pPr>
          </w:p>
        </w:tc>
      </w:tr>
      <w:tr w:rsidR="00DD3EFA" w:rsidRPr="005A0E7C" w14:paraId="568A5660" w14:textId="77777777" w:rsidTr="00B15ECB">
        <w:trPr>
          <w:trHeight w:val="1968"/>
        </w:trPr>
        <w:tc>
          <w:tcPr>
            <w:tcW w:w="249" w:type="dxa"/>
            <w:tcBorders>
              <w:top w:val="nil"/>
              <w:bottom w:val="nil"/>
            </w:tcBorders>
            <w:shd w:val="clear" w:color="auto" w:fill="66CCFF"/>
          </w:tcPr>
          <w:p w14:paraId="0B3347F8" w14:textId="77777777" w:rsidR="00DD3EFA" w:rsidRPr="005A0E7C" w:rsidRDefault="00DD3EFA" w:rsidP="00B15ECB">
            <w:pPr>
              <w:rPr>
                <w:b/>
              </w:rPr>
            </w:pPr>
          </w:p>
        </w:tc>
        <w:tc>
          <w:tcPr>
            <w:tcW w:w="2548" w:type="dxa"/>
            <w:tcBorders>
              <w:top w:val="nil"/>
            </w:tcBorders>
            <w:shd w:val="clear" w:color="auto" w:fill="FFFFFF" w:themeFill="background1"/>
          </w:tcPr>
          <w:p w14:paraId="495C9D54"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010C8E1D" w14:textId="77777777" w:rsidR="00DD3EFA" w:rsidRPr="005A0E7C" w:rsidRDefault="00DD3EFA" w:rsidP="00B15ECB">
            <w:pPr>
              <w:spacing w:before="60" w:after="60"/>
              <w:rPr>
                <w:rFonts w:eastAsiaTheme="majorEastAsia"/>
              </w:rPr>
            </w:pPr>
            <w:r w:rsidRPr="005A0E7C">
              <w:rPr>
                <w:rFonts w:eastAsiaTheme="majorEastAsia"/>
              </w:rPr>
              <w:t>Specfický cíl se může částečně tematicky překrývat s následujícícmi unijními programy (případný překryv oblastí bude záležet na jejich finální podobě):</w:t>
            </w:r>
          </w:p>
          <w:p w14:paraId="59B4A5E8" w14:textId="77777777" w:rsidR="00DD3EFA" w:rsidRPr="005A0E7C" w:rsidRDefault="00DD3EFA" w:rsidP="00B15ECB">
            <w:pPr>
              <w:spacing w:before="60" w:after="60"/>
              <w:rPr>
                <w:rFonts w:eastAsiaTheme="majorEastAsia"/>
                <w:i/>
              </w:rPr>
            </w:pPr>
          </w:p>
          <w:p w14:paraId="024D980B" w14:textId="77777777" w:rsidR="00DD3EFA" w:rsidRPr="005A0E7C" w:rsidRDefault="00DD3EFA" w:rsidP="00B15ECB">
            <w:pPr>
              <w:spacing w:before="60" w:after="60"/>
              <w:rPr>
                <w:rFonts w:eastAsiaTheme="majorEastAsia"/>
              </w:rPr>
            </w:pPr>
            <w:r w:rsidRPr="005A0E7C">
              <w:rPr>
                <w:rFonts w:eastAsiaTheme="majorEastAsia"/>
              </w:rPr>
              <w:t>Digital Europe - program na podporu digitální transformace ve prospěch občanů a podnikání</w:t>
            </w:r>
          </w:p>
          <w:p w14:paraId="75CE8601" w14:textId="77777777" w:rsidR="00DD3EFA" w:rsidRPr="005A0E7C" w:rsidRDefault="00DD3EFA" w:rsidP="00B15ECB">
            <w:pPr>
              <w:spacing w:before="60" w:after="60"/>
              <w:rPr>
                <w:rFonts w:eastAsiaTheme="majorEastAsia"/>
              </w:rPr>
            </w:pPr>
          </w:p>
          <w:p w14:paraId="0EF7D46C" w14:textId="77777777" w:rsidR="00DD3EFA" w:rsidRPr="005A0E7C" w:rsidRDefault="00DD3EFA" w:rsidP="00B15ECB">
            <w:pPr>
              <w:spacing w:before="60" w:after="60"/>
              <w:rPr>
                <w:rFonts w:eastAsiaTheme="majorEastAsia"/>
              </w:rPr>
            </w:pPr>
            <w:r w:rsidRPr="005A0E7C">
              <w:rPr>
                <w:rFonts w:eastAsiaTheme="majorEastAsia"/>
              </w:rPr>
              <w:t>InvestEU – budoucí program zastřešující rozličné finanční nástroje včetně okna pro MSP</w:t>
            </w:r>
          </w:p>
          <w:p w14:paraId="549CE79C" w14:textId="77777777" w:rsidR="00DD3EFA" w:rsidRPr="005A0E7C" w:rsidRDefault="00DD3EFA" w:rsidP="00B15ECB">
            <w:pPr>
              <w:spacing w:before="60" w:after="60"/>
              <w:rPr>
                <w:rFonts w:eastAsiaTheme="majorEastAsia"/>
              </w:rPr>
            </w:pPr>
          </w:p>
          <w:p w14:paraId="226E243D" w14:textId="77777777" w:rsidR="00DD3EFA" w:rsidRPr="005A0E7C" w:rsidRDefault="00DD3EFA" w:rsidP="00B15ECB">
            <w:pPr>
              <w:spacing w:before="60" w:after="60"/>
              <w:rPr>
                <w:rFonts w:eastAsiaTheme="majorEastAsia"/>
              </w:rPr>
            </w:pPr>
            <w:r w:rsidRPr="005A0E7C">
              <w:rPr>
                <w:rFonts w:eastAsiaTheme="majorEastAsia"/>
              </w:rPr>
              <w:t>Program pro jednotný trh – specifický cíl Podpora malého a středného podnikání, podpora nefinančního charakteru</w:t>
            </w:r>
          </w:p>
          <w:p w14:paraId="76710675" w14:textId="77777777" w:rsidR="00DD3EFA" w:rsidRPr="005A0E7C" w:rsidRDefault="00DD3EFA" w:rsidP="00B15ECB">
            <w:pPr>
              <w:spacing w:before="60" w:after="60"/>
              <w:rPr>
                <w:rFonts w:eastAsiaTheme="majorEastAsia"/>
              </w:rPr>
            </w:pPr>
          </w:p>
          <w:p w14:paraId="6911AF96" w14:textId="77777777" w:rsidR="00DD3EFA" w:rsidRPr="005A0E7C" w:rsidRDefault="00DD3EFA" w:rsidP="00B15ECB">
            <w:pPr>
              <w:spacing w:before="60" w:after="60"/>
              <w:rPr>
                <w:rFonts w:eastAsiaTheme="majorEastAsia"/>
              </w:rPr>
            </w:pPr>
            <w:r w:rsidRPr="005A0E7C">
              <w:rPr>
                <w:rFonts w:eastAsiaTheme="majorEastAsia"/>
              </w:rPr>
              <w:t>Horizon Europe – budoucí klíčový program na podporu výzkumu a inovací</w:t>
            </w:r>
          </w:p>
        </w:tc>
        <w:tc>
          <w:tcPr>
            <w:tcW w:w="249" w:type="dxa"/>
            <w:tcBorders>
              <w:top w:val="nil"/>
              <w:bottom w:val="nil"/>
            </w:tcBorders>
            <w:shd w:val="clear" w:color="auto" w:fill="66CCFF"/>
          </w:tcPr>
          <w:p w14:paraId="6689FBB6" w14:textId="77777777" w:rsidR="00DD3EFA" w:rsidRPr="005A0E7C" w:rsidRDefault="00DD3EFA" w:rsidP="00B15ECB">
            <w:pPr>
              <w:rPr>
                <w:b/>
              </w:rPr>
            </w:pPr>
          </w:p>
        </w:tc>
      </w:tr>
      <w:tr w:rsidR="00DD3EFA" w:rsidRPr="005A0E7C" w14:paraId="6C74D9B5" w14:textId="77777777" w:rsidTr="00B15ECB">
        <w:trPr>
          <w:trHeight w:val="1968"/>
        </w:trPr>
        <w:tc>
          <w:tcPr>
            <w:tcW w:w="249" w:type="dxa"/>
            <w:tcBorders>
              <w:top w:val="nil"/>
              <w:bottom w:val="nil"/>
            </w:tcBorders>
            <w:shd w:val="clear" w:color="auto" w:fill="66CCFF"/>
          </w:tcPr>
          <w:p w14:paraId="142071E0" w14:textId="77777777" w:rsidR="00DD3EFA" w:rsidRPr="005A0E7C" w:rsidRDefault="00DD3EFA" w:rsidP="00B15ECB">
            <w:pPr>
              <w:rPr>
                <w:b/>
              </w:rPr>
            </w:pPr>
          </w:p>
        </w:tc>
        <w:tc>
          <w:tcPr>
            <w:tcW w:w="2548" w:type="dxa"/>
            <w:tcBorders>
              <w:top w:val="nil"/>
            </w:tcBorders>
            <w:shd w:val="clear" w:color="auto" w:fill="FFFFFF" w:themeFill="background1"/>
          </w:tcPr>
          <w:p w14:paraId="3BBD5F6A"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6B023275" w14:textId="77777777" w:rsidR="00DD3EFA" w:rsidRPr="005A0E7C" w:rsidRDefault="00DD3EFA" w:rsidP="00B15ECB">
            <w:pPr>
              <w:spacing w:before="60" w:after="60"/>
              <w:rPr>
                <w:rFonts w:eastAsiaTheme="majorEastAsia"/>
              </w:rPr>
            </w:pPr>
            <w:r w:rsidRPr="005A0E7C">
              <w:rPr>
                <w:rFonts w:eastAsiaTheme="majorEastAsia"/>
              </w:rPr>
              <w:t xml:space="preserve">Program MPO </w:t>
            </w:r>
            <w:r w:rsidRPr="005A0E7C">
              <w:rPr>
                <w:rFonts w:eastAsia="Calibri"/>
              </w:rPr>
              <w:t>Technologie, Expanze, Aplikace, Potenciál</w:t>
            </w:r>
            <w:r w:rsidRPr="005A0E7C">
              <w:rPr>
                <w:rFonts w:eastAsiaTheme="majorEastAsia"/>
              </w:rPr>
              <w:t xml:space="preserve"> a Spolupráce.</w:t>
            </w:r>
          </w:p>
        </w:tc>
        <w:tc>
          <w:tcPr>
            <w:tcW w:w="249" w:type="dxa"/>
            <w:tcBorders>
              <w:top w:val="nil"/>
              <w:bottom w:val="nil"/>
            </w:tcBorders>
            <w:shd w:val="clear" w:color="auto" w:fill="66CCFF"/>
          </w:tcPr>
          <w:p w14:paraId="4E56A13F" w14:textId="77777777" w:rsidR="00DD3EFA" w:rsidRPr="005A0E7C" w:rsidRDefault="00DD3EFA" w:rsidP="00B15ECB">
            <w:pPr>
              <w:rPr>
                <w:b/>
              </w:rPr>
            </w:pPr>
          </w:p>
        </w:tc>
      </w:tr>
      <w:tr w:rsidR="00DD3EFA" w:rsidRPr="005A0E7C" w14:paraId="6908CE26" w14:textId="77777777" w:rsidTr="00B15ECB">
        <w:trPr>
          <w:trHeight w:val="1968"/>
        </w:trPr>
        <w:tc>
          <w:tcPr>
            <w:tcW w:w="249" w:type="dxa"/>
            <w:tcBorders>
              <w:top w:val="nil"/>
              <w:bottom w:val="nil"/>
            </w:tcBorders>
            <w:shd w:val="clear" w:color="auto" w:fill="66CCFF"/>
          </w:tcPr>
          <w:p w14:paraId="59D0DD34" w14:textId="77777777" w:rsidR="00DD3EFA" w:rsidRPr="005A0E7C" w:rsidRDefault="00DD3EFA" w:rsidP="00B15ECB">
            <w:pPr>
              <w:rPr>
                <w:b/>
              </w:rPr>
            </w:pPr>
          </w:p>
        </w:tc>
        <w:tc>
          <w:tcPr>
            <w:tcW w:w="2548" w:type="dxa"/>
            <w:tcBorders>
              <w:top w:val="nil"/>
            </w:tcBorders>
            <w:shd w:val="clear" w:color="auto" w:fill="FFFFFF" w:themeFill="background1"/>
          </w:tcPr>
          <w:p w14:paraId="3CC2F5D3"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1E5D62A4" w14:textId="77777777" w:rsidR="00DD3EFA" w:rsidRPr="005A0E7C" w:rsidRDefault="00DD3EFA" w:rsidP="00B15ECB">
            <w:pPr>
              <w:spacing w:before="60" w:after="60"/>
              <w:rPr>
                <w:rFonts w:eastAsiaTheme="majorEastAsia"/>
              </w:rPr>
            </w:pPr>
            <w:r w:rsidRPr="005A0E7C">
              <w:rPr>
                <w:rFonts w:eastAsiaTheme="majorEastAsia"/>
              </w:rPr>
              <w:t>Soukromé zdroje neveřejných společností, institucí, soukromých fondů atp.</w:t>
            </w:r>
          </w:p>
        </w:tc>
        <w:tc>
          <w:tcPr>
            <w:tcW w:w="249" w:type="dxa"/>
            <w:tcBorders>
              <w:top w:val="nil"/>
              <w:bottom w:val="nil"/>
            </w:tcBorders>
            <w:shd w:val="clear" w:color="auto" w:fill="66CCFF"/>
          </w:tcPr>
          <w:p w14:paraId="7F9DEFE3" w14:textId="77777777" w:rsidR="00DD3EFA" w:rsidRPr="005A0E7C" w:rsidRDefault="00DD3EFA" w:rsidP="00B15ECB">
            <w:pPr>
              <w:rPr>
                <w:b/>
              </w:rPr>
            </w:pPr>
          </w:p>
        </w:tc>
      </w:tr>
      <w:tr w:rsidR="00DD3EFA" w:rsidRPr="005A0E7C" w14:paraId="08580B00" w14:textId="77777777" w:rsidTr="00B15ECB">
        <w:trPr>
          <w:trHeight w:val="1968"/>
        </w:trPr>
        <w:tc>
          <w:tcPr>
            <w:tcW w:w="249" w:type="dxa"/>
            <w:tcBorders>
              <w:top w:val="nil"/>
              <w:bottom w:val="nil"/>
            </w:tcBorders>
            <w:shd w:val="clear" w:color="auto" w:fill="66CCFF"/>
          </w:tcPr>
          <w:p w14:paraId="11D97D38" w14:textId="77777777" w:rsidR="00DD3EFA" w:rsidRPr="005A0E7C" w:rsidRDefault="00DD3EFA" w:rsidP="00B15ECB">
            <w:pPr>
              <w:rPr>
                <w:b/>
              </w:rPr>
            </w:pPr>
          </w:p>
        </w:tc>
        <w:tc>
          <w:tcPr>
            <w:tcW w:w="2548" w:type="dxa"/>
            <w:tcBorders>
              <w:top w:val="nil"/>
            </w:tcBorders>
            <w:shd w:val="clear" w:color="auto" w:fill="FFFFFF" w:themeFill="background1"/>
          </w:tcPr>
          <w:p w14:paraId="5FA59905"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6EEC4030" w14:textId="77777777" w:rsidR="00DD3EFA" w:rsidRPr="005A0E7C" w:rsidRDefault="00DD3EFA" w:rsidP="00B15ECB">
            <w:pPr>
              <w:spacing w:before="60" w:after="60"/>
              <w:rPr>
                <w:rFonts w:eastAsiaTheme="majorEastAsia"/>
              </w:rPr>
            </w:pPr>
            <w:r w:rsidRPr="005A0E7C">
              <w:rPr>
                <w:rFonts w:eastAsiaTheme="majorEastAsia"/>
              </w:rPr>
              <w:t>FN jsou vhodným nástrojem pro plnění daného specifického cíle. V podpoře MSP jsou FN dlouhodobě úspěšným nástrojem. Díky revolvingovému a pákovému efektu, jsou zdroje opakovaně navraceny a z původní alokované částky je tak možné podpořit maximální počet podniků. Administrativní náročnost na zpracování je proti dotacím minimalizována. Konečný příjemce nemusí pracovat s MS2014+. Konkrétní podpora FN bude záviset na výstupu nového Předběžného posouzení FN pro programovací období 2021-2027.</w:t>
            </w:r>
          </w:p>
          <w:p w14:paraId="78675670" w14:textId="77777777" w:rsidR="00DD3EFA" w:rsidRPr="005A0E7C" w:rsidRDefault="00DD3EFA" w:rsidP="00B15ECB">
            <w:pPr>
              <w:spacing w:before="60" w:after="60"/>
              <w:rPr>
                <w:rFonts w:eastAsiaTheme="majorEastAsia"/>
              </w:rPr>
            </w:pPr>
            <w:r w:rsidRPr="005A0E7C">
              <w:rPr>
                <w:rFonts w:eastAsiaTheme="majorEastAsia"/>
              </w:rPr>
              <w:t>Na základě dosavadních zkušeností se předpokládá využití FN v tomto specifickém cíli. Jedná se primárně o podporu podnikatelských aktivit s potenciálem výnosu, v rámci kterých je pro podnikatele obtížné získat financování z důvodu rizik, nedostatečně rozvinutého trhu či finančních nákladů. Přikladem realizace FN jsou programy Rizikový kapitál a Expanze OPPIK.</w:t>
            </w:r>
          </w:p>
          <w:p w14:paraId="2F6C0132" w14:textId="77777777" w:rsidR="00DD3EFA" w:rsidRPr="005A0E7C" w:rsidRDefault="00DD3EFA" w:rsidP="00B15ECB">
            <w:pPr>
              <w:spacing w:before="60" w:after="60"/>
              <w:rPr>
                <w:rFonts w:eastAsiaTheme="majorEastAsia"/>
              </w:rPr>
            </w:pPr>
            <w:r w:rsidRPr="005A0E7C">
              <w:rPr>
                <w:rFonts w:eastAsiaTheme="majorEastAsia"/>
              </w:rPr>
              <w:t>FN jsou vhodné k podpoře investic MSP do jejich dalšího rozvoje, zavádění technologií a procesů Průmyslu 4.0.</w:t>
            </w:r>
          </w:p>
          <w:p w14:paraId="5D76B467" w14:textId="77777777" w:rsidR="00DD3EFA" w:rsidRPr="005A0E7C" w:rsidRDefault="00DD3EFA" w:rsidP="00B15ECB">
            <w:pPr>
              <w:spacing w:before="60" w:after="60"/>
              <w:rPr>
                <w:rFonts w:eastAsiaTheme="majorEastAsia"/>
              </w:rPr>
            </w:pPr>
            <w:r w:rsidRPr="005A0E7C">
              <w:rPr>
                <w:rFonts w:eastAsiaTheme="majorEastAsia"/>
              </w:rPr>
              <w:t>Jednotlivé okruhy Karty Podnikání jsou spolu velmi úzce provázány. FN by mělo umožnit realizaci komplexních projektů napříč jednotlivými specifickými cíly NKR, případně i napříč kartami (např. investice MSP do technologií/nemovitostí/úsporných opatření).</w:t>
            </w:r>
          </w:p>
          <w:p w14:paraId="2DF3BA12"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7A361888" w14:textId="77777777" w:rsidR="00DD3EFA" w:rsidRPr="005A0E7C" w:rsidRDefault="00DD3EFA" w:rsidP="00B15ECB">
            <w:pPr>
              <w:rPr>
                <w:b/>
              </w:rPr>
            </w:pPr>
          </w:p>
        </w:tc>
      </w:tr>
    </w:tbl>
    <w:p w14:paraId="34AAC090" w14:textId="77777777" w:rsidR="00DD3EFA" w:rsidRPr="005A0E7C" w:rsidRDefault="00DD3EFA">
      <w:pPr>
        <w:rPr>
          <w:rFonts w:ascii="Times New Roman" w:hAnsi="Times New Roman" w:cs="Times New Roman"/>
          <w:sz w:val="20"/>
          <w:szCs w:val="20"/>
        </w:rPr>
      </w:pPr>
    </w:p>
    <w:p w14:paraId="15AA2BAF"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p w14:paraId="3C5A841C" w14:textId="77777777" w:rsidR="00DD3EFA" w:rsidRPr="005A0E7C" w:rsidRDefault="00DD3EFA">
      <w:pPr>
        <w:rPr>
          <w:rFonts w:ascii="Times New Roman" w:hAnsi="Times New Roman" w:cs="Times New Roman"/>
          <w:sz w:val="20"/>
          <w:szCs w:val="20"/>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5348D58" w14:textId="77777777" w:rsidTr="00B15ECB">
        <w:trPr>
          <w:trHeight w:val="180"/>
        </w:trPr>
        <w:tc>
          <w:tcPr>
            <w:tcW w:w="249" w:type="dxa"/>
            <w:tcBorders>
              <w:bottom w:val="nil"/>
              <w:right w:val="nil"/>
            </w:tcBorders>
            <w:shd w:val="clear" w:color="auto" w:fill="66CCFF"/>
          </w:tcPr>
          <w:p w14:paraId="778AEE1A" w14:textId="77777777" w:rsidR="00DD3EFA" w:rsidRPr="005A0E7C" w:rsidRDefault="00DD3EFA" w:rsidP="00B15ECB">
            <w:pPr>
              <w:rPr>
                <w:b/>
              </w:rPr>
            </w:pPr>
          </w:p>
          <w:p w14:paraId="27DD43AC" w14:textId="77777777" w:rsidR="00DD3EFA" w:rsidRPr="005A0E7C" w:rsidRDefault="00DD3EFA" w:rsidP="00B15ECB">
            <w:pPr>
              <w:rPr>
                <w:b/>
              </w:rPr>
            </w:pPr>
          </w:p>
          <w:p w14:paraId="6E79EA6F" w14:textId="77777777" w:rsidR="00DD3EFA" w:rsidRPr="005A0E7C" w:rsidRDefault="00DD3EFA" w:rsidP="00B15ECB">
            <w:pPr>
              <w:rPr>
                <w:b/>
              </w:rPr>
            </w:pPr>
          </w:p>
          <w:p w14:paraId="56239311" w14:textId="77777777" w:rsidR="00DD3EFA" w:rsidRPr="005A0E7C" w:rsidRDefault="00DD3EFA" w:rsidP="00B15ECB">
            <w:pPr>
              <w:rPr>
                <w:b/>
              </w:rPr>
            </w:pPr>
          </w:p>
        </w:tc>
        <w:tc>
          <w:tcPr>
            <w:tcW w:w="2548" w:type="dxa"/>
            <w:tcBorders>
              <w:left w:val="nil"/>
              <w:right w:val="nil"/>
            </w:tcBorders>
            <w:shd w:val="clear" w:color="auto" w:fill="66CCFF"/>
          </w:tcPr>
          <w:p w14:paraId="2DCDDF00" w14:textId="77777777" w:rsidR="00DD3EFA" w:rsidRPr="005A0E7C" w:rsidRDefault="00DD3EFA" w:rsidP="00B15ECB">
            <w:pPr>
              <w:rPr>
                <w:b/>
              </w:rPr>
            </w:pPr>
          </w:p>
        </w:tc>
        <w:tc>
          <w:tcPr>
            <w:tcW w:w="5978" w:type="dxa"/>
            <w:tcBorders>
              <w:left w:val="nil"/>
              <w:right w:val="nil"/>
            </w:tcBorders>
            <w:shd w:val="clear" w:color="auto" w:fill="66CCFF"/>
          </w:tcPr>
          <w:p w14:paraId="4DF0C516" w14:textId="77777777" w:rsidR="00DD3EFA" w:rsidRPr="005A0E7C" w:rsidRDefault="00DD3EFA" w:rsidP="00B15ECB">
            <w:pPr>
              <w:rPr>
                <w:b/>
              </w:rPr>
            </w:pPr>
          </w:p>
        </w:tc>
        <w:tc>
          <w:tcPr>
            <w:tcW w:w="249" w:type="dxa"/>
            <w:tcBorders>
              <w:left w:val="nil"/>
              <w:bottom w:val="nil"/>
            </w:tcBorders>
            <w:shd w:val="clear" w:color="auto" w:fill="66CCFF"/>
          </w:tcPr>
          <w:p w14:paraId="28C5BEC6" w14:textId="77777777" w:rsidR="00DD3EFA" w:rsidRPr="005A0E7C" w:rsidRDefault="00DD3EFA" w:rsidP="00B15ECB">
            <w:pPr>
              <w:rPr>
                <w:b/>
              </w:rPr>
            </w:pPr>
          </w:p>
        </w:tc>
      </w:tr>
      <w:tr w:rsidR="00DD3EFA" w:rsidRPr="005A0E7C" w14:paraId="3C267CD1" w14:textId="77777777" w:rsidTr="00B15ECB">
        <w:trPr>
          <w:trHeight w:val="561"/>
        </w:trPr>
        <w:tc>
          <w:tcPr>
            <w:tcW w:w="249" w:type="dxa"/>
            <w:tcBorders>
              <w:top w:val="nil"/>
              <w:bottom w:val="nil"/>
            </w:tcBorders>
            <w:shd w:val="clear" w:color="auto" w:fill="66CCFF"/>
          </w:tcPr>
          <w:p w14:paraId="0C1F3387" w14:textId="77777777" w:rsidR="00DD3EFA" w:rsidRPr="005A0E7C" w:rsidRDefault="00DD3EFA" w:rsidP="00B15ECB">
            <w:pPr>
              <w:rPr>
                <w:b/>
              </w:rPr>
            </w:pPr>
          </w:p>
        </w:tc>
        <w:tc>
          <w:tcPr>
            <w:tcW w:w="2548" w:type="dxa"/>
            <w:shd w:val="clear" w:color="auto" w:fill="0070C0"/>
          </w:tcPr>
          <w:p w14:paraId="24086B41"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w:t>
            </w:r>
            <w:r w:rsidRPr="005A0E7C">
              <w:rPr>
                <w:b/>
                <w:color w:val="FFFFFF" w:themeColor="background1"/>
              </w:rPr>
              <w:t>VÝZKUMNÝ A INOVAČNÍ SYSTÉM zvyšující konkurenceschopnost společnosti v kontextu technologické změny</w:t>
            </w:r>
          </w:p>
        </w:tc>
        <w:tc>
          <w:tcPr>
            <w:tcW w:w="5978" w:type="dxa"/>
            <w:shd w:val="clear" w:color="auto" w:fill="0070C0"/>
          </w:tcPr>
          <w:p w14:paraId="720772B4"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b/>
                <w:color w:val="FFFFFF" w:themeColor="background1"/>
                <w:u w:val="single"/>
              </w:rPr>
              <w:footnoteReference w:id="43"/>
            </w:r>
            <w:r w:rsidRPr="005A0E7C">
              <w:rPr>
                <w:rFonts w:eastAsiaTheme="majorEastAsia"/>
                <w:b/>
                <w:color w:val="FFFFFF" w:themeColor="background1"/>
                <w:u w:val="single"/>
              </w:rPr>
              <w:t xml:space="preserve">: </w:t>
            </w:r>
          </w:p>
          <w:p w14:paraId="7AEF836A" w14:textId="77777777" w:rsidR="00DD3EFA" w:rsidRPr="005A0E7C" w:rsidRDefault="00DD3EFA" w:rsidP="00B15ECB">
            <w:pPr>
              <w:spacing w:after="60"/>
              <w:rPr>
                <w:b/>
                <w:color w:val="FFFFFF" w:themeColor="background1"/>
              </w:rPr>
            </w:pPr>
            <w:r w:rsidRPr="005A0E7C">
              <w:rPr>
                <w:b/>
                <w:color w:val="FFFFFF" w:themeColor="background1"/>
              </w:rPr>
              <w:t>ZAVEDENÍ PRINCIPŮ DIGITÁLNÍ EKONOMIKY A PRŮMYSLU 4.0 VE FIRMÁCH</w:t>
            </w:r>
          </w:p>
          <w:p w14:paraId="519181BA" w14:textId="77777777" w:rsidR="00DD3EFA" w:rsidRPr="005A0E7C" w:rsidRDefault="00DD3EFA" w:rsidP="00B15ECB">
            <w:pPr>
              <w:spacing w:before="60" w:after="60"/>
              <w:rPr>
                <w:rFonts w:eastAsiaTheme="majorEastAsia"/>
                <w:b/>
                <w:color w:val="FFFFFF" w:themeColor="background1"/>
              </w:rPr>
            </w:pPr>
          </w:p>
        </w:tc>
        <w:tc>
          <w:tcPr>
            <w:tcW w:w="249" w:type="dxa"/>
            <w:tcBorders>
              <w:top w:val="nil"/>
              <w:bottom w:val="nil"/>
            </w:tcBorders>
            <w:shd w:val="clear" w:color="auto" w:fill="66CCFF"/>
          </w:tcPr>
          <w:p w14:paraId="562A9F1A" w14:textId="77777777" w:rsidR="00DD3EFA" w:rsidRPr="005A0E7C" w:rsidRDefault="00DD3EFA" w:rsidP="00B15ECB">
            <w:pPr>
              <w:rPr>
                <w:b/>
              </w:rPr>
            </w:pPr>
          </w:p>
        </w:tc>
      </w:tr>
      <w:tr w:rsidR="00DD3EFA" w:rsidRPr="005A0E7C" w14:paraId="46251A91" w14:textId="77777777" w:rsidTr="00B15ECB">
        <w:trPr>
          <w:trHeight w:val="180"/>
        </w:trPr>
        <w:tc>
          <w:tcPr>
            <w:tcW w:w="249" w:type="dxa"/>
            <w:tcBorders>
              <w:top w:val="nil"/>
              <w:bottom w:val="nil"/>
              <w:right w:val="nil"/>
            </w:tcBorders>
            <w:shd w:val="clear" w:color="auto" w:fill="66CCFF"/>
          </w:tcPr>
          <w:p w14:paraId="2B8F25A2" w14:textId="77777777" w:rsidR="00DD3EFA" w:rsidRPr="005A0E7C" w:rsidRDefault="00DD3EFA" w:rsidP="00B15ECB">
            <w:pPr>
              <w:rPr>
                <w:b/>
              </w:rPr>
            </w:pPr>
          </w:p>
        </w:tc>
        <w:tc>
          <w:tcPr>
            <w:tcW w:w="2548" w:type="dxa"/>
            <w:tcBorders>
              <w:left w:val="nil"/>
              <w:right w:val="nil"/>
            </w:tcBorders>
            <w:shd w:val="clear" w:color="auto" w:fill="66CCFF"/>
          </w:tcPr>
          <w:p w14:paraId="2DA38B2C" w14:textId="77777777" w:rsidR="00DD3EFA" w:rsidRPr="005A0E7C" w:rsidRDefault="00DD3EFA" w:rsidP="00B15ECB">
            <w:pPr>
              <w:rPr>
                <w:b/>
              </w:rPr>
            </w:pPr>
          </w:p>
        </w:tc>
        <w:tc>
          <w:tcPr>
            <w:tcW w:w="5978" w:type="dxa"/>
            <w:tcBorders>
              <w:left w:val="nil"/>
              <w:right w:val="nil"/>
            </w:tcBorders>
            <w:shd w:val="clear" w:color="auto" w:fill="66CCFF"/>
          </w:tcPr>
          <w:p w14:paraId="761EF039" w14:textId="77777777" w:rsidR="00DD3EFA" w:rsidRPr="005A0E7C" w:rsidRDefault="00DD3EFA" w:rsidP="00B15ECB">
            <w:pPr>
              <w:rPr>
                <w:b/>
              </w:rPr>
            </w:pPr>
          </w:p>
        </w:tc>
        <w:tc>
          <w:tcPr>
            <w:tcW w:w="249" w:type="dxa"/>
            <w:tcBorders>
              <w:top w:val="nil"/>
              <w:left w:val="nil"/>
              <w:bottom w:val="nil"/>
            </w:tcBorders>
            <w:shd w:val="clear" w:color="auto" w:fill="66CCFF"/>
          </w:tcPr>
          <w:p w14:paraId="1BF2A15D" w14:textId="77777777" w:rsidR="00DD3EFA" w:rsidRPr="005A0E7C" w:rsidRDefault="00DD3EFA" w:rsidP="00B15ECB">
            <w:pPr>
              <w:rPr>
                <w:b/>
              </w:rPr>
            </w:pPr>
          </w:p>
        </w:tc>
      </w:tr>
      <w:tr w:rsidR="00DD3EFA" w:rsidRPr="005A0E7C" w14:paraId="0835B663" w14:textId="77777777" w:rsidTr="00B15ECB">
        <w:trPr>
          <w:trHeight w:val="892"/>
        </w:trPr>
        <w:tc>
          <w:tcPr>
            <w:tcW w:w="249" w:type="dxa"/>
            <w:tcBorders>
              <w:top w:val="nil"/>
              <w:bottom w:val="nil"/>
            </w:tcBorders>
            <w:shd w:val="clear" w:color="auto" w:fill="66CCFF"/>
          </w:tcPr>
          <w:p w14:paraId="187905D8" w14:textId="77777777" w:rsidR="00DD3EFA" w:rsidRPr="005A0E7C" w:rsidRDefault="00DD3EFA" w:rsidP="00B15ECB">
            <w:pPr>
              <w:rPr>
                <w:b/>
              </w:rPr>
            </w:pPr>
          </w:p>
        </w:tc>
        <w:tc>
          <w:tcPr>
            <w:tcW w:w="2548" w:type="dxa"/>
            <w:shd w:val="clear" w:color="auto" w:fill="FFFFFF" w:themeFill="background1"/>
          </w:tcPr>
          <w:p w14:paraId="75E1E8C9"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76AC657F"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Obecným cílem je podpořit transformaci českých podniků v souladu se světovými trendy a přispět tak ke zvýšení jejich produktivity.</w:t>
            </w:r>
          </w:p>
          <w:p w14:paraId="4EBEAA5A" w14:textId="77777777" w:rsidR="00DD3EFA" w:rsidRPr="005A0E7C" w:rsidRDefault="00DD3EFA" w:rsidP="00B15ECB">
            <w:pPr>
              <w:spacing w:before="60" w:after="60"/>
              <w:rPr>
                <w:rFonts w:eastAsiaTheme="majorEastAsia"/>
                <w:i/>
              </w:rPr>
            </w:pPr>
          </w:p>
          <w:p w14:paraId="039A2A39" w14:textId="77777777" w:rsidR="00DD3EFA" w:rsidRPr="005A0E7C" w:rsidRDefault="00DD3EFA" w:rsidP="00B15ECB">
            <w:r w:rsidRPr="005A0E7C">
              <w:t>Jedná se o následující prvky rozvoje digitální ekonomiky a Průmyslu 4.0:</w:t>
            </w:r>
          </w:p>
          <w:p w14:paraId="4C5272EC" w14:textId="77777777" w:rsidR="00DD3EFA" w:rsidRPr="005A0E7C" w:rsidRDefault="00DD3EFA" w:rsidP="00B15ECB"/>
          <w:p w14:paraId="120F93A4" w14:textId="77777777" w:rsidR="00DD3EFA" w:rsidRPr="005A0E7C" w:rsidRDefault="00DD3EFA" w:rsidP="00391907">
            <w:pPr>
              <w:pStyle w:val="slovanodstavec"/>
              <w:numPr>
                <w:ilvl w:val="0"/>
                <w:numId w:val="91"/>
              </w:numPr>
              <w:tabs>
                <w:tab w:val="clear" w:pos="567"/>
                <w:tab w:val="left" w:pos="284"/>
              </w:tabs>
              <w:suppressAutoHyphens/>
              <w:spacing w:after="0" w:line="240" w:lineRule="auto"/>
              <w:rPr>
                <w:rFonts w:ascii="Times New Roman" w:hAnsi="Times New Roman"/>
              </w:rPr>
            </w:pPr>
            <w:r w:rsidRPr="005A0E7C">
              <w:rPr>
                <w:rFonts w:ascii="Times New Roman" w:hAnsi="Times New Roman"/>
              </w:rPr>
              <w:t>Zvýšit možnosti využití internetu</w:t>
            </w:r>
          </w:p>
          <w:p w14:paraId="7A9FAE20" w14:textId="77777777" w:rsidR="00DD3EFA" w:rsidRPr="005A0E7C" w:rsidRDefault="00DD3EFA" w:rsidP="00391907">
            <w:pPr>
              <w:pStyle w:val="slovanodstavec"/>
              <w:numPr>
                <w:ilvl w:val="0"/>
                <w:numId w:val="91"/>
              </w:numPr>
              <w:tabs>
                <w:tab w:val="clear" w:pos="567"/>
                <w:tab w:val="left" w:pos="284"/>
              </w:tabs>
              <w:suppressAutoHyphens/>
              <w:spacing w:after="0" w:line="240" w:lineRule="auto"/>
              <w:rPr>
                <w:rFonts w:ascii="Times New Roman" w:hAnsi="Times New Roman"/>
              </w:rPr>
            </w:pPr>
            <w:r w:rsidRPr="005A0E7C">
              <w:rPr>
                <w:rFonts w:ascii="Times New Roman" w:hAnsi="Times New Roman"/>
              </w:rPr>
              <w:t>Zavést kvalitní a spolehlivý vysokorychlostní a velkokapacitní přístup k internetu tam, kde doposud není k dispozici</w:t>
            </w:r>
          </w:p>
          <w:p w14:paraId="5AE800A1" w14:textId="77777777" w:rsidR="00DD3EFA" w:rsidRPr="005A0E7C" w:rsidRDefault="00DD3EFA" w:rsidP="00391907">
            <w:pPr>
              <w:pStyle w:val="slovanodstavec"/>
              <w:numPr>
                <w:ilvl w:val="0"/>
                <w:numId w:val="91"/>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Podpořit budování infrastruktury pro technologie </w:t>
            </w:r>
            <w:r w:rsidRPr="005A0E7C">
              <w:rPr>
                <w:rFonts w:ascii="Times New Roman" w:hAnsi="Times New Roman"/>
                <w:b/>
              </w:rPr>
              <w:t>umělé inteligence</w:t>
            </w:r>
          </w:p>
          <w:p w14:paraId="116CF5D6" w14:textId="77777777" w:rsidR="00DD3EFA" w:rsidRPr="005A0E7C" w:rsidRDefault="00DD3EFA" w:rsidP="00391907">
            <w:pPr>
              <w:pStyle w:val="slovanodstavec"/>
              <w:numPr>
                <w:ilvl w:val="0"/>
                <w:numId w:val="91"/>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Podpořit budování a propojování sítě </w:t>
            </w:r>
            <w:r w:rsidRPr="005A0E7C">
              <w:rPr>
                <w:rFonts w:ascii="Times New Roman" w:hAnsi="Times New Roman"/>
                <w:b/>
              </w:rPr>
              <w:t>Digital Innovation Hubs</w:t>
            </w:r>
          </w:p>
          <w:p w14:paraId="1C1FC1F3" w14:textId="77777777" w:rsidR="00DD3EFA" w:rsidRPr="005A0E7C" w:rsidRDefault="00DD3EFA" w:rsidP="00391907">
            <w:pPr>
              <w:pStyle w:val="slovanodstavec"/>
              <w:numPr>
                <w:ilvl w:val="0"/>
                <w:numId w:val="91"/>
              </w:numPr>
              <w:tabs>
                <w:tab w:val="clear" w:pos="567"/>
                <w:tab w:val="left" w:pos="284"/>
              </w:tabs>
              <w:suppressAutoHyphens/>
              <w:spacing w:after="0" w:line="240" w:lineRule="auto"/>
              <w:rPr>
                <w:rFonts w:ascii="Times New Roman" w:hAnsi="Times New Roman"/>
              </w:rPr>
            </w:pPr>
            <w:r w:rsidRPr="005A0E7C">
              <w:rPr>
                <w:rFonts w:ascii="Times New Roman" w:hAnsi="Times New Roman"/>
              </w:rPr>
              <w:t>Podpořit budování Infrastruktury pro technologie vysoce výkonných počítačů (</w:t>
            </w:r>
            <w:r w:rsidRPr="005A0E7C">
              <w:rPr>
                <w:rFonts w:ascii="Times New Roman" w:hAnsi="Times New Roman"/>
                <w:b/>
              </w:rPr>
              <w:t>HPC</w:t>
            </w:r>
            <w:r w:rsidRPr="005A0E7C">
              <w:rPr>
                <w:rFonts w:ascii="Times New Roman" w:hAnsi="Times New Roman"/>
              </w:rPr>
              <w:t>)</w:t>
            </w:r>
          </w:p>
          <w:p w14:paraId="09604B64" w14:textId="77777777" w:rsidR="00DD3EFA" w:rsidRPr="005A0E7C" w:rsidRDefault="00DD3EFA" w:rsidP="00391907">
            <w:pPr>
              <w:pStyle w:val="slovanodstavec"/>
              <w:numPr>
                <w:ilvl w:val="0"/>
                <w:numId w:val="91"/>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Podpořit technologie </w:t>
            </w:r>
            <w:r w:rsidRPr="005A0E7C">
              <w:rPr>
                <w:rFonts w:ascii="Times New Roman" w:hAnsi="Times New Roman"/>
                <w:b/>
              </w:rPr>
              <w:t>Blockchain</w:t>
            </w:r>
            <w:r w:rsidRPr="005A0E7C">
              <w:rPr>
                <w:rFonts w:ascii="Times New Roman" w:hAnsi="Times New Roman"/>
              </w:rPr>
              <w:t xml:space="preserve"> pro rozvoj ekonomiky </w:t>
            </w:r>
          </w:p>
          <w:p w14:paraId="4E38F313" w14:textId="77777777" w:rsidR="00DD3EFA" w:rsidRPr="005A0E7C" w:rsidRDefault="00DD3EFA" w:rsidP="00391907">
            <w:pPr>
              <w:pStyle w:val="slovanodstavec"/>
              <w:numPr>
                <w:ilvl w:val="0"/>
                <w:numId w:val="91"/>
              </w:numPr>
              <w:tabs>
                <w:tab w:val="clear" w:pos="567"/>
                <w:tab w:val="left" w:pos="284"/>
              </w:tabs>
              <w:suppressAutoHyphens/>
              <w:spacing w:after="0" w:line="240" w:lineRule="auto"/>
              <w:rPr>
                <w:rFonts w:ascii="Times New Roman" w:hAnsi="Times New Roman"/>
              </w:rPr>
            </w:pPr>
            <w:r w:rsidRPr="005A0E7C">
              <w:rPr>
                <w:rFonts w:ascii="Times New Roman" w:hAnsi="Times New Roman"/>
              </w:rPr>
              <w:t>Připravit české podniky znalostně a finančně na digitální ekonomiku P 4.0</w:t>
            </w:r>
            <w:r w:rsidRPr="005A0E7C" w:rsidDel="00BA27C0">
              <w:rPr>
                <w:rFonts w:ascii="Times New Roman" w:hAnsi="Times New Roman"/>
              </w:rPr>
              <w:t xml:space="preserve"> </w:t>
            </w:r>
          </w:p>
        </w:tc>
        <w:tc>
          <w:tcPr>
            <w:tcW w:w="249" w:type="dxa"/>
            <w:tcBorders>
              <w:top w:val="nil"/>
              <w:bottom w:val="nil"/>
            </w:tcBorders>
            <w:shd w:val="clear" w:color="auto" w:fill="66CCFF"/>
          </w:tcPr>
          <w:p w14:paraId="79D1FF22" w14:textId="77777777" w:rsidR="00DD3EFA" w:rsidRPr="005A0E7C" w:rsidRDefault="00DD3EFA" w:rsidP="00B15ECB">
            <w:pPr>
              <w:rPr>
                <w:b/>
              </w:rPr>
            </w:pPr>
          </w:p>
        </w:tc>
      </w:tr>
      <w:tr w:rsidR="00DD3EFA" w:rsidRPr="005A0E7C" w14:paraId="7F0F6587" w14:textId="77777777" w:rsidTr="00B15ECB">
        <w:trPr>
          <w:trHeight w:val="46"/>
        </w:trPr>
        <w:tc>
          <w:tcPr>
            <w:tcW w:w="249" w:type="dxa"/>
            <w:tcBorders>
              <w:top w:val="nil"/>
              <w:bottom w:val="nil"/>
              <w:right w:val="nil"/>
            </w:tcBorders>
            <w:shd w:val="clear" w:color="auto" w:fill="66CCFF"/>
          </w:tcPr>
          <w:p w14:paraId="0FA2B156"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6F79DAA6"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30C60B2A" w14:textId="77777777" w:rsidR="00DD3EFA" w:rsidRPr="005A0E7C" w:rsidRDefault="00DD3EFA" w:rsidP="00B15ECB">
            <w:pPr>
              <w:rPr>
                <w:b/>
              </w:rPr>
            </w:pPr>
          </w:p>
        </w:tc>
        <w:tc>
          <w:tcPr>
            <w:tcW w:w="249" w:type="dxa"/>
            <w:tcBorders>
              <w:top w:val="nil"/>
              <w:left w:val="nil"/>
              <w:bottom w:val="nil"/>
            </w:tcBorders>
            <w:shd w:val="clear" w:color="auto" w:fill="66CCFF"/>
          </w:tcPr>
          <w:p w14:paraId="38A723A6" w14:textId="77777777" w:rsidR="00DD3EFA" w:rsidRPr="005A0E7C" w:rsidRDefault="00DD3EFA" w:rsidP="00B15ECB">
            <w:pPr>
              <w:rPr>
                <w:b/>
              </w:rPr>
            </w:pPr>
          </w:p>
        </w:tc>
      </w:tr>
      <w:tr w:rsidR="00DD3EFA" w:rsidRPr="005A0E7C" w14:paraId="6E286AF9" w14:textId="77777777" w:rsidTr="00B15ECB">
        <w:trPr>
          <w:trHeight w:val="1274"/>
        </w:trPr>
        <w:tc>
          <w:tcPr>
            <w:tcW w:w="249" w:type="dxa"/>
            <w:tcBorders>
              <w:top w:val="nil"/>
              <w:bottom w:val="nil"/>
            </w:tcBorders>
            <w:shd w:val="clear" w:color="auto" w:fill="66CCFF"/>
          </w:tcPr>
          <w:p w14:paraId="0CB6DE2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E7596F2"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602CA9C3" w14:textId="77777777" w:rsidR="00DD3EFA" w:rsidRPr="005A0E7C" w:rsidRDefault="00DD3EFA" w:rsidP="00B15ECB">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A0E7C">
              <w:rPr>
                <w:rFonts w:cs="Times New Roman"/>
              </w:rPr>
              <w:t>Nové technologie v interakci s člověkem i mezi sebou představují výzvu na globální i národní úrovni. Cílem českého průmyslu – na úrovni podniků i vlády – by měla být schopnost a připravenost flexibilně reagovat na rychle se měnící prostředí s ohledem na správné pochopení nových a rozvíjejících se technologií a jejich potenciálu pro společnost. Jak ve velkých korporacích, ale i v malých a středně velkých firmách nebo nově vznikajících společnostech bude třeba rychle reagovat na změny související s digitální ekonomikou včetně dalších jejích aspektů, jako je digitalizace stavebnictví, start-upy nebo technologické spin-offy a s Průmyslem 4.0. Pro tyto firmy může být digitální ekonomika a Průmysl 4.0 příležitostí pro objevení nových metod a postupů podporujících implementaci nových technologií do reality. Zde je nutné podpořit zejména interdisciplinární přístup a sdílení znalostí a zkušeností mezi všemi aktéry (velké podniky, MSP a výzkumné organizace). I když nutným předpokladem zůstává používání relevantních technologických nástrojů (hardware a software) na odpovídající úrovni, důležitá je změna v myšlení a ochota rozvinout znalostní podnikání. K tomu by měla být zaměřená podpora tak, aby kvalitní poradenskou činností byli podnikatelé dostatečně motivováni, a zázemí k tomu, aby si mohli znalostně náročné procesy podnikatelé kde otestovat. Významnou roli zde můžou sehrát otevřené vědecké a technologické platformy, specializované laboratoře (například Fablaboratoře, TechShopy) a takzvané TestBedy (testovací platformy pro experimentální a výzkumné účely, které se skládají z reálného hardware a podléhají fyzikálním vlivů okolí), otevřené inovace, aplikovaný a mezioborový výzkum.</w:t>
            </w:r>
          </w:p>
          <w:p w14:paraId="2C79949A"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Průmysl 4.0 je velmi komplexní a interdisciplinární téma. Kromě pochopení podstaty nových či průlomových technologií bude důležitá schopnost kreativně je kombinovat se znalostmi v oblasti humanitních věd, vnímat je v širším kontextu sociálních a ekonomických souvislostí. Použití průmyslových aplikací a nových technologií nebude omezeno pouze na konkrétní odvětví nebo na výrobu, bude se prolínat širokým spektrem procesů, vztahů, produktů a služeb. </w:t>
            </w:r>
          </w:p>
          <w:p w14:paraId="4F46ADF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Digitální ekonomika a Průmysl 4.0 je specifický ve vztahu k současnému fungování většiny firem v ČR. Vzhledem k nákladným řešením a vysokým nárokům na kvalifikaci pracovních sil je nutné připravit české firmy na kvalitativní posun v produkci a vypořádání se s následky zavádění průlomových technologií a s tím spjatých nároků na restrukturalizaci firem a potažmo celé ekonomiky. Předpokladem k tomu je podstatné zvýšení produktivity práce a tvorby HDP.</w:t>
            </w:r>
          </w:p>
          <w:p w14:paraId="658CA449"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highlight w:val="darkGray"/>
              </w:rPr>
            </w:pPr>
            <w:r w:rsidRPr="005A0E7C">
              <w:rPr>
                <w:rFonts w:ascii="Times New Roman" w:hAnsi="Times New Roman"/>
              </w:rPr>
              <w:t xml:space="preserve">Naplnění výše uvedených cílů není možno dosáhnout bez rychlého, kvalitního a spolehlivého datového připojení zejména k síti internet. Cíl zajištění vysokorychlostního a vysokokapacitního přístupu k  internetu musí tedy mít nejvyšší prioritu. </w:t>
            </w:r>
          </w:p>
          <w:p w14:paraId="5F87704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Užití nových a inovovaných služeb povede ke zvýšeným požadavkům na přenosové kapacity telekomunkačních sítí. Proto je nezbytné zajistit kvalitní a spolehlivou infrastrukturu vysokorychlostních sítí s dostatečnou kapacitou a s možností jejího navyšování nejen pro podniky, ale také pro socioekonomické partnery.  Bez přístupu k dostatečně kvalitní infrastruktuře nebude možné dostáhnout úplné a úspěšné digitální transformace.</w:t>
            </w:r>
          </w:p>
        </w:tc>
        <w:tc>
          <w:tcPr>
            <w:tcW w:w="249" w:type="dxa"/>
            <w:tcBorders>
              <w:top w:val="nil"/>
              <w:bottom w:val="nil"/>
            </w:tcBorders>
            <w:shd w:val="clear" w:color="auto" w:fill="66CCFF"/>
          </w:tcPr>
          <w:p w14:paraId="69EAC22F" w14:textId="77777777" w:rsidR="00DD3EFA" w:rsidRPr="005A0E7C" w:rsidRDefault="00DD3EFA" w:rsidP="00B15ECB">
            <w:pPr>
              <w:rPr>
                <w:b/>
              </w:rPr>
            </w:pPr>
          </w:p>
        </w:tc>
      </w:tr>
      <w:tr w:rsidR="00DD3EFA" w:rsidRPr="005A0E7C" w14:paraId="3442A14D" w14:textId="77777777" w:rsidTr="00B15ECB">
        <w:trPr>
          <w:trHeight w:val="1274"/>
        </w:trPr>
        <w:tc>
          <w:tcPr>
            <w:tcW w:w="249" w:type="dxa"/>
            <w:tcBorders>
              <w:top w:val="nil"/>
              <w:bottom w:val="nil"/>
            </w:tcBorders>
            <w:shd w:val="clear" w:color="auto" w:fill="66CCFF"/>
          </w:tcPr>
          <w:p w14:paraId="1F9CD3D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E786D12"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4CFD36B0" w14:textId="77777777" w:rsidR="00DD3EFA" w:rsidRPr="005A0E7C" w:rsidRDefault="00DD3EFA" w:rsidP="00B15ECB">
            <w:pPr>
              <w:spacing w:before="60" w:after="60"/>
              <w:rPr>
                <w:rFonts w:eastAsiaTheme="majorEastAsia"/>
              </w:rPr>
            </w:pPr>
            <w:r w:rsidRPr="005A0E7C">
              <w:rPr>
                <w:rFonts w:eastAsiaTheme="majorEastAsia"/>
              </w:rPr>
              <w:t xml:space="preserve">České průmyslové podniky jsou v rámci hodnotových řetězců propojeny mj. s německými firmami, u nichž nástup digitální ekonomiky a Průmyslu 4.0 již započal. Průmysl 4.0, či čtvrtá průmyslová revoluce, je jedním z megatrendů měnících svět. Nejen Německo, ale také státy jako USA, Japonsko a Čína a další podnikají konkrétní kroky k transformaci podnikatelského prostředí v souladu se čtvrtou průmyslovou revolucí. České firmy budou v rámci zvýšení své konkurenceschopnosti  a zachování dodavatelsko-odběratelských vztahů nuceny prvky digitální ekonomiky a Průmyslu 4.0 implementovat. Zavedení digitální ekonomiky a průmyslu 4.0 může navíc výrazně připět k řešení nedostatku pracovních sil v profesích spojených s rutinními činnostmi. </w:t>
            </w:r>
          </w:p>
          <w:p w14:paraId="2927CE0A" w14:textId="77777777" w:rsidR="00DD3EFA" w:rsidRPr="005A0E7C" w:rsidRDefault="00DD3EFA" w:rsidP="00B15ECB">
            <w:pPr>
              <w:spacing w:before="60" w:after="60"/>
              <w:rPr>
                <w:rFonts w:eastAsiaTheme="majorEastAsia"/>
              </w:rPr>
            </w:pPr>
            <w:r w:rsidRPr="005A0E7C">
              <w:rPr>
                <w:rFonts w:eastAsiaTheme="majorEastAsia"/>
              </w:rPr>
              <w:t>Pro zavádění Průmyslu 4.0, ale také celkově rozvoji digitální ekonomiky, je v rámci udržení či zvýšení konkurenceschopnosti nutným předpokladem užití služeb poskytovaných na prostředí kvalitního a spolehlivého vysokorychlostního přístupu k internetu, který je nezbytné zajistit firmám (podnikatelům), obcím, občanům (veřejnosti, zákazníkům) a dalším socioekonomickým partnerům.</w:t>
            </w:r>
          </w:p>
          <w:p w14:paraId="77180FC6" w14:textId="77777777" w:rsidR="00DD3EFA" w:rsidRPr="005A0E7C" w:rsidRDefault="00DD3EFA" w:rsidP="00B15ECB">
            <w:pPr>
              <w:spacing w:before="60" w:after="60"/>
              <w:rPr>
                <w:lang w:eastAsia="cs-CZ"/>
              </w:rPr>
            </w:pPr>
            <w:r w:rsidRPr="005A0E7C">
              <w:rPr>
                <w:lang w:eastAsia="cs-CZ"/>
              </w:rPr>
              <w:t>Tento specifický cíl bude řešit zejména tyto problémy:</w:t>
            </w:r>
          </w:p>
          <w:p w14:paraId="71221D55" w14:textId="77777777" w:rsidR="00DD3EFA" w:rsidRPr="005A0E7C" w:rsidRDefault="00DD3EFA" w:rsidP="00B15ECB">
            <w:pPr>
              <w:spacing w:before="60" w:after="60"/>
              <w:rPr>
                <w:lang w:eastAsia="cs-CZ"/>
              </w:rPr>
            </w:pPr>
            <w:r w:rsidRPr="005A0E7C">
              <w:rPr>
                <w:lang w:eastAsia="cs-CZ"/>
              </w:rPr>
              <w:t>Zvýšení dostupnosti vysokokapacitních sítí elektronických komunikací podporou jejich výstavby tam, kde bude identifikováno tržní selhání,</w:t>
            </w:r>
          </w:p>
          <w:p w14:paraId="44CC3034" w14:textId="77777777" w:rsidR="00DD3EFA" w:rsidRPr="005A0E7C" w:rsidRDefault="00DD3EFA" w:rsidP="00B15ECB">
            <w:pPr>
              <w:spacing w:before="60" w:after="60"/>
              <w:rPr>
                <w:lang w:eastAsia="cs-CZ"/>
              </w:rPr>
            </w:pPr>
            <w:r w:rsidRPr="005A0E7C">
              <w:rPr>
                <w:lang w:eastAsia="cs-CZ"/>
              </w:rPr>
              <w:t>Zvýšení užití služeb dostupných prostřednictvím kvalitních a spolehlivých vysokorychlostních sítí přístupu k internetu.</w:t>
            </w:r>
          </w:p>
          <w:p w14:paraId="68620B23" w14:textId="77777777" w:rsidR="00DD3EFA" w:rsidRPr="005A0E7C" w:rsidRDefault="00DD3EFA" w:rsidP="00B15ECB">
            <w:pPr>
              <w:spacing w:before="60" w:after="60"/>
              <w:rPr>
                <w:lang w:eastAsia="cs-CZ"/>
              </w:rPr>
            </w:pPr>
            <w:r w:rsidRPr="005A0E7C">
              <w:rPr>
                <w:lang w:eastAsia="cs-CZ"/>
              </w:rPr>
              <w:t>Podpora podniků v rámci digitální transformace a uplatňování zavadění průmyslu 4.0</w:t>
            </w:r>
          </w:p>
          <w:p w14:paraId="14522C2A" w14:textId="77777777" w:rsidR="00DD3EFA" w:rsidRPr="005A0E7C" w:rsidRDefault="00DD3EFA" w:rsidP="00B15ECB">
            <w:pPr>
              <w:spacing w:before="60" w:after="60"/>
              <w:rPr>
                <w:i/>
                <w:u w:val="single"/>
                <w:lang w:eastAsia="cs-CZ"/>
              </w:rPr>
            </w:pPr>
          </w:p>
        </w:tc>
        <w:tc>
          <w:tcPr>
            <w:tcW w:w="249" w:type="dxa"/>
            <w:tcBorders>
              <w:top w:val="nil"/>
              <w:bottom w:val="nil"/>
            </w:tcBorders>
            <w:shd w:val="clear" w:color="auto" w:fill="66CCFF"/>
          </w:tcPr>
          <w:p w14:paraId="2F74F0B2" w14:textId="77777777" w:rsidR="00DD3EFA" w:rsidRPr="005A0E7C" w:rsidRDefault="00DD3EFA" w:rsidP="00B15ECB">
            <w:pPr>
              <w:rPr>
                <w:b/>
              </w:rPr>
            </w:pPr>
          </w:p>
        </w:tc>
      </w:tr>
      <w:tr w:rsidR="00DD3EFA" w:rsidRPr="005A0E7C" w14:paraId="0B4A7595" w14:textId="77777777" w:rsidTr="00B15ECB">
        <w:trPr>
          <w:trHeight w:val="1274"/>
        </w:trPr>
        <w:tc>
          <w:tcPr>
            <w:tcW w:w="249" w:type="dxa"/>
            <w:tcBorders>
              <w:top w:val="nil"/>
              <w:bottom w:val="nil"/>
            </w:tcBorders>
            <w:shd w:val="clear" w:color="auto" w:fill="66CCFF"/>
          </w:tcPr>
          <w:p w14:paraId="7B32C92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65B061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4D05EAE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710DF54"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Obecným cílem je zajistit podmínky pro transformaci českých podniků v souladu se světovými trendy digitalizace a přispět tak ke zvýšení jejich produktivity využitím inovací.</w:t>
            </w:r>
          </w:p>
          <w:p w14:paraId="5D5483B0"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eastAsiaTheme="majorEastAsia" w:hAnsi="Times New Roman"/>
              </w:rPr>
              <w:t>Cílem navrhovaných aktivit v tomto specifickém cíli NKR rozvoje digitální ekonomiky a Průmyslu 4.0 je:</w:t>
            </w:r>
          </w:p>
          <w:p w14:paraId="0E4CDF9E" w14:textId="77777777" w:rsidR="00DD3EFA" w:rsidRPr="005A0E7C" w:rsidRDefault="00DD3EFA" w:rsidP="00391907">
            <w:pPr>
              <w:pStyle w:val="slovanodstavec"/>
              <w:numPr>
                <w:ilvl w:val="0"/>
                <w:numId w:val="88"/>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vybudování infrastruktury pro technologie </w:t>
            </w:r>
            <w:r w:rsidRPr="005A0E7C">
              <w:rPr>
                <w:rFonts w:ascii="Times New Roman" w:hAnsi="Times New Roman"/>
                <w:b/>
              </w:rPr>
              <w:t>umělé inteligence</w:t>
            </w:r>
            <w:r w:rsidRPr="005A0E7C">
              <w:rPr>
                <w:rFonts w:ascii="Times New Roman" w:hAnsi="Times New Roman"/>
              </w:rPr>
              <w:t xml:space="preserve"> – zavádění prvků, systémů a disruptivních (převratných) inovací do podnikatelského sektoru.  </w:t>
            </w:r>
          </w:p>
          <w:p w14:paraId="362B5A5C" w14:textId="77777777" w:rsidR="00DD3EFA" w:rsidRPr="005A0E7C" w:rsidRDefault="00DD3EFA" w:rsidP="00391907">
            <w:pPr>
              <w:pStyle w:val="slovanodstavec"/>
              <w:numPr>
                <w:ilvl w:val="0"/>
                <w:numId w:val="88"/>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vybudování a propojování sítě </w:t>
            </w:r>
            <w:r w:rsidRPr="005A0E7C">
              <w:rPr>
                <w:rFonts w:ascii="Times New Roman" w:hAnsi="Times New Roman"/>
                <w:b/>
              </w:rPr>
              <w:t>Digital Innovation Hubs</w:t>
            </w:r>
            <w:r w:rsidRPr="005A0E7C">
              <w:rPr>
                <w:rFonts w:ascii="Times New Roman" w:hAnsi="Times New Roman"/>
              </w:rPr>
              <w:t xml:space="preserve"> a využívání jejich služeb podniky.</w:t>
            </w:r>
          </w:p>
          <w:p w14:paraId="38364A79" w14:textId="77777777" w:rsidR="00DD3EFA" w:rsidRPr="005A0E7C" w:rsidRDefault="00DD3EFA" w:rsidP="00391907">
            <w:pPr>
              <w:pStyle w:val="slovanodstavec"/>
              <w:numPr>
                <w:ilvl w:val="0"/>
                <w:numId w:val="88"/>
              </w:numPr>
              <w:tabs>
                <w:tab w:val="clear" w:pos="567"/>
                <w:tab w:val="left" w:pos="284"/>
              </w:tabs>
              <w:suppressAutoHyphens/>
              <w:spacing w:after="0" w:line="240" w:lineRule="auto"/>
              <w:rPr>
                <w:rFonts w:ascii="Times New Roman" w:hAnsi="Times New Roman"/>
              </w:rPr>
            </w:pPr>
            <w:r w:rsidRPr="005A0E7C">
              <w:rPr>
                <w:rFonts w:ascii="Times New Roman" w:hAnsi="Times New Roman"/>
              </w:rPr>
              <w:t>vybudování, rozvoj a využívání unikátních technologií vysoce výkonných počítačů (</w:t>
            </w:r>
            <w:r w:rsidRPr="005A0E7C">
              <w:rPr>
                <w:rFonts w:ascii="Times New Roman" w:hAnsi="Times New Roman"/>
                <w:b/>
              </w:rPr>
              <w:t>HPC</w:t>
            </w:r>
            <w:r w:rsidRPr="005A0E7C">
              <w:rPr>
                <w:rFonts w:ascii="Times New Roman" w:hAnsi="Times New Roman"/>
              </w:rPr>
              <w:t>) v podnikání.</w:t>
            </w:r>
          </w:p>
          <w:p w14:paraId="15D3CFA3" w14:textId="77777777" w:rsidR="00DD3EFA" w:rsidRPr="005A0E7C" w:rsidRDefault="00DD3EFA" w:rsidP="00391907">
            <w:pPr>
              <w:pStyle w:val="slovanodstavec"/>
              <w:numPr>
                <w:ilvl w:val="0"/>
                <w:numId w:val="88"/>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využití technologie </w:t>
            </w:r>
            <w:r w:rsidRPr="005A0E7C">
              <w:rPr>
                <w:rFonts w:ascii="Times New Roman" w:hAnsi="Times New Roman"/>
                <w:b/>
              </w:rPr>
              <w:t>Blockchain</w:t>
            </w:r>
            <w:r w:rsidRPr="005A0E7C">
              <w:rPr>
                <w:rFonts w:ascii="Times New Roman" w:hAnsi="Times New Roman"/>
              </w:rPr>
              <w:t xml:space="preserve"> podnikatelskou sférou při rozvoji sdílené ekonomiky.</w:t>
            </w:r>
          </w:p>
          <w:p w14:paraId="79D16538" w14:textId="77777777" w:rsidR="00DD3EFA" w:rsidRPr="005A0E7C" w:rsidRDefault="00DD3EFA" w:rsidP="00391907">
            <w:pPr>
              <w:pStyle w:val="slovanodstavec"/>
              <w:numPr>
                <w:ilvl w:val="0"/>
                <w:numId w:val="88"/>
              </w:numPr>
              <w:tabs>
                <w:tab w:val="clear" w:pos="567"/>
                <w:tab w:val="left" w:pos="284"/>
              </w:tabs>
              <w:suppressAutoHyphens/>
              <w:spacing w:after="0" w:line="240" w:lineRule="auto"/>
              <w:rPr>
                <w:rFonts w:ascii="Times New Roman" w:hAnsi="Times New Roman"/>
              </w:rPr>
            </w:pPr>
            <w:r w:rsidRPr="005A0E7C">
              <w:rPr>
                <w:rFonts w:ascii="Times New Roman" w:hAnsi="Times New Roman"/>
              </w:rPr>
              <w:t>příprava tuzemských podniků na digitální ekonomiku a Průmysl 4.0</w:t>
            </w:r>
          </w:p>
          <w:p w14:paraId="712520B5" w14:textId="77777777" w:rsidR="00DD3EFA" w:rsidRPr="005A0E7C" w:rsidRDefault="00DD3EFA" w:rsidP="00391907">
            <w:pPr>
              <w:pStyle w:val="slovanodstavec"/>
              <w:numPr>
                <w:ilvl w:val="0"/>
                <w:numId w:val="88"/>
              </w:numPr>
              <w:tabs>
                <w:tab w:val="clear" w:pos="567"/>
                <w:tab w:val="left" w:pos="284"/>
              </w:tabs>
              <w:suppressAutoHyphens/>
              <w:spacing w:after="0" w:line="240" w:lineRule="auto"/>
              <w:rPr>
                <w:rFonts w:ascii="Times New Roman" w:hAnsi="Times New Roman"/>
              </w:rPr>
            </w:pPr>
            <w:r w:rsidRPr="005A0E7C">
              <w:rPr>
                <w:rFonts w:ascii="Times New Roman" w:hAnsi="Times New Roman"/>
              </w:rPr>
              <w:t>rozvoj digitální společnosti využívající nejmodernější technologie, produkty nebo aplikace.- Rozšiření přístupu a využívání vysokorychlostního internetu</w:t>
            </w:r>
            <w:r w:rsidRPr="005A0E7C">
              <w:rPr>
                <w:rFonts w:ascii="Times New Roman" w:eastAsiaTheme="majorEastAsia" w:hAnsi="Times New Roman"/>
              </w:rPr>
              <w:t>, tzn. aby všichni občané měli přístup k internetu v rámci sítí s velmi vysokou kapacitou.</w:t>
            </w:r>
          </w:p>
        </w:tc>
        <w:tc>
          <w:tcPr>
            <w:tcW w:w="249" w:type="dxa"/>
            <w:tcBorders>
              <w:top w:val="nil"/>
              <w:bottom w:val="nil"/>
            </w:tcBorders>
            <w:shd w:val="clear" w:color="auto" w:fill="66CCFF"/>
          </w:tcPr>
          <w:p w14:paraId="3864BA43" w14:textId="77777777" w:rsidR="00DD3EFA" w:rsidRPr="005A0E7C" w:rsidRDefault="00DD3EFA" w:rsidP="00B15ECB">
            <w:pPr>
              <w:rPr>
                <w:b/>
              </w:rPr>
            </w:pPr>
          </w:p>
        </w:tc>
      </w:tr>
      <w:tr w:rsidR="00DD3EFA" w:rsidRPr="005A0E7C" w14:paraId="017656EF" w14:textId="77777777" w:rsidTr="00B15ECB">
        <w:trPr>
          <w:trHeight w:val="1274"/>
        </w:trPr>
        <w:tc>
          <w:tcPr>
            <w:tcW w:w="249" w:type="dxa"/>
            <w:tcBorders>
              <w:top w:val="nil"/>
              <w:bottom w:val="nil"/>
            </w:tcBorders>
            <w:shd w:val="clear" w:color="auto" w:fill="66CCFF"/>
          </w:tcPr>
          <w:p w14:paraId="428D956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CA9FDDE"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307CF8E1"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Očekávané výsledky/dopady intervencí:</w:t>
            </w:r>
          </w:p>
          <w:p w14:paraId="4564914D"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3E270E57"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Nárůst počtu podniků využívajících umělou inteligenci.</w:t>
            </w:r>
          </w:p>
          <w:p w14:paraId="7B5DF180"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Změna základních ekonomických ukazatelů (přidaná hodnota, zisk, export) podpořených podniků s využitím kontrafaktuální analýzy; </w:t>
            </w:r>
          </w:p>
          <w:p w14:paraId="5E06A9CB"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Nárůst počtu podniků využívajících technologie 4.0 nebo 5.0.</w:t>
            </w:r>
          </w:p>
          <w:p w14:paraId="40ACB8F9"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Zvýšení přidané hodnoty podpořených podniků v důsledku využívání technologií AI.</w:t>
            </w:r>
          </w:p>
          <w:p w14:paraId="3D40F555"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Nárůst počtu odborných pracovníků VŠ zajišťujících v podpořených podnicích AI technologie. </w:t>
            </w:r>
          </w:p>
          <w:p w14:paraId="0010A5A9"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Nárůst počtu tuzemských </w:t>
            </w:r>
            <w:r w:rsidRPr="005A0E7C">
              <w:rPr>
                <w:rFonts w:ascii="Times New Roman" w:hAnsi="Times New Roman"/>
                <w:b/>
              </w:rPr>
              <w:t>Center pro digitální inovace</w:t>
            </w:r>
            <w:r w:rsidRPr="005A0E7C">
              <w:rPr>
                <w:rFonts w:ascii="Times New Roman" w:hAnsi="Times New Roman"/>
              </w:rPr>
              <w:t xml:space="preserve"> zapojených do evropské sítě </w:t>
            </w:r>
            <w:r w:rsidRPr="005A0E7C">
              <w:rPr>
                <w:rFonts w:ascii="Times New Roman" w:hAnsi="Times New Roman"/>
                <w:b/>
              </w:rPr>
              <w:t>Digital Innovation Hubs Network</w:t>
            </w:r>
            <w:r w:rsidRPr="005A0E7C">
              <w:rPr>
                <w:rFonts w:ascii="Times New Roman" w:hAnsi="Times New Roman"/>
              </w:rPr>
              <w:t xml:space="preserve"> </w:t>
            </w:r>
          </w:p>
          <w:p w14:paraId="19AFE777"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Nárůst počtu nových nebo inovovaných digitálních procesů ve výrobě nebo poskytování služeb a zavedení nových metod organizace firemních procesů při využití technologií vysoce výkonných počítačů (</w:t>
            </w:r>
            <w:r w:rsidRPr="005A0E7C">
              <w:rPr>
                <w:rFonts w:ascii="Times New Roman" w:hAnsi="Times New Roman"/>
                <w:b/>
              </w:rPr>
              <w:t>HPC</w:t>
            </w:r>
            <w:r w:rsidRPr="005A0E7C">
              <w:rPr>
                <w:rFonts w:ascii="Times New Roman" w:hAnsi="Times New Roman"/>
              </w:rPr>
              <w:t>).</w:t>
            </w:r>
          </w:p>
          <w:p w14:paraId="0C4F7403"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Nárůst tržeb z procesů a služeb využívajících technologie </w:t>
            </w:r>
            <w:r w:rsidRPr="005A0E7C">
              <w:rPr>
                <w:rFonts w:ascii="Times New Roman" w:hAnsi="Times New Roman"/>
                <w:b/>
              </w:rPr>
              <w:t>Blockchain</w:t>
            </w:r>
            <w:r w:rsidRPr="005A0E7C">
              <w:rPr>
                <w:rFonts w:ascii="Times New Roman" w:hAnsi="Times New Roman"/>
              </w:rPr>
              <w:t xml:space="preserve">; zvýšení počtu dodavatelsko-odběratelských vztahů a kanálů v rámci technologie Blockchain. </w:t>
            </w:r>
          </w:p>
          <w:p w14:paraId="5F224590" w14:textId="77777777" w:rsidR="00DD3EFA" w:rsidRPr="005A0E7C" w:rsidRDefault="00DD3EFA" w:rsidP="00391907">
            <w:pPr>
              <w:pStyle w:val="slovanodstavec"/>
              <w:numPr>
                <w:ilvl w:val="0"/>
                <w:numId w:val="89"/>
              </w:numPr>
              <w:tabs>
                <w:tab w:val="clear" w:pos="567"/>
                <w:tab w:val="left" w:pos="284"/>
              </w:tabs>
              <w:suppressAutoHyphens/>
              <w:spacing w:after="0" w:line="240" w:lineRule="auto"/>
              <w:rPr>
                <w:rFonts w:ascii="Times New Roman" w:hAnsi="Times New Roman"/>
              </w:rPr>
            </w:pPr>
            <w:r w:rsidRPr="005A0E7C">
              <w:rPr>
                <w:rFonts w:ascii="Times New Roman" w:hAnsi="Times New Roman"/>
              </w:rPr>
              <w:t>Nárůst počtu připojení k vysokorychlostnímu internetu.</w:t>
            </w:r>
          </w:p>
          <w:p w14:paraId="40D38EFB" w14:textId="77777777" w:rsidR="00DD3EFA" w:rsidRPr="005A0E7C" w:rsidRDefault="00DD3EFA" w:rsidP="00B15ECB">
            <w:pPr>
              <w:spacing w:before="60" w:after="60"/>
              <w:rPr>
                <w:rFonts w:eastAsiaTheme="majorEastAsia"/>
                <w:u w:val="single"/>
              </w:rPr>
            </w:pPr>
          </w:p>
        </w:tc>
        <w:tc>
          <w:tcPr>
            <w:tcW w:w="249" w:type="dxa"/>
            <w:tcBorders>
              <w:top w:val="nil"/>
              <w:bottom w:val="nil"/>
            </w:tcBorders>
            <w:shd w:val="clear" w:color="auto" w:fill="66CCFF"/>
          </w:tcPr>
          <w:p w14:paraId="0F210981" w14:textId="77777777" w:rsidR="00DD3EFA" w:rsidRPr="005A0E7C" w:rsidRDefault="00DD3EFA" w:rsidP="00B15ECB">
            <w:pPr>
              <w:rPr>
                <w:b/>
              </w:rPr>
            </w:pPr>
          </w:p>
        </w:tc>
      </w:tr>
      <w:tr w:rsidR="00DD3EFA" w:rsidRPr="005A0E7C" w14:paraId="1327F4DB" w14:textId="77777777" w:rsidTr="00B15ECB">
        <w:trPr>
          <w:trHeight w:val="1274"/>
        </w:trPr>
        <w:tc>
          <w:tcPr>
            <w:tcW w:w="249" w:type="dxa"/>
            <w:tcBorders>
              <w:top w:val="nil"/>
              <w:bottom w:val="nil"/>
            </w:tcBorders>
            <w:shd w:val="clear" w:color="auto" w:fill="66CCFF"/>
          </w:tcPr>
          <w:p w14:paraId="33F1C3B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CEE7330"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2C5DBC1" w14:textId="77777777" w:rsidR="00DD3EFA" w:rsidRPr="005A0E7C" w:rsidRDefault="00DD3EFA" w:rsidP="00B15ECB">
            <w:pPr>
              <w:spacing w:before="60" w:after="60"/>
              <w:rPr>
                <w:rFonts w:eastAsiaTheme="majorEastAsia"/>
                <w:i/>
                <w:u w:val="single"/>
              </w:rPr>
            </w:pPr>
            <w:r w:rsidRPr="005A0E7C">
              <w:t>Stanovení</w:t>
            </w:r>
            <w:r w:rsidRPr="005A0E7C">
              <w:rPr>
                <w:color w:val="000000" w:themeColor="text1"/>
              </w:rPr>
              <w:t xml:space="preserve"> předpokládaného podílu ESIF není možné v tuto chvíli detailněji kvantifikovat. L</w:t>
            </w:r>
            <w:r w:rsidRPr="005A0E7C">
              <w:rPr>
                <w:rFonts w:eastAsiaTheme="majorEastAsia"/>
                <w:color w:val="000000" w:themeColor="text1"/>
              </w:rPr>
              <w:t>ze však očekávat, že předpokládaný podíl ESIF na plnění tohoto specifického cíle bude poměrně významný</w:t>
            </w:r>
            <w:r w:rsidRPr="005A0E7C">
              <w:rPr>
                <w:color w:val="000000" w:themeColor="text1"/>
              </w:rPr>
              <w:t>, tzn. alespoň 50 %.</w:t>
            </w:r>
          </w:p>
        </w:tc>
        <w:tc>
          <w:tcPr>
            <w:tcW w:w="249" w:type="dxa"/>
            <w:tcBorders>
              <w:top w:val="nil"/>
              <w:bottom w:val="nil"/>
            </w:tcBorders>
            <w:shd w:val="clear" w:color="auto" w:fill="66CCFF"/>
          </w:tcPr>
          <w:p w14:paraId="3B8C5F11" w14:textId="77777777" w:rsidR="00DD3EFA" w:rsidRPr="005A0E7C" w:rsidRDefault="00DD3EFA" w:rsidP="00B15ECB">
            <w:pPr>
              <w:rPr>
                <w:b/>
              </w:rPr>
            </w:pPr>
          </w:p>
        </w:tc>
      </w:tr>
      <w:tr w:rsidR="00DD3EFA" w:rsidRPr="005A0E7C" w14:paraId="652630CB" w14:textId="77777777" w:rsidTr="00B15ECB">
        <w:trPr>
          <w:trHeight w:val="1274"/>
        </w:trPr>
        <w:tc>
          <w:tcPr>
            <w:tcW w:w="249" w:type="dxa"/>
            <w:tcBorders>
              <w:top w:val="nil"/>
              <w:bottom w:val="nil"/>
            </w:tcBorders>
            <w:shd w:val="clear" w:color="auto" w:fill="66CCFF"/>
          </w:tcPr>
          <w:p w14:paraId="7EE93BB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4A3CFBD"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2B6568CB" w14:textId="77777777" w:rsidR="00DD3EFA" w:rsidRPr="005A0E7C" w:rsidRDefault="00DD3EFA" w:rsidP="00B15ECB">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A0E7C">
              <w:rPr>
                <w:rFonts w:cs="Times New Roman"/>
              </w:rPr>
              <w:t xml:space="preserve">Nové technologie přinesou odstranění fyzicky namáhavé a rutinní práce a práce, která je životu nebezpečná, či její dlouhodobý výkon ohrožuje zdraví a způsobuje nemoci z povolání. Přinesou také možnost kvalitativního obohacení práce, jejího výkonu v zajímavějším pracovním prostředí, větší autonomii a více příležitostí pro profesní rozvoj a prostor pro inovativní myšlení. </w:t>
            </w:r>
          </w:p>
          <w:p w14:paraId="6C71F322" w14:textId="77777777" w:rsidR="00DD3EFA" w:rsidRPr="005A0E7C" w:rsidRDefault="00DD3EFA" w:rsidP="00B15ECB">
            <w:pPr>
              <w:spacing w:before="60" w:after="60"/>
            </w:pPr>
            <w:r w:rsidRPr="005A0E7C">
              <w:t>Novými technologiemi usnadněná přímá komunikace výrobců se zákazníky může mít zásadní vliv na fragmentaci hodnotového řetězce. Tím se mohou otevřít širší příležitosti pro malé firmy a rovněž vstup nových hráčů na trh může být snadnější. Umožní to také malým subjektům včetně jednotlivců se pracovně a podnikatelsky realizovat bez ohledu na lokalitu jejich bydliště. Budou tak moci profitovat na globální poptávce někdy i velmi úzce vymezených segmentů spotřebitelů. To vše za předpokladu dostatečně rozvinuté inovativnosti a znalostní podnikavosti domácích MSP a také jejich rostoucímu sebevědomí. MSP mohou (avšak do omezené míry a v určitých oblastech pouze ve spolupráci s velkými podniky) být flexibilnější a efektivnější v testování oblastí, které mohou být velkými podniky přehlíženy nebo jsou pro ně prozatím zákaznickými těžko využitelnými nikami a zároveň bude záležet na schopnosti MSP čelit rizikům, spojeným s přechodem na  nové technologie. Tento charakter práce klade nároky nejen na odborné znalosti ale i na podnikatelské a marketingové dovednosti.</w:t>
            </w:r>
          </w:p>
          <w:p w14:paraId="6A8952D0" w14:textId="77777777" w:rsidR="00DD3EFA" w:rsidRPr="005A0E7C" w:rsidRDefault="00DD3EFA" w:rsidP="00B15ECB">
            <w:pPr>
              <w:spacing w:before="60" w:after="60"/>
            </w:pPr>
          </w:p>
          <w:p w14:paraId="313AF252" w14:textId="77777777" w:rsidR="00DD3EFA" w:rsidRPr="005A0E7C" w:rsidRDefault="00DD3EFA" w:rsidP="00B15ECB">
            <w:pPr>
              <w:spacing w:before="60" w:after="60"/>
              <w:rPr>
                <w:rFonts w:eastAsiaTheme="majorEastAsia"/>
              </w:rPr>
            </w:pPr>
            <w:r w:rsidRPr="005A0E7C">
              <w:t>Celá orientace na digitální ekonomiku a P4.0 je zcela novou výzvou a na rozdíl od inovací, na které již byla zaměřena pozornost v minulém období, právě ve spojení inovací v návaznosti na připravenost (a potažmo konkurenceschopnost) příchodu digitální ekonomiky a Průmyslu 4.0 bude nutné zaměřit podporu v novém období. V kombinaci spolupráce MSP a velkých podniků dohromady s inovacemi může jít o zásadní posun.</w:t>
            </w:r>
          </w:p>
        </w:tc>
        <w:tc>
          <w:tcPr>
            <w:tcW w:w="249" w:type="dxa"/>
            <w:tcBorders>
              <w:top w:val="nil"/>
              <w:bottom w:val="nil"/>
            </w:tcBorders>
            <w:shd w:val="clear" w:color="auto" w:fill="66CCFF"/>
          </w:tcPr>
          <w:p w14:paraId="3D6EF7D3" w14:textId="77777777" w:rsidR="00DD3EFA" w:rsidRPr="005A0E7C" w:rsidRDefault="00DD3EFA" w:rsidP="00B15ECB">
            <w:pPr>
              <w:rPr>
                <w:b/>
              </w:rPr>
            </w:pPr>
          </w:p>
        </w:tc>
      </w:tr>
      <w:tr w:rsidR="00DD3EFA" w:rsidRPr="005A0E7C" w14:paraId="5ECCC005" w14:textId="77777777" w:rsidTr="00B15ECB">
        <w:trPr>
          <w:trHeight w:val="272"/>
        </w:trPr>
        <w:tc>
          <w:tcPr>
            <w:tcW w:w="249" w:type="dxa"/>
            <w:tcBorders>
              <w:top w:val="nil"/>
              <w:bottom w:val="nil"/>
              <w:right w:val="nil"/>
            </w:tcBorders>
            <w:shd w:val="clear" w:color="auto" w:fill="66CCFF"/>
          </w:tcPr>
          <w:p w14:paraId="052ABF1B"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3F21CB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A4565C4"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235DC149" w14:textId="77777777" w:rsidR="00DD3EFA" w:rsidRPr="005A0E7C" w:rsidRDefault="00DD3EFA" w:rsidP="00B15ECB">
            <w:pPr>
              <w:rPr>
                <w:b/>
              </w:rPr>
            </w:pPr>
          </w:p>
        </w:tc>
      </w:tr>
      <w:tr w:rsidR="00DD3EFA" w:rsidRPr="005A0E7C" w14:paraId="16154A34" w14:textId="77777777" w:rsidTr="00B15ECB">
        <w:trPr>
          <w:trHeight w:val="835"/>
        </w:trPr>
        <w:tc>
          <w:tcPr>
            <w:tcW w:w="249" w:type="dxa"/>
            <w:tcBorders>
              <w:top w:val="nil"/>
              <w:bottom w:val="nil"/>
            </w:tcBorders>
            <w:shd w:val="clear" w:color="auto" w:fill="66CCFF"/>
          </w:tcPr>
          <w:p w14:paraId="6FEF69FD"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4EC1F782"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024125F3"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18598816" w14:textId="77777777" w:rsidR="00DD3EFA" w:rsidRPr="005A0E7C" w:rsidRDefault="00DD3EFA" w:rsidP="00B15ECB">
            <w:pPr>
              <w:rPr>
                <w:u w:val="single"/>
              </w:rPr>
            </w:pPr>
            <w:r w:rsidRPr="005A0E7C">
              <w:rPr>
                <w:u w:val="single"/>
              </w:rPr>
              <w:t>Dosažení cílů bude realizováno následujícími způsoby:</w:t>
            </w:r>
          </w:p>
          <w:p w14:paraId="3DC67F4C" w14:textId="77777777" w:rsidR="00DD3EFA" w:rsidRPr="005A0E7C" w:rsidRDefault="00DD3EFA" w:rsidP="00391907">
            <w:pPr>
              <w:pStyle w:val="Odstavecseseznamem"/>
              <w:numPr>
                <w:ilvl w:val="0"/>
                <w:numId w:val="78"/>
              </w:numPr>
            </w:pPr>
            <w:r w:rsidRPr="005A0E7C">
              <w:t>podpora digitální konektivity (vč. vysokorychlostního internetu) a infrastruktury</w:t>
            </w:r>
          </w:p>
          <w:p w14:paraId="030E6626" w14:textId="77777777" w:rsidR="00DD3EFA" w:rsidRPr="005A0E7C" w:rsidRDefault="00DD3EFA" w:rsidP="00391907">
            <w:pPr>
              <w:pStyle w:val="Odstavecseseznamem"/>
              <w:numPr>
                <w:ilvl w:val="0"/>
                <w:numId w:val="78"/>
              </w:numPr>
            </w:pPr>
            <w:r w:rsidRPr="005A0E7C">
              <w:t>podpora užití digitální konektivity (vč.  služeb dostupných prostřednictvím vysokorychlostního internetu)osvětová kampaň pro digitální ekonomiku a P 4.0</w:t>
            </w:r>
          </w:p>
          <w:p w14:paraId="5A71639E" w14:textId="77777777" w:rsidR="00DD3EFA" w:rsidRPr="005A0E7C" w:rsidRDefault="00DD3EFA" w:rsidP="00391907">
            <w:pPr>
              <w:pStyle w:val="Odstavecseseznamem"/>
              <w:numPr>
                <w:ilvl w:val="0"/>
                <w:numId w:val="78"/>
              </w:numPr>
            </w:pPr>
            <w:r w:rsidRPr="005A0E7C">
              <w:t>výzkum, vývoj a ověřování průlomových technologií pro digitální ekonomiku a P 4.0</w:t>
            </w:r>
          </w:p>
          <w:p w14:paraId="4B079DDC" w14:textId="77777777" w:rsidR="00DD3EFA" w:rsidRPr="005A0E7C" w:rsidRDefault="00DD3EFA" w:rsidP="00391907">
            <w:pPr>
              <w:pStyle w:val="Odstavecseseznamem"/>
              <w:numPr>
                <w:ilvl w:val="0"/>
                <w:numId w:val="78"/>
              </w:numPr>
            </w:pPr>
            <w:r w:rsidRPr="005A0E7C">
              <w:t>podpora velkých demonstračních a replikačních aktivit, pilotních linek apod.</w:t>
            </w:r>
          </w:p>
          <w:p w14:paraId="7E3FDC42" w14:textId="77777777" w:rsidR="00DD3EFA" w:rsidRPr="005A0E7C" w:rsidRDefault="00DD3EFA" w:rsidP="00391907">
            <w:pPr>
              <w:pStyle w:val="Odstavecseseznamem"/>
              <w:numPr>
                <w:ilvl w:val="0"/>
                <w:numId w:val="78"/>
              </w:numPr>
            </w:pPr>
            <w:r w:rsidRPr="005A0E7C">
              <w:t>zajištění odborníků pro digitální ekonomiku a P 4.0 (přenastavení vzdělávacího systému, rekvalifikace a přeškolování zaměstnanců a podnikatelů)</w:t>
            </w:r>
          </w:p>
          <w:p w14:paraId="72F1B9EC" w14:textId="77777777" w:rsidR="00DD3EFA" w:rsidRPr="005A0E7C" w:rsidRDefault="00DD3EFA" w:rsidP="00391907">
            <w:pPr>
              <w:pStyle w:val="Odstavecseseznamem"/>
              <w:numPr>
                <w:ilvl w:val="0"/>
                <w:numId w:val="78"/>
              </w:numPr>
            </w:pPr>
            <w:r w:rsidRPr="005A0E7C">
              <w:t>nákup technologií 4.0 nebo 5.0 firmami</w:t>
            </w:r>
          </w:p>
          <w:p w14:paraId="3E768CF1" w14:textId="77777777" w:rsidR="00DD3EFA" w:rsidRPr="005A0E7C" w:rsidRDefault="00DD3EFA" w:rsidP="00391907">
            <w:pPr>
              <w:pStyle w:val="Odstavecseseznamem"/>
              <w:numPr>
                <w:ilvl w:val="0"/>
                <w:numId w:val="78"/>
              </w:numPr>
            </w:pPr>
            <w:r w:rsidRPr="005A0E7C">
              <w:t>zvýšení průmyslové úrovně provázáním výrobního, skladovacího a logistického odvětví</w:t>
            </w:r>
          </w:p>
          <w:p w14:paraId="6509DD47" w14:textId="77777777" w:rsidR="00DD3EFA" w:rsidRPr="005A0E7C" w:rsidRDefault="00DD3EFA" w:rsidP="00391907">
            <w:pPr>
              <w:pStyle w:val="Odstavecseseznamem"/>
              <w:numPr>
                <w:ilvl w:val="0"/>
                <w:numId w:val="78"/>
              </w:numPr>
            </w:pPr>
            <w:r w:rsidRPr="005A0E7C">
              <w:t>poradenské služby pro transformaci podnikání (nové obchodní modely, aplikace chytrých továren) včetně poskytování poradenských služeb pro MSP na místní a regionální úrovni</w:t>
            </w:r>
          </w:p>
          <w:p w14:paraId="467AE3EE" w14:textId="77777777" w:rsidR="00DD3EFA" w:rsidRPr="005A0E7C" w:rsidRDefault="00DD3EFA" w:rsidP="00391907">
            <w:pPr>
              <w:pStyle w:val="Odstavecseseznamem"/>
              <w:numPr>
                <w:ilvl w:val="0"/>
                <w:numId w:val="78"/>
              </w:numPr>
            </w:pPr>
            <w:r w:rsidRPr="005A0E7C">
              <w:t>podpůrná infrastruktura pro digitální ekonomiku a P 4.0 (kompetenční centra, platformy, digitální huby, datová centra) na bázi již existujících center a ústavů</w:t>
            </w:r>
          </w:p>
          <w:p w14:paraId="7386F3F4" w14:textId="77777777" w:rsidR="00DD3EFA" w:rsidRPr="005A0E7C" w:rsidRDefault="00DD3EFA" w:rsidP="00391907">
            <w:pPr>
              <w:pStyle w:val="Odstavecseseznamem"/>
              <w:numPr>
                <w:ilvl w:val="0"/>
                <w:numId w:val="78"/>
              </w:numPr>
            </w:pPr>
            <w:r w:rsidRPr="005A0E7C">
              <w:t>plnění standardizačních požadavků</w:t>
            </w:r>
          </w:p>
          <w:p w14:paraId="1B49D752" w14:textId="77777777" w:rsidR="00DD3EFA" w:rsidRPr="005A0E7C" w:rsidRDefault="00DD3EFA" w:rsidP="00391907">
            <w:pPr>
              <w:pStyle w:val="Odstavecseseznamem"/>
              <w:numPr>
                <w:ilvl w:val="0"/>
                <w:numId w:val="78"/>
              </w:numPr>
            </w:pPr>
            <w:r w:rsidRPr="005A0E7C">
              <w:t>podpora využívání kreativních postupů a duševního vlastnictví pro digitální ekonomiku a P 4.0</w:t>
            </w:r>
          </w:p>
          <w:p w14:paraId="7AD62C0B" w14:textId="77777777" w:rsidR="00DD3EFA" w:rsidRPr="005A0E7C" w:rsidRDefault="00DD3EFA" w:rsidP="00391907">
            <w:pPr>
              <w:pStyle w:val="Odstavecseseznamem"/>
              <w:numPr>
                <w:ilvl w:val="0"/>
                <w:numId w:val="78"/>
              </w:numPr>
            </w:pPr>
            <w:r w:rsidRPr="005A0E7C">
              <w:t>kybernetická bezpečnost</w:t>
            </w:r>
          </w:p>
          <w:p w14:paraId="0564983D" w14:textId="77777777" w:rsidR="00DD3EFA" w:rsidRPr="005A0E7C" w:rsidRDefault="00DD3EFA" w:rsidP="00391907">
            <w:pPr>
              <w:pStyle w:val="Odstavecseseznamem"/>
              <w:numPr>
                <w:ilvl w:val="0"/>
                <w:numId w:val="78"/>
              </w:numPr>
            </w:pPr>
            <w:r w:rsidRPr="005A0E7C">
              <w:t>podpora komercializace výsledků výzkumu a vývoje</w:t>
            </w:r>
          </w:p>
        </w:tc>
        <w:tc>
          <w:tcPr>
            <w:tcW w:w="249" w:type="dxa"/>
            <w:tcBorders>
              <w:top w:val="nil"/>
              <w:bottom w:val="nil"/>
            </w:tcBorders>
            <w:shd w:val="clear" w:color="auto" w:fill="66CCFF"/>
          </w:tcPr>
          <w:p w14:paraId="7F31018C" w14:textId="77777777" w:rsidR="00DD3EFA" w:rsidRPr="005A0E7C" w:rsidRDefault="00DD3EFA" w:rsidP="00B15ECB">
            <w:pPr>
              <w:rPr>
                <w:b/>
              </w:rPr>
            </w:pPr>
          </w:p>
        </w:tc>
      </w:tr>
      <w:tr w:rsidR="00DD3EFA" w:rsidRPr="005A0E7C" w14:paraId="220590DE" w14:textId="77777777" w:rsidTr="00B15ECB">
        <w:trPr>
          <w:trHeight w:val="377"/>
        </w:trPr>
        <w:tc>
          <w:tcPr>
            <w:tcW w:w="249" w:type="dxa"/>
            <w:tcBorders>
              <w:top w:val="nil"/>
              <w:bottom w:val="nil"/>
              <w:right w:val="nil"/>
            </w:tcBorders>
            <w:shd w:val="clear" w:color="auto" w:fill="66CCFF"/>
          </w:tcPr>
          <w:p w14:paraId="49CC678F"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1ADBB68"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0FB522F"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048CA0E8" w14:textId="77777777" w:rsidR="00DD3EFA" w:rsidRPr="005A0E7C" w:rsidRDefault="00DD3EFA" w:rsidP="00B15ECB">
            <w:pPr>
              <w:rPr>
                <w:b/>
              </w:rPr>
            </w:pPr>
          </w:p>
        </w:tc>
      </w:tr>
      <w:tr w:rsidR="00DD3EFA" w:rsidRPr="005A0E7C" w14:paraId="5B17E036" w14:textId="77777777" w:rsidTr="00B15ECB">
        <w:trPr>
          <w:trHeight w:val="607"/>
        </w:trPr>
        <w:tc>
          <w:tcPr>
            <w:tcW w:w="249" w:type="dxa"/>
            <w:tcBorders>
              <w:top w:val="nil"/>
              <w:bottom w:val="nil"/>
            </w:tcBorders>
            <w:shd w:val="clear" w:color="auto" w:fill="66CCFF"/>
          </w:tcPr>
          <w:p w14:paraId="4A934B0C"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0FB2E042"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5C51EFBC"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4E66DC22" w14:textId="77777777" w:rsidR="00DD3EFA" w:rsidRPr="005A0E7C" w:rsidRDefault="00DD3EFA" w:rsidP="00B15ECB">
            <w:pPr>
              <w:rPr>
                <w:b/>
              </w:rPr>
            </w:pPr>
          </w:p>
        </w:tc>
      </w:tr>
      <w:tr w:rsidR="00DD3EFA" w:rsidRPr="005A0E7C" w14:paraId="6C54CF33" w14:textId="77777777" w:rsidTr="00B15ECB">
        <w:trPr>
          <w:trHeight w:val="1202"/>
        </w:trPr>
        <w:tc>
          <w:tcPr>
            <w:tcW w:w="249" w:type="dxa"/>
            <w:tcBorders>
              <w:top w:val="nil"/>
              <w:bottom w:val="nil"/>
            </w:tcBorders>
            <w:shd w:val="clear" w:color="auto" w:fill="66CCFF"/>
          </w:tcPr>
          <w:p w14:paraId="3E016BF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7985965"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0AAA500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2CD22A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eastAsiaTheme="minorHAnsi" w:hAnsi="Times New Roman"/>
              </w:rPr>
              <w:t>Čtvrtá průmyslová revoluce může mít silnou regionální dimenzi, jelikož možnosti, výzvy i bariéry reagovat na potenciál nových technologií a jejich využití nejen ve výrobním procesu jsou územně diferencované. Hlavním diferenciačním faktorem je nejen rozdílná odvětvová struktura regionálních ekonomik, typy a význam klíčových firem v regionu, ale i rozdílná závislost na zahraničních investicích a s tím spojená exportní orientace regionů. Různé regiony mohou na P4.0 reagovat různě.  Lze očekávat větší odezvu (a dopad) z regionů orientovaných na automobilové, případně strojírenské nebo elektro odvětví. Možnosti využití výzev spojených se čtvrtou průmyslovou revolucí jsou spojeny také s rozdílnou rozvinutostí regionálních inovačních systémů v Česku. Rozvinutější regiony s dostatečnou silou v uvedených odvětvích budou proto čelit výzvám digitální ekonomiky a P4.0 více. Příkladem je Praha, Jihomoravský, Středočeský, Plzeňský či Moravskoslezský kraj. Vzhledem k velkému množství firem v Česku, které jsou v zahraničním vlastnictví, je také zřejmé, že o rychlosti zavádění opatření pro digitální ekonomiku a P4.0 nebudou rozhodovat firmy samotné, ale často jejich ústředí v zahraničí.</w:t>
            </w:r>
          </w:p>
        </w:tc>
        <w:tc>
          <w:tcPr>
            <w:tcW w:w="249" w:type="dxa"/>
            <w:tcBorders>
              <w:top w:val="nil"/>
              <w:bottom w:val="nil"/>
            </w:tcBorders>
            <w:shd w:val="clear" w:color="auto" w:fill="66CCFF"/>
          </w:tcPr>
          <w:p w14:paraId="52B7B2D7" w14:textId="77777777" w:rsidR="00DD3EFA" w:rsidRPr="005A0E7C" w:rsidRDefault="00DD3EFA" w:rsidP="00B15ECB">
            <w:pPr>
              <w:rPr>
                <w:b/>
              </w:rPr>
            </w:pPr>
          </w:p>
        </w:tc>
      </w:tr>
      <w:tr w:rsidR="00DD3EFA" w:rsidRPr="005A0E7C" w14:paraId="18B3BCF2" w14:textId="77777777" w:rsidTr="00B15ECB">
        <w:trPr>
          <w:trHeight w:val="1202"/>
        </w:trPr>
        <w:tc>
          <w:tcPr>
            <w:tcW w:w="249" w:type="dxa"/>
            <w:tcBorders>
              <w:top w:val="nil"/>
              <w:bottom w:val="nil"/>
            </w:tcBorders>
            <w:shd w:val="clear" w:color="auto" w:fill="66CCFF"/>
          </w:tcPr>
          <w:p w14:paraId="0C9DC35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B5C15DC"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36BF5B4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61EBCFD"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Stejně tak jako u podoblasti týkající se zvyšování přidané hodnoty v produkci výrobků a služeb se dá očekávat, že při uplatňování nových trendů spojených s Průmyslem 4.0 bude docházet k důrazu zejména na druhotné využívání surovin, omezení produkce odpadu, ale také znečišťujících látek stejně tak jako emisí CO2. Samostatnou kapitolou jsou úspory energií při optimalizaci výrobních procesů vyplývajících ze zavádění Smart technologií. Obecně by měla revoluce Průmyslu 4.0 mít pozitivní dopady na spotřebu energií a surovinových zdrojů ve výrobě.</w:t>
            </w:r>
          </w:p>
          <w:p w14:paraId="44452734" w14:textId="77777777" w:rsidR="00DD3EFA" w:rsidRPr="005A0E7C" w:rsidRDefault="00DD3EFA" w:rsidP="00B15ECB">
            <w:pPr>
              <w:autoSpaceDE w:val="0"/>
              <w:autoSpaceDN w:val="0"/>
              <w:adjustRightInd w:val="0"/>
            </w:pPr>
            <w:r w:rsidRPr="005A0E7C">
              <w:t>Adaptační opatření v sektoru průmyslu a energetiky se týkají zejména zajištění fungování infrastruktury, jejíž výpadek by měl dopad na koncové spotřebitele a na chráněné zájmy státu.</w:t>
            </w:r>
          </w:p>
          <w:p w14:paraId="2BFDC1F2" w14:textId="77777777" w:rsidR="00DD3EFA" w:rsidRPr="005A0E7C" w:rsidRDefault="00DD3EFA" w:rsidP="00B15ECB">
            <w:pPr>
              <w:pStyle w:val="slovanodstavec"/>
              <w:tabs>
                <w:tab w:val="left" w:pos="284"/>
              </w:tabs>
              <w:suppressAutoHyphens/>
              <w:spacing w:line="240" w:lineRule="auto"/>
              <w:rPr>
                <w:rFonts w:ascii="Times New Roman" w:eastAsiaTheme="minorHAnsi" w:hAnsi="Times New Roman"/>
                <w:noProof/>
              </w:rPr>
            </w:pPr>
            <w:r w:rsidRPr="005A0E7C">
              <w:rPr>
                <w:rFonts w:ascii="Times New Roman" w:eastAsiaTheme="minorHAnsi" w:hAnsi="Times New Roman"/>
                <w:noProof/>
              </w:rPr>
              <w:t>Významným je zajištění bezpečnosti průmyslových zařízení.</w:t>
            </w:r>
          </w:p>
          <w:p w14:paraId="41062267" w14:textId="77777777" w:rsidR="00DD3EFA" w:rsidRPr="005A0E7C" w:rsidRDefault="00DD3EFA" w:rsidP="00B15ECB">
            <w:pPr>
              <w:autoSpaceDE w:val="0"/>
              <w:autoSpaceDN w:val="0"/>
              <w:adjustRightInd w:val="0"/>
            </w:pPr>
            <w:r w:rsidRPr="005A0E7C">
              <w:t>Mitigační opatření v sektoru průmyslové výroby by měla přispět ke stabilizaci přímých emisí skleníkových plynů z průmyslových procesů a ke snížení nepřímých emisí ze spotřeby elektřiny a tepla.</w:t>
            </w:r>
          </w:p>
        </w:tc>
        <w:tc>
          <w:tcPr>
            <w:tcW w:w="249" w:type="dxa"/>
            <w:tcBorders>
              <w:top w:val="nil"/>
              <w:bottom w:val="nil"/>
            </w:tcBorders>
            <w:shd w:val="clear" w:color="auto" w:fill="66CCFF"/>
          </w:tcPr>
          <w:p w14:paraId="236299D1" w14:textId="77777777" w:rsidR="00DD3EFA" w:rsidRPr="005A0E7C" w:rsidRDefault="00DD3EFA" w:rsidP="00B15ECB">
            <w:pPr>
              <w:rPr>
                <w:b/>
              </w:rPr>
            </w:pPr>
          </w:p>
        </w:tc>
      </w:tr>
      <w:tr w:rsidR="00DD3EFA" w:rsidRPr="005A0E7C" w14:paraId="72B1D382" w14:textId="77777777" w:rsidTr="00B15ECB">
        <w:trPr>
          <w:trHeight w:val="1202"/>
        </w:trPr>
        <w:tc>
          <w:tcPr>
            <w:tcW w:w="249" w:type="dxa"/>
            <w:tcBorders>
              <w:top w:val="nil"/>
              <w:bottom w:val="nil"/>
            </w:tcBorders>
            <w:shd w:val="clear" w:color="auto" w:fill="66CCFF"/>
          </w:tcPr>
          <w:p w14:paraId="4264577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E7C8258"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29A1251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618A2E6" w14:textId="77777777" w:rsidR="00DD3EFA" w:rsidRPr="005A0E7C" w:rsidRDefault="00DD3EFA" w:rsidP="00B15ECB">
            <w:r w:rsidRPr="005A0E7C">
              <w:t xml:space="preserve">Cesta k digitální ekonomice představuje rozsáhlou a postupnou celospolečenskou změnu, která je v principu spojena s internetem věcí a s využitím digitalizace a internetu. Internet věcí, služeb a lidí, a s ním související značný objem generovaných a zpracovávaných dat, je fenoménem dnešní doby. Ve stále větší míře bude třeba brát do úvahy vazby mezi výrobními průmyslovými systémy, dopravními sítěmi, energetickými systémy či systémy zásobování surovinami, ale také systémy sociálními. Mezi těmito systémy v posledním období vzrůstá dynamická interakce, která je stimulována integrací na informatické úrovni. Nástup nových technologií mění celé hodnotové řetězce, vytváří příležitosti pro nové obchodní modely, ale i tlak na flexibilitu moderní průmyslové výroby nebo zvýšené nároky na kybernetickou bezpečnost a interdisciplinaritu přístupu. </w:t>
            </w:r>
          </w:p>
        </w:tc>
        <w:tc>
          <w:tcPr>
            <w:tcW w:w="249" w:type="dxa"/>
            <w:tcBorders>
              <w:top w:val="nil"/>
              <w:bottom w:val="nil"/>
            </w:tcBorders>
            <w:shd w:val="clear" w:color="auto" w:fill="66CCFF"/>
          </w:tcPr>
          <w:p w14:paraId="1A2E063B" w14:textId="77777777" w:rsidR="00DD3EFA" w:rsidRPr="005A0E7C" w:rsidRDefault="00DD3EFA" w:rsidP="00B15ECB">
            <w:pPr>
              <w:rPr>
                <w:b/>
              </w:rPr>
            </w:pPr>
          </w:p>
        </w:tc>
      </w:tr>
      <w:tr w:rsidR="00DD3EFA" w:rsidRPr="005A0E7C" w14:paraId="1A3AE486" w14:textId="77777777" w:rsidTr="00B15ECB">
        <w:trPr>
          <w:trHeight w:val="1202"/>
        </w:trPr>
        <w:tc>
          <w:tcPr>
            <w:tcW w:w="249" w:type="dxa"/>
            <w:tcBorders>
              <w:top w:val="nil"/>
              <w:bottom w:val="nil"/>
            </w:tcBorders>
            <w:shd w:val="clear" w:color="auto" w:fill="66CCFF"/>
          </w:tcPr>
          <w:p w14:paraId="2B0C066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75E9814"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52FCF801"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DC315CE" w14:textId="77777777" w:rsidR="00DD3EFA" w:rsidRPr="005A0E7C" w:rsidRDefault="00DD3EFA" w:rsidP="00B15ECB">
            <w:pPr>
              <w:spacing w:before="240" w:line="259" w:lineRule="auto"/>
              <w:rPr>
                <w:b/>
              </w:rPr>
            </w:pPr>
            <w:r w:rsidRPr="005A0E7C">
              <w:rPr>
                <w:b/>
              </w:rPr>
              <w:t>Posun civilizace ke znalostní ekonomice</w:t>
            </w:r>
          </w:p>
          <w:p w14:paraId="502858B3" w14:textId="77777777" w:rsidR="00DD3EFA" w:rsidRPr="005A0E7C" w:rsidRDefault="00DD3EFA" w:rsidP="00B15ECB">
            <w:pPr>
              <w:spacing w:before="40"/>
            </w:pPr>
            <w:r w:rsidRPr="005A0E7C">
              <w:t>Digitalizace, úzká specializace a aplikace vědeckých poznatků jsou zásadním předpokladem pro další rozvoj ekonomiky.</w:t>
            </w:r>
          </w:p>
          <w:p w14:paraId="36DFB534" w14:textId="77777777" w:rsidR="00DD3EFA" w:rsidRPr="005A0E7C" w:rsidRDefault="00DD3EFA" w:rsidP="00B15ECB">
            <w:pPr>
              <w:spacing w:before="240" w:line="259" w:lineRule="auto"/>
              <w:rPr>
                <w:b/>
              </w:rPr>
            </w:pPr>
            <w:r w:rsidRPr="005A0E7C">
              <w:rPr>
                <w:b/>
              </w:rPr>
              <w:t>Zvyšující se dostupnost technologií</w:t>
            </w:r>
          </w:p>
          <w:p w14:paraId="3F374E21" w14:textId="77777777" w:rsidR="00DD3EFA" w:rsidRPr="005A0E7C" w:rsidRDefault="00DD3EFA" w:rsidP="00B15ECB">
            <w:pPr>
              <w:spacing w:before="40"/>
            </w:pPr>
            <w:r w:rsidRPr="005A0E7C">
              <w:t>Technologie se čím dál víc stávají dostupnou součástí běžného života a prostupují všemi oblastmi společnosti.</w:t>
            </w:r>
          </w:p>
          <w:p w14:paraId="47BD1158" w14:textId="77777777" w:rsidR="00DD3EFA" w:rsidRPr="005A0E7C" w:rsidRDefault="00DD3EFA" w:rsidP="00B15ECB">
            <w:pPr>
              <w:spacing w:before="240" w:line="259" w:lineRule="auto"/>
              <w:rPr>
                <w:b/>
              </w:rPr>
            </w:pPr>
            <w:r w:rsidRPr="005A0E7C">
              <w:rPr>
                <w:b/>
              </w:rPr>
              <w:t>Zvyšující se rychlost technologické změny</w:t>
            </w:r>
          </w:p>
          <w:p w14:paraId="3B4F3024" w14:textId="77777777" w:rsidR="00DD3EFA" w:rsidRPr="005A0E7C" w:rsidRDefault="00DD3EFA" w:rsidP="00B15ECB">
            <w:pPr>
              <w:spacing w:before="40"/>
            </w:pPr>
            <w:r w:rsidRPr="005A0E7C">
              <w:t>Dochází k rychlému rozvoji technologií a jejich bezodkladnému pronikání do společnosti.</w:t>
            </w:r>
          </w:p>
          <w:p w14:paraId="67F6A061" w14:textId="77777777" w:rsidR="00DD3EFA" w:rsidRPr="005A0E7C" w:rsidRDefault="00DD3EFA" w:rsidP="00B15ECB">
            <w:pPr>
              <w:spacing w:before="240" w:line="259" w:lineRule="auto"/>
              <w:rPr>
                <w:b/>
              </w:rPr>
            </w:pPr>
            <w:r w:rsidRPr="005A0E7C">
              <w:rPr>
                <w:b/>
              </w:rPr>
              <w:t>Demografické stárnutí</w:t>
            </w:r>
          </w:p>
          <w:p w14:paraId="7B739821" w14:textId="77777777" w:rsidR="00DD3EFA" w:rsidRPr="005A0E7C" w:rsidRDefault="00DD3EFA" w:rsidP="00B15ECB">
            <w:pPr>
              <w:spacing w:before="40"/>
            </w:pPr>
            <w:r w:rsidRPr="005A0E7C">
              <w:t>Stárnoucí populace vytváří tlak na zdravotní a sociální systém, přičemž může přispívat k oslabování výkonnosti ekonomiky v důsledku poklesu počtu pracovní síly. Zároveň je příležitosti pro nové typy služeb a zaměstnání.</w:t>
            </w:r>
          </w:p>
          <w:p w14:paraId="1CA02399" w14:textId="77777777" w:rsidR="00DD3EFA" w:rsidRPr="005A0E7C" w:rsidRDefault="00DD3EFA" w:rsidP="00B15ECB">
            <w:pPr>
              <w:spacing w:before="240" w:line="259" w:lineRule="auto"/>
              <w:rPr>
                <w:b/>
              </w:rPr>
            </w:pPr>
            <w:r w:rsidRPr="005A0E7C">
              <w:rPr>
                <w:b/>
              </w:rPr>
              <w:t xml:space="preserve">Virtualizace světa </w:t>
            </w:r>
          </w:p>
          <w:p w14:paraId="468276EE" w14:textId="77777777" w:rsidR="00DD3EFA" w:rsidRPr="005A0E7C" w:rsidRDefault="00DD3EFA" w:rsidP="00B15ECB">
            <w:pPr>
              <w:spacing w:before="40"/>
            </w:pPr>
            <w:r w:rsidRPr="005A0E7C">
              <w:t xml:space="preserve">Stále více společenských aktivit včetně práce se neděje ve spojení s konkrétním fyzickým místem, ale jsou zprostředkovány virtuálně. </w:t>
            </w:r>
          </w:p>
          <w:p w14:paraId="161953D7" w14:textId="77777777" w:rsidR="00DD3EFA" w:rsidRPr="005A0E7C" w:rsidRDefault="00DD3EFA" w:rsidP="00B15ECB">
            <w:pPr>
              <w:spacing w:before="240" w:line="259" w:lineRule="auto"/>
              <w:rPr>
                <w:b/>
              </w:rPr>
            </w:pPr>
            <w:r w:rsidRPr="005A0E7C">
              <w:rPr>
                <w:b/>
              </w:rPr>
              <w:t>Rostoucí spotřeba zdrojů</w:t>
            </w:r>
          </w:p>
          <w:p w14:paraId="64B22E9A" w14:textId="77777777" w:rsidR="00DD3EFA" w:rsidRPr="005A0E7C" w:rsidRDefault="00DD3EFA" w:rsidP="00B15ECB">
            <w:pPr>
              <w:spacing w:before="40"/>
            </w:pPr>
            <w:r w:rsidRPr="005A0E7C">
              <w:t xml:space="preserve">Rozšiřování technologií a ekonomický růst vede k neustálému tlaku na spotřebu zejména primárních zdrojů. </w:t>
            </w:r>
          </w:p>
          <w:p w14:paraId="22B2BF6F" w14:textId="77777777" w:rsidR="00DD3EFA" w:rsidRPr="005A0E7C" w:rsidRDefault="00DD3EFA" w:rsidP="00B15ECB">
            <w:pPr>
              <w:spacing w:before="240" w:line="259" w:lineRule="auto"/>
              <w:rPr>
                <w:b/>
              </w:rPr>
            </w:pPr>
            <w:r w:rsidRPr="005A0E7C">
              <w:rPr>
                <w:b/>
              </w:rPr>
              <w:t>Rostoucí spotřeba energie</w:t>
            </w:r>
          </w:p>
          <w:p w14:paraId="3E66D7F8" w14:textId="77777777" w:rsidR="00DD3EFA" w:rsidRPr="005A0E7C" w:rsidRDefault="00DD3EFA" w:rsidP="00B15ECB">
            <w:pPr>
              <w:spacing w:before="40"/>
            </w:pPr>
            <w:r w:rsidRPr="005A0E7C">
              <w:t>Energetická náročnost lidské činnosti narůstá v souvislosti s rostoucím bohatstvím a populační expanzí.</w:t>
            </w:r>
          </w:p>
          <w:p w14:paraId="0A782C59" w14:textId="77777777" w:rsidR="00DD3EFA" w:rsidRPr="005A0E7C" w:rsidRDefault="00DD3EFA" w:rsidP="00B15ECB">
            <w:pPr>
              <w:spacing w:before="40"/>
              <w:rPr>
                <w:b/>
                <w:bCs/>
              </w:rPr>
            </w:pPr>
          </w:p>
          <w:p w14:paraId="3F4A1159" w14:textId="77777777" w:rsidR="00DD3EFA" w:rsidRPr="005A0E7C" w:rsidRDefault="00DD3EFA" w:rsidP="00B15ECB">
            <w:pPr>
              <w:spacing w:before="40"/>
              <w:rPr>
                <w:b/>
                <w:bCs/>
              </w:rPr>
            </w:pPr>
            <w:r w:rsidRPr="005A0E7C">
              <w:rPr>
                <w:b/>
                <w:bCs/>
              </w:rPr>
              <w:t>Kompetence pro budoucnost</w:t>
            </w:r>
          </w:p>
          <w:p w14:paraId="178853F5" w14:textId="77777777" w:rsidR="00DD3EFA" w:rsidRPr="005A0E7C" w:rsidRDefault="00DD3EFA" w:rsidP="00B15ECB">
            <w:pPr>
              <w:spacing w:before="40"/>
            </w:pPr>
            <w:r w:rsidRPr="005A0E7C">
              <w:t>Při definici cílů a obsahů vzdělávání musíme reflektovat bouřlivě se měnící společnost a fakt, že nyní vzděláváme lidi, jejichž ekonomický vrchol bude za třicet let, přičemž jeho podobu nedokážeme nyní ani odhadnout.</w:t>
            </w:r>
          </w:p>
          <w:p w14:paraId="6409A290"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60AE4FDE" w14:textId="77777777" w:rsidR="00DD3EFA" w:rsidRPr="005A0E7C" w:rsidRDefault="00DD3EFA" w:rsidP="00B15ECB">
            <w:pPr>
              <w:rPr>
                <w:b/>
              </w:rPr>
            </w:pPr>
          </w:p>
        </w:tc>
      </w:tr>
      <w:tr w:rsidR="00DD3EFA" w:rsidRPr="005A0E7C" w14:paraId="38C61682" w14:textId="77777777" w:rsidTr="00B15ECB">
        <w:trPr>
          <w:trHeight w:val="1202"/>
        </w:trPr>
        <w:tc>
          <w:tcPr>
            <w:tcW w:w="249" w:type="dxa"/>
            <w:tcBorders>
              <w:top w:val="nil"/>
              <w:bottom w:val="nil"/>
            </w:tcBorders>
            <w:shd w:val="clear" w:color="auto" w:fill="66CCFF"/>
          </w:tcPr>
          <w:p w14:paraId="605D993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1CC6140"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18BB8E8C" w14:textId="77777777" w:rsidR="00DD3EFA" w:rsidRPr="005A0E7C" w:rsidRDefault="00DD3EFA" w:rsidP="00B15ECB">
            <w:pPr>
              <w:spacing w:before="60" w:after="60"/>
              <w:rPr>
                <w:b/>
                <w:lang w:eastAsia="en-GB"/>
              </w:rPr>
            </w:pPr>
            <w:r w:rsidRPr="005A0E7C">
              <w:rPr>
                <w:u w:val="single"/>
                <w:lang w:eastAsia="en-GB"/>
              </w:rPr>
              <w:t>Článek 4 ON:</w:t>
            </w:r>
            <w:r w:rsidRPr="005A0E7C">
              <w:rPr>
                <w:u w:val="single"/>
                <w:lang w:eastAsia="en-GB"/>
              </w:rPr>
              <w:br/>
              <w:t>Politický cíl:</w:t>
            </w:r>
            <w:r w:rsidRPr="005A0E7C">
              <w:rPr>
                <w:lang w:eastAsia="en-GB"/>
              </w:rPr>
              <w:br/>
            </w:r>
            <w:r w:rsidRPr="005A0E7C">
              <w:rPr>
                <w:b/>
                <w:lang w:eastAsia="en-GB"/>
              </w:rPr>
              <w:t>a) inteligentnější Evropu podporou inovační a inteligentní hospodářské transformace;</w:t>
            </w:r>
          </w:p>
          <w:p w14:paraId="6E585079" w14:textId="77777777" w:rsidR="00DD3EFA" w:rsidRPr="005A0E7C" w:rsidRDefault="00DD3EFA" w:rsidP="00B15ECB">
            <w:pPr>
              <w:spacing w:before="60" w:after="60"/>
              <w:rPr>
                <w:b/>
                <w:lang w:eastAsia="en-GB"/>
              </w:rPr>
            </w:pPr>
            <w:r w:rsidRPr="005A0E7C">
              <w:rPr>
                <w:b/>
                <w:lang w:eastAsia="en-GB"/>
              </w:rPr>
              <w:t>c) propojenější Evropa díky zvyšování mobility a regionálního propojení IKT</w:t>
            </w:r>
          </w:p>
          <w:p w14:paraId="4D142AF7" w14:textId="77777777" w:rsidR="00DD3EFA" w:rsidRPr="005A0E7C" w:rsidRDefault="00DD3EFA" w:rsidP="00B15ECB">
            <w:pPr>
              <w:spacing w:before="60" w:after="60"/>
              <w:rPr>
                <w:lang w:eastAsia="en-GB"/>
              </w:rPr>
            </w:pPr>
            <w:r w:rsidRPr="005A0E7C">
              <w:rPr>
                <w:lang w:eastAsia="en-GB"/>
              </w:rPr>
              <w:t>Článek 2 Nařízení EFRR a FS:</w:t>
            </w:r>
            <w:r w:rsidRPr="005A0E7C">
              <w:rPr>
                <w:lang w:eastAsia="en-GB"/>
              </w:rPr>
              <w:br/>
              <w:t xml:space="preserve">EFRR podporuje specifický cíl „inteligentnější Evropa díky podpoře inovativní a inteligentní ekonomické transformace“ (dále jen „CP 1“) prostřednictvím: </w:t>
            </w:r>
          </w:p>
          <w:p w14:paraId="19C12D0F" w14:textId="77777777" w:rsidR="00DD3EFA" w:rsidRPr="005A0E7C" w:rsidRDefault="00DD3EFA" w:rsidP="00B15ECB">
            <w:pPr>
              <w:spacing w:before="60" w:after="60"/>
              <w:rPr>
                <w:b/>
                <w:lang w:eastAsia="en-GB"/>
              </w:rPr>
            </w:pPr>
            <w:r w:rsidRPr="005A0E7C">
              <w:rPr>
                <w:lang w:eastAsia="en-GB"/>
              </w:rPr>
              <w:t xml:space="preserve">- </w:t>
            </w:r>
            <w:r w:rsidRPr="005A0E7C">
              <w:rPr>
                <w:b/>
                <w:lang w:eastAsia="en-GB"/>
              </w:rPr>
              <w:t xml:space="preserve">posílení výzkumných a inovačních kapacit a zavádění pokročilých technologií; </w:t>
            </w:r>
          </w:p>
          <w:p w14:paraId="22EA5E6F" w14:textId="77777777" w:rsidR="00DD3EFA" w:rsidRPr="005A0E7C" w:rsidRDefault="00DD3EFA" w:rsidP="00B15ECB">
            <w:pPr>
              <w:spacing w:before="60" w:after="60"/>
              <w:rPr>
                <w:b/>
                <w:lang w:eastAsia="en-GB"/>
              </w:rPr>
            </w:pPr>
            <w:r w:rsidRPr="005A0E7C">
              <w:rPr>
                <w:b/>
                <w:lang w:eastAsia="en-GB"/>
              </w:rPr>
              <w:t>- využití přínosů digitalizace pro občany, podniky a vlády</w:t>
            </w:r>
          </w:p>
          <w:p w14:paraId="143594D4" w14:textId="77777777" w:rsidR="00DD3EFA" w:rsidRPr="005A0E7C" w:rsidRDefault="00DD3EFA" w:rsidP="00B15ECB">
            <w:pPr>
              <w:spacing w:before="60" w:after="60"/>
              <w:rPr>
                <w:b/>
                <w:lang w:eastAsia="en-GB"/>
              </w:rPr>
            </w:pPr>
            <w:r w:rsidRPr="005A0E7C">
              <w:rPr>
                <w:b/>
                <w:lang w:eastAsia="en-GB"/>
              </w:rPr>
              <w:t xml:space="preserve">- posílení růstu a konkurenceschopnosti malých a středních podniků; </w:t>
            </w:r>
          </w:p>
          <w:p w14:paraId="669B4DF3" w14:textId="77777777" w:rsidR="00DD3EFA" w:rsidRPr="005A0E7C" w:rsidRDefault="00DD3EFA" w:rsidP="00B15ECB">
            <w:pPr>
              <w:spacing w:before="60" w:after="60"/>
              <w:rPr>
                <w:b/>
                <w:lang w:eastAsia="en-GB"/>
              </w:rPr>
            </w:pPr>
            <w:r w:rsidRPr="005A0E7C">
              <w:rPr>
                <w:b/>
                <w:lang w:eastAsia="en-GB"/>
              </w:rPr>
              <w:t xml:space="preserve">- rozvoje dovedností pro inteligentní specializaci, průmyslovou transformaci a podnikání; </w:t>
            </w:r>
          </w:p>
          <w:p w14:paraId="6F0A414F" w14:textId="77777777" w:rsidR="00DD3EFA" w:rsidRPr="005A0E7C" w:rsidRDefault="00DD3EFA" w:rsidP="00B15ECB">
            <w:pPr>
              <w:spacing w:before="60" w:after="60"/>
              <w:rPr>
                <w:lang w:eastAsia="en-GB"/>
              </w:rPr>
            </w:pPr>
          </w:p>
          <w:p w14:paraId="77787253" w14:textId="77777777" w:rsidR="00DD3EFA" w:rsidRPr="005A0E7C" w:rsidRDefault="00DD3EFA" w:rsidP="00B15ECB">
            <w:pPr>
              <w:spacing w:before="60" w:after="60"/>
              <w:rPr>
                <w:lang w:eastAsia="en-GB"/>
              </w:rPr>
            </w:pPr>
            <w:r w:rsidRPr="005A0E7C">
              <w:rPr>
                <w:lang w:eastAsia="en-GB"/>
              </w:rPr>
              <w:t>EFRR podporuje specifický cíl „propojenější Evropa díky zvyšování mobility a regionálního propojení IKT“ (dále jen „CP 3“) prostřednictvím:</w:t>
            </w:r>
          </w:p>
          <w:p w14:paraId="62C6D974" w14:textId="77777777" w:rsidR="00DD3EFA" w:rsidRPr="005A0E7C" w:rsidRDefault="00DD3EFA" w:rsidP="00B15ECB">
            <w:pPr>
              <w:spacing w:before="60" w:after="60"/>
              <w:rPr>
                <w:b/>
                <w:lang w:eastAsia="en-GB"/>
              </w:rPr>
            </w:pPr>
            <w:r w:rsidRPr="005A0E7C">
              <w:rPr>
                <w:b/>
                <w:lang w:eastAsia="en-GB"/>
              </w:rPr>
              <w:t xml:space="preserve">- zvýšení digitálního propojení </w:t>
            </w:r>
          </w:p>
        </w:tc>
        <w:tc>
          <w:tcPr>
            <w:tcW w:w="249" w:type="dxa"/>
            <w:tcBorders>
              <w:top w:val="nil"/>
              <w:bottom w:val="nil"/>
            </w:tcBorders>
            <w:shd w:val="clear" w:color="auto" w:fill="66CCFF"/>
          </w:tcPr>
          <w:p w14:paraId="0191285D" w14:textId="77777777" w:rsidR="00DD3EFA" w:rsidRPr="005A0E7C" w:rsidRDefault="00DD3EFA" w:rsidP="00B15ECB">
            <w:pPr>
              <w:rPr>
                <w:b/>
              </w:rPr>
            </w:pPr>
          </w:p>
        </w:tc>
      </w:tr>
      <w:tr w:rsidR="00DD3EFA" w:rsidRPr="005A0E7C" w14:paraId="155B2F10" w14:textId="77777777" w:rsidTr="00B15ECB">
        <w:trPr>
          <w:trHeight w:val="1202"/>
        </w:trPr>
        <w:tc>
          <w:tcPr>
            <w:tcW w:w="249" w:type="dxa"/>
            <w:tcBorders>
              <w:top w:val="nil"/>
              <w:bottom w:val="nil"/>
            </w:tcBorders>
            <w:shd w:val="clear" w:color="auto" w:fill="66CCFF"/>
          </w:tcPr>
          <w:p w14:paraId="225A3ED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B29733A"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00366FF6" w14:textId="77777777" w:rsidR="00DD3EFA" w:rsidRPr="005A0E7C" w:rsidRDefault="00DD3EFA" w:rsidP="00B15ECB">
            <w:pPr>
              <w:spacing w:before="60" w:after="60"/>
              <w:rPr>
                <w:rStyle w:val="tlid-translation"/>
              </w:rPr>
            </w:pPr>
            <w:r w:rsidRPr="005A0E7C">
              <w:rPr>
                <w:rStyle w:val="tlid-translation"/>
              </w:rPr>
              <w:t>Zatímco se česká ekonomika přesouvá směrem k aktivitám s větší intenzitou znalostí, několik překážek stále brzdí rozvoj dobře fungujícího výzkumného a inovačního systému. Zvýšení investic do podnikatelského výzkumu a vývoje je primárně způsobeno přímými zahraničními investicemi. Výdaje na výzkum a vývoj domácích podniků se za poslední dva roky snížily. Navzdory značným veřejným investicím do výzkumu a vývoje má Česká republika zaostalost v oblasti kvality své veřejné vědecké základny. Byla přijata politická opatření pro budování vazeb mezi akademickou obcí a podniky a pro zlepšení výkonnosti veřejné vědecké základny, dosud však byly výsledky omezené a reformy dosud nebyly plně realizovány. Navíc řízení systému výzkumu a inovací je i nadále roztříštěné.</w:t>
            </w:r>
          </w:p>
          <w:p w14:paraId="4371D575" w14:textId="77777777" w:rsidR="00DD3EFA" w:rsidRPr="005A0E7C" w:rsidRDefault="00DD3EFA" w:rsidP="00B15ECB">
            <w:pPr>
              <w:spacing w:before="60" w:after="60"/>
              <w:rPr>
                <w:rFonts w:eastAsiaTheme="majorEastAsia"/>
                <w:i/>
              </w:rPr>
            </w:pPr>
          </w:p>
          <w:p w14:paraId="0116BFFA" w14:textId="77777777" w:rsidR="00DD3EFA" w:rsidRPr="005A0E7C" w:rsidRDefault="00DD3EFA" w:rsidP="00B15ECB">
            <w:pPr>
              <w:spacing w:before="60" w:after="60"/>
              <w:rPr>
                <w:rFonts w:eastAsiaTheme="majorEastAsia"/>
                <w:i/>
              </w:rPr>
            </w:pPr>
            <w:r w:rsidRPr="005A0E7C">
              <w:rPr>
                <w:rStyle w:val="tlid-translation"/>
              </w:rPr>
              <w:t>Rada doporučila České republice odstranit překážky růstu, zejména dalším snižováním administrativní zátěže podniků a zlepšením kvality výzkumu a vývoje.</w:t>
            </w:r>
            <w:r w:rsidRPr="005A0E7C">
              <w:rPr>
                <w:rFonts w:eastAsiaTheme="majorEastAsia"/>
                <w:i/>
              </w:rPr>
              <w:t xml:space="preserve"> </w:t>
            </w:r>
          </w:p>
        </w:tc>
        <w:tc>
          <w:tcPr>
            <w:tcW w:w="249" w:type="dxa"/>
            <w:tcBorders>
              <w:top w:val="nil"/>
              <w:bottom w:val="nil"/>
            </w:tcBorders>
            <w:shd w:val="clear" w:color="auto" w:fill="66CCFF"/>
          </w:tcPr>
          <w:p w14:paraId="60CF8CD8" w14:textId="77777777" w:rsidR="00DD3EFA" w:rsidRPr="005A0E7C" w:rsidRDefault="00DD3EFA" w:rsidP="00B15ECB">
            <w:pPr>
              <w:rPr>
                <w:b/>
              </w:rPr>
            </w:pPr>
          </w:p>
        </w:tc>
      </w:tr>
      <w:tr w:rsidR="00DD3EFA" w:rsidRPr="005A0E7C" w14:paraId="4F05CB32" w14:textId="77777777" w:rsidTr="00B15ECB">
        <w:trPr>
          <w:trHeight w:val="180"/>
        </w:trPr>
        <w:tc>
          <w:tcPr>
            <w:tcW w:w="249" w:type="dxa"/>
            <w:tcBorders>
              <w:top w:val="nil"/>
              <w:bottom w:val="nil"/>
              <w:right w:val="nil"/>
            </w:tcBorders>
            <w:shd w:val="clear" w:color="auto" w:fill="66CCFF"/>
          </w:tcPr>
          <w:p w14:paraId="662929AA" w14:textId="77777777" w:rsidR="00DD3EFA" w:rsidRPr="005A0E7C" w:rsidRDefault="00DD3EFA" w:rsidP="00B15ECB">
            <w:pPr>
              <w:rPr>
                <w:b/>
              </w:rPr>
            </w:pPr>
          </w:p>
        </w:tc>
        <w:tc>
          <w:tcPr>
            <w:tcW w:w="2548" w:type="dxa"/>
            <w:tcBorders>
              <w:left w:val="nil"/>
              <w:right w:val="nil"/>
            </w:tcBorders>
            <w:shd w:val="clear" w:color="auto" w:fill="66CCFF"/>
          </w:tcPr>
          <w:p w14:paraId="54304915" w14:textId="77777777" w:rsidR="00DD3EFA" w:rsidRPr="005A0E7C" w:rsidRDefault="00DD3EFA" w:rsidP="00B15ECB">
            <w:pPr>
              <w:rPr>
                <w:b/>
              </w:rPr>
            </w:pPr>
          </w:p>
        </w:tc>
        <w:tc>
          <w:tcPr>
            <w:tcW w:w="5978" w:type="dxa"/>
            <w:tcBorders>
              <w:left w:val="nil"/>
              <w:right w:val="nil"/>
            </w:tcBorders>
            <w:shd w:val="clear" w:color="auto" w:fill="66CCFF"/>
          </w:tcPr>
          <w:p w14:paraId="5B707ACD" w14:textId="77777777" w:rsidR="00DD3EFA" w:rsidRPr="005A0E7C" w:rsidRDefault="00DD3EFA" w:rsidP="00B15ECB">
            <w:pPr>
              <w:rPr>
                <w:b/>
              </w:rPr>
            </w:pPr>
          </w:p>
        </w:tc>
        <w:tc>
          <w:tcPr>
            <w:tcW w:w="249" w:type="dxa"/>
            <w:tcBorders>
              <w:top w:val="nil"/>
              <w:left w:val="nil"/>
              <w:bottom w:val="nil"/>
            </w:tcBorders>
            <w:shd w:val="clear" w:color="auto" w:fill="66CCFF"/>
          </w:tcPr>
          <w:p w14:paraId="0523F1F4" w14:textId="77777777" w:rsidR="00DD3EFA" w:rsidRPr="005A0E7C" w:rsidRDefault="00DD3EFA" w:rsidP="00B15ECB">
            <w:pPr>
              <w:rPr>
                <w:b/>
              </w:rPr>
            </w:pPr>
          </w:p>
        </w:tc>
      </w:tr>
      <w:tr w:rsidR="00DD3EFA" w:rsidRPr="005A0E7C" w14:paraId="3F9B9486" w14:textId="77777777" w:rsidTr="00B15ECB">
        <w:trPr>
          <w:trHeight w:val="938"/>
        </w:trPr>
        <w:tc>
          <w:tcPr>
            <w:tcW w:w="249" w:type="dxa"/>
            <w:tcBorders>
              <w:top w:val="nil"/>
              <w:bottom w:val="nil"/>
            </w:tcBorders>
            <w:shd w:val="clear" w:color="auto" w:fill="66CCFF"/>
          </w:tcPr>
          <w:p w14:paraId="2C5127C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0703611"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2BD7012B"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7254A40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3425F02C" w14:textId="77777777" w:rsidR="00DD3EFA" w:rsidRPr="005A0E7C" w:rsidRDefault="00DD3EFA" w:rsidP="00B15ECB">
            <w:r w:rsidRPr="005A0E7C">
              <w:t>Digitální ekonomika a společnost (Digitální Česko)</w:t>
            </w:r>
          </w:p>
          <w:p w14:paraId="2E7B880D" w14:textId="77777777" w:rsidR="00DD3EFA" w:rsidRPr="005A0E7C" w:rsidRDefault="00DD3EFA" w:rsidP="00B15ECB"/>
          <w:p w14:paraId="541F19D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482E1827" w14:textId="77777777" w:rsidR="00DD3EFA" w:rsidRPr="005A0E7C" w:rsidRDefault="00DD3EFA" w:rsidP="00B15ECB">
            <w:pPr>
              <w:pStyle w:val="slovanodstavec"/>
              <w:tabs>
                <w:tab w:val="clear" w:pos="567"/>
                <w:tab w:val="left" w:pos="284"/>
              </w:tabs>
              <w:suppressAutoHyphens/>
              <w:spacing w:after="0" w:line="240" w:lineRule="auto"/>
              <w:jc w:val="left"/>
              <w:rPr>
                <w:rFonts w:ascii="Times New Roman" w:hAnsi="Times New Roman"/>
                <w:u w:val="single"/>
              </w:rPr>
            </w:pPr>
            <w:r w:rsidRPr="005A0E7C">
              <w:rPr>
                <w:rFonts w:ascii="Times New Roman" w:hAnsi="Times New Roman"/>
              </w:rPr>
              <w:t>Národní plán rozvoje sítí s velmi vysokou kapacitou (pracovní název – dokument dosud není zpracován)</w:t>
            </w:r>
          </w:p>
          <w:p w14:paraId="2B6176F9" w14:textId="77777777" w:rsidR="00DD3EFA" w:rsidRPr="005A0E7C" w:rsidRDefault="00DD3EFA" w:rsidP="00B15ECB">
            <w:r w:rsidRPr="005A0E7C">
              <w:t>Národní iniciativa Průmysl 4.0</w:t>
            </w:r>
          </w:p>
          <w:p w14:paraId="551DEA06" w14:textId="77777777" w:rsidR="00DD3EFA" w:rsidRPr="005A0E7C" w:rsidRDefault="00DD3EFA" w:rsidP="00B15ECB">
            <w:r w:rsidRPr="005A0E7C">
              <w:t>Analýza připravenosti malých a středních podniků na iniciativu Průmysl 4.0</w:t>
            </w:r>
          </w:p>
          <w:p w14:paraId="77A7D187" w14:textId="77777777" w:rsidR="00DD3EFA" w:rsidRPr="005A0E7C" w:rsidRDefault="00DD3EFA" w:rsidP="00B15ECB">
            <w:r w:rsidRPr="005A0E7C">
              <w:t>Připravovaná Strategie podpory malého a středního podnikání 2021-2027</w:t>
            </w:r>
          </w:p>
          <w:p w14:paraId="7C1E10B7" w14:textId="77777777" w:rsidR="00DD3EFA" w:rsidRPr="005A0E7C" w:rsidRDefault="00DD3EFA" w:rsidP="00B15ECB">
            <w:r w:rsidRPr="005A0E7C">
              <w:t>Strategie ČR 2030</w:t>
            </w:r>
          </w:p>
          <w:p w14:paraId="2874333E" w14:textId="77777777" w:rsidR="00DD3EFA" w:rsidRPr="005A0E7C" w:rsidRDefault="00DD3EFA" w:rsidP="00B15ECB">
            <w:r w:rsidRPr="005A0E7C">
              <w:t>Národní RIS 3 Strategie, včetně regionálních příloh</w:t>
            </w:r>
          </w:p>
          <w:p w14:paraId="0CDEA79F" w14:textId="77777777" w:rsidR="00DD3EFA" w:rsidRPr="005A0E7C" w:rsidRDefault="00DD3EFA" w:rsidP="00B15ECB">
            <w:r w:rsidRPr="005A0E7C">
              <w:t>Národní plán rozvoje sítí nové generace</w:t>
            </w:r>
          </w:p>
          <w:p w14:paraId="54D126EC" w14:textId="77777777" w:rsidR="00DD3EFA" w:rsidRPr="005A0E7C" w:rsidRDefault="00DD3EFA" w:rsidP="00B15ECB">
            <w:r w:rsidRPr="005A0E7C">
              <w:t>Připravovaný Národní plán rozvoje sítí s velmi vysokou kapacitou</w:t>
            </w:r>
          </w:p>
          <w:p w14:paraId="76CF135B" w14:textId="77777777" w:rsidR="00DD3EFA" w:rsidRPr="005A0E7C" w:rsidRDefault="00DD3EFA" w:rsidP="00B15ECB">
            <w:r w:rsidRPr="005A0E7C">
              <w:t>Akční plán k provedení nedotačních opatření pro podporu plánování a výstavby sítí elektronických komunikací a jeho připravovaná aktualizace</w:t>
            </w:r>
          </w:p>
          <w:p w14:paraId="01269248" w14:textId="77777777" w:rsidR="00DD3EFA" w:rsidRPr="005A0E7C" w:rsidRDefault="00DD3EFA" w:rsidP="00B15ECB">
            <w:r w:rsidRPr="005A0E7C">
              <w:t>Memorandum a Akční plán o budoucnosti automobilového průmyslu v ČR</w:t>
            </w:r>
          </w:p>
        </w:tc>
        <w:tc>
          <w:tcPr>
            <w:tcW w:w="249" w:type="dxa"/>
            <w:tcBorders>
              <w:top w:val="nil"/>
              <w:bottom w:val="nil"/>
            </w:tcBorders>
            <w:shd w:val="clear" w:color="auto" w:fill="66CCFF"/>
          </w:tcPr>
          <w:p w14:paraId="3FC69053" w14:textId="77777777" w:rsidR="00DD3EFA" w:rsidRPr="005A0E7C" w:rsidRDefault="00DD3EFA" w:rsidP="00B15ECB">
            <w:pPr>
              <w:rPr>
                <w:b/>
              </w:rPr>
            </w:pPr>
          </w:p>
        </w:tc>
      </w:tr>
      <w:tr w:rsidR="00DD3EFA" w:rsidRPr="005A0E7C" w14:paraId="751FDD5F" w14:textId="77777777" w:rsidTr="00B15ECB">
        <w:trPr>
          <w:trHeight w:val="938"/>
        </w:trPr>
        <w:tc>
          <w:tcPr>
            <w:tcW w:w="249" w:type="dxa"/>
            <w:tcBorders>
              <w:top w:val="nil"/>
              <w:bottom w:val="nil"/>
            </w:tcBorders>
            <w:shd w:val="clear" w:color="auto" w:fill="66CCFF"/>
          </w:tcPr>
          <w:p w14:paraId="4E9DABD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1D6958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7032180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CD0BE27" w14:textId="77777777" w:rsidR="00DD3EFA" w:rsidRPr="005A0E7C" w:rsidRDefault="00DD3EFA" w:rsidP="00B15ECB">
            <w:pPr>
              <w:rPr>
                <w:rStyle w:val="Hypertextovodkaz"/>
              </w:rPr>
            </w:pPr>
            <w:r w:rsidRPr="005A0E7C">
              <w:t>Žijeme v době vyspělých technologií. Každý den s sebou přináší nové vědecké a technologické objevy. Inovace mají dopad nejen na průmysl, ale i na celou společnost. Rozvoj digitálního prostředí je nezbytnou podmínkou konkurenceschopnosti České republiky.</w:t>
            </w:r>
          </w:p>
          <w:p w14:paraId="7F1BB083"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 xml:space="preserve">Podpora budování infrastruktury pro technologie </w:t>
            </w:r>
            <w:r w:rsidRPr="005A0E7C">
              <w:rPr>
                <w:rFonts w:ascii="Times New Roman" w:hAnsi="Times New Roman"/>
                <w:b/>
              </w:rPr>
              <w:t xml:space="preserve">umělé inteligence, </w:t>
            </w:r>
            <w:r w:rsidRPr="005A0E7C">
              <w:rPr>
                <w:rFonts w:ascii="Times New Roman" w:hAnsi="Times New Roman"/>
              </w:rPr>
              <w:t xml:space="preserve">budování a propojování sítě </w:t>
            </w:r>
            <w:r w:rsidRPr="005A0E7C">
              <w:rPr>
                <w:rFonts w:ascii="Times New Roman" w:hAnsi="Times New Roman"/>
                <w:b/>
              </w:rPr>
              <w:t xml:space="preserve">Digital Innovation Hubs, HPC, </w:t>
            </w:r>
            <w:r w:rsidRPr="005A0E7C">
              <w:rPr>
                <w:rFonts w:ascii="Times New Roman" w:hAnsi="Times New Roman"/>
              </w:rPr>
              <w:t xml:space="preserve">využívání technologie </w:t>
            </w:r>
            <w:r w:rsidRPr="005A0E7C">
              <w:rPr>
                <w:rFonts w:ascii="Times New Roman" w:hAnsi="Times New Roman"/>
                <w:b/>
              </w:rPr>
              <w:t xml:space="preserve">Blockchain </w:t>
            </w:r>
            <w:r w:rsidRPr="005A0E7C">
              <w:rPr>
                <w:rFonts w:ascii="Times New Roman" w:hAnsi="Times New Roman"/>
              </w:rPr>
              <w:t xml:space="preserve">i vysokorychlostního internetu v podnikatelském sektoru je toho nedílnou součástí. </w:t>
            </w:r>
          </w:p>
          <w:p w14:paraId="644F8354" w14:textId="77777777" w:rsidR="00DD3EFA" w:rsidRPr="005A0E7C" w:rsidRDefault="00DD3EFA" w:rsidP="00B15ECB">
            <w:pPr>
              <w:rPr>
                <w:b/>
              </w:rPr>
            </w:pPr>
            <w:r w:rsidRPr="005A0E7C">
              <w:rPr>
                <w:b/>
              </w:rPr>
              <w:t>Digitální ekonomika a společnost (Digitální Česko), schválená vládou 3. října 2018:</w:t>
            </w:r>
          </w:p>
          <w:p w14:paraId="596E2387"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b/>
              </w:rPr>
            </w:pPr>
            <w:r w:rsidRPr="005A0E7C">
              <w:rPr>
                <w:rFonts w:ascii="Times New Roman" w:hAnsi="Times New Roman"/>
                <w:b/>
              </w:rPr>
              <w:t>Východiska:</w:t>
            </w:r>
          </w:p>
          <w:p w14:paraId="7155CF1A"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rPr>
            </w:pPr>
            <w:r w:rsidRPr="005A0E7C">
              <w:rPr>
                <w:rFonts w:ascii="Times New Roman" w:hAnsi="Times New Roman"/>
              </w:rPr>
              <w:t>Mezinárodní benchmark konkurenceschopnosti</w:t>
            </w:r>
          </w:p>
          <w:p w14:paraId="03F70937"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rPr>
            </w:pPr>
            <w:r w:rsidRPr="005A0E7C">
              <w:rPr>
                <w:rFonts w:ascii="Times New Roman" w:hAnsi="Times New Roman"/>
              </w:rPr>
              <w:t xml:space="preserve">Evropské digitalizační trendy </w:t>
            </w:r>
          </w:p>
          <w:p w14:paraId="372944B2"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rPr>
            </w:pPr>
            <w:r w:rsidRPr="005A0E7C">
              <w:rPr>
                <w:rFonts w:ascii="Times New Roman" w:hAnsi="Times New Roman"/>
              </w:rPr>
              <w:t>Priority Evropské komise</w:t>
            </w:r>
          </w:p>
          <w:p w14:paraId="453D1F9B" w14:textId="77777777" w:rsidR="00DD3EFA" w:rsidRPr="005A0E7C" w:rsidRDefault="00DD3EFA" w:rsidP="00391907">
            <w:pPr>
              <w:pStyle w:val="slovanodstavec"/>
              <w:numPr>
                <w:ilvl w:val="0"/>
                <w:numId w:val="3"/>
              </w:numPr>
              <w:tabs>
                <w:tab w:val="clear" w:pos="567"/>
                <w:tab w:val="left" w:pos="284"/>
              </w:tabs>
              <w:suppressAutoHyphens/>
              <w:spacing w:line="240" w:lineRule="auto"/>
              <w:rPr>
                <w:rStyle w:val="Hypertextovodkaz"/>
                <w:rFonts w:ascii="Times New Roman" w:hAnsi="Times New Roman"/>
              </w:rPr>
            </w:pPr>
            <w:r w:rsidRPr="005A0E7C">
              <w:rPr>
                <w:rFonts w:ascii="Times New Roman" w:hAnsi="Times New Roman"/>
              </w:rPr>
              <w:t>Mezinárodní srovnání digitální vyspělosti zemí OECD</w:t>
            </w:r>
          </w:p>
          <w:p w14:paraId="54F246F6"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b/>
              </w:rPr>
            </w:pPr>
            <w:r w:rsidRPr="005A0E7C">
              <w:rPr>
                <w:rFonts w:ascii="Times New Roman" w:hAnsi="Times New Roman"/>
                <w:b/>
              </w:rPr>
              <w:t xml:space="preserve">Problémové okruhy: </w:t>
            </w:r>
          </w:p>
          <w:p w14:paraId="6D993A69"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b/>
              </w:rPr>
            </w:pPr>
            <w:r w:rsidRPr="005A0E7C">
              <w:rPr>
                <w:rFonts w:ascii="Times New Roman" w:hAnsi="Times New Roman"/>
              </w:rPr>
              <w:t xml:space="preserve">nedostatečně rozvinutá infrastruktura pro technologie </w:t>
            </w:r>
            <w:r w:rsidRPr="005A0E7C">
              <w:rPr>
                <w:rFonts w:ascii="Times New Roman" w:hAnsi="Times New Roman"/>
                <w:b/>
              </w:rPr>
              <w:t xml:space="preserve">umělé inteligence, </w:t>
            </w:r>
          </w:p>
          <w:p w14:paraId="2A62AF54"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b/>
              </w:rPr>
            </w:pPr>
            <w:r w:rsidRPr="005A0E7C">
              <w:rPr>
                <w:rFonts w:ascii="Times New Roman" w:hAnsi="Times New Roman"/>
              </w:rPr>
              <w:t xml:space="preserve">nedostatečně propojená síť </w:t>
            </w:r>
            <w:r w:rsidRPr="005A0E7C">
              <w:rPr>
                <w:rFonts w:ascii="Times New Roman" w:hAnsi="Times New Roman"/>
                <w:b/>
              </w:rPr>
              <w:t xml:space="preserve">Digital Innovation Hubs, </w:t>
            </w:r>
          </w:p>
          <w:p w14:paraId="26ECF39F"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b/>
              </w:rPr>
            </w:pPr>
            <w:r w:rsidRPr="005A0E7C">
              <w:rPr>
                <w:rFonts w:ascii="Times New Roman" w:hAnsi="Times New Roman"/>
                <w:b/>
              </w:rPr>
              <w:t xml:space="preserve">nedostatečně využívané HPC, </w:t>
            </w:r>
          </w:p>
          <w:p w14:paraId="6B4AE6E3"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b/>
              </w:rPr>
            </w:pPr>
            <w:r w:rsidRPr="005A0E7C">
              <w:rPr>
                <w:rFonts w:ascii="Times New Roman" w:hAnsi="Times New Roman"/>
              </w:rPr>
              <w:t xml:space="preserve">nedostatečně využívaná technologie </w:t>
            </w:r>
            <w:r w:rsidRPr="005A0E7C">
              <w:rPr>
                <w:rFonts w:ascii="Times New Roman" w:hAnsi="Times New Roman"/>
                <w:b/>
              </w:rPr>
              <w:t>Blockchain</w:t>
            </w:r>
          </w:p>
          <w:p w14:paraId="33888149" w14:textId="77777777" w:rsidR="00DD3EFA" w:rsidRPr="005A0E7C" w:rsidRDefault="00DD3EFA" w:rsidP="00391907">
            <w:pPr>
              <w:pStyle w:val="slovanodstavec"/>
              <w:numPr>
                <w:ilvl w:val="0"/>
                <w:numId w:val="3"/>
              </w:numPr>
              <w:tabs>
                <w:tab w:val="clear" w:pos="567"/>
                <w:tab w:val="left" w:pos="284"/>
              </w:tabs>
              <w:suppressAutoHyphens/>
              <w:spacing w:line="240" w:lineRule="auto"/>
              <w:rPr>
                <w:rFonts w:ascii="Times New Roman" w:hAnsi="Times New Roman"/>
                <w:b/>
              </w:rPr>
            </w:pPr>
            <w:r w:rsidRPr="005A0E7C">
              <w:rPr>
                <w:rFonts w:ascii="Times New Roman" w:hAnsi="Times New Roman"/>
              </w:rPr>
              <w:t>nedostatečně využívaný vysokorychlostní internet v podnikatelském sektoru</w:t>
            </w:r>
          </w:p>
        </w:tc>
        <w:tc>
          <w:tcPr>
            <w:tcW w:w="249" w:type="dxa"/>
            <w:tcBorders>
              <w:top w:val="nil"/>
              <w:bottom w:val="nil"/>
            </w:tcBorders>
            <w:shd w:val="clear" w:color="auto" w:fill="66CCFF"/>
          </w:tcPr>
          <w:p w14:paraId="16D499E0" w14:textId="77777777" w:rsidR="00DD3EFA" w:rsidRPr="005A0E7C" w:rsidRDefault="00DD3EFA" w:rsidP="00B15ECB">
            <w:pPr>
              <w:rPr>
                <w:b/>
              </w:rPr>
            </w:pPr>
          </w:p>
        </w:tc>
      </w:tr>
      <w:tr w:rsidR="00DD3EFA" w:rsidRPr="005A0E7C" w14:paraId="55427B5A" w14:textId="77777777" w:rsidTr="00B15ECB">
        <w:trPr>
          <w:trHeight w:val="938"/>
        </w:trPr>
        <w:tc>
          <w:tcPr>
            <w:tcW w:w="249" w:type="dxa"/>
            <w:tcBorders>
              <w:top w:val="nil"/>
              <w:bottom w:val="nil"/>
            </w:tcBorders>
            <w:shd w:val="clear" w:color="auto" w:fill="66CCFF"/>
          </w:tcPr>
          <w:p w14:paraId="627C6BC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A3FFBF9"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63B2664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E09D3E8"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Základní cíl: podpora českých podnikatelů při zvládnutí technologických a ekonomických rizik a příležitostí digitální ekonomiky a Průmyslu 4.0 a zajištění růst jejich konkurenceschopnosti v digitální éře. </w:t>
            </w:r>
          </w:p>
          <w:p w14:paraId="6A1354A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Opatření: podpora posílení a rozvoje inovačních kompetencí a konkurenceschopnosti podnikatelského sektoru prostřednictvím prvků, systémů a technologií digitální ekonomiky a umělé inteligence, včetně využívání vysokorychlostního internetu.</w:t>
            </w:r>
          </w:p>
          <w:p w14:paraId="02A28D2B" w14:textId="77777777" w:rsidR="00DD3EFA" w:rsidRPr="005A0E7C" w:rsidRDefault="00DD3EFA" w:rsidP="00B15ECB">
            <w:pPr>
              <w:rPr>
                <w:b/>
              </w:rPr>
            </w:pPr>
            <w:r w:rsidRPr="005A0E7C">
              <w:rPr>
                <w:b/>
              </w:rPr>
              <w:t>Digitální ekonomika a společnost (Digitální Česko), schválená vládou 3. října 2018:</w:t>
            </w:r>
          </w:p>
          <w:p w14:paraId="310E5495"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p>
          <w:p w14:paraId="0DCFA72F"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b/>
              </w:rPr>
            </w:pPr>
            <w:r w:rsidRPr="005A0E7C">
              <w:rPr>
                <w:rFonts w:ascii="Times New Roman" w:hAnsi="Times New Roman"/>
                <w:b/>
              </w:rPr>
              <w:t xml:space="preserve">Základní cíl: </w:t>
            </w:r>
          </w:p>
          <w:p w14:paraId="724D7264"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hAnsi="Times New Roman"/>
              </w:rPr>
              <w:t xml:space="preserve">Zvládnutí technologických a ekonomických rizik a příležitostí digitální ekonomiky a Průmyslu 4.0 v podnikatelské sféře a zajištění růst jejich konkurenceschopnosti. </w:t>
            </w:r>
          </w:p>
          <w:p w14:paraId="202A48A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b/>
              </w:rPr>
              <w:t xml:space="preserve">Opatření: </w:t>
            </w:r>
          </w:p>
          <w:p w14:paraId="113154A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Posílení a rozvoj inovačních kompetencí a konkurenceschopnosti podnikatelského sektoru prostřednictvím prvků, systémů a technologií digitální ekonomiky a umělé inteligence, včetně využívání vysokorychlostního internetu.</w:t>
            </w:r>
          </w:p>
        </w:tc>
        <w:tc>
          <w:tcPr>
            <w:tcW w:w="249" w:type="dxa"/>
            <w:tcBorders>
              <w:top w:val="nil"/>
              <w:bottom w:val="nil"/>
            </w:tcBorders>
            <w:shd w:val="clear" w:color="auto" w:fill="66CCFF"/>
          </w:tcPr>
          <w:p w14:paraId="2C8A6B48" w14:textId="77777777" w:rsidR="00DD3EFA" w:rsidRPr="005A0E7C" w:rsidRDefault="00DD3EFA" w:rsidP="00B15ECB">
            <w:pPr>
              <w:rPr>
                <w:b/>
              </w:rPr>
            </w:pPr>
          </w:p>
        </w:tc>
      </w:tr>
      <w:tr w:rsidR="00DD3EFA" w:rsidRPr="005A0E7C" w14:paraId="2A701954" w14:textId="77777777" w:rsidTr="00B15ECB">
        <w:trPr>
          <w:trHeight w:val="938"/>
        </w:trPr>
        <w:tc>
          <w:tcPr>
            <w:tcW w:w="249" w:type="dxa"/>
            <w:tcBorders>
              <w:top w:val="nil"/>
              <w:bottom w:val="nil"/>
            </w:tcBorders>
            <w:shd w:val="clear" w:color="auto" w:fill="66CCFF"/>
          </w:tcPr>
          <w:p w14:paraId="72830F7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8F6793E"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12960DF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1A2EA1E" w14:textId="77777777" w:rsidR="00DD3EFA" w:rsidRPr="005A0E7C" w:rsidRDefault="00DD3EFA" w:rsidP="00391907">
            <w:pPr>
              <w:pStyle w:val="Odstavecseseznamem"/>
              <w:numPr>
                <w:ilvl w:val="0"/>
                <w:numId w:val="3"/>
              </w:numPr>
              <w:jc w:val="both"/>
            </w:pPr>
            <w:r w:rsidRPr="005A0E7C">
              <w:t xml:space="preserve">Základním strategickým dokumentem je Digitální ekonomika a společnost (Digitální Česko), schválená vládou 3. října 2018 a pro jednotlivá opatření jsou připraveny implementační plány k hlavním a dílčím cílům. </w:t>
            </w:r>
          </w:p>
          <w:p w14:paraId="01FC4084" w14:textId="77777777" w:rsidR="00DD3EFA" w:rsidRPr="005A0E7C" w:rsidRDefault="00DD3EFA" w:rsidP="00391907">
            <w:pPr>
              <w:pStyle w:val="Odstavecseseznamem"/>
              <w:numPr>
                <w:ilvl w:val="0"/>
                <w:numId w:val="3"/>
              </w:numPr>
              <w:jc w:val="both"/>
            </w:pPr>
            <w:r w:rsidRPr="005A0E7C">
              <w:t xml:space="preserve">Hlavním řídícím prvkem je meziresortní Výbor Digitální ekonomika a společnost, který spolupracuje zejména s Radou vlády pro informační společnost a dalšími ústředními správními úřady a vybranými nestátními institucemi zabývajícími se problematikou digitalizace. </w:t>
            </w:r>
          </w:p>
          <w:p w14:paraId="4543C399" w14:textId="77777777" w:rsidR="00DD3EFA" w:rsidRPr="005A0E7C" w:rsidRDefault="00DD3EFA" w:rsidP="00391907">
            <w:pPr>
              <w:pStyle w:val="Odstavecseseznamem"/>
              <w:numPr>
                <w:ilvl w:val="0"/>
                <w:numId w:val="3"/>
              </w:numPr>
              <w:jc w:val="both"/>
            </w:pPr>
            <w:r w:rsidRPr="005A0E7C">
              <w:t>Každoroční vyhodnocení a aktualizace plnění  implementačních plánů je zajišťováno Výborem DES a obsahuje popis průběhu plnění hlavních a dílčích cílů.</w:t>
            </w:r>
          </w:p>
        </w:tc>
        <w:tc>
          <w:tcPr>
            <w:tcW w:w="249" w:type="dxa"/>
            <w:tcBorders>
              <w:top w:val="nil"/>
              <w:bottom w:val="nil"/>
            </w:tcBorders>
            <w:shd w:val="clear" w:color="auto" w:fill="66CCFF"/>
          </w:tcPr>
          <w:p w14:paraId="53B38E8A" w14:textId="77777777" w:rsidR="00DD3EFA" w:rsidRPr="005A0E7C" w:rsidRDefault="00DD3EFA" w:rsidP="00B15ECB">
            <w:pPr>
              <w:rPr>
                <w:b/>
              </w:rPr>
            </w:pPr>
          </w:p>
        </w:tc>
      </w:tr>
      <w:tr w:rsidR="00DD3EFA" w:rsidRPr="005A0E7C" w14:paraId="24AF3902" w14:textId="77777777" w:rsidTr="00B15ECB">
        <w:trPr>
          <w:trHeight w:val="938"/>
        </w:trPr>
        <w:tc>
          <w:tcPr>
            <w:tcW w:w="249" w:type="dxa"/>
            <w:tcBorders>
              <w:top w:val="nil"/>
              <w:bottom w:val="nil"/>
            </w:tcBorders>
            <w:shd w:val="clear" w:color="auto" w:fill="66CCFF"/>
          </w:tcPr>
          <w:p w14:paraId="2988732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2B64527"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5587ECE4" w14:textId="77777777" w:rsidR="00DD3EFA" w:rsidRPr="005A0E7C" w:rsidRDefault="00DD3EFA" w:rsidP="00B15ECB">
            <w:r w:rsidRPr="005A0E7C">
              <w:t xml:space="preserve">Základním strategickým dokumentem je Koncepce Digitální ekonomika a společnost (Digitální Česko), schválená vládou 3. října 2018. </w:t>
            </w:r>
          </w:p>
          <w:p w14:paraId="5A97CD41" w14:textId="77777777" w:rsidR="00DD3EFA" w:rsidRPr="005A0E7C" w:rsidRDefault="00DD3EFA" w:rsidP="00391907">
            <w:pPr>
              <w:pStyle w:val="Odstavecseseznamem"/>
              <w:numPr>
                <w:ilvl w:val="0"/>
                <w:numId w:val="83"/>
              </w:numPr>
              <w:jc w:val="both"/>
            </w:pPr>
            <w:r w:rsidRPr="005A0E7C">
              <w:t xml:space="preserve">Monitoring a evaluace se zaměřuje zejména na naplňování cílů z hlediska časového, obsahového a ekonomického. </w:t>
            </w:r>
          </w:p>
          <w:p w14:paraId="0CAA1C12" w14:textId="77777777" w:rsidR="00DD3EFA" w:rsidRPr="005A0E7C" w:rsidRDefault="00DD3EFA" w:rsidP="00391907">
            <w:pPr>
              <w:pStyle w:val="Odstavecseseznamem"/>
              <w:numPr>
                <w:ilvl w:val="0"/>
                <w:numId w:val="83"/>
              </w:numPr>
              <w:tabs>
                <w:tab w:val="left" w:pos="284"/>
              </w:tabs>
              <w:suppressAutoHyphens/>
              <w:rPr>
                <w:i/>
              </w:rPr>
            </w:pPr>
            <w:r w:rsidRPr="005A0E7C">
              <w:t>Každoroční vyhodnocení a aktualizace plnění  implementačních plánů je zajišťováno Výborem DES a obsahuje popis průběhu plnění hlavních a dílčích cílů.</w:t>
            </w:r>
          </w:p>
        </w:tc>
        <w:tc>
          <w:tcPr>
            <w:tcW w:w="249" w:type="dxa"/>
            <w:tcBorders>
              <w:top w:val="nil"/>
              <w:bottom w:val="nil"/>
            </w:tcBorders>
            <w:shd w:val="clear" w:color="auto" w:fill="66CCFF"/>
          </w:tcPr>
          <w:p w14:paraId="75038FC4" w14:textId="77777777" w:rsidR="00DD3EFA" w:rsidRPr="005A0E7C" w:rsidRDefault="00DD3EFA" w:rsidP="00B15ECB">
            <w:pPr>
              <w:rPr>
                <w:b/>
              </w:rPr>
            </w:pPr>
          </w:p>
        </w:tc>
      </w:tr>
      <w:tr w:rsidR="00DD3EFA" w:rsidRPr="005A0E7C" w14:paraId="7C01D9EE" w14:textId="77777777" w:rsidTr="00B15ECB">
        <w:trPr>
          <w:trHeight w:val="130"/>
        </w:trPr>
        <w:tc>
          <w:tcPr>
            <w:tcW w:w="249" w:type="dxa"/>
            <w:tcBorders>
              <w:top w:val="nil"/>
              <w:bottom w:val="nil"/>
              <w:right w:val="nil"/>
            </w:tcBorders>
            <w:shd w:val="clear" w:color="auto" w:fill="66CCFF"/>
          </w:tcPr>
          <w:p w14:paraId="712ABD4B" w14:textId="77777777" w:rsidR="00DD3EFA" w:rsidRPr="005A0E7C" w:rsidRDefault="00DD3EFA" w:rsidP="00B15ECB">
            <w:pPr>
              <w:rPr>
                <w:b/>
              </w:rPr>
            </w:pPr>
          </w:p>
        </w:tc>
        <w:tc>
          <w:tcPr>
            <w:tcW w:w="2548" w:type="dxa"/>
            <w:tcBorders>
              <w:left w:val="nil"/>
              <w:right w:val="nil"/>
            </w:tcBorders>
            <w:shd w:val="clear" w:color="auto" w:fill="66CCFF"/>
          </w:tcPr>
          <w:p w14:paraId="0FACCF99" w14:textId="77777777" w:rsidR="00DD3EFA" w:rsidRPr="005A0E7C" w:rsidRDefault="00DD3EFA" w:rsidP="00B15ECB">
            <w:pPr>
              <w:rPr>
                <w:b/>
              </w:rPr>
            </w:pPr>
          </w:p>
        </w:tc>
        <w:tc>
          <w:tcPr>
            <w:tcW w:w="5978" w:type="dxa"/>
            <w:tcBorders>
              <w:left w:val="nil"/>
              <w:right w:val="nil"/>
            </w:tcBorders>
            <w:shd w:val="clear" w:color="auto" w:fill="66CCFF"/>
          </w:tcPr>
          <w:p w14:paraId="73A4E30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17A6FB42" w14:textId="77777777" w:rsidR="00DD3EFA" w:rsidRPr="005A0E7C" w:rsidRDefault="00DD3EFA" w:rsidP="00B15ECB">
            <w:pPr>
              <w:rPr>
                <w:b/>
              </w:rPr>
            </w:pPr>
          </w:p>
        </w:tc>
      </w:tr>
      <w:tr w:rsidR="00DD3EFA" w:rsidRPr="005A0E7C" w14:paraId="1314C696" w14:textId="77777777" w:rsidTr="00B15ECB">
        <w:trPr>
          <w:trHeight w:val="1258"/>
        </w:trPr>
        <w:tc>
          <w:tcPr>
            <w:tcW w:w="249" w:type="dxa"/>
            <w:tcBorders>
              <w:top w:val="nil"/>
              <w:bottom w:val="nil"/>
              <w:right w:val="nil"/>
            </w:tcBorders>
            <w:shd w:val="clear" w:color="auto" w:fill="66CCFF"/>
          </w:tcPr>
          <w:p w14:paraId="6E12802F" w14:textId="77777777" w:rsidR="00DD3EFA" w:rsidRPr="005A0E7C" w:rsidRDefault="00DD3EFA" w:rsidP="00B15ECB">
            <w:pPr>
              <w:rPr>
                <w:b/>
              </w:rPr>
            </w:pPr>
          </w:p>
        </w:tc>
        <w:tc>
          <w:tcPr>
            <w:tcW w:w="2548" w:type="dxa"/>
            <w:shd w:val="clear" w:color="auto" w:fill="FFFFFF" w:themeFill="background1"/>
          </w:tcPr>
          <w:p w14:paraId="56CC8DAC"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0063F068" w14:textId="77777777" w:rsidR="00DD3EFA" w:rsidRPr="005A0E7C" w:rsidRDefault="00DD3EFA" w:rsidP="00B15ECB">
            <w:pPr>
              <w:pStyle w:val="Textkomente"/>
            </w:pPr>
            <w:r w:rsidRPr="005A0E7C">
              <w:t>Podpora zaměřená přímo na digitální ekonomiku a P 4.0 se vyskytovala pouze v malé míře v rámci rozvoje základního předpokladu k inovacím např. motivaci k využití inovačních služeb.</w:t>
            </w:r>
            <w:r w:rsidRPr="005A0E7C" w:rsidDel="00BE0F97">
              <w:t xml:space="preserve"> </w:t>
            </w:r>
            <w:r w:rsidRPr="005A0E7C">
              <w:t xml:space="preserve">V rámci OP PIK byla koncem roku 2017 vyhlášena pilotní výzva, a to VII. Výzva Technologie. </w:t>
            </w:r>
            <w:r w:rsidRPr="005A0E7C">
              <w:rPr>
                <w:lang w:eastAsia="cs-CZ"/>
              </w:rPr>
              <w:t xml:space="preserve">Cílem výzvy je podpořit růst výkonů a konkurenceschopnosti malých a středních podniků pomocí investice do nových technologií v souladu s teorií čtvrté průmyslové revoluce. Základem projektů je automatizace výroby a zavádění digitální transformace související s výrobními procesy. V současnosti stále probíhá příjem žádostí. </w:t>
            </w:r>
            <w:r w:rsidRPr="005A0E7C">
              <w:t xml:space="preserve">Přestože se v rámci OP PIK již delší dobu připravuje i výzva Technologie 4.0, nezbytně v dosavadním využití dosud chybí jeden z klíčových prvků nových technologií a to je technologické propojení znalostních domén.Koncem roku 2018 byla vyhlášena Výzva IX. programu Technologie, která je rovněž zaměřena na podporu </w:t>
            </w:r>
            <w:r w:rsidRPr="005A0E7C">
              <w:rPr>
                <w:lang w:eastAsia="cs-CZ"/>
              </w:rPr>
              <w:t>růstu a posilování konkurenceschopnosti malých a středních podniků prostřednictvím digitální transformace. Konkrétně se zaměřovala</w:t>
            </w:r>
          </w:p>
          <w:p w14:paraId="150A6EFF"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na zvyšování digitální úrovně a akcelerování digitální transformace MSP, tj. implementace komunikačních a výrobních zařízení, která jsou kompatibilní a interoperabilní v rámci globálních odběratelsko-dodavatelských řetězců. Novým a stěžejním prvkem v hodnocení projektů bylo posouzení komplexního plánu digitální transformace společnosti, který žadatel popsal v Podnikatelském záměru. Žadatel uvedl, jaké technologie, postupy a procesy v současnosti používá spolu s prvky digitalizace, jež bude využívat buď zcela nově či výraznější měrou po realizaci projektu.</w:t>
            </w:r>
          </w:p>
          <w:p w14:paraId="4C50DC5E"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Výzvy byly určené  pro malé a střední podniky s minimálně 3letou podnikatelskou historií.</w:t>
            </w:r>
          </w:p>
          <w:p w14:paraId="5522DF0A" w14:textId="77777777" w:rsidR="00DD3EFA" w:rsidRPr="005A0E7C" w:rsidRDefault="00DD3EFA" w:rsidP="00B15ECB">
            <w:pPr>
              <w:pStyle w:val="Default"/>
              <w:jc w:val="both"/>
              <w:rPr>
                <w:rFonts w:ascii="Times New Roman" w:hAnsi="Times New Roman" w:cs="Times New Roman"/>
                <w:sz w:val="20"/>
                <w:szCs w:val="20"/>
              </w:rPr>
            </w:pPr>
            <w:r w:rsidRPr="005A0E7C">
              <w:rPr>
                <w:rFonts w:ascii="Times New Roman" w:hAnsi="Times New Roman" w:cs="Times New Roman"/>
                <w:sz w:val="20"/>
                <w:szCs w:val="20"/>
              </w:rPr>
              <w:t>Podpora ve výši 1 - 20 mil. Kč byla určena na pořízení DHM (technologie, hardware) a DNM (software, licence a data).</w:t>
            </w:r>
          </w:p>
          <w:p w14:paraId="35D36D55" w14:textId="77777777" w:rsidR="00DD3EFA" w:rsidRPr="005A0E7C" w:rsidRDefault="00DD3EFA" w:rsidP="00B15ECB">
            <w:pPr>
              <w:pStyle w:val="Textkomente"/>
              <w:rPr>
                <w:lang w:eastAsia="cs-CZ"/>
              </w:rPr>
            </w:pPr>
          </w:p>
          <w:p w14:paraId="0B162289" w14:textId="77777777" w:rsidR="00DD3EFA" w:rsidRPr="005A0E7C" w:rsidRDefault="00DD3EFA" w:rsidP="00B15ECB">
            <w:pPr>
              <w:pStyle w:val="slovanodstavec"/>
              <w:tabs>
                <w:tab w:val="clear" w:pos="567"/>
                <w:tab w:val="left" w:pos="284"/>
              </w:tabs>
              <w:suppressAutoHyphens/>
              <w:spacing w:after="0" w:line="240" w:lineRule="auto"/>
              <w:rPr>
                <w:rFonts w:ascii="Times New Roman" w:hAnsi="Times New Roman"/>
              </w:rPr>
            </w:pPr>
            <w:r w:rsidRPr="005A0E7C">
              <w:rPr>
                <w:rFonts w:ascii="Times New Roman" w:eastAsia="Times New Roman" w:hAnsi="Times New Roman"/>
                <w:lang w:eastAsia="cs-CZ"/>
              </w:rPr>
              <w:t>V budoucím období lze však očekávat směřování podpory v souladu s národním dokumentem Digitální ekonomika a společnost (Digitální Česko) a Průmysl 4.0 a vymezenými oblastmi a směry vývoje.</w:t>
            </w:r>
          </w:p>
          <w:p w14:paraId="6B378E46" w14:textId="77777777" w:rsidR="00DD3EFA" w:rsidRPr="005A0E7C" w:rsidRDefault="00DD3EFA" w:rsidP="00B15ECB">
            <w:pPr>
              <w:rPr>
                <w:b/>
              </w:rPr>
            </w:pPr>
          </w:p>
        </w:tc>
        <w:tc>
          <w:tcPr>
            <w:tcW w:w="249" w:type="dxa"/>
            <w:tcBorders>
              <w:top w:val="nil"/>
              <w:left w:val="nil"/>
              <w:bottom w:val="nil"/>
            </w:tcBorders>
            <w:shd w:val="clear" w:color="auto" w:fill="66CCFF"/>
          </w:tcPr>
          <w:p w14:paraId="4D5A0F96" w14:textId="77777777" w:rsidR="00DD3EFA" w:rsidRPr="005A0E7C" w:rsidRDefault="00DD3EFA" w:rsidP="00B15ECB">
            <w:pPr>
              <w:rPr>
                <w:b/>
              </w:rPr>
            </w:pPr>
          </w:p>
        </w:tc>
      </w:tr>
      <w:tr w:rsidR="00DD3EFA" w:rsidRPr="005A0E7C" w14:paraId="6C6F246C" w14:textId="77777777" w:rsidTr="00B15ECB">
        <w:trPr>
          <w:trHeight w:val="1258"/>
        </w:trPr>
        <w:tc>
          <w:tcPr>
            <w:tcW w:w="249" w:type="dxa"/>
            <w:tcBorders>
              <w:top w:val="nil"/>
              <w:bottom w:val="nil"/>
              <w:right w:val="nil"/>
            </w:tcBorders>
            <w:shd w:val="clear" w:color="auto" w:fill="66CCFF"/>
          </w:tcPr>
          <w:p w14:paraId="1F131AD9" w14:textId="77777777" w:rsidR="00DD3EFA" w:rsidRPr="005A0E7C" w:rsidRDefault="00DD3EFA" w:rsidP="00B15ECB">
            <w:pPr>
              <w:rPr>
                <w:b/>
              </w:rPr>
            </w:pPr>
          </w:p>
        </w:tc>
        <w:tc>
          <w:tcPr>
            <w:tcW w:w="2548" w:type="dxa"/>
            <w:shd w:val="clear" w:color="auto" w:fill="FFFFFF" w:themeFill="background1"/>
          </w:tcPr>
          <w:p w14:paraId="3AF9ACB5" w14:textId="77777777" w:rsidR="00DD3EFA" w:rsidRPr="005A0E7C" w:rsidRDefault="00DD3EFA" w:rsidP="00B15ECB">
            <w:pPr>
              <w:rPr>
                <w:rFonts w:eastAsiaTheme="majorEastAsia"/>
                <w:b/>
              </w:rPr>
            </w:pPr>
            <w:r w:rsidRPr="005A0E7C">
              <w:rPr>
                <w:rFonts w:eastAsiaTheme="majorEastAsia"/>
                <w:b/>
              </w:rPr>
              <w:t>Věcný posun oblasti</w:t>
            </w:r>
          </w:p>
          <w:p w14:paraId="1763663C"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5B55D467" w14:textId="77777777" w:rsidR="00DD3EFA" w:rsidRPr="005A0E7C" w:rsidRDefault="00DD3EFA" w:rsidP="00B15ECB">
            <w:pPr>
              <w:spacing w:before="60"/>
              <w:rPr>
                <w:rFonts w:eastAsiaTheme="majorEastAsia"/>
              </w:rPr>
            </w:pPr>
            <w:r w:rsidRPr="005A0E7C">
              <w:rPr>
                <w:rFonts w:eastAsiaTheme="majorEastAsia"/>
              </w:rPr>
              <w:t>V období 2007–2013 byly tyto aktivity předmětem podpory pouze částečně, a to v programech podpory ICT a stategické služby, ICT v podnicích OPPI. Ty byly předmětem hodnocení v rámci Ex-post evaluace OPPI:</w:t>
            </w:r>
          </w:p>
          <w:p w14:paraId="06C24DA3" w14:textId="77777777" w:rsidR="00DD3EFA" w:rsidRPr="005A0E7C" w:rsidRDefault="00DD3EFA" w:rsidP="00B15ECB">
            <w:pPr>
              <w:spacing w:before="60"/>
              <w:rPr>
                <w:rFonts w:eastAsiaTheme="majorEastAsia"/>
              </w:rPr>
            </w:pPr>
            <w:r w:rsidRPr="005A0E7C">
              <w:rPr>
                <w:rFonts w:eastAsiaTheme="majorEastAsia"/>
              </w:rPr>
              <w:t>ICT a stategické služby a ICT v podnicích: „V rámci programu došlo k naplnění všech plánovaných cílů, což dokazuje naplnění jednotlivých monitorovacích indikátorů. Z výsledků případových studií vyplývá, že tyto investice přispívají ke zvýšení konkurenceschopnosti podpořených firem, potažmo i k posílení sektoru ICT a služeb v rámci české ekonomiky. Závěr: Operační cíl byl v rámci realizace programu naplněn.“</w:t>
            </w:r>
          </w:p>
          <w:p w14:paraId="67290E00" w14:textId="77777777" w:rsidR="00DD3EFA" w:rsidRPr="005A0E7C" w:rsidRDefault="00DD3EFA" w:rsidP="00B15ECB">
            <w:pPr>
              <w:spacing w:before="60"/>
              <w:rPr>
                <w:rFonts w:eastAsiaTheme="majorEastAsia"/>
              </w:rPr>
            </w:pPr>
          </w:p>
          <w:p w14:paraId="2D0B0126" w14:textId="77777777" w:rsidR="00DD3EFA" w:rsidRPr="005A0E7C" w:rsidRDefault="00DD3EFA" w:rsidP="00B15ECB">
            <w:pPr>
              <w:rPr>
                <w:rFonts w:eastAsiaTheme="majorEastAsia"/>
              </w:rPr>
            </w:pPr>
            <w:r w:rsidRPr="005A0E7C">
              <w:rPr>
                <w:rFonts w:eastAsiaTheme="majorEastAsia"/>
              </w:rPr>
              <w:t xml:space="preserve">Za období 2014–2020 vyhodnocení probíhá v těchto dnech. Jde o Výsledkovou evaluaci 4.2 OP PIK  (SC zde1 není předmětem hodnocení, jelikož </w:t>
            </w:r>
            <w:r w:rsidRPr="005A0E7C">
              <w:t>jej nelze pro nedostatek proplacených projektů vyhodnotit).</w:t>
            </w:r>
            <w:r w:rsidRPr="005A0E7C">
              <w:rPr>
                <w:rFonts w:eastAsiaTheme="majorEastAsia"/>
              </w:rPr>
              <w:t xml:space="preserve"> Dne 1. 2. 2019 byla předána Vstupní zpráva, Závěrečná zpráva se předpokládá v červnu 2019.</w:t>
            </w:r>
          </w:p>
        </w:tc>
        <w:tc>
          <w:tcPr>
            <w:tcW w:w="249" w:type="dxa"/>
            <w:tcBorders>
              <w:top w:val="nil"/>
              <w:left w:val="nil"/>
              <w:bottom w:val="nil"/>
            </w:tcBorders>
            <w:shd w:val="clear" w:color="auto" w:fill="66CCFF"/>
          </w:tcPr>
          <w:p w14:paraId="1A37DEE8" w14:textId="77777777" w:rsidR="00DD3EFA" w:rsidRPr="005A0E7C" w:rsidRDefault="00DD3EFA" w:rsidP="00B15ECB">
            <w:pPr>
              <w:rPr>
                <w:b/>
              </w:rPr>
            </w:pPr>
          </w:p>
        </w:tc>
      </w:tr>
      <w:tr w:rsidR="00DD3EFA" w:rsidRPr="005A0E7C" w14:paraId="22726FAA" w14:textId="77777777" w:rsidTr="00B15ECB">
        <w:trPr>
          <w:trHeight w:val="1258"/>
        </w:trPr>
        <w:tc>
          <w:tcPr>
            <w:tcW w:w="249" w:type="dxa"/>
            <w:tcBorders>
              <w:top w:val="nil"/>
              <w:bottom w:val="nil"/>
              <w:right w:val="nil"/>
            </w:tcBorders>
            <w:shd w:val="clear" w:color="auto" w:fill="66CCFF"/>
          </w:tcPr>
          <w:p w14:paraId="7ED541A3" w14:textId="77777777" w:rsidR="00DD3EFA" w:rsidRPr="005A0E7C" w:rsidRDefault="00DD3EFA" w:rsidP="00B15ECB">
            <w:pPr>
              <w:rPr>
                <w:b/>
              </w:rPr>
            </w:pPr>
          </w:p>
        </w:tc>
        <w:tc>
          <w:tcPr>
            <w:tcW w:w="2548" w:type="dxa"/>
            <w:shd w:val="clear" w:color="auto" w:fill="FFFFFF" w:themeFill="background1"/>
          </w:tcPr>
          <w:p w14:paraId="5643F489" w14:textId="77777777" w:rsidR="00DD3EFA" w:rsidRPr="005A0E7C" w:rsidRDefault="00DD3EFA" w:rsidP="00B15ECB">
            <w:pPr>
              <w:rPr>
                <w:rFonts w:eastAsiaTheme="majorEastAsia"/>
                <w:b/>
              </w:rPr>
            </w:pPr>
            <w:r w:rsidRPr="005A0E7C">
              <w:rPr>
                <w:rFonts w:eastAsiaTheme="majorEastAsia"/>
                <w:b/>
              </w:rPr>
              <w:t>Synergické a multiplikační efekty</w:t>
            </w:r>
          </w:p>
          <w:p w14:paraId="08092262"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6178D1AE" w14:textId="77777777" w:rsidR="00DD3EFA" w:rsidRPr="005A0E7C" w:rsidRDefault="00DD3EFA" w:rsidP="00B15ECB">
            <w:pPr>
              <w:pStyle w:val="slovanodstavec"/>
              <w:tabs>
                <w:tab w:val="clear" w:pos="567"/>
                <w:tab w:val="left" w:pos="284"/>
              </w:tabs>
              <w:suppressAutoHyphens/>
              <w:spacing w:line="240" w:lineRule="auto"/>
              <w:rPr>
                <w:rFonts w:ascii="Times New Roman" w:hAnsi="Times New Roman"/>
              </w:rPr>
            </w:pPr>
            <w:r w:rsidRPr="005A0E7C">
              <w:rPr>
                <w:rFonts w:ascii="Times New Roman" w:hAnsi="Times New Roman"/>
              </w:rPr>
              <w:t>Vytvoření funkčních synergických a komplementárních vazeb využitím evropských prostředků na národní úrovni v rámci OPPIK a účastí českých inovativních MSP v Rámcovém programu pro výzkum a inovace Horizont 2020 se ukázala jako problematická (rozdílná implementační pravidla, sladění časového harmonogramu obou nástrojů) – za daný specifický cíl nebyla vyhlášena žádná výzva.</w:t>
            </w:r>
          </w:p>
          <w:p w14:paraId="7310F65F" w14:textId="77777777" w:rsidR="00DD3EFA" w:rsidRPr="005A0E7C" w:rsidRDefault="00DD3EFA" w:rsidP="00B15ECB">
            <w:r w:rsidRPr="005A0E7C">
              <w:t xml:space="preserve">Pro rozvoj a využití digitálních technologií nebyly v období 2014 – 2020 vypsány žádné specifické programy. Tyto aktivity byly rozvíjeny v rámci programů výzkumu a vývoje na národní a evropské úrovni, přičemž účast českých inovativních MSP v programu DIGITAL EUROPE se ukázala jako neuspokojivá. </w:t>
            </w:r>
          </w:p>
          <w:p w14:paraId="6CC88582" w14:textId="77777777" w:rsidR="00DD3EFA" w:rsidRPr="005A0E7C" w:rsidRDefault="00DD3EFA" w:rsidP="00B15ECB"/>
          <w:p w14:paraId="63B6B4C0" w14:textId="77777777" w:rsidR="00DD3EFA" w:rsidRPr="005A0E7C" w:rsidRDefault="00DD3EFA" w:rsidP="00B15ECB">
            <w:r w:rsidRPr="005A0E7C">
              <w:t>Motivace k účasti českých podnikatelských subjektů v evropských podnikatelských programech byla zejména s ohledem na jejich komplikovanost a nízkou míru úspěšnosti uchazečů nedostatečná.</w:t>
            </w:r>
          </w:p>
        </w:tc>
        <w:tc>
          <w:tcPr>
            <w:tcW w:w="249" w:type="dxa"/>
            <w:tcBorders>
              <w:top w:val="nil"/>
              <w:left w:val="nil"/>
              <w:bottom w:val="nil"/>
            </w:tcBorders>
            <w:shd w:val="clear" w:color="auto" w:fill="66CCFF"/>
          </w:tcPr>
          <w:p w14:paraId="73411292" w14:textId="77777777" w:rsidR="00DD3EFA" w:rsidRPr="005A0E7C" w:rsidRDefault="00DD3EFA" w:rsidP="00B15ECB">
            <w:pPr>
              <w:rPr>
                <w:b/>
              </w:rPr>
            </w:pPr>
          </w:p>
        </w:tc>
      </w:tr>
      <w:tr w:rsidR="00DD3EFA" w:rsidRPr="005A0E7C" w14:paraId="2704BF7E" w14:textId="77777777" w:rsidTr="00B15ECB">
        <w:trPr>
          <w:trHeight w:val="180"/>
        </w:trPr>
        <w:tc>
          <w:tcPr>
            <w:tcW w:w="249" w:type="dxa"/>
            <w:tcBorders>
              <w:top w:val="nil"/>
              <w:bottom w:val="nil"/>
              <w:right w:val="nil"/>
            </w:tcBorders>
            <w:shd w:val="clear" w:color="auto" w:fill="66CCFF"/>
          </w:tcPr>
          <w:p w14:paraId="1B3293B8"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7E59ADD7"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16F138E" w14:textId="77777777" w:rsidR="00DD3EFA" w:rsidRPr="005A0E7C" w:rsidRDefault="00DD3EFA" w:rsidP="00B15ECB">
            <w:pPr>
              <w:rPr>
                <w:b/>
              </w:rPr>
            </w:pPr>
          </w:p>
        </w:tc>
        <w:tc>
          <w:tcPr>
            <w:tcW w:w="249" w:type="dxa"/>
            <w:tcBorders>
              <w:top w:val="nil"/>
              <w:left w:val="nil"/>
              <w:bottom w:val="nil"/>
            </w:tcBorders>
            <w:shd w:val="clear" w:color="auto" w:fill="66CCFF"/>
          </w:tcPr>
          <w:p w14:paraId="2D4E1191" w14:textId="77777777" w:rsidR="00DD3EFA" w:rsidRPr="005A0E7C" w:rsidRDefault="00DD3EFA" w:rsidP="00B15ECB">
            <w:pPr>
              <w:rPr>
                <w:b/>
              </w:rPr>
            </w:pPr>
          </w:p>
        </w:tc>
      </w:tr>
      <w:tr w:rsidR="00DD3EFA" w:rsidRPr="005A0E7C" w14:paraId="405BD184" w14:textId="77777777" w:rsidTr="00B15ECB">
        <w:trPr>
          <w:trHeight w:val="990"/>
        </w:trPr>
        <w:tc>
          <w:tcPr>
            <w:tcW w:w="249" w:type="dxa"/>
            <w:tcBorders>
              <w:top w:val="nil"/>
              <w:bottom w:val="nil"/>
            </w:tcBorders>
            <w:shd w:val="clear" w:color="auto" w:fill="66CCFF"/>
          </w:tcPr>
          <w:p w14:paraId="7C331A1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F7DC677"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2733ADDB"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04A1703F" w14:textId="77777777" w:rsidR="00DD3EFA" w:rsidRPr="005A0E7C" w:rsidRDefault="00DD3EFA" w:rsidP="00B15ECB">
            <w:pPr>
              <w:rPr>
                <w:b/>
              </w:rPr>
            </w:pPr>
          </w:p>
        </w:tc>
      </w:tr>
      <w:tr w:rsidR="00DD3EFA" w:rsidRPr="005A0E7C" w14:paraId="5C84AE98" w14:textId="77777777" w:rsidTr="00B15ECB">
        <w:trPr>
          <w:trHeight w:val="1260"/>
        </w:trPr>
        <w:tc>
          <w:tcPr>
            <w:tcW w:w="249" w:type="dxa"/>
            <w:tcBorders>
              <w:top w:val="nil"/>
              <w:bottom w:val="nil"/>
            </w:tcBorders>
            <w:shd w:val="clear" w:color="auto" w:fill="66CCFF"/>
          </w:tcPr>
          <w:p w14:paraId="1D818A6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DA63B0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3D3421B6" w14:textId="77777777" w:rsidR="00DD3EFA" w:rsidRPr="005A0E7C" w:rsidRDefault="00DD3EFA" w:rsidP="00B15ECB">
            <w:pPr>
              <w:rPr>
                <w:color w:val="000000" w:themeColor="text1"/>
              </w:rPr>
            </w:pPr>
            <w:r w:rsidRPr="005A0E7C">
              <w:rPr>
                <w:color w:val="000000" w:themeColor="text1"/>
              </w:rPr>
              <w:t>V případě SC 2.1 nebyla absorpční kapacita naplněna u výzev programu Technologie zaměřených na digitální transformaci. Lze se domnívat, že na relativně nízkém zájmu, zejména o první výzvu, a na její úspěšnosti, která byla méně než 50% doporučených projektů, mohla mít podíl samotná novost této výzvy, kdy potencionální příjemci neporozuměli jejímu účelu a neměli zkušenosti s nově nastaveným model hodnocením a významem jednotlivých kritérií pro hodnocení.</w:t>
            </w:r>
          </w:p>
          <w:p w14:paraId="13FE219B" w14:textId="77777777" w:rsidR="00DD3EFA" w:rsidRPr="005A0E7C" w:rsidRDefault="00DD3EFA" w:rsidP="00B15ECB">
            <w:pPr>
              <w:rPr>
                <w:color w:val="000000" w:themeColor="text1"/>
              </w:rPr>
            </w:pPr>
            <w:r w:rsidRPr="005A0E7C">
              <w:rPr>
                <w:color w:val="000000" w:themeColor="text1"/>
              </w:rPr>
              <w:t>Z tohoto důvodu byly u dalších výzev organizovány semináře pro žadatele za účelem jeich představení a seznámení žadatelů s nastavenými podmínkami a modelem hodnocení. O informace k těmto výzvám byl velký zájem a jejich propagace přispěla k popularizaci implementaci Průmyslu 4.0 do podnikových strategií.</w:t>
            </w:r>
          </w:p>
          <w:p w14:paraId="175BECA9" w14:textId="77777777" w:rsidR="00DD3EFA" w:rsidRPr="005A0E7C" w:rsidRDefault="00DD3EFA" w:rsidP="00B15ECB">
            <w:pPr>
              <w:rPr>
                <w:rFonts w:eastAsiaTheme="majorEastAsia"/>
                <w:color w:val="000000" w:themeColor="text1"/>
              </w:rPr>
            </w:pPr>
            <w:r w:rsidRPr="005A0E7C">
              <w:rPr>
                <w:rFonts w:eastAsiaTheme="majorEastAsia"/>
                <w:color w:val="000000" w:themeColor="text1"/>
              </w:rPr>
              <w:t>Nastavená absorpční kapacita pro SC 4.2 Zvýšit využití potenciálu ICT sektoru pro konkurenceschopnost ekonomiky v OPPIK byla adekvátní, což je zřejmé z reálného čerpání tohoto SC, kdy bude vyčerpána celková alokace 6 mld Kč.</w:t>
            </w:r>
          </w:p>
          <w:p w14:paraId="3C92CF75" w14:textId="77777777" w:rsidR="00DD3EFA" w:rsidRPr="005A0E7C" w:rsidRDefault="00DD3EFA" w:rsidP="00B15ECB">
            <w:pPr>
              <w:rPr>
                <w:rFonts w:eastAsiaTheme="majorEastAsia"/>
                <w:color w:val="000000" w:themeColor="text1"/>
              </w:rPr>
            </w:pPr>
            <w:r w:rsidRPr="005A0E7C">
              <w:rPr>
                <w:rFonts w:eastAsiaTheme="majorEastAsia"/>
                <w:color w:val="000000" w:themeColor="text1"/>
              </w:rPr>
              <w:t xml:space="preserve">Pro SC 4.1 Zvětši pokrytí vysokorychlostním připojením k internetu je realizován akční plán a zde jsou ojektivní potíže s čerpáním zapříčiněné složitostí veřejné podpory, což se také odráží v celkovém čerpání členských státu v této aktivitě. Pro ČR šlo o zcela novou aktivitu. </w:t>
            </w:r>
          </w:p>
        </w:tc>
        <w:tc>
          <w:tcPr>
            <w:tcW w:w="249" w:type="dxa"/>
            <w:tcBorders>
              <w:top w:val="nil"/>
              <w:bottom w:val="nil"/>
            </w:tcBorders>
            <w:shd w:val="clear" w:color="auto" w:fill="66CCFF"/>
          </w:tcPr>
          <w:p w14:paraId="672DA0F4" w14:textId="77777777" w:rsidR="00DD3EFA" w:rsidRPr="005A0E7C" w:rsidRDefault="00DD3EFA" w:rsidP="00B15ECB">
            <w:pPr>
              <w:rPr>
                <w:b/>
              </w:rPr>
            </w:pPr>
          </w:p>
        </w:tc>
      </w:tr>
      <w:tr w:rsidR="00DD3EFA" w:rsidRPr="005A0E7C" w14:paraId="01792C6A" w14:textId="77777777" w:rsidTr="00B15ECB">
        <w:trPr>
          <w:trHeight w:val="850"/>
        </w:trPr>
        <w:tc>
          <w:tcPr>
            <w:tcW w:w="249" w:type="dxa"/>
            <w:tcBorders>
              <w:top w:val="nil"/>
              <w:bottom w:val="nil"/>
            </w:tcBorders>
            <w:shd w:val="clear" w:color="auto" w:fill="66CCFF"/>
          </w:tcPr>
          <w:p w14:paraId="692AE40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D7A75C0"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4E0409BC" w14:textId="77777777" w:rsidR="00DD3EFA" w:rsidRPr="005A0E7C" w:rsidRDefault="00DD3EFA" w:rsidP="00B15ECB">
            <w:pPr>
              <w:spacing w:before="60" w:after="60"/>
              <w:rPr>
                <w:rFonts w:eastAsiaTheme="majorEastAsia"/>
              </w:rPr>
            </w:pPr>
            <w:r w:rsidRPr="005A0E7C">
              <w:rPr>
                <w:rFonts w:eastAsiaTheme="majorEastAsia"/>
              </w:rPr>
              <w:t xml:space="preserve">Poptávka po realizaci vývojových projektů v oblasti IT je v rámci ČR veliká. IT má v ČR dlouholetou historii a světové renomé. Udržení vývojových společností v ČR  je důležite pro další ekonomický růst. </w:t>
            </w:r>
          </w:p>
          <w:p w14:paraId="0BF659FA" w14:textId="77777777" w:rsidR="00DD3EFA" w:rsidRPr="005A0E7C" w:rsidRDefault="00DD3EFA" w:rsidP="00B15ECB">
            <w:r w:rsidRPr="005A0E7C">
              <w:rPr>
                <w:rFonts w:eastAsiaTheme="majorEastAsia"/>
              </w:rPr>
              <w:t xml:space="preserve">MPO v současnosti řeší/soutěží </w:t>
            </w:r>
            <w:r w:rsidRPr="005A0E7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04E675C9" w14:textId="77777777" w:rsidR="00DD3EFA" w:rsidRPr="005A0E7C" w:rsidRDefault="00DD3EFA" w:rsidP="00B15ECB">
            <w:r w:rsidRPr="005A0E7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184148B5" w14:textId="77777777" w:rsidR="00DD3EFA" w:rsidRPr="005A0E7C" w:rsidRDefault="00DD3EFA" w:rsidP="00B15ECB"/>
          <w:p w14:paraId="1B8F136F" w14:textId="77777777" w:rsidR="00DD3EFA" w:rsidRPr="005A0E7C" w:rsidRDefault="00DD3EFA" w:rsidP="00B15ECB">
            <w:pPr>
              <w:pStyle w:val="Nadpis2"/>
              <w:tabs>
                <w:tab w:val="left" w:pos="3945"/>
              </w:tabs>
              <w:spacing w:after="90"/>
              <w:outlineLvl w:val="1"/>
              <w:rPr>
                <w:rFonts w:ascii="Times New Roman" w:hAnsi="Times New Roman" w:cs="Times New Roman"/>
                <w:b w:val="0"/>
                <w:color w:val="auto"/>
                <w:sz w:val="20"/>
                <w:szCs w:val="20"/>
              </w:rPr>
            </w:pPr>
            <w:r w:rsidRPr="005A0E7C">
              <w:rPr>
                <w:rFonts w:ascii="Times New Roman" w:hAnsi="Times New Roman" w:cs="Times New Roman"/>
                <w:color w:val="auto"/>
                <w:sz w:val="20"/>
                <w:szCs w:val="20"/>
              </w:rPr>
              <w:t>Analytické otázky:</w:t>
            </w:r>
          </w:p>
          <w:p w14:paraId="5AE94E55" w14:textId="77777777" w:rsidR="00DD3EFA" w:rsidRPr="005A0E7C" w:rsidRDefault="00DD3EFA" w:rsidP="00B15ECB">
            <w:r w:rsidRPr="005A0E7C">
              <w:t xml:space="preserve">1. Do jaké míry byla naplněna plánovaná absorpční kapacita v současném a minulém programovém období (tj. 2014 - 2020 a 2007 - 2013)? Očekávání vs. realita. </w:t>
            </w:r>
          </w:p>
          <w:p w14:paraId="436EF7E2" w14:textId="77777777" w:rsidR="00DD3EFA" w:rsidRPr="005A0E7C" w:rsidRDefault="00DD3EFA" w:rsidP="00B15ECB">
            <w:r w:rsidRPr="005A0E7C">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13286D40" w14:textId="77777777" w:rsidR="00DD3EFA" w:rsidRPr="005A0E7C" w:rsidRDefault="00DD3EFA" w:rsidP="00B15ECB">
            <w:r w:rsidRPr="005A0E7C">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10F3E30E" w14:textId="77777777" w:rsidR="00DD3EFA" w:rsidRPr="005A0E7C" w:rsidRDefault="00DD3EFA" w:rsidP="00B15ECB">
            <w:r w:rsidRPr="005A0E7C">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775A4967" w14:textId="77777777" w:rsidR="00DD3EFA" w:rsidRPr="005A0E7C" w:rsidRDefault="00DD3EFA" w:rsidP="00B15ECB">
            <w:pPr>
              <w:spacing w:before="60" w:after="60"/>
              <w:rPr>
                <w:rFonts w:eastAsiaTheme="majorEastAsia"/>
              </w:rPr>
            </w:pPr>
            <w:r w:rsidRPr="005A0E7C">
              <w:t>5. Jaké jsou návrhy opatření na odstranění bariér?</w:t>
            </w:r>
          </w:p>
        </w:tc>
        <w:tc>
          <w:tcPr>
            <w:tcW w:w="249" w:type="dxa"/>
            <w:tcBorders>
              <w:top w:val="nil"/>
              <w:bottom w:val="nil"/>
            </w:tcBorders>
            <w:shd w:val="clear" w:color="auto" w:fill="66CCFF"/>
          </w:tcPr>
          <w:p w14:paraId="5DBEF2E5" w14:textId="77777777" w:rsidR="00DD3EFA" w:rsidRPr="005A0E7C" w:rsidRDefault="00DD3EFA" w:rsidP="00B15ECB">
            <w:pPr>
              <w:rPr>
                <w:b/>
              </w:rPr>
            </w:pPr>
          </w:p>
        </w:tc>
      </w:tr>
      <w:tr w:rsidR="00DD3EFA" w:rsidRPr="005A0E7C" w14:paraId="3A70DD58" w14:textId="77777777" w:rsidTr="00B15ECB">
        <w:trPr>
          <w:trHeight w:val="925"/>
        </w:trPr>
        <w:tc>
          <w:tcPr>
            <w:tcW w:w="249" w:type="dxa"/>
            <w:tcBorders>
              <w:top w:val="nil"/>
              <w:bottom w:val="nil"/>
            </w:tcBorders>
            <w:shd w:val="clear" w:color="auto" w:fill="66CCFF"/>
          </w:tcPr>
          <w:p w14:paraId="20A97D3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136060C"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3092AF86" w14:textId="77777777" w:rsidR="00DD3EFA" w:rsidRPr="005A0E7C" w:rsidRDefault="00DD3EFA" w:rsidP="00B15ECB">
            <w:pPr>
              <w:spacing w:before="60" w:after="60"/>
              <w:rPr>
                <w:rFonts w:eastAsiaTheme="majorEastAsia"/>
              </w:rPr>
            </w:pPr>
            <w:r w:rsidRPr="005A0E7C">
              <w:rPr>
                <w:rFonts w:eastAsiaTheme="majorEastAsia"/>
              </w:rPr>
              <w:t>V dané oblasti lze předpokládat existenci rámcových projektových záměrů vycházejících z aktuálních potřeb MSP. Na základě zkušeností z dosavadních intervencí ESIF lze v této oblasti očekávat větší množství kvalitních projektových záměrů.</w:t>
            </w:r>
          </w:p>
          <w:p w14:paraId="06646982" w14:textId="77777777" w:rsidR="00DD3EFA" w:rsidRPr="005A0E7C" w:rsidRDefault="00DD3EFA" w:rsidP="00B15ECB">
            <w:pPr>
              <w:spacing w:before="60" w:after="60"/>
              <w:rPr>
                <w:rFonts w:eastAsiaTheme="majorEastAsia"/>
                <w:i/>
              </w:rPr>
            </w:pPr>
            <w:r w:rsidRPr="005A0E7C">
              <w:rPr>
                <w:rFonts w:eastAsiaTheme="majorEastAsia"/>
              </w:rPr>
              <w:t>Projekty podnikatelů vznikají a budou vznikat průběžně.</w:t>
            </w:r>
          </w:p>
        </w:tc>
        <w:tc>
          <w:tcPr>
            <w:tcW w:w="249" w:type="dxa"/>
            <w:tcBorders>
              <w:top w:val="nil"/>
              <w:bottom w:val="nil"/>
            </w:tcBorders>
            <w:shd w:val="clear" w:color="auto" w:fill="66CCFF"/>
          </w:tcPr>
          <w:p w14:paraId="55305670" w14:textId="77777777" w:rsidR="00DD3EFA" w:rsidRPr="005A0E7C" w:rsidRDefault="00DD3EFA" w:rsidP="00B15ECB">
            <w:pPr>
              <w:rPr>
                <w:b/>
              </w:rPr>
            </w:pPr>
          </w:p>
        </w:tc>
      </w:tr>
      <w:tr w:rsidR="00DD3EFA" w:rsidRPr="005A0E7C" w14:paraId="31D0E196" w14:textId="77777777" w:rsidTr="00B15ECB">
        <w:trPr>
          <w:trHeight w:val="1001"/>
        </w:trPr>
        <w:tc>
          <w:tcPr>
            <w:tcW w:w="249" w:type="dxa"/>
            <w:tcBorders>
              <w:top w:val="nil"/>
              <w:bottom w:val="nil"/>
            </w:tcBorders>
            <w:shd w:val="clear" w:color="auto" w:fill="66CCFF"/>
          </w:tcPr>
          <w:p w14:paraId="16E8424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7425D7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7807FA90" w14:textId="77777777" w:rsidR="00DD3EFA" w:rsidRPr="005A0E7C" w:rsidRDefault="00DD3EFA" w:rsidP="00B15ECB">
            <w:pPr>
              <w:spacing w:before="60" w:after="60"/>
              <w:rPr>
                <w:rFonts w:eastAsiaTheme="majorEastAsia"/>
              </w:rPr>
            </w:pPr>
            <w:r w:rsidRPr="005A0E7C">
              <w:rPr>
                <w:rFonts w:eastAsiaTheme="majorEastAsia"/>
              </w:rPr>
              <w:t>Pro zajištění naplnění absorpční kapacity u výzev zaměřených na digitální transformaci bude i do budoucna nutná propagace daného tématu. Dálebude nutné navázat užší spolupráci s odbornými partnery z oblasti digitalizace, robotiky a kybernetiky za účelem vhodného nastavení podmínek výzvy a modelu hodnocení a tím zvýšit současnou úroveň digitální vyspělosti MSP v ČR.</w:t>
            </w:r>
          </w:p>
          <w:p w14:paraId="652454D4" w14:textId="77777777" w:rsidR="00DD3EFA" w:rsidRPr="005A0E7C" w:rsidRDefault="00DD3EFA" w:rsidP="00B15ECB">
            <w:r w:rsidRPr="005A0E7C">
              <w:t>Při realizaci podpory vývoje SW je největší bariérou v současné době podoba pravidel veřejné podpory.  Je možno podporovat pouze nové pracovní místa což v kontextu doby a stavu na trhu práce v IT sektoru takřka nemožné. Společnosti mají veliký problém s náborem nových lidí, kterých je zásadní nedostatek a musejí také řešit udržení zaměstnanců stávajících. Řešením by mohla být podpora stávajících vývojových kapacit, a tím udržení vývojového kapitálu v ČR potažmo EU.</w:t>
            </w:r>
          </w:p>
          <w:p w14:paraId="3DD74639" w14:textId="77777777" w:rsidR="00DD3EFA" w:rsidRPr="005A0E7C" w:rsidRDefault="00DD3EFA" w:rsidP="00B15ECB"/>
          <w:p w14:paraId="06ADC031" w14:textId="77777777" w:rsidR="00DD3EFA" w:rsidRPr="005A0E7C" w:rsidRDefault="00DD3EFA" w:rsidP="00B15ECB">
            <w:r w:rsidRPr="005A0E7C">
              <w:t>Pravidla veřejné podpory jsou také bariérou při realizaci programů pro podporu budování sítí vysokorychlostního internetu. Kde jedinou cestou se jeví notifikační řízení.</w:t>
            </w:r>
          </w:p>
        </w:tc>
        <w:tc>
          <w:tcPr>
            <w:tcW w:w="249" w:type="dxa"/>
            <w:tcBorders>
              <w:top w:val="nil"/>
              <w:bottom w:val="nil"/>
            </w:tcBorders>
            <w:shd w:val="clear" w:color="auto" w:fill="66CCFF"/>
          </w:tcPr>
          <w:p w14:paraId="52B2D637" w14:textId="77777777" w:rsidR="00DD3EFA" w:rsidRPr="005A0E7C" w:rsidRDefault="00DD3EFA" w:rsidP="00B15ECB">
            <w:pPr>
              <w:rPr>
                <w:b/>
              </w:rPr>
            </w:pPr>
          </w:p>
        </w:tc>
      </w:tr>
      <w:tr w:rsidR="00DD3EFA" w:rsidRPr="005A0E7C" w14:paraId="662B28BA"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356AF6A8"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3856997"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030A88A"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5BE7214" w14:textId="77777777" w:rsidR="00DD3EFA" w:rsidRPr="005A0E7C" w:rsidRDefault="00DD3EFA" w:rsidP="00B15ECB">
            <w:pPr>
              <w:rPr>
                <w:b/>
              </w:rPr>
            </w:pPr>
          </w:p>
        </w:tc>
      </w:tr>
      <w:tr w:rsidR="00DD3EFA" w:rsidRPr="005A0E7C" w14:paraId="236EE9F0" w14:textId="77777777" w:rsidTr="00B15ECB">
        <w:trPr>
          <w:trHeight w:val="1968"/>
        </w:trPr>
        <w:tc>
          <w:tcPr>
            <w:tcW w:w="249" w:type="dxa"/>
            <w:tcBorders>
              <w:top w:val="single" w:sz="4" w:space="0" w:color="auto"/>
              <w:bottom w:val="nil"/>
            </w:tcBorders>
            <w:shd w:val="clear" w:color="auto" w:fill="66CCFF"/>
          </w:tcPr>
          <w:p w14:paraId="20C66201"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75AA928F"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2BC55BC1"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4D5DD2DB" w14:textId="77777777" w:rsidR="00DD3EFA" w:rsidRPr="005A0E7C" w:rsidRDefault="00DD3EFA" w:rsidP="00B15ECB">
            <w:pPr>
              <w:rPr>
                <w:b/>
              </w:rPr>
            </w:pPr>
          </w:p>
        </w:tc>
      </w:tr>
      <w:tr w:rsidR="00DD3EFA" w:rsidRPr="005A0E7C" w14:paraId="3C88629D" w14:textId="77777777" w:rsidTr="00B15ECB">
        <w:trPr>
          <w:trHeight w:val="1968"/>
        </w:trPr>
        <w:tc>
          <w:tcPr>
            <w:tcW w:w="249" w:type="dxa"/>
            <w:tcBorders>
              <w:top w:val="nil"/>
              <w:bottom w:val="nil"/>
            </w:tcBorders>
            <w:shd w:val="clear" w:color="auto" w:fill="66CCFF"/>
          </w:tcPr>
          <w:p w14:paraId="71114F83" w14:textId="77777777" w:rsidR="00DD3EFA" w:rsidRPr="005A0E7C" w:rsidRDefault="00DD3EFA" w:rsidP="00B15ECB">
            <w:pPr>
              <w:rPr>
                <w:b/>
              </w:rPr>
            </w:pPr>
          </w:p>
        </w:tc>
        <w:tc>
          <w:tcPr>
            <w:tcW w:w="2548" w:type="dxa"/>
            <w:tcBorders>
              <w:top w:val="nil"/>
            </w:tcBorders>
            <w:shd w:val="clear" w:color="auto" w:fill="FFFFFF" w:themeFill="background1"/>
          </w:tcPr>
          <w:p w14:paraId="40243EB0"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4985C792" w14:textId="77777777" w:rsidR="00DD3EFA" w:rsidRPr="005A0E7C" w:rsidRDefault="00DD3EFA" w:rsidP="00B15ECB">
            <w:pPr>
              <w:spacing w:before="60" w:after="60"/>
              <w:rPr>
                <w:rFonts w:eastAsiaTheme="majorEastAsia"/>
              </w:rPr>
            </w:pPr>
            <w:r w:rsidRPr="005A0E7C">
              <w:rPr>
                <w:rFonts w:eastAsiaTheme="majorEastAsia"/>
              </w:rPr>
              <w:t>Specfický cíl se může částečně tematicky překrývat s následujícícmi unijními programy (případný překryv oblastí bude záležet na jejich finální podobě):</w:t>
            </w:r>
          </w:p>
          <w:p w14:paraId="2C45F984" w14:textId="77777777" w:rsidR="00DD3EFA" w:rsidRPr="005A0E7C" w:rsidRDefault="00DD3EFA" w:rsidP="00B15ECB">
            <w:pPr>
              <w:spacing w:before="60" w:after="60"/>
              <w:rPr>
                <w:rFonts w:eastAsiaTheme="majorEastAsia"/>
              </w:rPr>
            </w:pPr>
            <w:r w:rsidRPr="005A0E7C">
              <w:rPr>
                <w:rFonts w:eastAsiaTheme="majorEastAsia"/>
              </w:rPr>
              <w:t>Digital Europe</w:t>
            </w:r>
          </w:p>
          <w:p w14:paraId="13820FC0" w14:textId="77777777" w:rsidR="00DD3EFA" w:rsidRPr="005A0E7C" w:rsidRDefault="00DD3EFA" w:rsidP="00B15ECB">
            <w:pPr>
              <w:spacing w:before="60" w:after="60"/>
              <w:rPr>
                <w:rFonts w:eastAsiaTheme="majorEastAsia"/>
              </w:rPr>
            </w:pPr>
            <w:r w:rsidRPr="005A0E7C">
              <w:rPr>
                <w:rFonts w:eastAsiaTheme="majorEastAsia"/>
              </w:rPr>
              <w:t>InvestEU – budoucí program zastřešující rozličné finanční nástroje včetně okna pro MSP</w:t>
            </w:r>
          </w:p>
          <w:p w14:paraId="7FA30792" w14:textId="77777777" w:rsidR="00DD3EFA" w:rsidRPr="005A0E7C" w:rsidRDefault="00DD3EFA" w:rsidP="00B15ECB">
            <w:pPr>
              <w:spacing w:before="60" w:after="60"/>
              <w:rPr>
                <w:rFonts w:eastAsiaTheme="majorEastAsia"/>
              </w:rPr>
            </w:pPr>
            <w:r w:rsidRPr="005A0E7C">
              <w:rPr>
                <w:rFonts w:eastAsiaTheme="majorEastAsia"/>
              </w:rPr>
              <w:t>Program pro jednotný trh – specifický cíl Podpora malého a středného podnikání, podpora nefinančního charakteru</w:t>
            </w:r>
          </w:p>
          <w:p w14:paraId="2C666F8A" w14:textId="77777777" w:rsidR="00DD3EFA" w:rsidRPr="005A0E7C" w:rsidRDefault="00DD3EFA" w:rsidP="00B15ECB">
            <w:pPr>
              <w:spacing w:before="60" w:after="60"/>
              <w:rPr>
                <w:rFonts w:eastAsiaTheme="majorEastAsia"/>
              </w:rPr>
            </w:pPr>
            <w:r w:rsidRPr="005A0E7C">
              <w:rPr>
                <w:rFonts w:eastAsiaTheme="majorEastAsia"/>
              </w:rPr>
              <w:t>Horizon Europe – budoucí klíčový program na podporu výzkumu a inovací</w:t>
            </w:r>
          </w:p>
        </w:tc>
        <w:tc>
          <w:tcPr>
            <w:tcW w:w="249" w:type="dxa"/>
            <w:tcBorders>
              <w:top w:val="nil"/>
              <w:bottom w:val="nil"/>
            </w:tcBorders>
            <w:shd w:val="clear" w:color="auto" w:fill="66CCFF"/>
          </w:tcPr>
          <w:p w14:paraId="70D1D294" w14:textId="77777777" w:rsidR="00DD3EFA" w:rsidRPr="005A0E7C" w:rsidRDefault="00DD3EFA" w:rsidP="00B15ECB">
            <w:pPr>
              <w:rPr>
                <w:b/>
              </w:rPr>
            </w:pPr>
          </w:p>
        </w:tc>
      </w:tr>
      <w:tr w:rsidR="00DD3EFA" w:rsidRPr="005A0E7C" w14:paraId="15C65801" w14:textId="77777777" w:rsidTr="00B15ECB">
        <w:trPr>
          <w:trHeight w:val="1968"/>
        </w:trPr>
        <w:tc>
          <w:tcPr>
            <w:tcW w:w="249" w:type="dxa"/>
            <w:tcBorders>
              <w:top w:val="nil"/>
              <w:bottom w:val="nil"/>
            </w:tcBorders>
            <w:shd w:val="clear" w:color="auto" w:fill="66CCFF"/>
          </w:tcPr>
          <w:p w14:paraId="573BFBC6" w14:textId="77777777" w:rsidR="00DD3EFA" w:rsidRPr="005A0E7C" w:rsidRDefault="00DD3EFA" w:rsidP="00B15ECB">
            <w:pPr>
              <w:rPr>
                <w:b/>
              </w:rPr>
            </w:pPr>
          </w:p>
        </w:tc>
        <w:tc>
          <w:tcPr>
            <w:tcW w:w="2548" w:type="dxa"/>
            <w:tcBorders>
              <w:top w:val="nil"/>
            </w:tcBorders>
            <w:shd w:val="clear" w:color="auto" w:fill="FFFFFF" w:themeFill="background1"/>
          </w:tcPr>
          <w:p w14:paraId="3336B37F"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5490DD70" w14:textId="77777777" w:rsidR="00DD3EFA" w:rsidRPr="005A0E7C" w:rsidRDefault="00DD3EFA" w:rsidP="00B15ECB">
            <w:pPr>
              <w:spacing w:before="60" w:after="60"/>
              <w:rPr>
                <w:rFonts w:eastAsiaTheme="majorEastAsia"/>
                <w:i/>
              </w:rPr>
            </w:pPr>
            <w:r w:rsidRPr="005A0E7C">
              <w:rPr>
                <w:rFonts w:eastAsiaTheme="majorEastAsia"/>
              </w:rPr>
              <w:t xml:space="preserve">Určitý překryv či synergie mohou nastat s národním programem Záruka 2015 a 2023. </w:t>
            </w:r>
          </w:p>
        </w:tc>
        <w:tc>
          <w:tcPr>
            <w:tcW w:w="249" w:type="dxa"/>
            <w:tcBorders>
              <w:top w:val="nil"/>
              <w:bottom w:val="nil"/>
            </w:tcBorders>
            <w:shd w:val="clear" w:color="auto" w:fill="66CCFF"/>
          </w:tcPr>
          <w:p w14:paraId="548BE468" w14:textId="77777777" w:rsidR="00DD3EFA" w:rsidRPr="005A0E7C" w:rsidRDefault="00DD3EFA" w:rsidP="00B15ECB">
            <w:pPr>
              <w:rPr>
                <w:b/>
              </w:rPr>
            </w:pPr>
          </w:p>
        </w:tc>
      </w:tr>
      <w:tr w:rsidR="00DD3EFA" w:rsidRPr="005A0E7C" w14:paraId="4F90D3A5" w14:textId="77777777" w:rsidTr="00B15ECB">
        <w:trPr>
          <w:trHeight w:val="1968"/>
        </w:trPr>
        <w:tc>
          <w:tcPr>
            <w:tcW w:w="249" w:type="dxa"/>
            <w:tcBorders>
              <w:top w:val="nil"/>
              <w:bottom w:val="nil"/>
            </w:tcBorders>
            <w:shd w:val="clear" w:color="auto" w:fill="66CCFF"/>
          </w:tcPr>
          <w:p w14:paraId="752AD941" w14:textId="77777777" w:rsidR="00DD3EFA" w:rsidRPr="005A0E7C" w:rsidRDefault="00DD3EFA" w:rsidP="00B15ECB">
            <w:pPr>
              <w:rPr>
                <w:b/>
              </w:rPr>
            </w:pPr>
          </w:p>
        </w:tc>
        <w:tc>
          <w:tcPr>
            <w:tcW w:w="2548" w:type="dxa"/>
            <w:tcBorders>
              <w:top w:val="nil"/>
            </w:tcBorders>
            <w:shd w:val="clear" w:color="auto" w:fill="FFFFFF" w:themeFill="background1"/>
          </w:tcPr>
          <w:p w14:paraId="07DD89FA"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5902FCEF" w14:textId="77777777" w:rsidR="00DD3EFA" w:rsidRPr="005A0E7C" w:rsidRDefault="00DD3EFA" w:rsidP="00B15ECB">
            <w:pPr>
              <w:spacing w:before="60" w:after="60"/>
              <w:rPr>
                <w:rFonts w:eastAsiaTheme="majorEastAsia"/>
              </w:rPr>
            </w:pPr>
            <w:r w:rsidRPr="005A0E7C">
              <w:rPr>
                <w:rFonts w:eastAsiaTheme="majorEastAsia"/>
              </w:rPr>
              <w:t>Vlastní zdroje malých a středních podniků, velkých podniků, zavádějících v rámci svého rozvoje a investic pokrokové technologie.</w:t>
            </w:r>
          </w:p>
        </w:tc>
        <w:tc>
          <w:tcPr>
            <w:tcW w:w="249" w:type="dxa"/>
            <w:tcBorders>
              <w:top w:val="nil"/>
              <w:bottom w:val="nil"/>
            </w:tcBorders>
            <w:shd w:val="clear" w:color="auto" w:fill="66CCFF"/>
          </w:tcPr>
          <w:p w14:paraId="62AE30BE" w14:textId="77777777" w:rsidR="00DD3EFA" w:rsidRPr="005A0E7C" w:rsidRDefault="00DD3EFA" w:rsidP="00B15ECB">
            <w:pPr>
              <w:rPr>
                <w:b/>
              </w:rPr>
            </w:pPr>
          </w:p>
        </w:tc>
      </w:tr>
      <w:tr w:rsidR="00DD3EFA" w:rsidRPr="005A0E7C" w14:paraId="62802268" w14:textId="77777777" w:rsidTr="00B15ECB">
        <w:trPr>
          <w:trHeight w:val="1968"/>
        </w:trPr>
        <w:tc>
          <w:tcPr>
            <w:tcW w:w="249" w:type="dxa"/>
            <w:tcBorders>
              <w:top w:val="nil"/>
              <w:bottom w:val="nil"/>
            </w:tcBorders>
            <w:shd w:val="clear" w:color="auto" w:fill="66CCFF"/>
          </w:tcPr>
          <w:p w14:paraId="02144CFE" w14:textId="77777777" w:rsidR="00DD3EFA" w:rsidRPr="005A0E7C" w:rsidRDefault="00DD3EFA" w:rsidP="00B15ECB">
            <w:pPr>
              <w:rPr>
                <w:b/>
              </w:rPr>
            </w:pPr>
          </w:p>
        </w:tc>
        <w:tc>
          <w:tcPr>
            <w:tcW w:w="2548" w:type="dxa"/>
            <w:tcBorders>
              <w:top w:val="nil"/>
            </w:tcBorders>
            <w:shd w:val="clear" w:color="auto" w:fill="FFFFFF" w:themeFill="background1"/>
          </w:tcPr>
          <w:p w14:paraId="5FDA5CE6"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572ADF56" w14:textId="77777777" w:rsidR="00DD3EFA" w:rsidRPr="005A0E7C" w:rsidRDefault="00DD3EFA" w:rsidP="00B15ECB">
            <w:pPr>
              <w:spacing w:before="60" w:after="60"/>
              <w:rPr>
                <w:rFonts w:eastAsiaTheme="majorEastAsia"/>
              </w:rPr>
            </w:pPr>
            <w:r w:rsidRPr="005A0E7C">
              <w:rPr>
                <w:rFonts w:eastAsiaTheme="majorEastAsia"/>
              </w:rPr>
              <w:t>FN jsou vhodným nástrojem pro plnění daného specifického cíle.  V podpoře MSP jsou FN dlouhodobě úspěšným nástrojem. Dle aktualizovaného CPR 2021-2027, Čl. 52 bude možné FN kombinovat s dotací, přičemž pravidla pro poskytnutí tohoto typu podpory budou dle zjednodušených podmínek FN. Díky revolvingovému a pákovému efektu, jsou zdroje opakovaně navraceny a z původní alokované částky je tak možné podpořit maximální počet podniků. Konkrétní podpora FN bude záviset na výstupu nového Předběžného posouzení FN pro programovací období 2021-2027.</w:t>
            </w:r>
          </w:p>
          <w:p w14:paraId="22C6D9C9" w14:textId="77777777" w:rsidR="00DD3EFA" w:rsidRPr="005A0E7C" w:rsidRDefault="00DD3EFA" w:rsidP="00B15ECB">
            <w:pPr>
              <w:spacing w:before="60" w:after="60"/>
              <w:rPr>
                <w:rFonts w:eastAsiaTheme="majorEastAsia"/>
              </w:rPr>
            </w:pPr>
            <w:r w:rsidRPr="005A0E7C">
              <w:rPr>
                <w:rFonts w:eastAsiaTheme="majorEastAsia"/>
              </w:rPr>
              <w:t>FN mohou být zváženy pro využití v tomto FN, v závislosti na dalším dopřesnění podporovaných aktivit. FN mohou podpořit projekty generujících výnosy či úspory.</w:t>
            </w:r>
          </w:p>
          <w:p w14:paraId="419DAAF1" w14:textId="77777777" w:rsidR="00DD3EFA" w:rsidRPr="005A0E7C" w:rsidRDefault="00DD3EFA" w:rsidP="00B15ECB">
            <w:pPr>
              <w:spacing w:before="60" w:after="60"/>
              <w:rPr>
                <w:rFonts w:eastAsiaTheme="majorEastAsia"/>
              </w:rPr>
            </w:pPr>
            <w:r w:rsidRPr="005A0E7C">
              <w:rPr>
                <w:rFonts w:eastAsiaTheme="majorEastAsia"/>
              </w:rPr>
              <w:t>Příkladem podpory z minulého období může být podpora zvýhodněným financováním investic poskytovatelů internetového připojení v rámci programu Expanze OPPIK.</w:t>
            </w:r>
          </w:p>
          <w:p w14:paraId="58B3BEDC" w14:textId="77777777" w:rsidR="00DD3EFA" w:rsidRPr="005A0E7C" w:rsidRDefault="00DD3EFA" w:rsidP="00B15ECB">
            <w:pPr>
              <w:spacing w:before="60" w:after="60"/>
              <w:rPr>
                <w:rFonts w:eastAsiaTheme="majorEastAsia"/>
              </w:rPr>
            </w:pPr>
            <w:r w:rsidRPr="005A0E7C">
              <w:rPr>
                <w:rFonts w:eastAsiaTheme="majorEastAsia"/>
              </w:rPr>
              <w:t>Jednotlivé okruhy Karty Podnikání jsou spolu velmi úzce provázány. FN by mělo umožnit realizaci komplexních projektů napříč jednotlivými specifickými cíly NKR, případně i napříč kartami.</w:t>
            </w:r>
          </w:p>
        </w:tc>
        <w:tc>
          <w:tcPr>
            <w:tcW w:w="249" w:type="dxa"/>
            <w:tcBorders>
              <w:top w:val="nil"/>
              <w:bottom w:val="nil"/>
            </w:tcBorders>
            <w:shd w:val="clear" w:color="auto" w:fill="66CCFF"/>
          </w:tcPr>
          <w:p w14:paraId="02ADD990" w14:textId="77777777" w:rsidR="00DD3EFA" w:rsidRPr="005A0E7C" w:rsidRDefault="00DD3EFA" w:rsidP="00B15ECB">
            <w:pPr>
              <w:rPr>
                <w:b/>
              </w:rPr>
            </w:pPr>
          </w:p>
        </w:tc>
      </w:tr>
      <w:tr w:rsidR="00DD3EFA" w:rsidRPr="005A0E7C" w14:paraId="28E67BFD" w14:textId="77777777" w:rsidTr="00B15ECB">
        <w:trPr>
          <w:trHeight w:val="150"/>
        </w:trPr>
        <w:tc>
          <w:tcPr>
            <w:tcW w:w="249" w:type="dxa"/>
            <w:tcBorders>
              <w:top w:val="nil"/>
              <w:right w:val="nil"/>
            </w:tcBorders>
            <w:shd w:val="clear" w:color="auto" w:fill="66CCFF"/>
          </w:tcPr>
          <w:p w14:paraId="68B4D95B" w14:textId="77777777" w:rsidR="00DD3EFA" w:rsidRPr="005A0E7C" w:rsidRDefault="00DD3EFA" w:rsidP="00B15ECB">
            <w:pPr>
              <w:rPr>
                <w:b/>
              </w:rPr>
            </w:pPr>
          </w:p>
        </w:tc>
        <w:tc>
          <w:tcPr>
            <w:tcW w:w="2548" w:type="dxa"/>
            <w:tcBorders>
              <w:left w:val="nil"/>
              <w:right w:val="nil"/>
            </w:tcBorders>
            <w:shd w:val="clear" w:color="auto" w:fill="66CCFF"/>
          </w:tcPr>
          <w:p w14:paraId="7D036646" w14:textId="77777777" w:rsidR="00DD3EFA" w:rsidRPr="005A0E7C" w:rsidRDefault="00DD3EFA" w:rsidP="00B15ECB">
            <w:pPr>
              <w:rPr>
                <w:b/>
              </w:rPr>
            </w:pPr>
          </w:p>
        </w:tc>
        <w:tc>
          <w:tcPr>
            <w:tcW w:w="5978" w:type="dxa"/>
            <w:tcBorders>
              <w:left w:val="nil"/>
              <w:right w:val="nil"/>
            </w:tcBorders>
            <w:shd w:val="clear" w:color="auto" w:fill="66CCFF"/>
          </w:tcPr>
          <w:p w14:paraId="0677930E" w14:textId="77777777" w:rsidR="00DD3EFA" w:rsidRPr="005A0E7C" w:rsidRDefault="00DD3EFA" w:rsidP="00B15ECB">
            <w:pPr>
              <w:rPr>
                <w:b/>
              </w:rPr>
            </w:pPr>
          </w:p>
        </w:tc>
        <w:tc>
          <w:tcPr>
            <w:tcW w:w="249" w:type="dxa"/>
            <w:tcBorders>
              <w:top w:val="nil"/>
              <w:left w:val="nil"/>
            </w:tcBorders>
            <w:shd w:val="clear" w:color="auto" w:fill="66CCFF"/>
          </w:tcPr>
          <w:p w14:paraId="34512ADF" w14:textId="77777777" w:rsidR="00DD3EFA" w:rsidRPr="005A0E7C" w:rsidRDefault="00DD3EFA" w:rsidP="00B15ECB">
            <w:pPr>
              <w:rPr>
                <w:b/>
              </w:rPr>
            </w:pPr>
          </w:p>
        </w:tc>
      </w:tr>
    </w:tbl>
    <w:p w14:paraId="2D2F5D9F" w14:textId="77777777" w:rsidR="00DD3EFA" w:rsidRPr="005A0E7C" w:rsidRDefault="00DD3EFA">
      <w:pPr>
        <w:rPr>
          <w:rFonts w:ascii="Times New Roman" w:hAnsi="Times New Roman" w:cs="Times New Roman"/>
          <w:sz w:val="20"/>
          <w:szCs w:val="20"/>
        </w:rPr>
      </w:pPr>
    </w:p>
    <w:p w14:paraId="0D2765E5"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p w14:paraId="3B7CC075" w14:textId="77777777" w:rsidR="00D762E9" w:rsidRPr="00C107A7" w:rsidRDefault="00D762E9" w:rsidP="00391907">
      <w:pPr>
        <w:pStyle w:val="Nadpis1"/>
        <w:numPr>
          <w:ilvl w:val="0"/>
          <w:numId w:val="1"/>
        </w:numPr>
        <w:rPr>
          <w:rFonts w:ascii="Times New Roman" w:hAnsi="Times New Roman" w:cs="Times New Roman"/>
        </w:rPr>
      </w:pPr>
      <w:bookmarkStart w:id="29" w:name="_Toc9511886"/>
      <w:r w:rsidRPr="00C107A7">
        <w:rPr>
          <w:rFonts w:ascii="Times New Roman" w:hAnsi="Times New Roman" w:cs="Times New Roman"/>
        </w:rPr>
        <w:t>Doprava</w:t>
      </w:r>
      <w:bookmarkEnd w:id="29"/>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23F95AD8" w14:textId="77777777" w:rsidTr="00B15ECB">
        <w:trPr>
          <w:trHeight w:val="180"/>
        </w:trPr>
        <w:tc>
          <w:tcPr>
            <w:tcW w:w="249" w:type="dxa"/>
            <w:tcBorders>
              <w:bottom w:val="nil"/>
              <w:right w:val="nil"/>
            </w:tcBorders>
            <w:shd w:val="clear" w:color="auto" w:fill="66CCFF"/>
          </w:tcPr>
          <w:p w14:paraId="3BF0202C" w14:textId="77777777" w:rsidR="00DD3EFA" w:rsidRPr="005A0E7C" w:rsidRDefault="00DD3EFA" w:rsidP="00B15ECB">
            <w:pPr>
              <w:rPr>
                <w:b/>
              </w:rPr>
            </w:pPr>
          </w:p>
        </w:tc>
        <w:tc>
          <w:tcPr>
            <w:tcW w:w="2548" w:type="dxa"/>
            <w:tcBorders>
              <w:left w:val="nil"/>
              <w:right w:val="nil"/>
            </w:tcBorders>
            <w:shd w:val="clear" w:color="auto" w:fill="66CCFF"/>
          </w:tcPr>
          <w:p w14:paraId="060EFF65" w14:textId="77777777" w:rsidR="00DD3EFA" w:rsidRPr="005A0E7C" w:rsidRDefault="00DD3EFA" w:rsidP="00B15ECB">
            <w:pPr>
              <w:rPr>
                <w:b/>
              </w:rPr>
            </w:pPr>
          </w:p>
        </w:tc>
        <w:tc>
          <w:tcPr>
            <w:tcW w:w="5978" w:type="dxa"/>
            <w:tcBorders>
              <w:left w:val="nil"/>
              <w:right w:val="nil"/>
            </w:tcBorders>
            <w:shd w:val="clear" w:color="auto" w:fill="66CCFF"/>
          </w:tcPr>
          <w:p w14:paraId="08687D24" w14:textId="77777777" w:rsidR="00DD3EFA" w:rsidRPr="005A0E7C" w:rsidRDefault="00DD3EFA" w:rsidP="00B15ECB">
            <w:pPr>
              <w:rPr>
                <w:b/>
              </w:rPr>
            </w:pPr>
          </w:p>
        </w:tc>
        <w:tc>
          <w:tcPr>
            <w:tcW w:w="249" w:type="dxa"/>
            <w:tcBorders>
              <w:left w:val="nil"/>
              <w:bottom w:val="nil"/>
            </w:tcBorders>
            <w:shd w:val="clear" w:color="auto" w:fill="66CCFF"/>
          </w:tcPr>
          <w:p w14:paraId="2B959171" w14:textId="77777777" w:rsidR="00DD3EFA" w:rsidRPr="005A0E7C" w:rsidRDefault="00DD3EFA" w:rsidP="00B15ECB">
            <w:pPr>
              <w:rPr>
                <w:b/>
              </w:rPr>
            </w:pPr>
          </w:p>
        </w:tc>
      </w:tr>
      <w:tr w:rsidR="00DD3EFA" w:rsidRPr="005A0E7C" w14:paraId="65AD5BDE" w14:textId="77777777" w:rsidTr="00B15ECB">
        <w:trPr>
          <w:trHeight w:val="561"/>
        </w:trPr>
        <w:tc>
          <w:tcPr>
            <w:tcW w:w="249" w:type="dxa"/>
            <w:tcBorders>
              <w:top w:val="nil"/>
              <w:bottom w:val="nil"/>
            </w:tcBorders>
            <w:shd w:val="clear" w:color="auto" w:fill="66CCFF"/>
          </w:tcPr>
          <w:p w14:paraId="301ECC30" w14:textId="77777777" w:rsidR="00DD3EFA" w:rsidRPr="005A0E7C" w:rsidRDefault="00DD3EFA" w:rsidP="00B15ECB">
            <w:pPr>
              <w:rPr>
                <w:b/>
              </w:rPr>
            </w:pPr>
          </w:p>
        </w:tc>
        <w:tc>
          <w:tcPr>
            <w:tcW w:w="2548" w:type="dxa"/>
            <w:shd w:val="clear" w:color="auto" w:fill="0070C0"/>
          </w:tcPr>
          <w:p w14:paraId="288C1E5D"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Efektivní, dostupná a k životnímu prostředí šetrná DOPRAVA</w:t>
            </w:r>
          </w:p>
        </w:tc>
        <w:tc>
          <w:tcPr>
            <w:tcW w:w="5978" w:type="dxa"/>
            <w:shd w:val="clear" w:color="auto" w:fill="0070C0"/>
          </w:tcPr>
          <w:p w14:paraId="22758FDB"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footnoteReference w:id="44"/>
            </w:r>
            <w:r w:rsidRPr="005A0E7C">
              <w:rPr>
                <w:rFonts w:eastAsiaTheme="majorEastAsia"/>
                <w:b/>
                <w:color w:val="FFFFFF" w:themeColor="background1"/>
                <w:u w:val="single"/>
              </w:rPr>
              <w:t xml:space="preserve">: </w:t>
            </w:r>
          </w:p>
          <w:p w14:paraId="4AA52FDB"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ROZVOJ A ZKVALITNĚNÍ DOPRAVNÍ INFRASTRUKTURY</w:t>
            </w:r>
          </w:p>
        </w:tc>
        <w:tc>
          <w:tcPr>
            <w:tcW w:w="249" w:type="dxa"/>
            <w:tcBorders>
              <w:top w:val="nil"/>
              <w:bottom w:val="nil"/>
            </w:tcBorders>
            <w:shd w:val="clear" w:color="auto" w:fill="66CCFF"/>
          </w:tcPr>
          <w:p w14:paraId="3E29D3C1" w14:textId="77777777" w:rsidR="00DD3EFA" w:rsidRPr="005A0E7C" w:rsidRDefault="00DD3EFA" w:rsidP="00B15ECB">
            <w:pPr>
              <w:rPr>
                <w:b/>
              </w:rPr>
            </w:pPr>
          </w:p>
        </w:tc>
      </w:tr>
      <w:tr w:rsidR="00DD3EFA" w:rsidRPr="005A0E7C" w14:paraId="61B16C3A" w14:textId="77777777" w:rsidTr="00B15ECB">
        <w:trPr>
          <w:trHeight w:val="180"/>
        </w:trPr>
        <w:tc>
          <w:tcPr>
            <w:tcW w:w="249" w:type="dxa"/>
            <w:tcBorders>
              <w:top w:val="nil"/>
              <w:bottom w:val="nil"/>
              <w:right w:val="nil"/>
            </w:tcBorders>
            <w:shd w:val="clear" w:color="auto" w:fill="66CCFF"/>
          </w:tcPr>
          <w:p w14:paraId="46AA3BCC" w14:textId="77777777" w:rsidR="00DD3EFA" w:rsidRPr="005A0E7C" w:rsidRDefault="00DD3EFA" w:rsidP="00B15ECB">
            <w:pPr>
              <w:rPr>
                <w:b/>
              </w:rPr>
            </w:pPr>
          </w:p>
        </w:tc>
        <w:tc>
          <w:tcPr>
            <w:tcW w:w="2548" w:type="dxa"/>
            <w:tcBorders>
              <w:left w:val="nil"/>
              <w:right w:val="nil"/>
            </w:tcBorders>
            <w:shd w:val="clear" w:color="auto" w:fill="66CCFF"/>
          </w:tcPr>
          <w:p w14:paraId="0BC4ED62" w14:textId="77777777" w:rsidR="00DD3EFA" w:rsidRPr="005A0E7C" w:rsidRDefault="00DD3EFA" w:rsidP="00B15ECB">
            <w:pPr>
              <w:rPr>
                <w:b/>
              </w:rPr>
            </w:pPr>
          </w:p>
        </w:tc>
        <w:tc>
          <w:tcPr>
            <w:tcW w:w="5978" w:type="dxa"/>
            <w:tcBorders>
              <w:left w:val="nil"/>
              <w:right w:val="nil"/>
            </w:tcBorders>
            <w:shd w:val="clear" w:color="auto" w:fill="66CCFF"/>
          </w:tcPr>
          <w:p w14:paraId="1CD38E23" w14:textId="77777777" w:rsidR="00DD3EFA" w:rsidRPr="005A0E7C" w:rsidRDefault="00DD3EFA" w:rsidP="00B15ECB">
            <w:pPr>
              <w:rPr>
                <w:b/>
              </w:rPr>
            </w:pPr>
          </w:p>
        </w:tc>
        <w:tc>
          <w:tcPr>
            <w:tcW w:w="249" w:type="dxa"/>
            <w:tcBorders>
              <w:top w:val="nil"/>
              <w:left w:val="nil"/>
              <w:bottom w:val="nil"/>
            </w:tcBorders>
            <w:shd w:val="clear" w:color="auto" w:fill="66CCFF"/>
          </w:tcPr>
          <w:p w14:paraId="7B009DC4" w14:textId="77777777" w:rsidR="00DD3EFA" w:rsidRPr="005A0E7C" w:rsidRDefault="00DD3EFA" w:rsidP="00B15ECB">
            <w:pPr>
              <w:rPr>
                <w:b/>
              </w:rPr>
            </w:pPr>
          </w:p>
        </w:tc>
      </w:tr>
      <w:tr w:rsidR="00DD3EFA" w:rsidRPr="005A0E7C" w14:paraId="23B6F5CE" w14:textId="77777777" w:rsidTr="00B15ECB">
        <w:trPr>
          <w:trHeight w:val="892"/>
        </w:trPr>
        <w:tc>
          <w:tcPr>
            <w:tcW w:w="249" w:type="dxa"/>
            <w:tcBorders>
              <w:top w:val="nil"/>
              <w:bottom w:val="nil"/>
            </w:tcBorders>
            <w:shd w:val="clear" w:color="auto" w:fill="66CCFF"/>
          </w:tcPr>
          <w:p w14:paraId="6E91C901" w14:textId="77777777" w:rsidR="00DD3EFA" w:rsidRPr="005A0E7C" w:rsidRDefault="00DD3EFA" w:rsidP="00B15ECB">
            <w:pPr>
              <w:rPr>
                <w:b/>
              </w:rPr>
            </w:pPr>
          </w:p>
        </w:tc>
        <w:tc>
          <w:tcPr>
            <w:tcW w:w="2548" w:type="dxa"/>
            <w:shd w:val="clear" w:color="auto" w:fill="FFFFFF" w:themeFill="background1"/>
          </w:tcPr>
          <w:p w14:paraId="69D926B1"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4AAE53E7" w14:textId="77777777" w:rsidR="00DD3EFA" w:rsidRPr="005A0E7C" w:rsidRDefault="00DD3EFA" w:rsidP="00B15ECB">
            <w:r w:rsidRPr="005A0E7C">
              <w:t>Jedná se o problematiku konkrétních prvků dopravní infrastruktury:</w:t>
            </w:r>
          </w:p>
          <w:p w14:paraId="1CD5AB92" w14:textId="77777777" w:rsidR="00DD3EFA" w:rsidRPr="005A0E7C" w:rsidRDefault="00DD3EFA" w:rsidP="00B15ECB"/>
          <w:p w14:paraId="4C23D409" w14:textId="77777777" w:rsidR="00DD3EFA" w:rsidRPr="005A0E7C" w:rsidRDefault="00DD3EFA" w:rsidP="00B15ECB">
            <w:r w:rsidRPr="005A0E7C">
              <w:t>- železniční infrastruktura v sítí TEN-T</w:t>
            </w:r>
          </w:p>
          <w:p w14:paraId="158A2880" w14:textId="77777777" w:rsidR="00DD3EFA" w:rsidRPr="005A0E7C" w:rsidRDefault="00DD3EFA" w:rsidP="00B15ECB">
            <w:r w:rsidRPr="005A0E7C">
              <w:t>- železniční infrastruktura mimo síť TEN-T</w:t>
            </w:r>
          </w:p>
          <w:p w14:paraId="7040780F" w14:textId="77777777" w:rsidR="00DD3EFA" w:rsidRPr="005A0E7C" w:rsidRDefault="00DD3EFA" w:rsidP="00B15ECB">
            <w:r w:rsidRPr="005A0E7C">
              <w:t>- elektrizace železniční infrastruktury</w:t>
            </w:r>
          </w:p>
          <w:p w14:paraId="744AD52D" w14:textId="77777777" w:rsidR="00DD3EFA" w:rsidRPr="005A0E7C" w:rsidRDefault="00DD3EFA" w:rsidP="00B15ECB">
            <w:r w:rsidRPr="005A0E7C">
              <w:t>- silniční infrastruktura v síti TEN-T</w:t>
            </w:r>
          </w:p>
          <w:p w14:paraId="75E117C1" w14:textId="77777777" w:rsidR="00DD3EFA" w:rsidRPr="005A0E7C" w:rsidRDefault="00DD3EFA" w:rsidP="00B15ECB">
            <w:r w:rsidRPr="005A0E7C">
              <w:t xml:space="preserve">- silniční infrastruktura celostátního významu mimo síť  TEN-T  </w:t>
            </w:r>
          </w:p>
          <w:p w14:paraId="5759436B" w14:textId="77777777" w:rsidR="00DD3EFA" w:rsidRPr="005A0E7C" w:rsidRDefault="00DD3EFA" w:rsidP="00B15ECB">
            <w:r w:rsidRPr="005A0E7C">
              <w:t xml:space="preserve">  (dálnice mimo TEN-T a silnice I. Třídy mimo TEN-T)</w:t>
            </w:r>
          </w:p>
          <w:p w14:paraId="167C46E6" w14:textId="77777777" w:rsidR="00DD3EFA" w:rsidRPr="005A0E7C" w:rsidRDefault="00DD3EFA" w:rsidP="00B15ECB">
            <w:pPr>
              <w:tabs>
                <w:tab w:val="left" w:pos="225"/>
              </w:tabs>
            </w:pPr>
            <w:r w:rsidRPr="005A0E7C">
              <w:t>- silniční infrastruktura regionální s vazbou na síť TEN-T</w:t>
            </w:r>
          </w:p>
          <w:p w14:paraId="38B8B607" w14:textId="77777777" w:rsidR="00DD3EFA" w:rsidRPr="005A0E7C" w:rsidRDefault="00DD3EFA" w:rsidP="00B15ECB">
            <w:pPr>
              <w:tabs>
                <w:tab w:val="left" w:pos="225"/>
              </w:tabs>
            </w:pPr>
            <w:r w:rsidRPr="005A0E7C">
              <w:t>- infrastruktura vodních cest</w:t>
            </w:r>
          </w:p>
          <w:p w14:paraId="212C0788" w14:textId="77777777" w:rsidR="00DD3EFA" w:rsidRPr="005A0E7C" w:rsidRDefault="00DD3EFA" w:rsidP="00B15ECB">
            <w:r w:rsidRPr="005A0E7C">
              <w:t>- infrastruktura pro nemotorovou dopravu (cyklo, pěší)</w:t>
            </w:r>
          </w:p>
          <w:p w14:paraId="3129AFD8" w14:textId="77777777" w:rsidR="00DD3EFA" w:rsidRPr="005A0E7C" w:rsidRDefault="00DD3EFA" w:rsidP="00B15ECB">
            <w:r w:rsidRPr="005A0E7C">
              <w:t>- místní komunikace a silnice II. a III. třídy</w:t>
            </w:r>
          </w:p>
          <w:p w14:paraId="274BB73B" w14:textId="77777777" w:rsidR="00DD3EFA" w:rsidRPr="005A0E7C" w:rsidRDefault="00DD3EFA" w:rsidP="00B15ECB">
            <w:r w:rsidRPr="005A0E7C">
              <w:t>- ochrana před hlukem z dopravní infrastruktury</w:t>
            </w:r>
          </w:p>
          <w:p w14:paraId="1EC10A08" w14:textId="77777777" w:rsidR="00DD3EFA" w:rsidRPr="005A0E7C" w:rsidRDefault="00DD3EFA" w:rsidP="00B15ECB">
            <w:pPr>
              <w:spacing w:before="60" w:after="60"/>
              <w:rPr>
                <w:u w:val="single"/>
              </w:rPr>
            </w:pPr>
          </w:p>
        </w:tc>
        <w:tc>
          <w:tcPr>
            <w:tcW w:w="249" w:type="dxa"/>
            <w:tcBorders>
              <w:top w:val="nil"/>
              <w:bottom w:val="nil"/>
            </w:tcBorders>
            <w:shd w:val="clear" w:color="auto" w:fill="66CCFF"/>
          </w:tcPr>
          <w:p w14:paraId="6EAAA633" w14:textId="77777777" w:rsidR="00DD3EFA" w:rsidRPr="005A0E7C" w:rsidRDefault="00DD3EFA" w:rsidP="00B15ECB">
            <w:pPr>
              <w:rPr>
                <w:b/>
              </w:rPr>
            </w:pPr>
          </w:p>
        </w:tc>
      </w:tr>
      <w:tr w:rsidR="00DD3EFA" w:rsidRPr="005A0E7C" w14:paraId="5676B74A" w14:textId="77777777" w:rsidTr="00B15ECB">
        <w:trPr>
          <w:trHeight w:val="46"/>
        </w:trPr>
        <w:tc>
          <w:tcPr>
            <w:tcW w:w="249" w:type="dxa"/>
            <w:tcBorders>
              <w:top w:val="nil"/>
              <w:bottom w:val="nil"/>
              <w:right w:val="nil"/>
            </w:tcBorders>
            <w:shd w:val="clear" w:color="auto" w:fill="66CCFF"/>
          </w:tcPr>
          <w:p w14:paraId="3D009C4E"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5B792637"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1BBE991" w14:textId="77777777" w:rsidR="00DD3EFA" w:rsidRPr="005A0E7C" w:rsidRDefault="00DD3EFA" w:rsidP="00B15ECB">
            <w:pPr>
              <w:rPr>
                <w:b/>
              </w:rPr>
            </w:pPr>
          </w:p>
        </w:tc>
        <w:tc>
          <w:tcPr>
            <w:tcW w:w="249" w:type="dxa"/>
            <w:tcBorders>
              <w:top w:val="nil"/>
              <w:left w:val="nil"/>
              <w:bottom w:val="nil"/>
            </w:tcBorders>
            <w:shd w:val="clear" w:color="auto" w:fill="66CCFF"/>
          </w:tcPr>
          <w:p w14:paraId="30FC347F" w14:textId="77777777" w:rsidR="00DD3EFA" w:rsidRPr="005A0E7C" w:rsidRDefault="00DD3EFA" w:rsidP="00B15ECB">
            <w:pPr>
              <w:rPr>
                <w:b/>
              </w:rPr>
            </w:pPr>
          </w:p>
        </w:tc>
      </w:tr>
      <w:tr w:rsidR="00DD3EFA" w:rsidRPr="005A0E7C" w14:paraId="27C62BFD" w14:textId="77777777" w:rsidTr="00B15ECB">
        <w:trPr>
          <w:trHeight w:val="1274"/>
        </w:trPr>
        <w:tc>
          <w:tcPr>
            <w:tcW w:w="249" w:type="dxa"/>
            <w:tcBorders>
              <w:top w:val="nil"/>
              <w:bottom w:val="nil"/>
            </w:tcBorders>
            <w:shd w:val="clear" w:color="auto" w:fill="66CCFF"/>
          </w:tcPr>
          <w:p w14:paraId="236272D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2DC7D99"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FCB01B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Sektor doprava je významným spotřebitelem energie, a tím i producentem skleníkových a znečišťujících látek. Na rozdíl od ostatních sektorů (energetika, domácnosti) se nedaří snižovat energetickou náročnost. Nejúčinnějším opatřením je přechod na využívání elektrické energie, zejména s přímým napájením z troleje, a využívání kolejové dopravy v případech silných přepravních proudů. Proto je nutné podporovat projekty kolejové dopravy v elektrické trakci. V případě železniční dopravy se ukázala modernizace tranzitních koridorů jako velmi úspěšná, výkony dálkové dopravy od roku 2009 významným způsobem rostou (z Prahy do Moravskoslezského, Jihomoravského a Olomouckého kraje průměrný nárůst o 26 % ročně). Takové nárůsty výkonů nebyly v době přípravy modernizace koridorů predikovány. V současnosti se tahy 1. a 2. tranzitního železničního koridoru potýkají s nedostatečnou kapacitou zejména pro dálkovou nákladní dopravu a pro dopravu příměstskou. Významným nedostatkem je technicky zastaralá trať Kolín – Děčín (tzv. Pravobřežní trať důležitá zejména pro nákladní dopravu), úsek Choceň – Ústí n/O, železniční uzly Praha a Brno a druhé napojení na železniční síť SRN (Plzeň – Domažlice). Z důvodů řešení kapacitní nedostatečnosti hlavního koridoru z Prahy na Moravu bude nutná modernizace a zdvoukolejnění tratě Velký Osek – Hradec Králové – Choceň. Velmi důležitá je rovněž modernizace tratě Brno – Přerov, na které z důvodů nedostatečné kapacity není provozována příměstská doprava na předměstí Brna. V souvislosti s dálkovou osobní dopravou se projevuje nedostatek moderních železničních vozidel, a to zejména na spojích objednávaných státem. Problém bude systémově řešen postupným otvíráním trhu (tzv. soutěž o trh), nicméně podpora modernizace vozidlového parku pro dálkovou železniční dopravu prostřednictvím evropských fondů je potřebná i v nadcházejícím období.</w:t>
            </w:r>
          </w:p>
          <w:p w14:paraId="1A0EA17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Největším přínosem vysokorychlostní železnice je zkrácení časové „vzdálenosti“, kterou přináší, a to jak ve vnitrostátních, tak v mezinárodních relacích. Zvyšuje tak výrazně konkurenceschopnost železnice vůči automobilové nebo letecké dopravě. Neboť se bude jednat v naprosté většině o novostavby, mělo by dojít k odlehčení dopravy na některých stávajících tratích, které jsou dnes již na hraně své kapacity a neumožňují tak zvýšit jak nabídku spojů i přes narůstající poptávku obyvatel po dopravě po železnici, tak i nabídku tras pro vlaky nákladní přepravy. Významnou otázkou zůstává napojení letiště Václava Havla v Praze odpovídající očekávaným standardům na cestování. Současná obsluha pražského letiště veřejnou osobní dopravou je nevyhovující a v porovnání s velkými letišti v očích cestující veřejnosti velmi špatná.</w:t>
            </w:r>
          </w:p>
          <w:p w14:paraId="3E559BCA" w14:textId="77777777" w:rsidR="00DD3EFA" w:rsidRPr="005A0E7C" w:rsidRDefault="00DD3EFA" w:rsidP="00B15ECB">
            <w:pPr>
              <w:spacing w:before="60" w:after="60"/>
              <w:rPr>
                <w:rFonts w:eastAsiaTheme="majorEastAsia"/>
                <w:i/>
                <w:u w:val="single"/>
              </w:rPr>
            </w:pPr>
            <w:r w:rsidRPr="005A0E7C">
              <w:t>Z pohledu zlepšení plynulosti dopravy a zmírnění negativních vlivů silniční dopravy na životní prostředí a veřejné zdraví je vedle rozvoje železniční dopravy zcela zásadní také výstavba obchvatů sídel. Dostatečná kvalita této sítě zvyšuje dostupnost regionů a zároveň mobilitu jejich obyvatel. Má tak zásadní význam pro kvalitu života v nich a pro jejich další ekonomický rozvoj, mimo jiné také z pohledu cestovního ruchu.</w:t>
            </w:r>
          </w:p>
        </w:tc>
        <w:tc>
          <w:tcPr>
            <w:tcW w:w="249" w:type="dxa"/>
            <w:tcBorders>
              <w:top w:val="nil"/>
              <w:bottom w:val="nil"/>
            </w:tcBorders>
            <w:shd w:val="clear" w:color="auto" w:fill="66CCFF"/>
          </w:tcPr>
          <w:p w14:paraId="75465F62" w14:textId="77777777" w:rsidR="00DD3EFA" w:rsidRPr="005A0E7C" w:rsidRDefault="00DD3EFA" w:rsidP="00B15ECB">
            <w:pPr>
              <w:rPr>
                <w:b/>
              </w:rPr>
            </w:pPr>
          </w:p>
        </w:tc>
      </w:tr>
      <w:tr w:rsidR="00DD3EFA" w:rsidRPr="005A0E7C" w14:paraId="0D4DD724" w14:textId="77777777" w:rsidTr="00B15ECB">
        <w:trPr>
          <w:trHeight w:val="1274"/>
        </w:trPr>
        <w:tc>
          <w:tcPr>
            <w:tcW w:w="249" w:type="dxa"/>
            <w:tcBorders>
              <w:top w:val="nil"/>
              <w:bottom w:val="nil"/>
            </w:tcBorders>
            <w:shd w:val="clear" w:color="auto" w:fill="66CCFF"/>
          </w:tcPr>
          <w:p w14:paraId="7892464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E9EE291"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5066A752" w14:textId="77777777" w:rsidR="00DD3EFA" w:rsidRPr="005A0E7C" w:rsidRDefault="00DD3EFA" w:rsidP="00B15ECB">
            <w:pPr>
              <w:spacing w:before="60" w:after="60"/>
            </w:pPr>
            <w:r w:rsidRPr="005A0E7C">
              <w:t>Největším problémem ČR je to, že významné modernizační kroky v dopravní infrastruktuře nabírají různě velké zpoždění, nebo zatím ještě nezapočaly či o nich nebylo vůbec rozhodnuto. Česká republika stále čelí mnoha nedostatkům ve všech třech okruzích dopravní infrastruktury. To má významné dopady na kvalitu ovzduší v obydlených oblastech.</w:t>
            </w:r>
          </w:p>
          <w:p w14:paraId="0D2DDC0B" w14:textId="5440F5A9" w:rsidR="00DD3EFA" w:rsidRPr="005A0E7C" w:rsidRDefault="00DD3EFA" w:rsidP="00B15ECB">
            <w:pPr>
              <w:spacing w:before="60" w:after="60"/>
            </w:pPr>
            <w:r w:rsidRPr="005A0E7C">
              <w:t>Železniční doprava tvoří páteř dopravního systému hromadné dopravy a představuje zdaleka nejvýznamnější udržitelný způsob dopravy v podmínkách ČR. Přes mnoho nesporných zlepšení však nezanedbatelná část železnice v ČR stále trpí nedostatečnými parametry infrastruktury a to jak z hlediska rychlosti, tak z hlediska kapacity proto je nutné se zaměřit na řešení obou problémů. Rovněž v oblasti zabezpečení je stále mnoho nedořešených problémů. Již dokončená modernizace železničních tratí znamenala významné zlepšení dálkové a příměstské dopravy na hlavních tazích, čímž došlo k vyčerpání kapacity pro hlavní trasy dálkové nákladní dopravy. Pro konkurenceschopnost železniční dopravy jako celku je klíčový rozvoj interoperability, tedy stejné parametry na nadnárodní úrovni. Z hlediska lepšího železničního propojení se sousedními státy i z hlediska propojení nejvýznamnějších měst v ČR v osobní dopravě bude nezbytné přistoupit k výstavbě tzv. rychlých spojení (vysokorychlostních tratí). Na druhou stranu nesmí být podceněn špatný technický stav dosud nemodernizovaných celostátních, vybraných regionálních a místních d</w:t>
            </w:r>
            <w:r w:rsidR="006A6ACB" w:rsidRPr="005A0E7C">
              <w:t>rah s prokazatelným potenciálem</w:t>
            </w:r>
            <w:r w:rsidRPr="005A0E7C">
              <w:t>. Budou posilovány kapacity železnic tak, aby byly schopny převzít další část přepravních výkonů osobní i nákladní silniční dopravy, a aby umožnily významný přesun tranzitní nákladní dopravy ze silnic na železnici. Pozitivním přínosem v konkurenceschopnosti železniční nákladní dopravy je elektrizace tratí a konverze trakční soustavy na systém 25 kV a prodloužení staničních kolejí ve vybraných stanicích tak, aby byl umožněn provoz nákladních vlaků délky alespoň 740 m.  Postupně budou zaváděny nové technologie pro řízení železničního provozu a zajišťování jeho bezpečnosti a pro poskytování informací zákazníkům. Dále budou zlepšovány technické parametry těchto tratí odpovídající požadavkům současné doby na cestování i na nákladní přepravu.</w:t>
            </w:r>
          </w:p>
          <w:p w14:paraId="335F5103" w14:textId="77777777" w:rsidR="00DD3EFA" w:rsidRPr="005A0E7C" w:rsidRDefault="00DD3EFA" w:rsidP="00B15ECB">
            <w:pPr>
              <w:spacing w:before="60" w:after="60"/>
            </w:pPr>
          </w:p>
          <w:p w14:paraId="6AB3B0B6" w14:textId="77777777" w:rsidR="00DD3EFA" w:rsidRPr="005A0E7C" w:rsidRDefault="00DD3EFA" w:rsidP="00B15ECB">
            <w:pPr>
              <w:spacing w:before="60" w:after="60"/>
            </w:pPr>
            <w:r w:rsidRPr="005A0E7C">
              <w:t>Silniční doprava představuje nejvýznamnější způsob dopravy v rámci ČR a to jak v dopravě osobní, tak v dopravě nákladní. I v budoucnosti bude mít silniční doprava v dopravním systému nezastupitelnou úlohu a to zejména díky schopnosti plošně obsloužit všechny lokality v ČR. Stále však není dobudována páteřní síť dálnic a napojení některých regionů na transevropskou dopravní síť (TEN-T) je nutné označit jako nedostatečné. Zvláštním problémem jsou na celém území a na všech kategoriích silniční sítě mosty. Problémem je i nedostatečné využití potenciálu, který nabízí inteligentní dopravní systémy (dopravní telematika), jejichž význam bude v budoucnosti v souvislosti se zaváděním nových vědeckých poznatků do praxe dále vzrůstat. Dalším problémem je bezpečnost silničního provozu. Byť v této oblasti dochází k jistému zlepšení, stále není možné dosažený stav označit jako uspokojivý a proto budou intervence v této oblasti, podmíněné silniční infrastrukturou, nezbytné.</w:t>
            </w:r>
          </w:p>
          <w:p w14:paraId="0A8F210B" w14:textId="77777777" w:rsidR="00DD3EFA" w:rsidRPr="005A0E7C" w:rsidRDefault="00DD3EFA" w:rsidP="00B15ECB">
            <w:pPr>
              <w:spacing w:before="60" w:after="60"/>
            </w:pPr>
          </w:p>
          <w:p w14:paraId="2FF35E31" w14:textId="77777777" w:rsidR="00DD3EFA" w:rsidRPr="005A0E7C" w:rsidRDefault="00DD3EFA" w:rsidP="00B15ECB">
            <w:pPr>
              <w:spacing w:before="60" w:after="60"/>
            </w:pPr>
            <w:r w:rsidRPr="005A0E7C">
              <w:t>Vzhle</w:t>
            </w:r>
            <w:r w:rsidRPr="005A0E7C">
              <w:softHyphen/>
              <w:t>dem k faktu, že inteligentní dopravní systémy (ITS) jsou úzce spjaty právě s využíváním i vlastním pořizováním prostorových dat/informací nejen v rámci mapových, ale i detekčních, komunikačních a řídicích systémů, je z pohledu dlouhodobě udržitelného rozvoje ITS nezbytné klást důraz na to, aby nově budovaná datová infrastruktura ITS vznikala v souladu s principy konsolidace a harmonizace prostorových dat v oblasti celé dopravní infrastruktury.</w:t>
            </w:r>
          </w:p>
          <w:p w14:paraId="2671444F" w14:textId="77777777" w:rsidR="00DD3EFA" w:rsidRPr="005A0E7C" w:rsidRDefault="00DD3EFA" w:rsidP="00B15ECB">
            <w:pPr>
              <w:spacing w:before="60" w:after="60"/>
            </w:pPr>
            <w:r w:rsidRPr="005A0E7C">
              <w:t xml:space="preserve">V blízké budoucnosti lze očekávat postupné nasazování automobilů vybavených kooperativními systémy ITS a nasazování automobilů s vyššími stupni automatizovaného řízení, jejichž provoz je do velké míry závislý na dostupné a dostatečně dimenzované infrastruktuře elektronických komunikací, na které se předpokládají přenosy dat.  </w:t>
            </w:r>
          </w:p>
          <w:p w14:paraId="6256619D" w14:textId="77777777" w:rsidR="00DD3EFA" w:rsidRPr="005A0E7C" w:rsidRDefault="00DD3EFA" w:rsidP="00B15ECB">
            <w:pPr>
              <w:spacing w:before="60" w:after="60"/>
            </w:pPr>
            <w:r w:rsidRPr="005A0E7C">
              <w:t>Nasazení autonomních vozidel do provozu vyžaduje také přípravu podpůrné infrastruktury (kromě fyzické také digitální vrstva dopravní infrastruktury, tj. síť elektronických komunikací a infrastruktura prostorových dat), která provoz kooperativního a autonomního vozidla umožní. Toho stavu nebylo dosaženo, a proto budou intervence v této oblasti nezbytné.</w:t>
            </w:r>
          </w:p>
          <w:p w14:paraId="26EBB8DA" w14:textId="77777777" w:rsidR="00DD3EFA" w:rsidRPr="005A0E7C" w:rsidRDefault="00DD3EFA" w:rsidP="00B15ECB">
            <w:pPr>
              <w:spacing w:before="60" w:after="60"/>
            </w:pPr>
          </w:p>
          <w:p w14:paraId="3C1F3D7D" w14:textId="77777777" w:rsidR="00DD3EFA" w:rsidRPr="005A0E7C" w:rsidRDefault="00DD3EFA" w:rsidP="00B15ECB">
            <w:pPr>
              <w:spacing w:before="60" w:after="60"/>
            </w:pPr>
            <w:r w:rsidRPr="005A0E7C">
              <w:t xml:space="preserve">Dalším problémem je kvalita sítě silnic I., II. a III. třídy, ostatní celostátní železniční tratí mimo páteřní síť a regionálních tratí. Většina úseků vyžaduje investice do oprav nebo do modernizace (tento poměr se liší dle úrovně sítí, přičemž obecně platí, že převaha oprav nad modernizací roste úměrně s poklesem hierarchické úrovně sítě). Z pohledu zlepšení plynulosti dopravy a zmírnění negativních vlivů silniční dopravy na životní prostředí a veřejné zdraví je zcela zásadní výstavba obchvatů sídel a rozšíření jednotlivé kategorie komunikací na příslušné vyhovující normové parametry. </w:t>
            </w:r>
          </w:p>
          <w:p w14:paraId="1586CA64" w14:textId="77777777" w:rsidR="00DD3EFA" w:rsidRPr="005A0E7C" w:rsidRDefault="00DD3EFA" w:rsidP="00B15ECB">
            <w:pPr>
              <w:spacing w:before="60" w:after="60"/>
            </w:pPr>
          </w:p>
          <w:p w14:paraId="6F0F19F8" w14:textId="77777777" w:rsidR="00DD3EFA" w:rsidRPr="005A0E7C" w:rsidRDefault="00DD3EFA" w:rsidP="00B15ECB">
            <w:pPr>
              <w:spacing w:before="60" w:after="60"/>
            </w:pPr>
            <w:r w:rsidRPr="005A0E7C">
              <w:t>Největším problémem celé sítě vnitrozemských vodních cest, je nedokončená vodní cesta na Labi v úseku mezi Děčínem a státní hranicí se SRN. Tento úsek má zcela přírodní charakter a je velmi nespolehlivý z pohledu plavebních podmínek. Tento úsek je zcela kardinální pro celou vnitrozemskou vodní dopravu, jako dopravní odvětví, neboť se jedná o koncový úsek celé sítě vnitrozemských vodních cest, zajišťující výstup z ČR dále směrem k moři. Záměr na zlepšení splavnosti tohoto úseku představuje střet dvou rovnocenných veřejných zájmů v ČR – rozvoje vnitrozemské vodní dopravy a ochrany přírody a krajiny, který se doposud nepodařilo vyřešit.</w:t>
            </w:r>
          </w:p>
          <w:p w14:paraId="31642F6A" w14:textId="77777777" w:rsidR="00DD3EFA" w:rsidRPr="005A0E7C" w:rsidRDefault="00DD3EFA" w:rsidP="00B15ECB">
            <w:pPr>
              <w:spacing w:before="60" w:after="60"/>
            </w:pPr>
          </w:p>
          <w:p w14:paraId="6B7BB3C5" w14:textId="77777777" w:rsidR="00DD3EFA" w:rsidRPr="005A0E7C" w:rsidRDefault="00DD3EFA" w:rsidP="00B15ECB">
            <w:pPr>
              <w:spacing w:before="60" w:after="60"/>
              <w:rPr>
                <w:i/>
              </w:rPr>
            </w:pPr>
            <w:r w:rsidRPr="005A0E7C">
              <w:t>V rámci cyklo-dopravy je základní snahou profesionální budování tří základních pilířů cyklistické infrastruktury, tedy bezpečných dopravních opatření v hlavním dopravním prostoru, samostatných cyklistických stezek, obvykle společných s chodci, a značení a úprava cyklotras. Všechny tyto tři navzájem provázané pilíře motivují veřejnost k přestupu z osobní automobilové dopravy na dopravu cyklistickou, případně pěší. Města v ČR potřebují v nastoleném trendu pokračovat a učinit samy sebe pro své obyvatele přívětivějšími a to na úkor preference automobilové dopravy.</w:t>
            </w:r>
          </w:p>
        </w:tc>
        <w:tc>
          <w:tcPr>
            <w:tcW w:w="249" w:type="dxa"/>
            <w:tcBorders>
              <w:top w:val="nil"/>
              <w:bottom w:val="nil"/>
            </w:tcBorders>
            <w:shd w:val="clear" w:color="auto" w:fill="66CCFF"/>
          </w:tcPr>
          <w:p w14:paraId="03AC8A9A" w14:textId="77777777" w:rsidR="00DD3EFA" w:rsidRPr="005A0E7C" w:rsidRDefault="00DD3EFA" w:rsidP="00B15ECB">
            <w:pPr>
              <w:rPr>
                <w:b/>
              </w:rPr>
            </w:pPr>
          </w:p>
        </w:tc>
      </w:tr>
      <w:tr w:rsidR="00DD3EFA" w:rsidRPr="005A0E7C" w14:paraId="3CFE2833" w14:textId="77777777" w:rsidTr="00B15ECB">
        <w:trPr>
          <w:trHeight w:val="1274"/>
        </w:trPr>
        <w:tc>
          <w:tcPr>
            <w:tcW w:w="249" w:type="dxa"/>
            <w:tcBorders>
              <w:top w:val="nil"/>
              <w:bottom w:val="nil"/>
            </w:tcBorders>
            <w:shd w:val="clear" w:color="auto" w:fill="66CCFF"/>
          </w:tcPr>
          <w:p w14:paraId="7E43457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5CCA15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4656B94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80FEDC9" w14:textId="77777777" w:rsidR="00DD3EFA" w:rsidRPr="005A0E7C" w:rsidRDefault="00DD3EFA" w:rsidP="00B15ECB">
            <w:pPr>
              <w:spacing w:before="60" w:after="60"/>
              <w:rPr>
                <w:rFonts w:eastAsiaTheme="majorEastAsia"/>
              </w:rPr>
            </w:pPr>
            <w:r w:rsidRPr="005A0E7C">
              <w:rPr>
                <w:rFonts w:eastAsiaTheme="majorEastAsia"/>
              </w:rPr>
              <w:t>V dalším programovacím období udělat další důležitý krok k dokončení základní sítě významné dopravní infrastruktury (zejména sítě TEN-T, dále pak sítě důležité k řešení problematiky udržitelné městské mobility a napojení hlavních průmyslových center na kapacitní infrastrukturu. Zýší se tím konkurenceschopnost ekonomiky, sníží se energetická spotřeba v dopravě (posílení multimodálního přístupu v dopravě a zvýšení plynulosti provozu) a sníží se emise skleníkových a znečišťujících látek v dopravě.</w:t>
            </w:r>
          </w:p>
        </w:tc>
        <w:tc>
          <w:tcPr>
            <w:tcW w:w="249" w:type="dxa"/>
            <w:tcBorders>
              <w:top w:val="nil"/>
              <w:bottom w:val="nil"/>
            </w:tcBorders>
            <w:shd w:val="clear" w:color="auto" w:fill="66CCFF"/>
          </w:tcPr>
          <w:p w14:paraId="6621E294" w14:textId="77777777" w:rsidR="00DD3EFA" w:rsidRPr="005A0E7C" w:rsidRDefault="00DD3EFA" w:rsidP="00B15ECB">
            <w:pPr>
              <w:rPr>
                <w:b/>
              </w:rPr>
            </w:pPr>
          </w:p>
        </w:tc>
      </w:tr>
      <w:tr w:rsidR="00DD3EFA" w:rsidRPr="005A0E7C" w14:paraId="79164F28" w14:textId="77777777" w:rsidTr="00B15ECB">
        <w:trPr>
          <w:trHeight w:val="1274"/>
        </w:trPr>
        <w:tc>
          <w:tcPr>
            <w:tcW w:w="249" w:type="dxa"/>
            <w:tcBorders>
              <w:top w:val="nil"/>
              <w:bottom w:val="nil"/>
            </w:tcBorders>
            <w:shd w:val="clear" w:color="auto" w:fill="66CCFF"/>
          </w:tcPr>
          <w:p w14:paraId="7D58FD9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A05C4F3"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2A618D8C" w14:textId="77777777" w:rsidR="00DD3EFA" w:rsidRPr="005A0E7C" w:rsidRDefault="00DD3EFA" w:rsidP="00B15ECB">
            <w:pPr>
              <w:spacing w:before="60" w:after="60"/>
              <w:rPr>
                <w:rFonts w:eastAsiaTheme="majorEastAsia"/>
              </w:rPr>
            </w:pPr>
            <w:r w:rsidRPr="005A0E7C">
              <w:rPr>
                <w:rFonts w:eastAsiaTheme="majorEastAsia"/>
              </w:rPr>
              <w:t>Dojde k realizaci projektů, které se připravují pro financování v období do roku 2029 (seznam projektů je uveden samostatně v příloze). Konkrétní dopady vyplývají z povahy toho kterého projektu (dokončení sítě TEN-T na silniční síti zvýší plynulost provozu a funguje rovněž jako soustava obchvatů sídel, dokončení železničních projektů přispívají k multimodalitě v osobní i nákladní dopravě – buď v rámci udržitelné městské mobility (např. trať Praha – Lysá n/L), vytvoření dostatečné kapacity a interoperability v železniční nákladní dopravě (např. Kolín – Děčín, Velký osek – Choceň), zkvalitnění meziregionální a dálkové dopravy, vč. přípravy vysokorychlostních tratí).</w:t>
            </w:r>
          </w:p>
        </w:tc>
        <w:tc>
          <w:tcPr>
            <w:tcW w:w="249" w:type="dxa"/>
            <w:tcBorders>
              <w:top w:val="nil"/>
              <w:bottom w:val="nil"/>
            </w:tcBorders>
            <w:shd w:val="clear" w:color="auto" w:fill="66CCFF"/>
          </w:tcPr>
          <w:p w14:paraId="7B800394" w14:textId="77777777" w:rsidR="00DD3EFA" w:rsidRPr="005A0E7C" w:rsidRDefault="00DD3EFA" w:rsidP="00B15ECB">
            <w:pPr>
              <w:rPr>
                <w:b/>
              </w:rPr>
            </w:pPr>
          </w:p>
        </w:tc>
      </w:tr>
      <w:tr w:rsidR="00DD3EFA" w:rsidRPr="005A0E7C" w14:paraId="2A70A173" w14:textId="77777777" w:rsidTr="00B15ECB">
        <w:trPr>
          <w:trHeight w:val="1274"/>
        </w:trPr>
        <w:tc>
          <w:tcPr>
            <w:tcW w:w="249" w:type="dxa"/>
            <w:tcBorders>
              <w:top w:val="nil"/>
              <w:bottom w:val="nil"/>
            </w:tcBorders>
            <w:shd w:val="clear" w:color="auto" w:fill="66CCFF"/>
          </w:tcPr>
          <w:p w14:paraId="67E79E4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BAEECAB"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0BA39C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Míra podpory se předpokládá cca 60 % (předpokládáme projekty spolufinancované z ESIF, tzn. dle cílů NKR, nikoliv z cílů strategií, kde se počítá i s čistě národním financováním).</w:t>
            </w:r>
          </w:p>
        </w:tc>
        <w:tc>
          <w:tcPr>
            <w:tcW w:w="249" w:type="dxa"/>
            <w:tcBorders>
              <w:top w:val="nil"/>
              <w:bottom w:val="nil"/>
            </w:tcBorders>
            <w:shd w:val="clear" w:color="auto" w:fill="66CCFF"/>
          </w:tcPr>
          <w:p w14:paraId="43478972" w14:textId="77777777" w:rsidR="00DD3EFA" w:rsidRPr="005A0E7C" w:rsidRDefault="00DD3EFA" w:rsidP="00B15ECB">
            <w:pPr>
              <w:rPr>
                <w:b/>
              </w:rPr>
            </w:pPr>
          </w:p>
        </w:tc>
      </w:tr>
      <w:tr w:rsidR="00DD3EFA" w:rsidRPr="005A0E7C" w14:paraId="4C97B850" w14:textId="77777777" w:rsidTr="00B15ECB">
        <w:trPr>
          <w:trHeight w:val="1274"/>
        </w:trPr>
        <w:tc>
          <w:tcPr>
            <w:tcW w:w="249" w:type="dxa"/>
            <w:tcBorders>
              <w:top w:val="nil"/>
              <w:bottom w:val="nil"/>
            </w:tcBorders>
            <w:shd w:val="clear" w:color="auto" w:fill="66CCFF"/>
          </w:tcPr>
          <w:p w14:paraId="3DEE73B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FDB3E59"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18F3E5FA" w14:textId="77777777" w:rsidR="00DD3EFA" w:rsidRPr="005A0E7C" w:rsidRDefault="00DD3EFA" w:rsidP="00B15ECB">
            <w:pPr>
              <w:spacing w:before="60" w:after="60"/>
            </w:pPr>
            <w:r w:rsidRPr="005A0E7C">
              <w:t xml:space="preserve">V oblasti dopravy bude nezbytné více propojovat výstavbu dopravní infrastruktury s prvky inteligentních dopravních systémů. </w:t>
            </w:r>
          </w:p>
          <w:p w14:paraId="5FCA7538" w14:textId="77777777" w:rsidR="00DD3EFA" w:rsidRPr="005A0E7C" w:rsidRDefault="00DD3EFA" w:rsidP="00B15ECB">
            <w:pPr>
              <w:spacing w:before="60" w:after="60"/>
            </w:pPr>
            <w:r w:rsidRPr="005A0E7C">
              <w:t>V železniční dopravě je oproti minulému období nutné více akcentovat potřeby železniční nákladní dopravy. Důležitá bude modernizace trati Kolín – Děčín (pravobřežní trať), zdvoukolejnění tratě Velký Osek – Choceň a zkapacitnění úseku Choceň – Ústí n/O. Rovněž bude důležité vybudovat druhé kapacitní železniční spojení do SRN.</w:t>
            </w:r>
          </w:p>
          <w:p w14:paraId="74FFD788" w14:textId="77777777" w:rsidR="00DD3EFA" w:rsidRPr="005A0E7C" w:rsidRDefault="00DD3EFA" w:rsidP="00B15ECB">
            <w:pPr>
              <w:spacing w:before="60" w:after="60"/>
            </w:pPr>
            <w:r w:rsidRPr="005A0E7C">
              <w:t xml:space="preserve">Jako významný kvalitativní posun je dále potřeba vnímat začátek výstavby tzv. rychlých spojení, které přinesou nový stupeň pro cestující v osobní dopravě na středních a dlouhých dopravních relacích. Je oprávněné předpokládat, že tento koncept napomůže přitáhnout významnou část nových cestujících, kteří doposud železniční dopravu nevyužívali. </w:t>
            </w:r>
          </w:p>
          <w:p w14:paraId="15FC75B8" w14:textId="77777777" w:rsidR="00DD3EFA" w:rsidRPr="005A0E7C" w:rsidRDefault="00DD3EFA" w:rsidP="00B15ECB">
            <w:pPr>
              <w:spacing w:before="60" w:after="60"/>
            </w:pPr>
            <w:r w:rsidRPr="005A0E7C">
              <w:t xml:space="preserve">V budoucnosti se v oblasti podpory silniční dopravy očekává vyšší provázanost intervencí do infrastruktury s doplňujícími intervencemi, jako jsou inteligentní dopravní systémy, jejichž význam bude stále narůstat. Inteligentní dopravní systémy mají velmi často výrazné efekty v oblasti plynulosti silničního provozu či bezpečnosti, což jsou další témata, na která bude kladen zvýšený důraz. Tyto změny mají přímou souvislost s širšími socioekonomickými změnami, jako je např. koncept inteligentních měst, koncept průmysl 4.0 apod. </w:t>
            </w:r>
          </w:p>
          <w:p w14:paraId="113CCA52" w14:textId="77777777" w:rsidR="00DD3EFA" w:rsidRPr="005A0E7C" w:rsidRDefault="00DD3EFA" w:rsidP="00B15ECB">
            <w:pPr>
              <w:spacing w:before="60" w:after="60"/>
            </w:pPr>
          </w:p>
          <w:p w14:paraId="642A614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Dopravní infrastruktura je investičně velmi nákladná, přičemž je jedním z prvků konkurenceschopnosti ČR a jejích regionů. Z toho důvodu je při plnění cíle dokončení základní sítě dopravní infrastruktury nutné využít možností evropského spolufinancování, a to jak v rámci kohezních států, tak i v budoucnu, kdy již ČR nebude k těmto státům již patřit (fond CEF).</w:t>
            </w:r>
          </w:p>
        </w:tc>
        <w:tc>
          <w:tcPr>
            <w:tcW w:w="249" w:type="dxa"/>
            <w:tcBorders>
              <w:top w:val="nil"/>
              <w:bottom w:val="nil"/>
            </w:tcBorders>
            <w:shd w:val="clear" w:color="auto" w:fill="66CCFF"/>
          </w:tcPr>
          <w:p w14:paraId="48E321E2" w14:textId="77777777" w:rsidR="00DD3EFA" w:rsidRPr="005A0E7C" w:rsidRDefault="00DD3EFA" w:rsidP="00B15ECB">
            <w:pPr>
              <w:rPr>
                <w:b/>
              </w:rPr>
            </w:pPr>
          </w:p>
        </w:tc>
      </w:tr>
      <w:tr w:rsidR="00DD3EFA" w:rsidRPr="005A0E7C" w14:paraId="72040AB0" w14:textId="77777777" w:rsidTr="00B15ECB">
        <w:trPr>
          <w:trHeight w:val="272"/>
        </w:trPr>
        <w:tc>
          <w:tcPr>
            <w:tcW w:w="249" w:type="dxa"/>
            <w:tcBorders>
              <w:top w:val="nil"/>
              <w:bottom w:val="nil"/>
              <w:right w:val="nil"/>
            </w:tcBorders>
            <w:shd w:val="clear" w:color="auto" w:fill="66CCFF"/>
          </w:tcPr>
          <w:p w14:paraId="7386AD66"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0B7282E"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D8D2594"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0AE799CD" w14:textId="77777777" w:rsidR="00DD3EFA" w:rsidRPr="005A0E7C" w:rsidRDefault="00DD3EFA" w:rsidP="00B15ECB">
            <w:pPr>
              <w:rPr>
                <w:b/>
              </w:rPr>
            </w:pPr>
          </w:p>
        </w:tc>
      </w:tr>
      <w:tr w:rsidR="00DD3EFA" w:rsidRPr="005A0E7C" w14:paraId="73050E6A" w14:textId="77777777" w:rsidTr="00B15ECB">
        <w:trPr>
          <w:trHeight w:val="835"/>
        </w:trPr>
        <w:tc>
          <w:tcPr>
            <w:tcW w:w="249" w:type="dxa"/>
            <w:tcBorders>
              <w:top w:val="nil"/>
              <w:bottom w:val="nil"/>
            </w:tcBorders>
            <w:shd w:val="clear" w:color="auto" w:fill="66CCFF"/>
          </w:tcPr>
          <w:p w14:paraId="201AEB24"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43BB7874"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0A08D2B6"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0F88380F" w14:textId="77777777" w:rsidR="00DD3EFA" w:rsidRPr="005A0E7C" w:rsidRDefault="00DD3EFA" w:rsidP="00B15ECB">
            <w:pPr>
              <w:spacing w:before="60" w:after="60"/>
            </w:pPr>
            <w:r w:rsidRPr="005A0E7C">
              <w:t xml:space="preserve">Jedná se o realizaci konkrétních projektů dle oblastí uvedených v části </w:t>
            </w:r>
            <w:r w:rsidRPr="005A0E7C">
              <w:rPr>
                <w:i/>
              </w:rPr>
              <w:t>Věcné vymezení specifického cíle NKR</w:t>
            </w:r>
            <w:r w:rsidRPr="005A0E7C">
              <w:t xml:space="preserve"> a rozpracované v části </w:t>
            </w:r>
            <w:r w:rsidRPr="005A0E7C">
              <w:rPr>
                <w:i/>
              </w:rPr>
              <w:t>Problémy, které specifický cíl řeší</w:t>
            </w:r>
            <w:r w:rsidRPr="005A0E7C">
              <w:t xml:space="preserve"> s tím, že tyto projekty jsou uvedeny v příloze.</w:t>
            </w:r>
          </w:p>
          <w:p w14:paraId="77DB43CE"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1C5240F" w14:textId="77777777" w:rsidR="00DD3EFA" w:rsidRPr="005A0E7C" w:rsidRDefault="00DD3EFA" w:rsidP="00B15ECB">
            <w:pPr>
              <w:rPr>
                <w:b/>
              </w:rPr>
            </w:pPr>
          </w:p>
        </w:tc>
      </w:tr>
      <w:tr w:rsidR="00DD3EFA" w:rsidRPr="005A0E7C" w14:paraId="3ABA2D77" w14:textId="77777777" w:rsidTr="00B15ECB">
        <w:trPr>
          <w:trHeight w:val="377"/>
        </w:trPr>
        <w:tc>
          <w:tcPr>
            <w:tcW w:w="249" w:type="dxa"/>
            <w:tcBorders>
              <w:top w:val="nil"/>
              <w:bottom w:val="nil"/>
              <w:right w:val="nil"/>
            </w:tcBorders>
            <w:shd w:val="clear" w:color="auto" w:fill="66CCFF"/>
          </w:tcPr>
          <w:p w14:paraId="2406F6D7"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A38532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DDB9A40"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0CB945DF" w14:textId="77777777" w:rsidR="00DD3EFA" w:rsidRPr="005A0E7C" w:rsidRDefault="00DD3EFA" w:rsidP="00B15ECB">
            <w:pPr>
              <w:rPr>
                <w:b/>
              </w:rPr>
            </w:pPr>
          </w:p>
        </w:tc>
      </w:tr>
      <w:tr w:rsidR="00DD3EFA" w:rsidRPr="005A0E7C" w14:paraId="57C6A941" w14:textId="77777777" w:rsidTr="00B15ECB">
        <w:trPr>
          <w:trHeight w:val="607"/>
        </w:trPr>
        <w:tc>
          <w:tcPr>
            <w:tcW w:w="249" w:type="dxa"/>
            <w:tcBorders>
              <w:top w:val="nil"/>
              <w:bottom w:val="nil"/>
            </w:tcBorders>
            <w:shd w:val="clear" w:color="auto" w:fill="66CCFF"/>
          </w:tcPr>
          <w:p w14:paraId="136F0394"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24E8F3F9"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17E45B92"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E99A7C9" w14:textId="77777777" w:rsidR="00DD3EFA" w:rsidRPr="005A0E7C" w:rsidRDefault="00DD3EFA" w:rsidP="00B15ECB">
            <w:pPr>
              <w:rPr>
                <w:b/>
              </w:rPr>
            </w:pPr>
          </w:p>
        </w:tc>
      </w:tr>
      <w:tr w:rsidR="00DD3EFA" w:rsidRPr="005A0E7C" w14:paraId="45DBC998" w14:textId="77777777" w:rsidTr="00B15ECB">
        <w:trPr>
          <w:trHeight w:val="1202"/>
        </w:trPr>
        <w:tc>
          <w:tcPr>
            <w:tcW w:w="249" w:type="dxa"/>
            <w:tcBorders>
              <w:top w:val="nil"/>
              <w:bottom w:val="nil"/>
            </w:tcBorders>
            <w:shd w:val="clear" w:color="auto" w:fill="66CCFF"/>
          </w:tcPr>
          <w:p w14:paraId="7B57F74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8B668BC"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08DCDD9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C2D0BD3"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Dopravní dostupnost a infrastruktura je nepochybně jedním z důležitých faktorů regionálního rozvoje a její nerovnoměrné rozmístění přispívá k nerovnoměrnému regionálnímu rozvoji. Z regionálního hlediska tedy doprava vede spíše k centralizaci než k disperzi.</w:t>
            </w:r>
          </w:p>
          <w:p w14:paraId="072B52B5"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Dopravní infrastruktura představuje sama o sobě územní dimenzi umožňující rozvoj regionů a sídel. Investice by měly být primárně zaměřeny na nedostatky stávajících sítí v mezinárodním (např. chybějící napojení na Německo v jižním směru a Rakousko) i národním měřítku (zejména mezi jednotlivými krajskými městy).</w:t>
            </w:r>
          </w:p>
          <w:p w14:paraId="24108DF2"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Co se týče jednotlivých typů území (metropole, aglomerace, regionální centra), tak každý typ čelí trochu jiným výzvám v oblasti řešení handicapů v dopravě.  Silná metropolitní území (Praha a Brno) nejsou dosud ve srovnání se západoevropskými metropolemi obdobné velikosti a významu dostatečně kvalitně napojeny na moderní dopravní tahy. Pro aglomerace (zbylá krajská města) je typické nedostatečné dopravní napojení na metropole, dále leckdy historicky problematické napojení na funkční území aglomerace (jádro-zázemí) a také napojení na příhraničí sousedních států. Všechna regionální centra (tj. města ORP) jsou komplikovaně propojena se svým zázemím (průtahy obcí), což způsobuje jejich znečištění (zejména ovzduší a hlukové znečištění). Dopravní infrastruktura (místní komunikace) jsou navíc v současné době ve velké míře ve špatném stavu v mikroregionálních centrech a jejich zázemí.</w:t>
            </w:r>
          </w:p>
          <w:p w14:paraId="2A224C7D"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Kvalitní dopravní infrastruktura je také nezbytným předpokladem pro rozvoj cestovního ruchu v ČR, který může znamenat v některých územích ČR jeden z hlavních ekonomických faktorů udržitelného rozvoje. Při plánování realizace dopravní infrastruktury je tudíž z tohoto pohledu nezbytné zahrnout i význam pro cestovní ruch. Předpokladem udržitelného rozvoje pro napojení regionů je posílit význam železniční infrastruktury (dálková spojení a systém regionálních tratí) pro větší dostupnost regionů, zejména v destinacích s potenciálem rozvoje cestovního ruchu i z pohledu udržitelné dopravy v rámci destinací a příměstských oblastí. Nutné je zohledňovat možnosti cestování jak místních obyvatel, tak i návštěvníků. Za účelem podpory domácího cestovního ruchu je třeba zajistit dostatečnou kapacitu spojů, především o víkendech a svátcích, kdy je koncentrace potenciálních návštěvníků nejvyšší. Dostupná veřejná doprava pomáhá snižovat využití IAD v destinacích i efektivnějšímu rozprostření návštěvnosti v regionech. V  turisticky atraktivních územích je nutné zabývat se jejich napojením na regionální centra a aglomerace, tak i využití udržitelných forem dopravy v rámci těchto turistických destinacích. Důležitým aspektem je tak budování a rozvoj dálkových cyklotras a jejich napojení na regionální úrovně.  V rámci udržitelnosti cestovního ruchu v hůře dostupných místech veřejnou dopravou je nutné podpořit výstavbu záchytných parkovišť. V této souvislosti pak v turisticky atraktivních lokalitách podpořit náhradu využití osobního automobilu za místní veřejnou ekologickou dopravu.</w:t>
            </w:r>
          </w:p>
          <w:p w14:paraId="00DD2D82" w14:textId="77777777" w:rsidR="00DD3EFA" w:rsidRPr="005A0E7C" w:rsidRDefault="00DD3EFA" w:rsidP="00B15ECB">
            <w:pPr>
              <w:spacing w:before="60" w:after="60"/>
              <w:rPr>
                <w:rFonts w:eastAsiaTheme="majorEastAsia"/>
              </w:rPr>
            </w:pPr>
            <w:r w:rsidRPr="005A0E7C">
              <w:t>Z pohledu rozvoje zdravých forem dopravy (pěší, cyklo, běh atd.) je nutné zajistit koordinovanost vzniku, údržby a rozvoje kvality pro tento druh dopravy uzpůsobených turistických tras na místní úrovni a podpořit řešení kolizí a návaznosti s dalšími druhy dopravy (silniční a železniční).</w:t>
            </w:r>
          </w:p>
        </w:tc>
        <w:tc>
          <w:tcPr>
            <w:tcW w:w="249" w:type="dxa"/>
            <w:tcBorders>
              <w:top w:val="nil"/>
              <w:bottom w:val="nil"/>
            </w:tcBorders>
            <w:shd w:val="clear" w:color="auto" w:fill="66CCFF"/>
          </w:tcPr>
          <w:p w14:paraId="40277C63" w14:textId="77777777" w:rsidR="00DD3EFA" w:rsidRPr="005A0E7C" w:rsidRDefault="00DD3EFA" w:rsidP="00B15ECB">
            <w:pPr>
              <w:rPr>
                <w:b/>
              </w:rPr>
            </w:pPr>
          </w:p>
        </w:tc>
      </w:tr>
      <w:tr w:rsidR="00DD3EFA" w:rsidRPr="005A0E7C" w14:paraId="78F99E16" w14:textId="77777777" w:rsidTr="00B15ECB">
        <w:trPr>
          <w:trHeight w:val="1202"/>
        </w:trPr>
        <w:tc>
          <w:tcPr>
            <w:tcW w:w="249" w:type="dxa"/>
            <w:tcBorders>
              <w:top w:val="nil"/>
              <w:bottom w:val="nil"/>
            </w:tcBorders>
            <w:shd w:val="clear" w:color="auto" w:fill="66CCFF"/>
          </w:tcPr>
          <w:p w14:paraId="1BD1932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207FFB6"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17E9C535"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E3F3ECB" w14:textId="77777777" w:rsidR="00DD3EFA" w:rsidRPr="005A0E7C" w:rsidRDefault="00DD3EFA" w:rsidP="00B15ECB">
            <w:r w:rsidRPr="005A0E7C">
              <w:t>Sektor dopravy je jedním z významných producentů emisí skleníkových plynů. V roce 2005 tento podíl činil 13,35 % a v roce 2016 dosáhly emise z dopravy 16,92 %. Tento růstový trend je velmi nepříznivý, avšak emise stále nedosahují hodnot z vyspělých zemí EU (např. ve Velké Británii činí podíl dopravy na emisích CO</w:t>
            </w:r>
            <w:r w:rsidRPr="005A0E7C">
              <w:rPr>
                <w:vertAlign w:val="subscript"/>
              </w:rPr>
              <w:t>2</w:t>
            </w:r>
            <w:r w:rsidRPr="005A0E7C">
              <w:t xml:space="preserve"> 27 %). Tento trend souvisí především s růstem objemů individuální automobilové dopravy a silniční nákladní dopravy. Dominantním zdrojem emisí CO</w:t>
            </w:r>
            <w:r w:rsidRPr="005A0E7C">
              <w:rPr>
                <w:vertAlign w:val="subscript"/>
              </w:rPr>
              <w:t>2</w:t>
            </w:r>
            <w:r w:rsidRPr="005A0E7C">
              <w:t xml:space="preserve"> v dopravě u nás je individuální doprava. V České republice každoročně přibude v registru cca 80 tisíc osobních automobilů. </w:t>
            </w:r>
          </w:p>
          <w:p w14:paraId="5B58E8F5" w14:textId="77777777" w:rsidR="00DD3EFA" w:rsidRPr="005A0E7C" w:rsidRDefault="00DD3EFA" w:rsidP="00B15ECB">
            <w:r w:rsidRPr="005A0E7C">
              <w:t xml:space="preserve">ČR je vázána mezinárodními závazky v oblasti snižování emisí skleníkových plynů a emisí znečišťujících látek. Např. Bílá kniha o dopravě požaduje, aby emise skleníkových plynů z dopravy klesly do roku 2050 o 60 % v porovnání s rokem 1990, směrnice Evropského parlamentu a Rady 2009/28/ES o podpoře využívání energie z obnovitelných zdrojů požaduje dosažení 10% podílu OZE v dopravě do roku 2020 a dle směrnice Evropského parlamentu a Rady 98/70/ES o kvalitě paliv musí dodavatelé pohonných hmot snížit emise z jimi dodávaných pohonných hmot minimálně o 6 % do konce roku 2020 v porovnání s rokem 2010. </w:t>
            </w:r>
          </w:p>
          <w:p w14:paraId="7CEDD88A" w14:textId="77777777" w:rsidR="00DD3EFA" w:rsidRPr="005A0E7C" w:rsidRDefault="00DD3EFA" w:rsidP="00B15ECB"/>
          <w:p w14:paraId="4B9928A8" w14:textId="77777777" w:rsidR="00DD3EFA" w:rsidRPr="005A0E7C" w:rsidRDefault="00DD3EFA" w:rsidP="00B15ECB">
            <w:r w:rsidRPr="005A0E7C">
              <w:t>U intervencí v oblasti dopravy je nezbytné počítat s předpokládanými dopady změna klimatu a směřovat opatření k zajištění flexibility a spolehlivosti dopravního sektoru, včetně zajištění provozu po extrémních projevech počasí.</w:t>
            </w:r>
          </w:p>
          <w:p w14:paraId="4DB99F0E" w14:textId="77777777" w:rsidR="00DD3EFA" w:rsidRPr="005A0E7C" w:rsidRDefault="00DD3EFA" w:rsidP="00B15ECB"/>
          <w:p w14:paraId="6517B6BF" w14:textId="77777777" w:rsidR="00DD3EFA" w:rsidRPr="005A0E7C" w:rsidRDefault="00DD3EFA" w:rsidP="00B15ECB">
            <w:r w:rsidRPr="005A0E7C">
              <w:t>Co se týče ochrany ovzduší, tak na území ČR dochází z hlediska kvality ovzduší k překračování imisních limitů pro suspendované částice frakce PM</w:t>
            </w:r>
            <w:r w:rsidRPr="005A0E7C">
              <w:rPr>
                <w:vertAlign w:val="subscript"/>
              </w:rPr>
              <w:t>2,5</w:t>
            </w:r>
            <w:r w:rsidRPr="005A0E7C">
              <w:t>, PM</w:t>
            </w:r>
            <w:r w:rsidRPr="005A0E7C">
              <w:rPr>
                <w:vertAlign w:val="subscript"/>
              </w:rPr>
              <w:t>10</w:t>
            </w:r>
            <w:r w:rsidRPr="005A0E7C">
              <w:t>, benzo(a)pyren, přízemní ozon a dále NO</w:t>
            </w:r>
            <w:r w:rsidRPr="005A0E7C">
              <w:rPr>
                <w:vertAlign w:val="subscript"/>
              </w:rPr>
              <w:t>2</w:t>
            </w:r>
            <w:r w:rsidRPr="005A0E7C">
              <w:t xml:space="preserve"> v místech zatížených dopravou. Z hlediska vlivu znečišťujících látek na zdraví lidí je nejproblematičtější vliv suspendovaných částic jemných frakcí, které kvůli své velikosti pronikají až do plicních sklípků. Na suspendované částice se mohou vázat polycyklické aromatické uhlovodíky – zejména benzo(a)pyren, který má prokázané mutagenní a karcinogenní účinky. </w:t>
            </w:r>
          </w:p>
          <w:p w14:paraId="59CAB558" w14:textId="77777777" w:rsidR="00DD3EFA" w:rsidRPr="005A0E7C" w:rsidRDefault="00DD3EFA" w:rsidP="00B15ECB">
            <w:r w:rsidRPr="005A0E7C">
              <w:t xml:space="preserve">Nejvíce zasaženou oblastí jsou velká města a aglomerace s vysokou hustotou osídlení, vysokou dopravní náročností a hustou silniční sítí. </w:t>
            </w:r>
          </w:p>
          <w:p w14:paraId="509BE9C1" w14:textId="77777777" w:rsidR="00DD3EFA" w:rsidRPr="005A0E7C" w:rsidRDefault="00DD3EFA" w:rsidP="00B15ECB"/>
          <w:p w14:paraId="08636377" w14:textId="77777777" w:rsidR="00DD3EFA" w:rsidRPr="005A0E7C" w:rsidRDefault="00DD3EFA" w:rsidP="00B15ECB">
            <w:r w:rsidRPr="005A0E7C">
              <w:t>Sektor dopravy se výraznou měrou podílí na znečistění ovzduší, z tohoto důvodu je nutné podporovat využívání šetrnějších druhů dopravy., např. železniční dopravu jak v osobní, tak i v nákladní dopravě. Dále je nutné podporovat rozvoj elektro-mobility a podmínek pro nízko-emisní oblasti ve městech.</w:t>
            </w:r>
          </w:p>
          <w:p w14:paraId="67EB713E" w14:textId="77777777" w:rsidR="00DD3EFA" w:rsidRPr="005A0E7C" w:rsidRDefault="00DD3EFA" w:rsidP="00B15ECB"/>
        </w:tc>
        <w:tc>
          <w:tcPr>
            <w:tcW w:w="249" w:type="dxa"/>
            <w:tcBorders>
              <w:top w:val="nil"/>
              <w:bottom w:val="nil"/>
            </w:tcBorders>
            <w:shd w:val="clear" w:color="auto" w:fill="66CCFF"/>
          </w:tcPr>
          <w:p w14:paraId="4E644D63" w14:textId="77777777" w:rsidR="00DD3EFA" w:rsidRPr="005A0E7C" w:rsidRDefault="00DD3EFA" w:rsidP="00B15ECB">
            <w:pPr>
              <w:rPr>
                <w:b/>
              </w:rPr>
            </w:pPr>
          </w:p>
        </w:tc>
      </w:tr>
      <w:tr w:rsidR="00DD3EFA" w:rsidRPr="005A0E7C" w14:paraId="1ECE4F5F" w14:textId="77777777" w:rsidTr="00B15ECB">
        <w:trPr>
          <w:trHeight w:val="1202"/>
        </w:trPr>
        <w:tc>
          <w:tcPr>
            <w:tcW w:w="249" w:type="dxa"/>
            <w:tcBorders>
              <w:top w:val="nil"/>
              <w:bottom w:val="nil"/>
            </w:tcBorders>
            <w:shd w:val="clear" w:color="auto" w:fill="66CCFF"/>
          </w:tcPr>
          <w:p w14:paraId="1B32AB0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1D70655"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311A8A8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2401D01" w14:textId="77777777" w:rsidR="00DD3EFA" w:rsidRPr="005A0E7C" w:rsidRDefault="00DD3EFA" w:rsidP="00B15ECB">
            <w:r w:rsidRPr="005A0E7C">
              <w:t>Konektivita, inteligentní dopravní systémy a autonomní mobilita představují základní pilíře průmyslu 4.0 a společnosti 4.0. Odpovídající finanční podpora výstavby a rozvoje infrastruktury pro ITS, autonomní mobilitu, včetně sítě elektronických komunikací a infrastruktury prostorových dat, je klíčovým opatřením nejen pro rozvoj autonomní mobility, ale i pro zvýšení konkurenceschopnosti ČR. Automatizované řízení vozidla zajistí nejen plynulejší a bezpečnější jízdu, ale umožní také energetickou optimalizaci jízdy vozidla. Chytrá infrastruktura také zahrnuje nový pohled na prostorové plánování a dimenzování parametrů dopravní infrastruktury. Doprovodné vybavení základní dopravní infrastruktury v podobě chytrého osvětlení a sběru dat z dopravy a jejích průvodních jevů je také nutné chytře koordinovat.</w:t>
            </w:r>
          </w:p>
          <w:p w14:paraId="50A58B4D" w14:textId="77777777" w:rsidR="00DD3EFA" w:rsidRPr="005A0E7C" w:rsidRDefault="00DD3EFA" w:rsidP="00B15ECB"/>
          <w:p w14:paraId="79DDDDF0" w14:textId="77777777" w:rsidR="00DD3EFA" w:rsidRPr="005A0E7C" w:rsidRDefault="00DD3EFA" w:rsidP="00B15ECB">
            <w:r w:rsidRPr="005A0E7C">
              <w:t>Součástí výzev v oblasti využití moderních technologií v dopravě jsou digitální platformy pro účely sdílené ekonomiky a sdíleného využívání dopravních prostředků pro osobní dopravu.</w:t>
            </w:r>
          </w:p>
        </w:tc>
        <w:tc>
          <w:tcPr>
            <w:tcW w:w="249" w:type="dxa"/>
            <w:tcBorders>
              <w:top w:val="nil"/>
              <w:bottom w:val="nil"/>
            </w:tcBorders>
            <w:shd w:val="clear" w:color="auto" w:fill="66CCFF"/>
          </w:tcPr>
          <w:p w14:paraId="4F983FA4" w14:textId="77777777" w:rsidR="00DD3EFA" w:rsidRPr="005A0E7C" w:rsidRDefault="00DD3EFA" w:rsidP="00B15ECB">
            <w:pPr>
              <w:rPr>
                <w:b/>
              </w:rPr>
            </w:pPr>
          </w:p>
        </w:tc>
      </w:tr>
      <w:tr w:rsidR="00DD3EFA" w:rsidRPr="005A0E7C" w14:paraId="704C6753" w14:textId="77777777" w:rsidTr="00B15ECB">
        <w:trPr>
          <w:trHeight w:val="1202"/>
        </w:trPr>
        <w:tc>
          <w:tcPr>
            <w:tcW w:w="249" w:type="dxa"/>
            <w:tcBorders>
              <w:top w:val="nil"/>
              <w:bottom w:val="nil"/>
            </w:tcBorders>
            <w:shd w:val="clear" w:color="auto" w:fill="66CCFF"/>
          </w:tcPr>
          <w:p w14:paraId="6BC7AC5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62BE56A"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3D0D02ED"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7361BC2" w14:textId="77777777" w:rsidR="00DD3EFA" w:rsidRPr="005A0E7C" w:rsidRDefault="00DD3EFA" w:rsidP="00B15ECB">
            <w:pPr>
              <w:spacing w:before="60" w:after="60"/>
              <w:rPr>
                <w:rFonts w:eastAsiaTheme="majorEastAsia"/>
              </w:rPr>
            </w:pPr>
            <w:r w:rsidRPr="005A0E7C">
              <w:rPr>
                <w:b/>
              </w:rPr>
              <w:t xml:space="preserve">Rostoucí mobilita </w:t>
            </w:r>
          </w:p>
          <w:p w14:paraId="31D3BD44" w14:textId="77777777" w:rsidR="00DD3EFA" w:rsidRPr="005A0E7C" w:rsidRDefault="00DD3EFA" w:rsidP="00B15ECB">
            <w:pPr>
              <w:spacing w:before="40"/>
            </w:pPr>
            <w:r w:rsidRPr="005A0E7C">
              <w:t>Dochází ke zvýšenému pohybu lidí, zboží, ale s tím také rostoucí environmentální zátěže.</w:t>
            </w:r>
          </w:p>
          <w:p w14:paraId="2310A0BD" w14:textId="77777777" w:rsidR="00DD3EFA" w:rsidRPr="005A0E7C" w:rsidRDefault="00DD3EFA" w:rsidP="00B15ECB">
            <w:pPr>
              <w:spacing w:before="40"/>
            </w:pPr>
            <w:r w:rsidRPr="005A0E7C">
              <w:rPr>
                <w:b/>
              </w:rPr>
              <w:t xml:space="preserve">Urbanizace </w:t>
            </w:r>
          </w:p>
          <w:p w14:paraId="4FF32DA1" w14:textId="77777777" w:rsidR="00DD3EFA" w:rsidRPr="005A0E7C" w:rsidRDefault="00DD3EFA" w:rsidP="00B15ECB">
            <w:pPr>
              <w:spacing w:before="40"/>
            </w:pPr>
            <w:r w:rsidRPr="005A0E7C">
              <w:t xml:space="preserve">Stěhování lidí z venkova do měst a jejich zázemí pokračuje bez ohledu na rostoucí negativa, která s sebou přináší. </w:t>
            </w:r>
          </w:p>
          <w:p w14:paraId="3F2A5174" w14:textId="77777777" w:rsidR="00DD3EFA" w:rsidRPr="005A0E7C" w:rsidRDefault="00DD3EFA" w:rsidP="00B15ECB">
            <w:pPr>
              <w:spacing w:before="40"/>
            </w:pPr>
            <w:r w:rsidRPr="005A0E7C">
              <w:rPr>
                <w:b/>
              </w:rPr>
              <w:t>Rostoucí spotřeba energie</w:t>
            </w:r>
          </w:p>
          <w:p w14:paraId="5583B26B" w14:textId="77777777" w:rsidR="00DD3EFA" w:rsidRPr="005A0E7C" w:rsidRDefault="00DD3EFA" w:rsidP="00B15ECB">
            <w:pPr>
              <w:spacing w:before="40" w:after="160" w:line="259" w:lineRule="auto"/>
            </w:pPr>
            <w:r w:rsidRPr="005A0E7C">
              <w:t>Energetická náročnost lidské činnosti narůstá v souvislosti s rostoucím bohatstvím a populační expanzí.</w:t>
            </w:r>
          </w:p>
          <w:p w14:paraId="3860A690" w14:textId="77777777" w:rsidR="00DD3EFA" w:rsidRPr="005A0E7C" w:rsidRDefault="00DD3EFA" w:rsidP="00B15ECB">
            <w:pPr>
              <w:spacing w:before="40" w:after="160" w:line="259" w:lineRule="auto"/>
            </w:pPr>
            <w:r w:rsidRPr="005A0E7C">
              <w:rPr>
                <w:b/>
              </w:rPr>
              <w:t>Změna klimatu a její dopady</w:t>
            </w:r>
          </w:p>
          <w:p w14:paraId="6EE2A72B" w14:textId="77777777" w:rsidR="00DD3EFA" w:rsidRPr="005A0E7C" w:rsidRDefault="00DD3EFA" w:rsidP="00B15ECB">
            <w:pPr>
              <w:spacing w:before="40" w:after="160" w:line="259" w:lineRule="auto"/>
            </w:pPr>
            <w:r w:rsidRPr="005A0E7C">
              <w:t>Změna klimatu zásadně ovlivňuje nejen životní prostředí, ale i všechny hospodářské sektory a tím i kvalitu života celé společnosti.</w:t>
            </w:r>
          </w:p>
          <w:p w14:paraId="08341A0E"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51D84142" w14:textId="77777777" w:rsidR="00DD3EFA" w:rsidRPr="005A0E7C" w:rsidRDefault="00DD3EFA" w:rsidP="00B15ECB">
            <w:pPr>
              <w:rPr>
                <w:b/>
              </w:rPr>
            </w:pPr>
          </w:p>
        </w:tc>
      </w:tr>
      <w:tr w:rsidR="00DD3EFA" w:rsidRPr="005A0E7C" w14:paraId="4C5419C1" w14:textId="77777777" w:rsidTr="00B15ECB">
        <w:trPr>
          <w:trHeight w:val="1202"/>
        </w:trPr>
        <w:tc>
          <w:tcPr>
            <w:tcW w:w="249" w:type="dxa"/>
            <w:tcBorders>
              <w:top w:val="nil"/>
              <w:bottom w:val="nil"/>
            </w:tcBorders>
            <w:shd w:val="clear" w:color="auto" w:fill="66CCFF"/>
          </w:tcPr>
          <w:p w14:paraId="3E24E00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7B23BCA"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7BAC7B69" w14:textId="77777777" w:rsidR="00DD3EFA" w:rsidRPr="005A0E7C" w:rsidRDefault="00DD3EFA" w:rsidP="00B15ECB">
            <w:pPr>
              <w:spacing w:before="60" w:after="60"/>
              <w:rPr>
                <w:rFonts w:eastAsiaTheme="majorEastAsia"/>
                <w:b/>
              </w:rPr>
            </w:pPr>
            <w:r w:rsidRPr="005A0E7C">
              <w:rPr>
                <w:rFonts w:eastAsiaTheme="majorEastAsia"/>
                <w:b/>
              </w:rPr>
              <w:t>Politický cíl ON:</w:t>
            </w:r>
          </w:p>
          <w:p w14:paraId="230772D7" w14:textId="77777777" w:rsidR="00DD3EFA" w:rsidRPr="005A0E7C" w:rsidRDefault="00DD3EFA" w:rsidP="00B15ECB">
            <w:pPr>
              <w:spacing w:before="60" w:after="60"/>
              <w:rPr>
                <w:rFonts w:eastAsiaTheme="majorEastAsia"/>
              </w:rPr>
            </w:pPr>
            <w:r w:rsidRPr="005A0E7C">
              <w:rPr>
                <w:rFonts w:eastAsiaTheme="majorEastAsia"/>
              </w:rPr>
              <w:t xml:space="preserve">Propojenější Evropa díky zvyšování mobility a regionálního propojení IKT </w:t>
            </w:r>
          </w:p>
          <w:p w14:paraId="6FCD7A25" w14:textId="77777777" w:rsidR="00DD3EFA" w:rsidRPr="005A0E7C" w:rsidRDefault="00DD3EFA" w:rsidP="00B15ECB">
            <w:pPr>
              <w:spacing w:before="60" w:after="60"/>
              <w:rPr>
                <w:rFonts w:eastAsiaTheme="majorEastAsia"/>
                <w:b/>
              </w:rPr>
            </w:pPr>
            <w:r w:rsidRPr="005A0E7C">
              <w:rPr>
                <w:rFonts w:eastAsiaTheme="majorEastAsia"/>
                <w:b/>
              </w:rPr>
              <w:t>Specifické cíle EFRR/FS:</w:t>
            </w:r>
          </w:p>
          <w:p w14:paraId="38D3C7B1" w14:textId="77777777" w:rsidR="00DD3EFA" w:rsidRPr="005A0E7C" w:rsidRDefault="00DD3EFA" w:rsidP="00B15ECB">
            <w:pPr>
              <w:spacing w:before="60" w:after="60"/>
              <w:rPr>
                <w:rFonts w:eastAsiaTheme="majorEastAsia"/>
              </w:rPr>
            </w:pPr>
            <w:r w:rsidRPr="005A0E7C">
              <w:rPr>
                <w:rFonts w:eastAsiaTheme="majorEastAsia"/>
              </w:rPr>
              <w:t>čl. 2 odst. 1 písm. c iii)</w:t>
            </w:r>
          </w:p>
          <w:p w14:paraId="2FA09AA8" w14:textId="77777777" w:rsidR="00DD3EFA" w:rsidRPr="005A0E7C" w:rsidRDefault="00DD3EFA" w:rsidP="00B15ECB">
            <w:pPr>
              <w:spacing w:before="60" w:after="60"/>
              <w:rPr>
                <w:rFonts w:eastAsiaTheme="majorEastAsia"/>
              </w:rPr>
            </w:pPr>
            <w:r w:rsidRPr="005A0E7C">
              <w:rPr>
                <w:rFonts w:eastAsiaTheme="majorEastAsia"/>
              </w:rPr>
              <w:t xml:space="preserve">rozvoj udržitelné, inteligentní a intermodální celostátní, regionální a místní mobility odolné vůči změnám klimatu, včetně lepšího přístupu k síti TEN-T a přeshraniční mobility </w:t>
            </w:r>
          </w:p>
          <w:p w14:paraId="3F59F234" w14:textId="77777777" w:rsidR="00DD3EFA" w:rsidRPr="005A0E7C" w:rsidRDefault="00DD3EFA" w:rsidP="00B15ECB">
            <w:pPr>
              <w:rPr>
                <w:color w:val="000000"/>
              </w:rPr>
            </w:pPr>
            <w:r w:rsidRPr="005A0E7C">
              <w:rPr>
                <w:color w:val="000000"/>
              </w:rPr>
              <w:t>CP</w:t>
            </w:r>
          </w:p>
          <w:p w14:paraId="78AD8031" w14:textId="77777777" w:rsidR="00DD3EFA" w:rsidRPr="005A0E7C" w:rsidRDefault="00DD3EFA" w:rsidP="00B15ECB">
            <w:pPr>
              <w:rPr>
                <w:color w:val="000000"/>
              </w:rPr>
            </w:pPr>
            <w:r w:rsidRPr="005A0E7C">
              <w:rPr>
                <w:color w:val="000000"/>
              </w:rPr>
              <w:t>2. A greener, low-carbon and resilient Europe by promoting clean and fair energy transition, green and blue investment, the circular economy, climate adaptation and risk prevention and management</w:t>
            </w:r>
          </w:p>
          <w:p w14:paraId="331BC6B2" w14:textId="77777777" w:rsidR="00DD3EFA" w:rsidRPr="005A0E7C" w:rsidRDefault="00DD3EFA" w:rsidP="00B15ECB">
            <w:pPr>
              <w:rPr>
                <w:color w:val="000000"/>
              </w:rPr>
            </w:pPr>
            <w:r w:rsidRPr="005A0E7C">
              <w:rPr>
                <w:color w:val="000000"/>
              </w:rPr>
              <w:t>SC</w:t>
            </w:r>
          </w:p>
          <w:p w14:paraId="4BA26DE9" w14:textId="77777777" w:rsidR="00DD3EFA" w:rsidRPr="005A0E7C" w:rsidRDefault="00DD3EFA" w:rsidP="00B15ECB">
            <w:pPr>
              <w:rPr>
                <w:color w:val="000000"/>
              </w:rPr>
            </w:pPr>
            <w:r w:rsidRPr="005A0E7C">
              <w:rPr>
                <w:color w:val="000000"/>
              </w:rPr>
              <w:t>(viii) Promoting sustainable multimodal urban mobility</w:t>
            </w:r>
          </w:p>
          <w:p w14:paraId="315F55EB" w14:textId="77777777" w:rsidR="00DD3EFA" w:rsidRPr="005A0E7C" w:rsidRDefault="00DD3EFA" w:rsidP="00B15ECB">
            <w:pPr>
              <w:rPr>
                <w:color w:val="000000"/>
              </w:rPr>
            </w:pPr>
            <w:r w:rsidRPr="005A0E7C">
              <w:rPr>
                <w:color w:val="000000"/>
              </w:rPr>
              <w:t>CP</w:t>
            </w:r>
          </w:p>
          <w:p w14:paraId="316FDCC8" w14:textId="77777777" w:rsidR="00DD3EFA" w:rsidRPr="005A0E7C" w:rsidRDefault="00DD3EFA" w:rsidP="00B15ECB">
            <w:pPr>
              <w:rPr>
                <w:color w:val="000000"/>
              </w:rPr>
            </w:pPr>
            <w:r w:rsidRPr="005A0E7C">
              <w:rPr>
                <w:color w:val="000000"/>
              </w:rPr>
              <w:t>3. A more connected Europe by enhancing mobility and regional ICT connectivity</w:t>
            </w:r>
          </w:p>
          <w:p w14:paraId="2B75B847" w14:textId="77777777" w:rsidR="00DD3EFA" w:rsidRPr="005A0E7C" w:rsidRDefault="00DD3EFA" w:rsidP="00B15ECB">
            <w:pPr>
              <w:spacing w:before="60" w:after="60"/>
            </w:pPr>
            <w:r w:rsidRPr="005A0E7C">
              <w:t>SC</w:t>
            </w:r>
          </w:p>
          <w:p w14:paraId="5E2B4A8B" w14:textId="77777777" w:rsidR="00DD3EFA" w:rsidRPr="005A0E7C" w:rsidRDefault="00DD3EFA" w:rsidP="00B15ECB">
            <w:pPr>
              <w:rPr>
                <w:color w:val="000000"/>
              </w:rPr>
            </w:pPr>
            <w:r w:rsidRPr="005A0E7C">
              <w:rPr>
                <w:color w:val="000000"/>
              </w:rPr>
              <w:t>(ii) Developing a sustainable, climate resilient, intelligent, secure and intermodal TEN-T</w:t>
            </w:r>
          </w:p>
          <w:p w14:paraId="3DD78CAA" w14:textId="77777777" w:rsidR="00DD3EFA" w:rsidRPr="005A0E7C" w:rsidRDefault="00DD3EFA" w:rsidP="00B15ECB">
            <w:pPr>
              <w:spacing w:before="60" w:after="60"/>
              <w:rPr>
                <w:rFonts w:eastAsiaTheme="majorEastAsia"/>
                <w:i/>
              </w:rPr>
            </w:pPr>
            <w:r w:rsidRPr="005A0E7C">
              <w:rPr>
                <w:color w:val="000000"/>
              </w:rPr>
              <w:t>(iii) Developing and enhancing sustainable, climate resilient, intelligent and intermodal national, regional and local mobility, including improved access to TEN-T and cross-border mobility</w:t>
            </w:r>
          </w:p>
        </w:tc>
        <w:tc>
          <w:tcPr>
            <w:tcW w:w="249" w:type="dxa"/>
            <w:tcBorders>
              <w:top w:val="nil"/>
              <w:bottom w:val="nil"/>
            </w:tcBorders>
            <w:shd w:val="clear" w:color="auto" w:fill="66CCFF"/>
          </w:tcPr>
          <w:p w14:paraId="113C2B41" w14:textId="77777777" w:rsidR="00DD3EFA" w:rsidRPr="005A0E7C" w:rsidRDefault="00DD3EFA" w:rsidP="00B15ECB">
            <w:pPr>
              <w:rPr>
                <w:b/>
              </w:rPr>
            </w:pPr>
          </w:p>
        </w:tc>
      </w:tr>
      <w:tr w:rsidR="00DD3EFA" w:rsidRPr="005A0E7C" w14:paraId="6C606014" w14:textId="77777777" w:rsidTr="00B15ECB">
        <w:trPr>
          <w:trHeight w:val="1202"/>
        </w:trPr>
        <w:tc>
          <w:tcPr>
            <w:tcW w:w="249" w:type="dxa"/>
            <w:tcBorders>
              <w:top w:val="nil"/>
              <w:bottom w:val="nil"/>
            </w:tcBorders>
            <w:shd w:val="clear" w:color="auto" w:fill="66CCFF"/>
          </w:tcPr>
          <w:p w14:paraId="516CE35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5A85D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00CCEE36" w14:textId="77777777" w:rsidR="00DD3EFA" w:rsidRPr="005A0E7C" w:rsidRDefault="00DD3EFA" w:rsidP="00B15ECB">
            <w:pPr>
              <w:spacing w:before="60" w:after="60"/>
              <w:rPr>
                <w:rFonts w:eastAsiaTheme="majorEastAsia"/>
              </w:rPr>
            </w:pPr>
            <w:r w:rsidRPr="005A0E7C">
              <w:rPr>
                <w:rFonts w:eastAsiaTheme="majorEastAsia"/>
              </w:rPr>
              <w:t>Vybraná specifická doporučení Rady (Reduce the administrative burden on investment, including by speeding up permit procedures for infrastructure work. Address weaknesses in public procurement practices…) směřují k bariérám ovlivňujícím implementaci specifického cíle NKR.</w:t>
            </w:r>
          </w:p>
          <w:p w14:paraId="50DB3913" w14:textId="77777777" w:rsidR="00DD3EFA" w:rsidRPr="005A0E7C" w:rsidRDefault="00DD3EFA" w:rsidP="00B15ECB">
            <w:pPr>
              <w:spacing w:before="60" w:after="60"/>
              <w:rPr>
                <w:rFonts w:eastAsiaTheme="majorEastAsia"/>
              </w:rPr>
            </w:pPr>
            <w:r w:rsidRPr="005A0E7C">
              <w:rPr>
                <w:rFonts w:eastAsiaTheme="majorEastAsia"/>
              </w:rPr>
              <w:t>Vazba na povolovací procesy a infrastrukturní projekty</w:t>
            </w:r>
          </w:p>
          <w:p w14:paraId="0529753C" w14:textId="77777777" w:rsidR="00DD3EFA" w:rsidRPr="005A0E7C" w:rsidRDefault="00DD3EFA" w:rsidP="00B15ECB">
            <w:pPr>
              <w:spacing w:before="60" w:after="60"/>
              <w:rPr>
                <w:rFonts w:eastAsiaTheme="majorEastAsia"/>
              </w:rPr>
            </w:pPr>
            <w:r w:rsidRPr="005A0E7C">
              <w:rPr>
                <w:rFonts w:eastAsiaTheme="majorEastAsia"/>
              </w:rPr>
              <w:t>Odstranění překážek růstu – nedostatečná dopravní infrastruktura je zásadní a klíčovou překážkou dalšího vývoje ekonomiky ČR i jednotlivých regionů, což je dobře vidět např. v regionech, které nedisponují přímým dálničmím napojením na další krajské metropole.</w:t>
            </w:r>
          </w:p>
          <w:p w14:paraId="228329E2" w14:textId="77777777" w:rsidR="00DD3EFA" w:rsidRPr="005A0E7C" w:rsidRDefault="00DD3EFA" w:rsidP="00B15ECB">
            <w:pPr>
              <w:spacing w:before="60" w:after="60"/>
              <w:rPr>
                <w:rFonts w:eastAsiaTheme="majorEastAsia"/>
              </w:rPr>
            </w:pPr>
            <w:r w:rsidRPr="005A0E7C">
              <w:rPr>
                <w:rFonts w:eastAsiaTheme="majorEastAsia"/>
              </w:rPr>
              <w:t xml:space="preserve">Specifická doporučení rady se týkají problematiky urychlení velkých dopravních staveb. V srpnu 2018 byla proto přijata novela </w:t>
            </w:r>
            <w:r w:rsidRPr="005A0E7C">
              <w:rPr>
                <w:rFonts w:eastAsiaTheme="majorEastAsia"/>
                <w:i/>
                <w:iCs/>
              </w:rPr>
              <w:t xml:space="preserve">Zákona č. 416/2009 Sb. o urychlení výstavby dopravní, vodní a energetické infrastruktury, </w:t>
            </w:r>
            <w:r w:rsidRPr="005A0E7C">
              <w:rPr>
                <w:rFonts w:eastAsiaTheme="majorEastAsia"/>
                <w:iCs/>
              </w:rPr>
              <w:t>připravuje se další novela zaměřená na zjednodušení povolovacích procesů při přípravě dopravní infrastruktury.</w:t>
            </w:r>
          </w:p>
        </w:tc>
        <w:tc>
          <w:tcPr>
            <w:tcW w:w="249" w:type="dxa"/>
            <w:tcBorders>
              <w:top w:val="nil"/>
              <w:bottom w:val="nil"/>
            </w:tcBorders>
            <w:shd w:val="clear" w:color="auto" w:fill="66CCFF"/>
          </w:tcPr>
          <w:p w14:paraId="1CEA8797" w14:textId="77777777" w:rsidR="00DD3EFA" w:rsidRPr="005A0E7C" w:rsidRDefault="00DD3EFA" w:rsidP="00B15ECB">
            <w:pPr>
              <w:rPr>
                <w:b/>
              </w:rPr>
            </w:pPr>
          </w:p>
        </w:tc>
      </w:tr>
      <w:tr w:rsidR="00DD3EFA" w:rsidRPr="005A0E7C" w14:paraId="2D5B3FD6" w14:textId="77777777" w:rsidTr="00B15ECB">
        <w:trPr>
          <w:trHeight w:val="180"/>
        </w:trPr>
        <w:tc>
          <w:tcPr>
            <w:tcW w:w="249" w:type="dxa"/>
            <w:tcBorders>
              <w:top w:val="nil"/>
              <w:bottom w:val="nil"/>
              <w:right w:val="nil"/>
            </w:tcBorders>
            <w:shd w:val="clear" w:color="auto" w:fill="66CCFF"/>
          </w:tcPr>
          <w:p w14:paraId="4852D042" w14:textId="77777777" w:rsidR="00DD3EFA" w:rsidRPr="005A0E7C" w:rsidRDefault="00DD3EFA" w:rsidP="00B15ECB">
            <w:pPr>
              <w:rPr>
                <w:b/>
              </w:rPr>
            </w:pPr>
          </w:p>
        </w:tc>
        <w:tc>
          <w:tcPr>
            <w:tcW w:w="2548" w:type="dxa"/>
            <w:tcBorders>
              <w:left w:val="nil"/>
              <w:right w:val="nil"/>
            </w:tcBorders>
            <w:shd w:val="clear" w:color="auto" w:fill="66CCFF"/>
          </w:tcPr>
          <w:p w14:paraId="2C0C4A85" w14:textId="77777777" w:rsidR="00DD3EFA" w:rsidRPr="005A0E7C" w:rsidRDefault="00DD3EFA" w:rsidP="00B15ECB">
            <w:pPr>
              <w:rPr>
                <w:b/>
              </w:rPr>
            </w:pPr>
          </w:p>
        </w:tc>
        <w:tc>
          <w:tcPr>
            <w:tcW w:w="5978" w:type="dxa"/>
            <w:tcBorders>
              <w:left w:val="nil"/>
              <w:right w:val="nil"/>
            </w:tcBorders>
            <w:shd w:val="clear" w:color="auto" w:fill="66CCFF"/>
          </w:tcPr>
          <w:p w14:paraId="6E93A249" w14:textId="77777777" w:rsidR="00DD3EFA" w:rsidRPr="005A0E7C" w:rsidRDefault="00DD3EFA" w:rsidP="00B15ECB">
            <w:pPr>
              <w:rPr>
                <w:b/>
              </w:rPr>
            </w:pPr>
          </w:p>
        </w:tc>
        <w:tc>
          <w:tcPr>
            <w:tcW w:w="249" w:type="dxa"/>
            <w:tcBorders>
              <w:top w:val="nil"/>
              <w:left w:val="nil"/>
              <w:bottom w:val="nil"/>
            </w:tcBorders>
            <w:shd w:val="clear" w:color="auto" w:fill="66CCFF"/>
          </w:tcPr>
          <w:p w14:paraId="30C5BFC9" w14:textId="77777777" w:rsidR="00DD3EFA" w:rsidRPr="005A0E7C" w:rsidRDefault="00DD3EFA" w:rsidP="00B15ECB">
            <w:pPr>
              <w:rPr>
                <w:b/>
              </w:rPr>
            </w:pPr>
          </w:p>
        </w:tc>
      </w:tr>
      <w:tr w:rsidR="00DD3EFA" w:rsidRPr="005A0E7C" w14:paraId="1307689D" w14:textId="77777777" w:rsidTr="00B15ECB">
        <w:trPr>
          <w:trHeight w:val="938"/>
        </w:trPr>
        <w:tc>
          <w:tcPr>
            <w:tcW w:w="249" w:type="dxa"/>
            <w:tcBorders>
              <w:top w:val="nil"/>
              <w:bottom w:val="nil"/>
            </w:tcBorders>
            <w:shd w:val="clear" w:color="auto" w:fill="66CCFF"/>
          </w:tcPr>
          <w:p w14:paraId="20ACC8F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FA66581"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4D90BB10"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44652D4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7887D0A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Dopravní politika ČR pro období 2021 – 2027. Dokument je v přípravě, proběhl sběr dat analytické části</w:t>
            </w:r>
          </w:p>
          <w:p w14:paraId="0D5D06F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Dopravní sektorové strategie – aktualizováno v roce 2018 s platností do konce roku 2023. jde o návazný dokument na Dopravní politiku pro oblast rozvoje, údržby a financování dopravní infrastruktury.</w:t>
            </w:r>
          </w:p>
          <w:p w14:paraId="44E0F94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Koncepce nákladní dopravy pro období 2017 – 2023 s výhledem do roku 2030</w:t>
            </w:r>
          </w:p>
          <w:p w14:paraId="05C8514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70E27F2F" w14:textId="77777777" w:rsidR="00DD3EFA" w:rsidRPr="005A0E7C" w:rsidRDefault="00DD3EFA" w:rsidP="00B15ECB">
            <w:r w:rsidRPr="005A0E7C">
              <w:t>Národní program snižování emisí ČR</w:t>
            </w:r>
          </w:p>
          <w:p w14:paraId="3C3613FA" w14:textId="77777777" w:rsidR="00DD3EFA" w:rsidRPr="005A0E7C" w:rsidRDefault="00DD3EFA" w:rsidP="00B15ECB">
            <w:r w:rsidRPr="005A0E7C">
              <w:t>Programy zlepšování kvality ovzduší</w:t>
            </w:r>
          </w:p>
          <w:p w14:paraId="01A938DD" w14:textId="77777777" w:rsidR="00DD3EFA" w:rsidRPr="005A0E7C" w:rsidRDefault="00DD3EFA" w:rsidP="00B15ECB">
            <w:r w:rsidRPr="005A0E7C">
              <w:t>Střednědobá strategie zlepšení kvality ovzduší v ČR</w:t>
            </w:r>
          </w:p>
          <w:p w14:paraId="53F71DF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Politika územního rozvoje ČR</w:t>
            </w:r>
          </w:p>
        </w:tc>
        <w:tc>
          <w:tcPr>
            <w:tcW w:w="249" w:type="dxa"/>
            <w:tcBorders>
              <w:top w:val="nil"/>
              <w:bottom w:val="nil"/>
            </w:tcBorders>
            <w:shd w:val="clear" w:color="auto" w:fill="66CCFF"/>
          </w:tcPr>
          <w:p w14:paraId="4A46A3D1" w14:textId="77777777" w:rsidR="00DD3EFA" w:rsidRPr="005A0E7C" w:rsidRDefault="00DD3EFA" w:rsidP="00B15ECB">
            <w:pPr>
              <w:rPr>
                <w:b/>
              </w:rPr>
            </w:pPr>
          </w:p>
        </w:tc>
      </w:tr>
      <w:tr w:rsidR="00DD3EFA" w:rsidRPr="005A0E7C" w14:paraId="55CC737C" w14:textId="77777777" w:rsidTr="00B15ECB">
        <w:trPr>
          <w:trHeight w:val="938"/>
        </w:trPr>
        <w:tc>
          <w:tcPr>
            <w:tcW w:w="249" w:type="dxa"/>
            <w:tcBorders>
              <w:top w:val="nil"/>
              <w:bottom w:val="nil"/>
            </w:tcBorders>
            <w:shd w:val="clear" w:color="auto" w:fill="66CCFF"/>
          </w:tcPr>
          <w:p w14:paraId="1E4500C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83C103C"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1347B93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19A6B7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roce 2018 byla vládou schválena aktualizace dokumentu Dopravní sektorové strategie. Dokument se zabývá prioritizací identifikovaných infrastrukturních záměrů silniční, železniční a vodní dopravy, a to z pohledu dostupných finančních zdrojů k zajištění nejen rozvoje dopravní infrastruktury, ale rovněž její údržby a obnovy. Dokument vychází dopravní politiky ČR pro období 2014 – 2020 s výhledem do roku 2050. Dopravní politika pro další období je v procesu přípravy a bude navazovat na dlouhodobé trendy předchozí dopravní politiky. Dokončení je plánováno na první polovinu roku 2020.</w:t>
            </w:r>
          </w:p>
          <w:p w14:paraId="5C1AB72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 rámci analytické části dokumentu Dopravní sektorové strategie došlo k analýze infrastrukturních potřeb z hlediska rozvoje dopravních sítí, tyto identifikované projekty byly propojeny do funkčních celků označených jako klastry. Menší projekty byly shrnuty do balíčků projektů dle jejich funkčního zaměření a těmto balíčkům byla přidělena finanční alokace.</w:t>
            </w:r>
          </w:p>
        </w:tc>
        <w:tc>
          <w:tcPr>
            <w:tcW w:w="249" w:type="dxa"/>
            <w:tcBorders>
              <w:top w:val="nil"/>
              <w:bottom w:val="nil"/>
            </w:tcBorders>
            <w:shd w:val="clear" w:color="auto" w:fill="66CCFF"/>
          </w:tcPr>
          <w:p w14:paraId="07F17970" w14:textId="77777777" w:rsidR="00DD3EFA" w:rsidRPr="005A0E7C" w:rsidRDefault="00DD3EFA" w:rsidP="00B15ECB">
            <w:pPr>
              <w:rPr>
                <w:b/>
              </w:rPr>
            </w:pPr>
          </w:p>
        </w:tc>
      </w:tr>
      <w:tr w:rsidR="00DD3EFA" w:rsidRPr="005A0E7C" w14:paraId="53117A22" w14:textId="77777777" w:rsidTr="00B15ECB">
        <w:trPr>
          <w:trHeight w:val="938"/>
        </w:trPr>
        <w:tc>
          <w:tcPr>
            <w:tcW w:w="249" w:type="dxa"/>
            <w:tcBorders>
              <w:top w:val="nil"/>
              <w:bottom w:val="nil"/>
            </w:tcBorders>
            <w:shd w:val="clear" w:color="auto" w:fill="66CCFF"/>
          </w:tcPr>
          <w:p w14:paraId="1F7745E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DC23B76"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5F6FF7B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57EAC6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Na základě identifikovaných potřeb dopravní infrastruktury ověřených celostátním multimodálním dopravním modelem byly na základě prioritizace a finančních možností stanoven harmonogram přípravy a realizace projektů v rámci projektových klastrů.</w:t>
            </w:r>
          </w:p>
        </w:tc>
        <w:tc>
          <w:tcPr>
            <w:tcW w:w="249" w:type="dxa"/>
            <w:tcBorders>
              <w:top w:val="nil"/>
              <w:bottom w:val="nil"/>
            </w:tcBorders>
            <w:shd w:val="clear" w:color="auto" w:fill="66CCFF"/>
          </w:tcPr>
          <w:p w14:paraId="47A9AAFD" w14:textId="77777777" w:rsidR="00DD3EFA" w:rsidRPr="005A0E7C" w:rsidRDefault="00DD3EFA" w:rsidP="00B15ECB">
            <w:pPr>
              <w:rPr>
                <w:b/>
              </w:rPr>
            </w:pPr>
          </w:p>
        </w:tc>
      </w:tr>
      <w:tr w:rsidR="00DD3EFA" w:rsidRPr="005A0E7C" w14:paraId="7C64C00D" w14:textId="77777777" w:rsidTr="00B15ECB">
        <w:trPr>
          <w:trHeight w:val="938"/>
        </w:trPr>
        <w:tc>
          <w:tcPr>
            <w:tcW w:w="249" w:type="dxa"/>
            <w:tcBorders>
              <w:top w:val="nil"/>
              <w:bottom w:val="nil"/>
            </w:tcBorders>
            <w:shd w:val="clear" w:color="auto" w:fill="66CCFF"/>
          </w:tcPr>
          <w:p w14:paraId="60875C7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3F33392"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640E48E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3105A4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Na základě výsledků harmonogramu z návrhové části rozděleného do časových etap organizují správci dopravní infrastruktury (SŽDC, ŘSD ČR, ŘVC a případně příslušná Povodí) přípravu konkrétních infrastrukturních projektů, tento harmonogram přípravy a stav jeho naplňování je konzultován s MD na pravidelných půlročních poradách.</w:t>
            </w:r>
          </w:p>
        </w:tc>
        <w:tc>
          <w:tcPr>
            <w:tcW w:w="249" w:type="dxa"/>
            <w:tcBorders>
              <w:top w:val="nil"/>
              <w:bottom w:val="nil"/>
            </w:tcBorders>
            <w:shd w:val="clear" w:color="auto" w:fill="66CCFF"/>
          </w:tcPr>
          <w:p w14:paraId="75634541" w14:textId="77777777" w:rsidR="00DD3EFA" w:rsidRPr="005A0E7C" w:rsidRDefault="00DD3EFA" w:rsidP="00B15ECB">
            <w:pPr>
              <w:rPr>
                <w:b/>
              </w:rPr>
            </w:pPr>
          </w:p>
        </w:tc>
      </w:tr>
      <w:tr w:rsidR="00DD3EFA" w:rsidRPr="005A0E7C" w14:paraId="754C5D56" w14:textId="77777777" w:rsidTr="00B15ECB">
        <w:trPr>
          <w:trHeight w:val="938"/>
        </w:trPr>
        <w:tc>
          <w:tcPr>
            <w:tcW w:w="249" w:type="dxa"/>
            <w:tcBorders>
              <w:top w:val="nil"/>
              <w:bottom w:val="nil"/>
            </w:tcBorders>
            <w:shd w:val="clear" w:color="auto" w:fill="66CCFF"/>
          </w:tcPr>
          <w:p w14:paraId="4028B33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4707F53"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1AD1896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Je součástí pravidelných půlročních porad, dále probíhá vyhodnocení jako jeden z analytických vstupů při pravidelných aktualizacích dokumentu Dopravní sektorové strategie (příští aktualizace je plánována s platností od roku 2024.</w:t>
            </w:r>
          </w:p>
          <w:p w14:paraId="73908D1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Monitorování (a evaluace) Dopravních sektorových strategií (jakožto nejvýznamnějšího výchozího dokumentu pro tento specifický cíl) probíhá průběžně a je zakotveno průřezově v rámci celého dokumentu. Naplňování principů a realizace opatření dle Dopravní sektorové strategie je kromě toho každoročně hodnoceno v textu rozpočtu SFDI.</w:t>
            </w:r>
          </w:p>
        </w:tc>
        <w:tc>
          <w:tcPr>
            <w:tcW w:w="249" w:type="dxa"/>
            <w:tcBorders>
              <w:top w:val="nil"/>
              <w:bottom w:val="nil"/>
            </w:tcBorders>
            <w:shd w:val="clear" w:color="auto" w:fill="66CCFF"/>
          </w:tcPr>
          <w:p w14:paraId="0B812A9C" w14:textId="77777777" w:rsidR="00DD3EFA" w:rsidRPr="005A0E7C" w:rsidRDefault="00DD3EFA" w:rsidP="00B15ECB">
            <w:pPr>
              <w:rPr>
                <w:b/>
              </w:rPr>
            </w:pPr>
          </w:p>
        </w:tc>
      </w:tr>
      <w:tr w:rsidR="00DD3EFA" w:rsidRPr="005A0E7C" w14:paraId="6511559B" w14:textId="77777777" w:rsidTr="00B15ECB">
        <w:trPr>
          <w:trHeight w:val="130"/>
        </w:trPr>
        <w:tc>
          <w:tcPr>
            <w:tcW w:w="249" w:type="dxa"/>
            <w:tcBorders>
              <w:top w:val="nil"/>
              <w:bottom w:val="nil"/>
              <w:right w:val="nil"/>
            </w:tcBorders>
            <w:shd w:val="clear" w:color="auto" w:fill="66CCFF"/>
          </w:tcPr>
          <w:p w14:paraId="0DA5B511" w14:textId="77777777" w:rsidR="00DD3EFA" w:rsidRPr="005A0E7C" w:rsidRDefault="00DD3EFA" w:rsidP="00B15ECB">
            <w:pPr>
              <w:rPr>
                <w:b/>
              </w:rPr>
            </w:pPr>
          </w:p>
        </w:tc>
        <w:tc>
          <w:tcPr>
            <w:tcW w:w="2548" w:type="dxa"/>
            <w:tcBorders>
              <w:left w:val="nil"/>
              <w:right w:val="nil"/>
            </w:tcBorders>
            <w:shd w:val="clear" w:color="auto" w:fill="66CCFF"/>
          </w:tcPr>
          <w:p w14:paraId="291FF45D" w14:textId="77777777" w:rsidR="00DD3EFA" w:rsidRPr="005A0E7C" w:rsidRDefault="00DD3EFA" w:rsidP="00B15ECB">
            <w:pPr>
              <w:rPr>
                <w:b/>
              </w:rPr>
            </w:pPr>
          </w:p>
        </w:tc>
        <w:tc>
          <w:tcPr>
            <w:tcW w:w="5978" w:type="dxa"/>
            <w:tcBorders>
              <w:left w:val="nil"/>
              <w:right w:val="nil"/>
            </w:tcBorders>
            <w:shd w:val="clear" w:color="auto" w:fill="66CCFF"/>
          </w:tcPr>
          <w:p w14:paraId="49EE6D8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5AED84ED" w14:textId="77777777" w:rsidR="00DD3EFA" w:rsidRPr="005A0E7C" w:rsidRDefault="00DD3EFA" w:rsidP="00B15ECB">
            <w:pPr>
              <w:rPr>
                <w:b/>
              </w:rPr>
            </w:pPr>
          </w:p>
        </w:tc>
      </w:tr>
      <w:tr w:rsidR="00DD3EFA" w:rsidRPr="005A0E7C" w14:paraId="4592B3BF" w14:textId="77777777" w:rsidTr="00B15ECB">
        <w:trPr>
          <w:trHeight w:val="1258"/>
        </w:trPr>
        <w:tc>
          <w:tcPr>
            <w:tcW w:w="249" w:type="dxa"/>
            <w:tcBorders>
              <w:top w:val="nil"/>
              <w:bottom w:val="nil"/>
              <w:right w:val="nil"/>
            </w:tcBorders>
            <w:shd w:val="clear" w:color="auto" w:fill="66CCFF"/>
          </w:tcPr>
          <w:p w14:paraId="650E0F85" w14:textId="77777777" w:rsidR="00DD3EFA" w:rsidRPr="005A0E7C" w:rsidRDefault="00DD3EFA" w:rsidP="00B15ECB">
            <w:pPr>
              <w:rPr>
                <w:b/>
              </w:rPr>
            </w:pPr>
          </w:p>
        </w:tc>
        <w:tc>
          <w:tcPr>
            <w:tcW w:w="2548" w:type="dxa"/>
            <w:shd w:val="clear" w:color="auto" w:fill="FFFFFF" w:themeFill="background1"/>
          </w:tcPr>
          <w:p w14:paraId="677656F4"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41F2AF39" w14:textId="77777777" w:rsidR="00DD3EFA" w:rsidRPr="005A0E7C" w:rsidRDefault="00DD3EFA" w:rsidP="00B15ECB">
            <w:pPr>
              <w:spacing w:before="60" w:after="60"/>
            </w:pPr>
            <w:r w:rsidRPr="005A0E7C">
              <w:t>Intervence v oblasti železniční dopravy tvořily (a tvoří) klíčovou část jak Operačního programu Doprava 2007-2013, tak Operačního programu Doprava 2014-2020, což platí zejména v případě intervencí do infrastruktury železnic transevropského významu (TEN-T). Podporu interoperability je poté možné označit za přímo ukázkový příklad oblasti, kde intervence z fondů EU vedou k efektům, které se projevují na celoevropské úrovni.</w:t>
            </w:r>
          </w:p>
          <w:p w14:paraId="1638FCB8" w14:textId="77777777" w:rsidR="00DD3EFA" w:rsidRPr="005A0E7C" w:rsidRDefault="00DD3EFA" w:rsidP="00B15ECB">
            <w:pPr>
              <w:spacing w:before="60" w:after="60"/>
            </w:pPr>
            <w:r w:rsidRPr="005A0E7C">
              <w:t>Intervence v oblasti silniční dopravy tvořily (a tvoří) významnou součást jak Operačního programu Doprava 2007-2013, tak Operačního programu Doprava 2014-2020. Zejména v případě financování silniční sítě transevropského významu (TEN-T) je oprávněné konstatovat, že prostředky z EU fondů tvoří rozhodující podíl financování.</w:t>
            </w:r>
          </w:p>
          <w:p w14:paraId="2343DE9C" w14:textId="77777777" w:rsidR="00DD3EFA" w:rsidRPr="005A0E7C" w:rsidRDefault="00DD3EFA" w:rsidP="00B15ECB">
            <w:r w:rsidRPr="005A0E7C">
              <w:t xml:space="preserve">V rámci aktuálního programového období OP D je na dopravní infrastrukturu určena dominantní část celé alokace napříč jednotlivými prioritními osami. Jedná se o </w:t>
            </w:r>
            <w:r w:rsidRPr="005A0E7C">
              <w:rPr>
                <w:i/>
              </w:rPr>
              <w:t>PO 1 Infrastruktura pro železniční a další udržitelnou dopravu SC 1.1 Zlepšení infrastruktury pro vyšší konkurenceschopnost a větší využití železniční dopravy</w:t>
            </w:r>
            <w:r w:rsidRPr="005A0E7C">
              <w:t xml:space="preserve">; </w:t>
            </w:r>
            <w:r w:rsidRPr="005A0E7C">
              <w:rPr>
                <w:i/>
              </w:rPr>
              <w:t>PO 2 Silniční infrastruktura na síti TEN-T SC 2.1 Zlepšení propojení center a regionů a zvýšení bezpečnosti a efektivnosti silniční dopravy prostřednictvím výstavby, obnovy a modernizace dálnic, rychlostních silnic a silniční sítě TEN-T včetně rozvoje systémů ITS</w:t>
            </w:r>
            <w:r w:rsidRPr="005A0E7C">
              <w:t xml:space="preserve">; </w:t>
            </w:r>
            <w:r w:rsidRPr="005A0E7C">
              <w:rPr>
                <w:i/>
              </w:rPr>
              <w:t>PO 3 Silniční infrastruktura mimo síť TEN-T SC 3.1 Zlepšení dostupnosti regionů, zvýšení bezpečnosti a plynulosti a snížení dopadů dopravy na veřejné zdraví prostřednictvím výstavby, obnovy a zlepšení parametrů dálnic, rychlostních silnic a silnic 1. třídy mimo síť TEN-T</w:t>
            </w:r>
            <w:r w:rsidRPr="005A0E7C">
              <w:t xml:space="preserve">. </w:t>
            </w:r>
          </w:p>
          <w:p w14:paraId="7DBFD03F" w14:textId="77777777" w:rsidR="00DD3EFA" w:rsidRPr="005A0E7C" w:rsidRDefault="00DD3EFA" w:rsidP="00B15ECB"/>
          <w:p w14:paraId="42A50F53" w14:textId="77777777" w:rsidR="00DD3EFA" w:rsidRPr="005A0E7C" w:rsidRDefault="00DD3EFA" w:rsidP="00B15ECB">
            <w:r w:rsidRPr="005A0E7C">
              <w:t>Podinvestovanost silnic II. a III. tříd je v ČR značná, vzhledem k vysoké hustotě sítě krajských silnic byly a jsou dostupné zdroje nedostatečné . Podpora krajských investic do silniční sítě jak z evropských fondů, regionálních operačních programů a Integrovaného regionálního operačního programu , tak ze SFDI je pro modernizaci a optimalizaci regionálních silnic klíčová.</w:t>
            </w:r>
          </w:p>
          <w:p w14:paraId="5149C888" w14:textId="77777777" w:rsidR="00DD3EFA" w:rsidRPr="005A0E7C" w:rsidRDefault="00DD3EFA" w:rsidP="00B15ECB"/>
          <w:p w14:paraId="169EDA08" w14:textId="77777777" w:rsidR="00DD3EFA" w:rsidRPr="005A0E7C" w:rsidRDefault="00DD3EFA" w:rsidP="00B15ECB">
            <w:r w:rsidRPr="005A0E7C">
              <w:t xml:space="preserve">V rámci IROP jsou v programovém období 2014-2020 podporovány v rámci SC 1.1 </w:t>
            </w:r>
            <w:r w:rsidRPr="005A0E7C">
              <w:rPr>
                <w:i/>
              </w:rPr>
              <w:t>Zvýšení regionální mobility prostřednictvím modernizace a rozvoje sítí regionální silniční infrastruktury navazující na síť TEN-T</w:t>
            </w:r>
            <w:r w:rsidRPr="005A0E7C">
              <w:t xml:space="preserve">  rekonstrukce, modernizace, popř. výstavba vybraných úseků silnic II. třídy, budování obchvatů sídel a vybraných úseků silnic III. třídy, které plní funkce silnic vyšší třídy, technické zhodnocení a výstavba mostů, zklidnění průtahů, výstavba okružních křižovatek na vybrané regionální silniční síti s cílem zvýšit konektivitu k síti TEN-T. Cílem je napojení hospodářsky problémového regionu nebo periferního území na síť TEN-T či sekundární nebo terciární uzel. Žadateli jsou kraje či jejich organizace.</w:t>
            </w:r>
          </w:p>
          <w:p w14:paraId="671F2977" w14:textId="77777777" w:rsidR="00DD3EFA" w:rsidRPr="005A0E7C" w:rsidRDefault="00DD3EFA" w:rsidP="00B15ECB"/>
          <w:p w14:paraId="31869BCA" w14:textId="77777777" w:rsidR="00DD3EFA" w:rsidRPr="005A0E7C" w:rsidRDefault="00DD3EFA" w:rsidP="00B15ECB">
            <w:pPr>
              <w:rPr>
                <w:b/>
              </w:rPr>
            </w:pPr>
            <w:r w:rsidRPr="005A0E7C">
              <w:t>Specifický cíli 1.1 IROP do konce roku 2018 podpořil celkem 243 projektů za 14,2 mld. Kč, z toho 143 projektů bylo k 31. 12. 2018 v realizaci, 100 projektů bylo dokončeno.</w:t>
            </w:r>
          </w:p>
        </w:tc>
        <w:tc>
          <w:tcPr>
            <w:tcW w:w="249" w:type="dxa"/>
            <w:tcBorders>
              <w:top w:val="nil"/>
              <w:left w:val="nil"/>
              <w:bottom w:val="nil"/>
            </w:tcBorders>
            <w:shd w:val="clear" w:color="auto" w:fill="66CCFF"/>
          </w:tcPr>
          <w:p w14:paraId="14135AE5" w14:textId="77777777" w:rsidR="00DD3EFA" w:rsidRPr="005A0E7C" w:rsidRDefault="00DD3EFA" w:rsidP="00B15ECB">
            <w:pPr>
              <w:rPr>
                <w:b/>
              </w:rPr>
            </w:pPr>
          </w:p>
        </w:tc>
      </w:tr>
      <w:tr w:rsidR="00DD3EFA" w:rsidRPr="005A0E7C" w14:paraId="62E9F8CF" w14:textId="77777777" w:rsidTr="00B15ECB">
        <w:trPr>
          <w:trHeight w:val="1258"/>
        </w:trPr>
        <w:tc>
          <w:tcPr>
            <w:tcW w:w="249" w:type="dxa"/>
            <w:tcBorders>
              <w:top w:val="nil"/>
              <w:bottom w:val="nil"/>
              <w:right w:val="nil"/>
            </w:tcBorders>
            <w:shd w:val="clear" w:color="auto" w:fill="66CCFF"/>
          </w:tcPr>
          <w:p w14:paraId="280674D7" w14:textId="77777777" w:rsidR="00DD3EFA" w:rsidRPr="005A0E7C" w:rsidRDefault="00DD3EFA" w:rsidP="00B15ECB">
            <w:pPr>
              <w:rPr>
                <w:b/>
              </w:rPr>
            </w:pPr>
          </w:p>
        </w:tc>
        <w:tc>
          <w:tcPr>
            <w:tcW w:w="2548" w:type="dxa"/>
            <w:shd w:val="clear" w:color="auto" w:fill="FFFFFF" w:themeFill="background1"/>
          </w:tcPr>
          <w:p w14:paraId="1ABD1667" w14:textId="77777777" w:rsidR="00DD3EFA" w:rsidRPr="005A0E7C" w:rsidRDefault="00DD3EFA" w:rsidP="00B15ECB">
            <w:pPr>
              <w:rPr>
                <w:rFonts w:eastAsiaTheme="majorEastAsia"/>
                <w:b/>
              </w:rPr>
            </w:pPr>
            <w:r w:rsidRPr="005A0E7C">
              <w:rPr>
                <w:rFonts w:eastAsiaTheme="majorEastAsia"/>
                <w:b/>
              </w:rPr>
              <w:t>Věcný posun oblasti</w:t>
            </w:r>
          </w:p>
          <w:p w14:paraId="63112D08"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24F96DE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Ke zvyšování regionální mobility prostřednictvím zlepšení silničního připojení k infrastruktuře sítě TEN-T přispěla do konce roku 2018 rekonstrukce a modernizace 251 km silnic II. a III. třídy po celé České republice (s výjimkou hl. m. Prahy) a v Moravskoslezském a Jihočeském kraji také výstavba 2,5 km nových silnic II. a III. třídy z IROP. Přínosy podpory v SC 1.1 IROP sleduje výsledkový indikátor programu 7 22 10 Plocha území dostupného z TEN-T do 45 minut – v r. 2019 proběhne první aktualizace výpočtu od r. 2014. </w:t>
            </w:r>
          </w:p>
          <w:p w14:paraId="0FFA73F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Obecně lze konstatovat, že realizované projekty přispěly k plnění globálního cíle OPD a to zlepšení dopravní dostupnosti. OPD přispělo k modernizaci transevropských sítí na území ČR. V železniční dopravě je dopad investičních aktivit ovlivněn prostupností jednotlivých koridorů a</w:t>
            </w:r>
            <w:r w:rsidRPr="005A0E7C" w:rsidDel="00AA781A">
              <w:rPr>
                <w:rFonts w:ascii="Times New Roman" w:hAnsi="Times New Roman"/>
              </w:rPr>
              <w:t xml:space="preserve"> současně dalších součástí železniční sítě TEN-T, kterými jsou zejména železniční uzly</w:t>
            </w:r>
            <w:r w:rsidRPr="005A0E7C">
              <w:rPr>
                <w:rFonts w:ascii="Times New Roman" w:hAnsi="Times New Roman"/>
              </w:rPr>
              <w:t>. Bylo zmodernizováno 479,87 km na síti TEN-T (z toho 229 km na hlavní TEN-T síti).</w:t>
            </w:r>
          </w:p>
          <w:p w14:paraId="163F88E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Rovněž byla úspěšná podpora na silniční infrastruktuře. </w:t>
            </w:r>
            <w:r w:rsidRPr="005A0E7C" w:rsidDel="00AA781A">
              <w:rPr>
                <w:rFonts w:ascii="Times New Roman" w:hAnsi="Times New Roman"/>
              </w:rPr>
              <w:t>V průběhu implementace programu bylo dokončeno několik projektů na </w:t>
            </w:r>
            <w:r w:rsidRPr="005A0E7C">
              <w:rPr>
                <w:rFonts w:ascii="Times New Roman" w:hAnsi="Times New Roman"/>
              </w:rPr>
              <w:t xml:space="preserve">dálniční </w:t>
            </w:r>
            <w:r w:rsidRPr="005A0E7C" w:rsidDel="00AA781A">
              <w:rPr>
                <w:rFonts w:ascii="Times New Roman" w:hAnsi="Times New Roman"/>
              </w:rPr>
              <w:t>TEN-T síti do konce roku 2016, které přispěly k vybudování 1</w:t>
            </w:r>
            <w:r w:rsidRPr="005A0E7C">
              <w:rPr>
                <w:rFonts w:ascii="Times New Roman" w:hAnsi="Times New Roman"/>
              </w:rPr>
              <w:t>07,9</w:t>
            </w:r>
            <w:r w:rsidRPr="005A0E7C" w:rsidDel="00AA781A">
              <w:rPr>
                <w:rFonts w:ascii="Times New Roman" w:hAnsi="Times New Roman"/>
              </w:rPr>
              <w:t xml:space="preserve"> km nových dálnic a silnic I. třídy, z toho </w:t>
            </w:r>
            <w:r w:rsidRPr="005A0E7C">
              <w:rPr>
                <w:rFonts w:ascii="Times New Roman" w:hAnsi="Times New Roman"/>
              </w:rPr>
              <w:t>20</w:t>
            </w:r>
            <w:r w:rsidRPr="005A0E7C" w:rsidDel="00AA781A">
              <w:rPr>
                <w:rFonts w:ascii="Times New Roman" w:hAnsi="Times New Roman"/>
              </w:rPr>
              <w:t xml:space="preserve"> km </w:t>
            </w:r>
            <w:r w:rsidRPr="005A0E7C">
              <w:rPr>
                <w:rFonts w:ascii="Times New Roman" w:hAnsi="Times New Roman"/>
              </w:rPr>
              <w:t>se nachází na hlavní síti TEN-T. Program v letech 2007-2013 rovněž přispěl k lepšímu napojení regionálních center zkapacitněním komunikací a budováním obchvatů ke zlepšení kvality života uvnitř městských oblastí.</w:t>
            </w:r>
          </w:p>
          <w:p w14:paraId="1E74966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U vodní dopravy lze registrovat jen dílčí úspěchy ve formě lokalizovaných projektů na vodních cestách.</w:t>
            </w:r>
          </w:p>
          <w:p w14:paraId="79BBEBD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 </w:t>
            </w:r>
          </w:p>
        </w:tc>
        <w:tc>
          <w:tcPr>
            <w:tcW w:w="249" w:type="dxa"/>
            <w:tcBorders>
              <w:top w:val="nil"/>
              <w:left w:val="nil"/>
              <w:bottom w:val="nil"/>
            </w:tcBorders>
            <w:shd w:val="clear" w:color="auto" w:fill="66CCFF"/>
          </w:tcPr>
          <w:p w14:paraId="3953E7A2" w14:textId="77777777" w:rsidR="00DD3EFA" w:rsidRPr="005A0E7C" w:rsidRDefault="00DD3EFA" w:rsidP="00B15ECB">
            <w:pPr>
              <w:rPr>
                <w:b/>
              </w:rPr>
            </w:pPr>
          </w:p>
        </w:tc>
      </w:tr>
      <w:tr w:rsidR="00DD3EFA" w:rsidRPr="005A0E7C" w14:paraId="7ED6491E" w14:textId="77777777" w:rsidTr="00B15ECB">
        <w:trPr>
          <w:trHeight w:val="1258"/>
        </w:trPr>
        <w:tc>
          <w:tcPr>
            <w:tcW w:w="249" w:type="dxa"/>
            <w:tcBorders>
              <w:top w:val="nil"/>
              <w:bottom w:val="nil"/>
              <w:right w:val="nil"/>
            </w:tcBorders>
            <w:shd w:val="clear" w:color="auto" w:fill="66CCFF"/>
          </w:tcPr>
          <w:p w14:paraId="44FAF790" w14:textId="77777777" w:rsidR="00DD3EFA" w:rsidRPr="005A0E7C" w:rsidRDefault="00DD3EFA" w:rsidP="00B15ECB">
            <w:pPr>
              <w:rPr>
                <w:b/>
              </w:rPr>
            </w:pPr>
          </w:p>
        </w:tc>
        <w:tc>
          <w:tcPr>
            <w:tcW w:w="2548" w:type="dxa"/>
            <w:shd w:val="clear" w:color="auto" w:fill="FFFFFF" w:themeFill="background1"/>
          </w:tcPr>
          <w:p w14:paraId="6AF82B66" w14:textId="77777777" w:rsidR="00DD3EFA" w:rsidRPr="005A0E7C" w:rsidRDefault="00DD3EFA" w:rsidP="00B15ECB">
            <w:pPr>
              <w:rPr>
                <w:rFonts w:eastAsiaTheme="majorEastAsia"/>
                <w:b/>
              </w:rPr>
            </w:pPr>
            <w:r w:rsidRPr="005A0E7C">
              <w:rPr>
                <w:rFonts w:eastAsiaTheme="majorEastAsia"/>
                <w:b/>
              </w:rPr>
              <w:t>Synergické a multiplikační efekty</w:t>
            </w:r>
          </w:p>
          <w:p w14:paraId="4DA5CAF6"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6C68103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Problematice synergií (a multiplikačních efektů) je věnována značná pozornost a to jak na úrovni strategické, resp. programové (princip multimodality jakožto jedno ze základních východisek všech relevantních strategií), tak i na úrovni projektové. Zejména u OPD2 a IROP existuje řada úspěšných příkladů uplatňování synergických vazeb v praxi.</w:t>
            </w:r>
          </w:p>
          <w:p w14:paraId="6F42E77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Rozvoj dopravní infrastruktury má pozitivní dopad na konkurenceschopnost jak ČR, tak jednotlivých regionů (viz. Strategie regionálního rozvoje). Má dopad na atraktivitu regionů z hlediska investic soukromého kapitálu. Kvalitní inteligentní dopravní infrastruktura zároveň zvyšuje bezpečnost provozu a přispívá k úsporám energií a snižování emisí skleníkových a znečišťujících látek, a to za předpokladu uplatnění multimodálního přístupu.</w:t>
            </w:r>
          </w:p>
        </w:tc>
        <w:tc>
          <w:tcPr>
            <w:tcW w:w="249" w:type="dxa"/>
            <w:tcBorders>
              <w:top w:val="nil"/>
              <w:left w:val="nil"/>
              <w:bottom w:val="nil"/>
            </w:tcBorders>
            <w:shd w:val="clear" w:color="auto" w:fill="66CCFF"/>
          </w:tcPr>
          <w:p w14:paraId="74B5D5C1" w14:textId="77777777" w:rsidR="00DD3EFA" w:rsidRPr="005A0E7C" w:rsidRDefault="00DD3EFA" w:rsidP="00B15ECB">
            <w:pPr>
              <w:rPr>
                <w:b/>
              </w:rPr>
            </w:pPr>
          </w:p>
        </w:tc>
      </w:tr>
      <w:tr w:rsidR="00DD3EFA" w:rsidRPr="005A0E7C" w14:paraId="6A6BF3D8" w14:textId="77777777" w:rsidTr="00B15ECB">
        <w:trPr>
          <w:trHeight w:val="180"/>
        </w:trPr>
        <w:tc>
          <w:tcPr>
            <w:tcW w:w="249" w:type="dxa"/>
            <w:tcBorders>
              <w:top w:val="nil"/>
              <w:bottom w:val="nil"/>
              <w:right w:val="nil"/>
            </w:tcBorders>
            <w:shd w:val="clear" w:color="auto" w:fill="66CCFF"/>
          </w:tcPr>
          <w:p w14:paraId="7DBFF569"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4836C48A"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781EC4A9" w14:textId="77777777" w:rsidR="00DD3EFA" w:rsidRPr="005A0E7C" w:rsidRDefault="00DD3EFA" w:rsidP="00B15ECB">
            <w:pPr>
              <w:rPr>
                <w:b/>
              </w:rPr>
            </w:pPr>
          </w:p>
        </w:tc>
        <w:tc>
          <w:tcPr>
            <w:tcW w:w="249" w:type="dxa"/>
            <w:tcBorders>
              <w:top w:val="nil"/>
              <w:left w:val="nil"/>
              <w:bottom w:val="nil"/>
            </w:tcBorders>
            <w:shd w:val="clear" w:color="auto" w:fill="66CCFF"/>
          </w:tcPr>
          <w:p w14:paraId="4F6B8220" w14:textId="77777777" w:rsidR="00DD3EFA" w:rsidRPr="005A0E7C" w:rsidRDefault="00DD3EFA" w:rsidP="00B15ECB">
            <w:pPr>
              <w:rPr>
                <w:b/>
              </w:rPr>
            </w:pPr>
          </w:p>
        </w:tc>
      </w:tr>
      <w:tr w:rsidR="00DD3EFA" w:rsidRPr="005A0E7C" w14:paraId="21DE50CD" w14:textId="77777777" w:rsidTr="00B15ECB">
        <w:trPr>
          <w:trHeight w:val="990"/>
        </w:trPr>
        <w:tc>
          <w:tcPr>
            <w:tcW w:w="249" w:type="dxa"/>
            <w:tcBorders>
              <w:top w:val="nil"/>
              <w:bottom w:val="nil"/>
            </w:tcBorders>
            <w:shd w:val="clear" w:color="auto" w:fill="66CCFF"/>
          </w:tcPr>
          <w:p w14:paraId="4A7686B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01B5E91"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7507C813" w14:textId="77777777" w:rsidR="00DD3EFA" w:rsidRPr="005A0E7C" w:rsidRDefault="00DD3EFA" w:rsidP="00B15ECB">
            <w:r w:rsidRPr="005A0E7C">
              <w:t>Absorpční kapacita je na velmi dobré úrovni a vzhledem k neuspokojivému stavu dopravní infrastruktury v ČR se dá předpokládat, že absorpce bude značná i do budoucna. Hlavní problém však představuje délka procesu plánování, povolování a přípravy staveb stejně jako obrovské administrativní zatížení s tím spojené. Tento fakt se podepisuje na neúnosně dlouhé době realizace klíčových staveb dopravní infrastruktury v ČR.</w:t>
            </w:r>
          </w:p>
        </w:tc>
        <w:tc>
          <w:tcPr>
            <w:tcW w:w="249" w:type="dxa"/>
            <w:tcBorders>
              <w:top w:val="nil"/>
              <w:bottom w:val="nil"/>
            </w:tcBorders>
            <w:shd w:val="clear" w:color="auto" w:fill="66CCFF"/>
          </w:tcPr>
          <w:p w14:paraId="46937438" w14:textId="77777777" w:rsidR="00DD3EFA" w:rsidRPr="005A0E7C" w:rsidRDefault="00DD3EFA" w:rsidP="00B15ECB">
            <w:pPr>
              <w:rPr>
                <w:b/>
              </w:rPr>
            </w:pPr>
          </w:p>
        </w:tc>
      </w:tr>
      <w:tr w:rsidR="00DD3EFA" w:rsidRPr="005A0E7C" w14:paraId="15EDAB01" w14:textId="77777777" w:rsidTr="00B15ECB">
        <w:trPr>
          <w:trHeight w:val="1260"/>
        </w:trPr>
        <w:tc>
          <w:tcPr>
            <w:tcW w:w="249" w:type="dxa"/>
            <w:tcBorders>
              <w:top w:val="nil"/>
              <w:bottom w:val="nil"/>
            </w:tcBorders>
            <w:shd w:val="clear" w:color="auto" w:fill="66CCFF"/>
          </w:tcPr>
          <w:p w14:paraId="68CE94B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82D602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5FCE2F7A" w14:textId="77777777" w:rsidR="00DD3EFA" w:rsidRPr="005A0E7C" w:rsidRDefault="00DD3EFA" w:rsidP="00B15ECB">
            <w:pPr>
              <w:rPr>
                <w:rFonts w:eastAsiaTheme="majorEastAsia"/>
              </w:rPr>
            </w:pPr>
            <w:r w:rsidRPr="005A0E7C">
              <w:rPr>
                <w:rFonts w:eastAsiaTheme="majorEastAsia"/>
              </w:rPr>
              <w:t xml:space="preserve">Ve stávajícím období je absorpční kapacita dostatečná, oproti předchozím obdobím mají majoritní příjemci připraven dostatek kvalitních projektů, což se pozitivně projevuje na pokroku OP Doprava. </w:t>
            </w:r>
          </w:p>
          <w:p w14:paraId="04003277" w14:textId="77777777" w:rsidR="00DD3EFA" w:rsidRPr="005A0E7C" w:rsidRDefault="00DD3EFA" w:rsidP="00B15ECB">
            <w:pPr>
              <w:spacing w:before="60" w:after="60"/>
            </w:pPr>
            <w:r w:rsidRPr="005A0E7C">
              <w:t>V IROP byly vyhlášeny celkem 4 výzvy na podporu modernizací a výstavby silnic II. a III. třídy. První tři výzvy se potýkaly s podprůměrným zájmem žadatelů. Poslední výzva (č. 70) již byla přeplněna o 62,5 %, tj. téměř o 9 mld. Kč, úspěšné projekty, pro které dle pořadí předložení nevystačí finanční prostředky, budou zařazeny na seznam náhradních projektů. Ve druhé polovině programového období 2014-2020 tedy již dobíhá příprava řady dlouhodobě rozpracovaných silničních projektů. Absorpční kapacita je z celkového dlouhodobého hlediska velmi vysoká.</w:t>
            </w:r>
          </w:p>
        </w:tc>
        <w:tc>
          <w:tcPr>
            <w:tcW w:w="249" w:type="dxa"/>
            <w:tcBorders>
              <w:top w:val="nil"/>
              <w:bottom w:val="nil"/>
            </w:tcBorders>
            <w:shd w:val="clear" w:color="auto" w:fill="66CCFF"/>
          </w:tcPr>
          <w:p w14:paraId="169CBC3A" w14:textId="77777777" w:rsidR="00DD3EFA" w:rsidRPr="005A0E7C" w:rsidRDefault="00DD3EFA" w:rsidP="00B15ECB">
            <w:pPr>
              <w:rPr>
                <w:b/>
              </w:rPr>
            </w:pPr>
          </w:p>
        </w:tc>
      </w:tr>
      <w:tr w:rsidR="00DD3EFA" w:rsidRPr="005A0E7C" w14:paraId="55A7DF89" w14:textId="77777777" w:rsidTr="00B15ECB">
        <w:trPr>
          <w:trHeight w:val="850"/>
        </w:trPr>
        <w:tc>
          <w:tcPr>
            <w:tcW w:w="249" w:type="dxa"/>
            <w:tcBorders>
              <w:top w:val="nil"/>
              <w:bottom w:val="nil"/>
            </w:tcBorders>
            <w:shd w:val="clear" w:color="auto" w:fill="66CCFF"/>
          </w:tcPr>
          <w:p w14:paraId="59C6061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CE4EAE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1513DF55" w14:textId="77777777" w:rsidR="00DD3EFA" w:rsidRPr="005A0E7C" w:rsidRDefault="00DD3EFA" w:rsidP="00B15ECB">
            <w:pPr>
              <w:spacing w:before="60" w:after="60"/>
              <w:rPr>
                <w:rFonts w:eastAsiaTheme="majorEastAsia"/>
              </w:rPr>
            </w:pPr>
            <w:r w:rsidRPr="005A0E7C">
              <w:rPr>
                <w:rFonts w:eastAsiaTheme="majorEastAsia"/>
              </w:rPr>
              <w:t>Vyplývá z přílohy. Poptávka v současnosti i do budoucna převyšuje rozpočtové možnosti. Příprava staveb již není limitujícím faktorem.</w:t>
            </w:r>
          </w:p>
        </w:tc>
        <w:tc>
          <w:tcPr>
            <w:tcW w:w="249" w:type="dxa"/>
            <w:tcBorders>
              <w:top w:val="nil"/>
              <w:bottom w:val="nil"/>
            </w:tcBorders>
            <w:shd w:val="clear" w:color="auto" w:fill="66CCFF"/>
          </w:tcPr>
          <w:p w14:paraId="366B83B1" w14:textId="77777777" w:rsidR="00DD3EFA" w:rsidRPr="005A0E7C" w:rsidRDefault="00DD3EFA" w:rsidP="00B15ECB">
            <w:pPr>
              <w:rPr>
                <w:b/>
              </w:rPr>
            </w:pPr>
          </w:p>
        </w:tc>
      </w:tr>
      <w:tr w:rsidR="00DD3EFA" w:rsidRPr="005A0E7C" w14:paraId="13796400" w14:textId="77777777" w:rsidTr="00B15ECB">
        <w:trPr>
          <w:trHeight w:val="925"/>
        </w:trPr>
        <w:tc>
          <w:tcPr>
            <w:tcW w:w="249" w:type="dxa"/>
            <w:tcBorders>
              <w:top w:val="nil"/>
              <w:bottom w:val="nil"/>
            </w:tcBorders>
            <w:shd w:val="clear" w:color="auto" w:fill="66CCFF"/>
          </w:tcPr>
          <w:p w14:paraId="24377A7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F62E09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0F4E7F6F" w14:textId="77777777" w:rsidR="00DD3EFA" w:rsidRPr="005A0E7C" w:rsidRDefault="00DD3EFA" w:rsidP="00B15ECB">
            <w:pPr>
              <w:spacing w:before="60" w:after="60"/>
              <w:rPr>
                <w:rFonts w:eastAsiaTheme="majorEastAsia"/>
              </w:rPr>
            </w:pPr>
            <w:r w:rsidRPr="005A0E7C">
              <w:rPr>
                <w:rFonts w:eastAsiaTheme="majorEastAsia"/>
              </w:rPr>
              <w:t>Vyplývá z přílohy. Projektová příprava se kontroluje v půlročních intervalech a provádí se v souladu s možnostmi rozpočtu SFDI.</w:t>
            </w:r>
          </w:p>
          <w:p w14:paraId="517B8DEE"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0C00BDAE" w14:textId="77777777" w:rsidR="00DD3EFA" w:rsidRPr="005A0E7C" w:rsidRDefault="00DD3EFA" w:rsidP="00B15ECB">
            <w:pPr>
              <w:rPr>
                <w:b/>
              </w:rPr>
            </w:pPr>
          </w:p>
        </w:tc>
      </w:tr>
      <w:tr w:rsidR="00DD3EFA" w:rsidRPr="005A0E7C" w14:paraId="0338D857" w14:textId="77777777" w:rsidTr="00B15ECB">
        <w:trPr>
          <w:trHeight w:val="1001"/>
        </w:trPr>
        <w:tc>
          <w:tcPr>
            <w:tcW w:w="249" w:type="dxa"/>
            <w:tcBorders>
              <w:top w:val="nil"/>
              <w:bottom w:val="nil"/>
            </w:tcBorders>
            <w:shd w:val="clear" w:color="auto" w:fill="66CCFF"/>
          </w:tcPr>
          <w:p w14:paraId="32FE18C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909A71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625D0A68" w14:textId="77777777" w:rsidR="00DD3EFA" w:rsidRPr="005A0E7C" w:rsidRDefault="00DD3EFA" w:rsidP="00B15ECB">
            <w:pPr>
              <w:spacing w:before="60" w:after="60"/>
              <w:rPr>
                <w:rFonts w:eastAsiaTheme="majorEastAsia"/>
              </w:rPr>
            </w:pPr>
            <w:r w:rsidRPr="005A0E7C">
              <w:rPr>
                <w:rFonts w:eastAsiaTheme="majorEastAsia"/>
              </w:rPr>
              <w:t>Limitujícím faktorem je nedostatek pracovních sil ve stavebních firmách. Příprava projektů je nadále zatížena délkou územního a stavebního řízení a realizace veřejných zakázek. Projektů je však připraven dostatek (viz výše).</w:t>
            </w:r>
          </w:p>
          <w:p w14:paraId="26650FD3" w14:textId="77777777" w:rsidR="00DD3EFA" w:rsidRPr="005A0E7C" w:rsidRDefault="00DD3EFA" w:rsidP="00B15ECB">
            <w:pPr>
              <w:spacing w:before="60" w:after="60"/>
              <w:rPr>
                <w:rFonts w:eastAsiaTheme="majorEastAsia"/>
              </w:rPr>
            </w:pPr>
            <w:r w:rsidRPr="005A0E7C">
              <w:rPr>
                <w:rFonts w:eastAsiaTheme="majorEastAsia"/>
              </w:rPr>
              <w:t>Problémy v přípravě staveb vyplývají z vysoce urbanizovaného území ČR s hustou mozaikou chráněných přístrodních lokalit. V demokratické společnosti rizikozdržení procesu v důsledku uplatnění požadavků dotčených občanů ovlivněných výstavbou a provozem dopravní infrastruktury (NIMBY efekt) bude vždy existovat, rizika je ale nutné minimalizovat. Proto se po novele z loňského roku připravuje další novela zákona č. 416/2009 Sb.</w:t>
            </w:r>
          </w:p>
        </w:tc>
        <w:tc>
          <w:tcPr>
            <w:tcW w:w="249" w:type="dxa"/>
            <w:tcBorders>
              <w:top w:val="nil"/>
              <w:bottom w:val="nil"/>
            </w:tcBorders>
            <w:shd w:val="clear" w:color="auto" w:fill="66CCFF"/>
          </w:tcPr>
          <w:p w14:paraId="0E1CD58A" w14:textId="77777777" w:rsidR="00DD3EFA" w:rsidRPr="005A0E7C" w:rsidRDefault="00DD3EFA" w:rsidP="00B15ECB">
            <w:pPr>
              <w:rPr>
                <w:b/>
              </w:rPr>
            </w:pPr>
          </w:p>
        </w:tc>
      </w:tr>
      <w:tr w:rsidR="00DD3EFA" w:rsidRPr="005A0E7C" w14:paraId="2C26569A"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36D046D7"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F3A79A6"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159DA74"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5F1E6570" w14:textId="77777777" w:rsidR="00DD3EFA" w:rsidRPr="005A0E7C" w:rsidRDefault="00DD3EFA" w:rsidP="00B15ECB">
            <w:pPr>
              <w:rPr>
                <w:b/>
              </w:rPr>
            </w:pPr>
          </w:p>
        </w:tc>
      </w:tr>
      <w:tr w:rsidR="00DD3EFA" w:rsidRPr="005A0E7C" w14:paraId="07512427" w14:textId="77777777" w:rsidTr="00B15ECB">
        <w:trPr>
          <w:trHeight w:val="1968"/>
        </w:trPr>
        <w:tc>
          <w:tcPr>
            <w:tcW w:w="249" w:type="dxa"/>
            <w:tcBorders>
              <w:top w:val="single" w:sz="4" w:space="0" w:color="auto"/>
              <w:bottom w:val="nil"/>
            </w:tcBorders>
            <w:shd w:val="clear" w:color="auto" w:fill="66CCFF"/>
          </w:tcPr>
          <w:p w14:paraId="55D50E69"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6996C263"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57AC2D8D" w14:textId="77777777" w:rsidR="00DD3EFA" w:rsidRPr="005A0E7C" w:rsidRDefault="00DD3EFA" w:rsidP="00B15ECB">
            <w:pPr>
              <w:spacing w:before="60" w:after="60"/>
              <w:rPr>
                <w:rFonts w:eastAsiaTheme="majorEastAsia"/>
              </w:rPr>
            </w:pPr>
            <w:r w:rsidRPr="005A0E7C">
              <w:rPr>
                <w:rFonts w:eastAsiaTheme="majorEastAsia"/>
              </w:rPr>
              <w:t>Další zdroje existují (národní zdroje, příprava projektu PPP atp.), požadavky na financování rozvoje dopravní infrastruktury jsou ale značné, a proto musí být vícezdrojové. MD předjednalo úvěr od EIB na financování budování dopravní infrastruktury. Nakonec schválen úvěr jen pro dvě stavby v tzv. blendingové výzvě CEF. Další úvěr se po dohodě s MF v tuto chvíli neplánuje.</w:t>
            </w:r>
          </w:p>
        </w:tc>
        <w:tc>
          <w:tcPr>
            <w:tcW w:w="249" w:type="dxa"/>
            <w:tcBorders>
              <w:top w:val="single" w:sz="4" w:space="0" w:color="auto"/>
              <w:bottom w:val="nil"/>
            </w:tcBorders>
            <w:shd w:val="clear" w:color="auto" w:fill="66CCFF"/>
          </w:tcPr>
          <w:p w14:paraId="035C4F0C" w14:textId="77777777" w:rsidR="00DD3EFA" w:rsidRPr="005A0E7C" w:rsidRDefault="00DD3EFA" w:rsidP="00B15ECB">
            <w:pPr>
              <w:rPr>
                <w:b/>
              </w:rPr>
            </w:pPr>
          </w:p>
        </w:tc>
      </w:tr>
      <w:tr w:rsidR="00DD3EFA" w:rsidRPr="005A0E7C" w14:paraId="3A05F376" w14:textId="77777777" w:rsidTr="00B15ECB">
        <w:trPr>
          <w:trHeight w:val="1968"/>
        </w:trPr>
        <w:tc>
          <w:tcPr>
            <w:tcW w:w="249" w:type="dxa"/>
            <w:tcBorders>
              <w:top w:val="nil"/>
              <w:bottom w:val="nil"/>
            </w:tcBorders>
            <w:shd w:val="clear" w:color="auto" w:fill="66CCFF"/>
          </w:tcPr>
          <w:p w14:paraId="4EE4A6C3" w14:textId="77777777" w:rsidR="00DD3EFA" w:rsidRPr="005A0E7C" w:rsidRDefault="00DD3EFA" w:rsidP="00B15ECB">
            <w:pPr>
              <w:rPr>
                <w:b/>
              </w:rPr>
            </w:pPr>
          </w:p>
        </w:tc>
        <w:tc>
          <w:tcPr>
            <w:tcW w:w="2548" w:type="dxa"/>
            <w:tcBorders>
              <w:top w:val="nil"/>
            </w:tcBorders>
            <w:shd w:val="clear" w:color="auto" w:fill="FFFFFF" w:themeFill="background1"/>
          </w:tcPr>
          <w:p w14:paraId="34DE6254"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526F0209" w14:textId="77777777" w:rsidR="00DD3EFA" w:rsidRPr="005A0E7C" w:rsidRDefault="00DD3EFA" w:rsidP="00B15ECB">
            <w:pPr>
              <w:spacing w:before="60" w:after="60"/>
              <w:rPr>
                <w:rFonts w:eastAsiaTheme="majorEastAsia"/>
              </w:rPr>
            </w:pPr>
            <w:r w:rsidRPr="005A0E7C">
              <w:rPr>
                <w:rFonts w:eastAsiaTheme="majorEastAsia"/>
              </w:rPr>
              <w:t xml:space="preserve">Fond CEF – dopravní infrastruktura na hlavní síti TEN-T a částečně globální síti TEN-T (zejména přeshraniční úseky), výrazná preference projektů železniční infrastruktury </w:t>
            </w:r>
            <w:r w:rsidRPr="005A0E7C">
              <w:rPr>
                <w:rFonts w:eastAsiaTheme="majorEastAsia"/>
                <w:i/>
              </w:rPr>
              <w:t>(nařízení k CEF 2021-2027 ještě není schváleno).</w:t>
            </w:r>
          </w:p>
        </w:tc>
        <w:tc>
          <w:tcPr>
            <w:tcW w:w="249" w:type="dxa"/>
            <w:tcBorders>
              <w:top w:val="nil"/>
              <w:bottom w:val="nil"/>
            </w:tcBorders>
            <w:shd w:val="clear" w:color="auto" w:fill="66CCFF"/>
          </w:tcPr>
          <w:p w14:paraId="07AE0517" w14:textId="77777777" w:rsidR="00DD3EFA" w:rsidRPr="005A0E7C" w:rsidRDefault="00DD3EFA" w:rsidP="00B15ECB">
            <w:pPr>
              <w:rPr>
                <w:b/>
              </w:rPr>
            </w:pPr>
          </w:p>
        </w:tc>
      </w:tr>
      <w:tr w:rsidR="00DD3EFA" w:rsidRPr="005A0E7C" w14:paraId="04FE2BEA" w14:textId="77777777" w:rsidTr="00B15ECB">
        <w:trPr>
          <w:trHeight w:val="1968"/>
        </w:trPr>
        <w:tc>
          <w:tcPr>
            <w:tcW w:w="249" w:type="dxa"/>
            <w:tcBorders>
              <w:top w:val="nil"/>
              <w:bottom w:val="nil"/>
            </w:tcBorders>
            <w:shd w:val="clear" w:color="auto" w:fill="66CCFF"/>
          </w:tcPr>
          <w:p w14:paraId="1159C0E0" w14:textId="77777777" w:rsidR="00DD3EFA" w:rsidRPr="005A0E7C" w:rsidRDefault="00DD3EFA" w:rsidP="00B15ECB">
            <w:pPr>
              <w:rPr>
                <w:b/>
              </w:rPr>
            </w:pPr>
          </w:p>
        </w:tc>
        <w:tc>
          <w:tcPr>
            <w:tcW w:w="2548" w:type="dxa"/>
            <w:tcBorders>
              <w:top w:val="nil"/>
            </w:tcBorders>
            <w:shd w:val="clear" w:color="auto" w:fill="FFFFFF" w:themeFill="background1"/>
          </w:tcPr>
          <w:p w14:paraId="3B48FE08"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7A465CA2" w14:textId="77777777" w:rsidR="00DD3EFA" w:rsidRPr="005A0E7C" w:rsidRDefault="00DD3EFA" w:rsidP="00B15ECB">
            <w:pPr>
              <w:spacing w:before="60" w:after="60"/>
              <w:rPr>
                <w:rFonts w:eastAsiaTheme="majorEastAsia"/>
                <w:i/>
              </w:rPr>
            </w:pPr>
            <w:r w:rsidRPr="005A0E7C">
              <w:rPr>
                <w:rFonts w:eastAsiaTheme="majorEastAsia"/>
                <w:i/>
              </w:rPr>
              <w:t>Prosíme o doplnění vazby na hlavní kapitolu státního rozpočtu, případně jiných národních zdrojů.</w:t>
            </w:r>
          </w:p>
          <w:p w14:paraId="785CA9FC" w14:textId="77777777" w:rsidR="00DD3EFA" w:rsidRPr="005A0E7C" w:rsidRDefault="00DD3EFA" w:rsidP="00B15ECB">
            <w:pPr>
              <w:spacing w:before="60" w:after="60"/>
              <w:rPr>
                <w:rFonts w:eastAsiaTheme="majorEastAsia"/>
              </w:rPr>
            </w:pPr>
            <w:r w:rsidRPr="005A0E7C">
              <w:rPr>
                <w:rFonts w:eastAsiaTheme="majorEastAsia"/>
              </w:rPr>
              <w:t xml:space="preserve">Financování dopravní infrastruktury probíhá vícezdrojově zejména prostřednictvím SFDI. </w:t>
            </w:r>
            <w:r w:rsidRPr="005A0E7C">
              <w:rPr>
                <w:rFonts w:eastAsiaTheme="majorEastAsia"/>
                <w:u w:val="single"/>
              </w:rPr>
              <w:t xml:space="preserve">Požadavky na financování rozvoje dopravní infrastruktury jsou ale značné, a proto musí být vícezdrojové. </w:t>
            </w:r>
            <w:r w:rsidRPr="005A0E7C">
              <w:rPr>
                <w:rFonts w:eastAsiaTheme="majorEastAsia"/>
              </w:rPr>
              <w:t>Rozpočet SFDI má stanovené příjmy (podíl na spotřební dani z minerálních olejů, silniční daň, atd.).</w:t>
            </w:r>
          </w:p>
        </w:tc>
        <w:tc>
          <w:tcPr>
            <w:tcW w:w="249" w:type="dxa"/>
            <w:tcBorders>
              <w:top w:val="nil"/>
              <w:bottom w:val="nil"/>
            </w:tcBorders>
            <w:shd w:val="clear" w:color="auto" w:fill="66CCFF"/>
          </w:tcPr>
          <w:p w14:paraId="15F2218F" w14:textId="77777777" w:rsidR="00DD3EFA" w:rsidRPr="005A0E7C" w:rsidRDefault="00DD3EFA" w:rsidP="00B15ECB">
            <w:pPr>
              <w:rPr>
                <w:b/>
              </w:rPr>
            </w:pPr>
          </w:p>
        </w:tc>
      </w:tr>
      <w:tr w:rsidR="00DD3EFA" w:rsidRPr="005A0E7C" w14:paraId="56978C90" w14:textId="77777777" w:rsidTr="00B15ECB">
        <w:trPr>
          <w:trHeight w:val="1968"/>
        </w:trPr>
        <w:tc>
          <w:tcPr>
            <w:tcW w:w="249" w:type="dxa"/>
            <w:tcBorders>
              <w:top w:val="nil"/>
              <w:bottom w:val="nil"/>
            </w:tcBorders>
            <w:shd w:val="clear" w:color="auto" w:fill="66CCFF"/>
          </w:tcPr>
          <w:p w14:paraId="25E775FE" w14:textId="77777777" w:rsidR="00DD3EFA" w:rsidRPr="005A0E7C" w:rsidRDefault="00DD3EFA" w:rsidP="00B15ECB">
            <w:pPr>
              <w:rPr>
                <w:b/>
              </w:rPr>
            </w:pPr>
          </w:p>
        </w:tc>
        <w:tc>
          <w:tcPr>
            <w:tcW w:w="2548" w:type="dxa"/>
            <w:tcBorders>
              <w:top w:val="nil"/>
            </w:tcBorders>
            <w:shd w:val="clear" w:color="auto" w:fill="FFFFFF" w:themeFill="background1"/>
          </w:tcPr>
          <w:p w14:paraId="3BA65DC7"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78686039" w14:textId="77777777" w:rsidR="00DD3EFA" w:rsidRPr="005A0E7C" w:rsidRDefault="00DD3EFA" w:rsidP="00B15ECB">
            <w:pPr>
              <w:spacing w:before="60" w:after="60"/>
              <w:rPr>
                <w:rFonts w:eastAsiaTheme="majorEastAsia"/>
                <w:i/>
              </w:rPr>
            </w:pPr>
            <w:r w:rsidRPr="005A0E7C">
              <w:rPr>
                <w:rFonts w:eastAsiaTheme="majorEastAsia"/>
                <w:i/>
              </w:rPr>
              <w:t>Pokud existují i jiné zdroje pro financování mimo veřejné rozpočty, prosím uveďte.</w:t>
            </w:r>
          </w:p>
          <w:p w14:paraId="57406F1B" w14:textId="77777777" w:rsidR="00DD3EFA" w:rsidRPr="005A0E7C" w:rsidRDefault="00DD3EFA" w:rsidP="00B15ECB">
            <w:pPr>
              <w:spacing w:before="60" w:after="60"/>
              <w:rPr>
                <w:rFonts w:eastAsiaTheme="majorEastAsia"/>
              </w:rPr>
            </w:pPr>
            <w:r w:rsidRPr="005A0E7C">
              <w:rPr>
                <w:rFonts w:eastAsiaTheme="majorEastAsia"/>
              </w:rPr>
              <w:t>Připravuje se projekt PPP, icméně i v tomto případě existuje vazba na veřejné financování (zapojení veřejných rozpočtů je v jiném režimu než v případě klasicého financování.</w:t>
            </w:r>
          </w:p>
        </w:tc>
        <w:tc>
          <w:tcPr>
            <w:tcW w:w="249" w:type="dxa"/>
            <w:tcBorders>
              <w:top w:val="nil"/>
              <w:bottom w:val="nil"/>
            </w:tcBorders>
            <w:shd w:val="clear" w:color="auto" w:fill="66CCFF"/>
          </w:tcPr>
          <w:p w14:paraId="5DF33726" w14:textId="77777777" w:rsidR="00DD3EFA" w:rsidRPr="005A0E7C" w:rsidRDefault="00DD3EFA" w:rsidP="00B15ECB">
            <w:pPr>
              <w:rPr>
                <w:b/>
              </w:rPr>
            </w:pPr>
          </w:p>
        </w:tc>
      </w:tr>
      <w:tr w:rsidR="00DD3EFA" w:rsidRPr="005A0E7C" w14:paraId="29258AA3" w14:textId="77777777" w:rsidTr="00B15ECB">
        <w:trPr>
          <w:trHeight w:val="1968"/>
        </w:trPr>
        <w:tc>
          <w:tcPr>
            <w:tcW w:w="249" w:type="dxa"/>
            <w:tcBorders>
              <w:top w:val="nil"/>
              <w:bottom w:val="nil"/>
            </w:tcBorders>
            <w:shd w:val="clear" w:color="auto" w:fill="66CCFF"/>
          </w:tcPr>
          <w:p w14:paraId="0EF84F66" w14:textId="77777777" w:rsidR="00DD3EFA" w:rsidRPr="005A0E7C" w:rsidRDefault="00DD3EFA" w:rsidP="00B15ECB">
            <w:pPr>
              <w:rPr>
                <w:b/>
              </w:rPr>
            </w:pPr>
          </w:p>
        </w:tc>
        <w:tc>
          <w:tcPr>
            <w:tcW w:w="2548" w:type="dxa"/>
            <w:tcBorders>
              <w:top w:val="nil"/>
            </w:tcBorders>
            <w:shd w:val="clear" w:color="auto" w:fill="FFFFFF" w:themeFill="background1"/>
          </w:tcPr>
          <w:p w14:paraId="670AC2C9"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22DF84D8" w14:textId="77777777" w:rsidR="00DD3EFA" w:rsidRPr="005A0E7C" w:rsidRDefault="00DD3EFA" w:rsidP="00B15ECB">
            <w:pPr>
              <w:spacing w:before="60" w:after="60"/>
              <w:rPr>
                <w:rFonts w:eastAsiaTheme="majorEastAsia"/>
                <w:i/>
              </w:rPr>
            </w:pPr>
            <w:r w:rsidRPr="005A0E7C">
              <w:rPr>
                <w:rFonts w:eastAsiaTheme="majorEastAsia"/>
                <w:i/>
              </w:rPr>
              <w:t>Prosím, uveďte, zda je možné a  účelné využít finanční nástroje pro tento specifický cíl.</w:t>
            </w:r>
          </w:p>
          <w:p w14:paraId="73F8148D" w14:textId="77777777" w:rsidR="00DD3EFA" w:rsidRPr="005A0E7C" w:rsidRDefault="00DD3EFA" w:rsidP="00B15ECB">
            <w:pPr>
              <w:spacing w:before="60" w:after="60"/>
              <w:rPr>
                <w:rFonts w:eastAsiaTheme="majorEastAsia"/>
              </w:rPr>
            </w:pPr>
            <w:r w:rsidRPr="005A0E7C">
              <w:rPr>
                <w:rFonts w:eastAsiaTheme="majorEastAsia"/>
              </w:rPr>
              <w:t>Nepředpokládá se využití FN pro tento SC.</w:t>
            </w:r>
          </w:p>
        </w:tc>
        <w:tc>
          <w:tcPr>
            <w:tcW w:w="249" w:type="dxa"/>
            <w:tcBorders>
              <w:top w:val="nil"/>
              <w:bottom w:val="nil"/>
            </w:tcBorders>
            <w:shd w:val="clear" w:color="auto" w:fill="66CCFF"/>
          </w:tcPr>
          <w:p w14:paraId="0F396D5F" w14:textId="77777777" w:rsidR="00DD3EFA" w:rsidRPr="005A0E7C" w:rsidRDefault="00DD3EFA" w:rsidP="00B15ECB">
            <w:pPr>
              <w:rPr>
                <w:b/>
              </w:rPr>
            </w:pPr>
          </w:p>
        </w:tc>
      </w:tr>
      <w:tr w:rsidR="00DD3EFA" w:rsidRPr="005A0E7C" w14:paraId="177B12EA" w14:textId="77777777" w:rsidTr="00B15ECB">
        <w:trPr>
          <w:trHeight w:val="150"/>
        </w:trPr>
        <w:tc>
          <w:tcPr>
            <w:tcW w:w="249" w:type="dxa"/>
            <w:tcBorders>
              <w:top w:val="nil"/>
              <w:right w:val="nil"/>
            </w:tcBorders>
            <w:shd w:val="clear" w:color="auto" w:fill="66CCFF"/>
          </w:tcPr>
          <w:p w14:paraId="204460BD" w14:textId="77777777" w:rsidR="00DD3EFA" w:rsidRPr="005A0E7C" w:rsidRDefault="00DD3EFA" w:rsidP="00B15ECB">
            <w:pPr>
              <w:rPr>
                <w:b/>
              </w:rPr>
            </w:pPr>
          </w:p>
        </w:tc>
        <w:tc>
          <w:tcPr>
            <w:tcW w:w="2548" w:type="dxa"/>
            <w:tcBorders>
              <w:left w:val="nil"/>
              <w:right w:val="nil"/>
            </w:tcBorders>
            <w:shd w:val="clear" w:color="auto" w:fill="66CCFF"/>
          </w:tcPr>
          <w:p w14:paraId="7A3FFE1C" w14:textId="77777777" w:rsidR="00DD3EFA" w:rsidRPr="005A0E7C" w:rsidRDefault="00DD3EFA" w:rsidP="00B15ECB">
            <w:pPr>
              <w:rPr>
                <w:b/>
              </w:rPr>
            </w:pPr>
          </w:p>
        </w:tc>
        <w:tc>
          <w:tcPr>
            <w:tcW w:w="5978" w:type="dxa"/>
            <w:tcBorders>
              <w:left w:val="nil"/>
              <w:right w:val="nil"/>
            </w:tcBorders>
            <w:shd w:val="clear" w:color="auto" w:fill="66CCFF"/>
          </w:tcPr>
          <w:p w14:paraId="04047502" w14:textId="77777777" w:rsidR="00DD3EFA" w:rsidRPr="005A0E7C" w:rsidRDefault="00DD3EFA" w:rsidP="00B15ECB">
            <w:pPr>
              <w:rPr>
                <w:b/>
              </w:rPr>
            </w:pPr>
          </w:p>
        </w:tc>
        <w:tc>
          <w:tcPr>
            <w:tcW w:w="249" w:type="dxa"/>
            <w:tcBorders>
              <w:top w:val="nil"/>
              <w:left w:val="nil"/>
            </w:tcBorders>
            <w:shd w:val="clear" w:color="auto" w:fill="66CCFF"/>
          </w:tcPr>
          <w:p w14:paraId="3A097284" w14:textId="77777777" w:rsidR="00DD3EFA" w:rsidRPr="005A0E7C" w:rsidRDefault="00DD3EFA" w:rsidP="00B15ECB">
            <w:pPr>
              <w:rPr>
                <w:b/>
              </w:rPr>
            </w:pPr>
          </w:p>
        </w:tc>
      </w:tr>
    </w:tbl>
    <w:p w14:paraId="67915021" w14:textId="77777777" w:rsidR="00DD3EFA" w:rsidRPr="005A0E7C" w:rsidRDefault="00DD3EFA" w:rsidP="00B15ECB">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01966DBF" w14:textId="77777777" w:rsidTr="00B15ECB">
        <w:trPr>
          <w:trHeight w:val="180"/>
        </w:trPr>
        <w:tc>
          <w:tcPr>
            <w:tcW w:w="249" w:type="dxa"/>
            <w:tcBorders>
              <w:bottom w:val="nil"/>
              <w:right w:val="nil"/>
            </w:tcBorders>
            <w:shd w:val="clear" w:color="auto" w:fill="66CCFF"/>
          </w:tcPr>
          <w:p w14:paraId="4CBBF9E0" w14:textId="77777777" w:rsidR="00DD3EFA" w:rsidRPr="005A0E7C" w:rsidRDefault="00DD3EFA" w:rsidP="00B15ECB">
            <w:pPr>
              <w:rPr>
                <w:b/>
              </w:rPr>
            </w:pPr>
          </w:p>
        </w:tc>
        <w:tc>
          <w:tcPr>
            <w:tcW w:w="2548" w:type="dxa"/>
            <w:tcBorders>
              <w:left w:val="nil"/>
              <w:right w:val="nil"/>
            </w:tcBorders>
            <w:shd w:val="clear" w:color="auto" w:fill="66CCFF"/>
          </w:tcPr>
          <w:p w14:paraId="626DD1D3" w14:textId="77777777" w:rsidR="00DD3EFA" w:rsidRPr="005A0E7C" w:rsidRDefault="00DD3EFA" w:rsidP="00B15ECB">
            <w:pPr>
              <w:rPr>
                <w:b/>
              </w:rPr>
            </w:pPr>
          </w:p>
        </w:tc>
        <w:tc>
          <w:tcPr>
            <w:tcW w:w="5978" w:type="dxa"/>
            <w:tcBorders>
              <w:left w:val="nil"/>
              <w:right w:val="nil"/>
            </w:tcBorders>
            <w:shd w:val="clear" w:color="auto" w:fill="66CCFF"/>
          </w:tcPr>
          <w:p w14:paraId="2A17887C" w14:textId="77777777" w:rsidR="00DD3EFA" w:rsidRPr="005A0E7C" w:rsidRDefault="00DD3EFA" w:rsidP="00B15ECB">
            <w:pPr>
              <w:rPr>
                <w:b/>
              </w:rPr>
            </w:pPr>
          </w:p>
        </w:tc>
        <w:tc>
          <w:tcPr>
            <w:tcW w:w="249" w:type="dxa"/>
            <w:tcBorders>
              <w:left w:val="nil"/>
              <w:bottom w:val="nil"/>
            </w:tcBorders>
            <w:shd w:val="clear" w:color="auto" w:fill="66CCFF"/>
          </w:tcPr>
          <w:p w14:paraId="63DBC80C" w14:textId="77777777" w:rsidR="00DD3EFA" w:rsidRPr="005A0E7C" w:rsidRDefault="00DD3EFA" w:rsidP="00B15ECB">
            <w:pPr>
              <w:rPr>
                <w:b/>
              </w:rPr>
            </w:pPr>
          </w:p>
        </w:tc>
      </w:tr>
      <w:tr w:rsidR="00DD3EFA" w:rsidRPr="005A0E7C" w14:paraId="539D6BE3" w14:textId="77777777" w:rsidTr="00B15ECB">
        <w:trPr>
          <w:trHeight w:val="561"/>
        </w:trPr>
        <w:tc>
          <w:tcPr>
            <w:tcW w:w="249" w:type="dxa"/>
            <w:tcBorders>
              <w:top w:val="nil"/>
              <w:bottom w:val="nil"/>
            </w:tcBorders>
            <w:shd w:val="clear" w:color="auto" w:fill="66CCFF"/>
          </w:tcPr>
          <w:p w14:paraId="02FCF5C2" w14:textId="77777777" w:rsidR="00DD3EFA" w:rsidRPr="005A0E7C" w:rsidRDefault="00DD3EFA" w:rsidP="00B15ECB">
            <w:pPr>
              <w:rPr>
                <w:b/>
              </w:rPr>
            </w:pPr>
          </w:p>
        </w:tc>
        <w:tc>
          <w:tcPr>
            <w:tcW w:w="2548" w:type="dxa"/>
            <w:shd w:val="clear" w:color="auto" w:fill="0070C0"/>
          </w:tcPr>
          <w:p w14:paraId="3D6CBDE3"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Efektivní, dostupná a k životnímu prostředí šetrná DOPRAVA</w:t>
            </w:r>
          </w:p>
        </w:tc>
        <w:tc>
          <w:tcPr>
            <w:tcW w:w="5978" w:type="dxa"/>
            <w:shd w:val="clear" w:color="auto" w:fill="0070C0"/>
          </w:tcPr>
          <w:p w14:paraId="0FBD8B77"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t>1</w:t>
            </w:r>
            <w:r w:rsidRPr="005A0E7C">
              <w:rPr>
                <w:rFonts w:eastAsiaTheme="majorEastAsia"/>
                <w:b/>
                <w:color w:val="FFFFFF" w:themeColor="background1"/>
                <w:u w:val="single"/>
              </w:rPr>
              <w:t xml:space="preserve">: </w:t>
            </w:r>
          </w:p>
          <w:p w14:paraId="759BFEDD"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ROZVOJ A ZLEPŠENÍ INTEGRACE DOPRAVY</w:t>
            </w:r>
          </w:p>
        </w:tc>
        <w:tc>
          <w:tcPr>
            <w:tcW w:w="249" w:type="dxa"/>
            <w:tcBorders>
              <w:top w:val="nil"/>
              <w:bottom w:val="nil"/>
            </w:tcBorders>
            <w:shd w:val="clear" w:color="auto" w:fill="66CCFF"/>
          </w:tcPr>
          <w:p w14:paraId="7C8D4BAF" w14:textId="77777777" w:rsidR="00DD3EFA" w:rsidRPr="005A0E7C" w:rsidRDefault="00DD3EFA" w:rsidP="00B15ECB">
            <w:pPr>
              <w:rPr>
                <w:b/>
              </w:rPr>
            </w:pPr>
          </w:p>
        </w:tc>
      </w:tr>
      <w:tr w:rsidR="00DD3EFA" w:rsidRPr="005A0E7C" w14:paraId="6B04CCB2" w14:textId="77777777" w:rsidTr="00B15ECB">
        <w:trPr>
          <w:trHeight w:val="180"/>
        </w:trPr>
        <w:tc>
          <w:tcPr>
            <w:tcW w:w="249" w:type="dxa"/>
            <w:tcBorders>
              <w:top w:val="nil"/>
              <w:bottom w:val="nil"/>
              <w:right w:val="nil"/>
            </w:tcBorders>
            <w:shd w:val="clear" w:color="auto" w:fill="66CCFF"/>
          </w:tcPr>
          <w:p w14:paraId="5940D248" w14:textId="77777777" w:rsidR="00DD3EFA" w:rsidRPr="005A0E7C" w:rsidRDefault="00DD3EFA" w:rsidP="00B15ECB">
            <w:pPr>
              <w:rPr>
                <w:b/>
              </w:rPr>
            </w:pPr>
          </w:p>
        </w:tc>
        <w:tc>
          <w:tcPr>
            <w:tcW w:w="2548" w:type="dxa"/>
            <w:tcBorders>
              <w:left w:val="nil"/>
              <w:right w:val="nil"/>
            </w:tcBorders>
            <w:shd w:val="clear" w:color="auto" w:fill="66CCFF"/>
          </w:tcPr>
          <w:p w14:paraId="26D006CC" w14:textId="77777777" w:rsidR="00DD3EFA" w:rsidRPr="005A0E7C" w:rsidRDefault="00DD3EFA" w:rsidP="00B15ECB">
            <w:pPr>
              <w:rPr>
                <w:b/>
              </w:rPr>
            </w:pPr>
          </w:p>
        </w:tc>
        <w:tc>
          <w:tcPr>
            <w:tcW w:w="5978" w:type="dxa"/>
            <w:tcBorders>
              <w:left w:val="nil"/>
              <w:right w:val="nil"/>
            </w:tcBorders>
            <w:shd w:val="clear" w:color="auto" w:fill="66CCFF"/>
          </w:tcPr>
          <w:p w14:paraId="15A19681" w14:textId="77777777" w:rsidR="00DD3EFA" w:rsidRPr="005A0E7C" w:rsidRDefault="00DD3EFA" w:rsidP="00B15ECB">
            <w:pPr>
              <w:rPr>
                <w:b/>
              </w:rPr>
            </w:pPr>
          </w:p>
        </w:tc>
        <w:tc>
          <w:tcPr>
            <w:tcW w:w="249" w:type="dxa"/>
            <w:tcBorders>
              <w:top w:val="nil"/>
              <w:left w:val="nil"/>
              <w:bottom w:val="nil"/>
            </w:tcBorders>
            <w:shd w:val="clear" w:color="auto" w:fill="66CCFF"/>
          </w:tcPr>
          <w:p w14:paraId="731796E5" w14:textId="77777777" w:rsidR="00DD3EFA" w:rsidRPr="005A0E7C" w:rsidRDefault="00DD3EFA" w:rsidP="00B15ECB">
            <w:pPr>
              <w:rPr>
                <w:b/>
              </w:rPr>
            </w:pPr>
          </w:p>
        </w:tc>
      </w:tr>
      <w:tr w:rsidR="00DD3EFA" w:rsidRPr="005A0E7C" w14:paraId="572B9EA1" w14:textId="77777777" w:rsidTr="00B15ECB">
        <w:trPr>
          <w:trHeight w:val="892"/>
        </w:trPr>
        <w:tc>
          <w:tcPr>
            <w:tcW w:w="249" w:type="dxa"/>
            <w:tcBorders>
              <w:top w:val="nil"/>
              <w:bottom w:val="nil"/>
            </w:tcBorders>
            <w:shd w:val="clear" w:color="auto" w:fill="66CCFF"/>
          </w:tcPr>
          <w:p w14:paraId="322DAC18" w14:textId="77777777" w:rsidR="00DD3EFA" w:rsidRPr="005A0E7C" w:rsidRDefault="00DD3EFA" w:rsidP="00B15ECB">
            <w:pPr>
              <w:rPr>
                <w:b/>
              </w:rPr>
            </w:pPr>
          </w:p>
        </w:tc>
        <w:tc>
          <w:tcPr>
            <w:tcW w:w="2548" w:type="dxa"/>
            <w:shd w:val="clear" w:color="auto" w:fill="FFFFFF" w:themeFill="background1"/>
          </w:tcPr>
          <w:p w14:paraId="1D2FF00F"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53193309" w14:textId="77777777" w:rsidR="00DD3EFA" w:rsidRPr="005A0E7C" w:rsidRDefault="00DD3EFA" w:rsidP="00B15ECB">
            <w:r w:rsidRPr="005A0E7C">
              <w:t>Jedná se o provázání a integraci dopravních řešení ve funkčních územích měst a příměstských oblastí, včetně venkova v rámci jejích dopravních systémů.</w:t>
            </w:r>
          </w:p>
          <w:p w14:paraId="08C7B3F8" w14:textId="77777777" w:rsidR="00DD3EFA" w:rsidRPr="005A0E7C" w:rsidRDefault="00DD3EFA" w:rsidP="00B15ECB">
            <w:r w:rsidRPr="005A0E7C">
              <w:t>Ve městech jde o výstavbu infrastruktury pro městskou dopravu v elektrické trakci, výstavba a modernizace přestupních terminálů a záchytných parkovišť (různé parkovací systémy), modernizace zastávek, opatření pro preferenci VHD před IAD aj. Absolutní nezbytností je řešení dopravy v rámci celého funkčního území – tedy města a jeho zázemí, nikoliv odděleně.</w:t>
            </w:r>
          </w:p>
          <w:p w14:paraId="704FE072" w14:textId="77777777" w:rsidR="00DD3EFA" w:rsidRPr="005A0E7C" w:rsidRDefault="00DD3EFA" w:rsidP="00B15ECB"/>
          <w:p w14:paraId="43626DD3" w14:textId="77777777" w:rsidR="00DD3EFA" w:rsidRPr="005A0E7C" w:rsidRDefault="00DD3EFA" w:rsidP="00B15ECB">
            <w:r w:rsidRPr="005A0E7C">
              <w:t>Jedná se o tyto konkrétní prvky integrovaných řešení dopravy:</w:t>
            </w:r>
          </w:p>
          <w:p w14:paraId="321C0D99" w14:textId="77777777" w:rsidR="00DD3EFA" w:rsidRPr="005A0E7C" w:rsidRDefault="00DD3EFA" w:rsidP="00B15ECB">
            <w:r w:rsidRPr="005A0E7C">
              <w:t>- infrastruktura městské hromadné dopravy v elektrické trakci</w:t>
            </w:r>
          </w:p>
          <w:p w14:paraId="7942672B" w14:textId="77777777" w:rsidR="00DD3EFA" w:rsidRPr="005A0E7C" w:rsidRDefault="00DD3EFA" w:rsidP="00B15ECB">
            <w:r w:rsidRPr="005A0E7C">
              <w:t>- podpora elektrizace příměstské železniční dopravy</w:t>
            </w:r>
          </w:p>
          <w:p w14:paraId="037CCC7E" w14:textId="77777777" w:rsidR="00DD3EFA" w:rsidRPr="005A0E7C" w:rsidRDefault="00DD3EFA" w:rsidP="00B15ECB">
            <w:r w:rsidRPr="005A0E7C">
              <w:t xml:space="preserve">- podpora tzv. měkkých opatření v rámci plánů udržitelné   </w:t>
            </w:r>
          </w:p>
          <w:p w14:paraId="65BDB897" w14:textId="77777777" w:rsidR="00DD3EFA" w:rsidRPr="005A0E7C" w:rsidRDefault="00DD3EFA" w:rsidP="00B15ECB">
            <w:r w:rsidRPr="005A0E7C">
              <w:t xml:space="preserve">  městské mobility</w:t>
            </w:r>
          </w:p>
          <w:p w14:paraId="3A5F6940" w14:textId="77777777" w:rsidR="00DD3EFA" w:rsidRPr="005A0E7C" w:rsidRDefault="00DD3EFA" w:rsidP="00B15ECB">
            <w:r w:rsidRPr="005A0E7C">
              <w:t>- realizace vyhrazených jízdních pruhů či úseků komunikací vyhrazených pro MHD a nemotorovou dopravu (stavební i jiné technické a organizační úpravy)</w:t>
            </w:r>
          </w:p>
          <w:p w14:paraId="79558168" w14:textId="77777777" w:rsidR="00DD3EFA" w:rsidRPr="005A0E7C" w:rsidRDefault="00DD3EFA" w:rsidP="00B15ECB">
            <w:r w:rsidRPr="005A0E7C">
              <w:t>- zavádění a posilování preference MHD na světelně řízených křižovatkách</w:t>
            </w:r>
          </w:p>
          <w:p w14:paraId="605265B8" w14:textId="77777777" w:rsidR="00DD3EFA" w:rsidRPr="005A0E7C" w:rsidRDefault="00DD3EFA" w:rsidP="00B15ECB">
            <w:r w:rsidRPr="005A0E7C">
              <w:t>- podpora participace veřejnosti</w:t>
            </w:r>
          </w:p>
          <w:p w14:paraId="54153642" w14:textId="77777777" w:rsidR="00DD3EFA" w:rsidRPr="005A0E7C" w:rsidRDefault="00DD3EFA" w:rsidP="00B15ECB">
            <w:r w:rsidRPr="005A0E7C">
              <w:t>- terminály veřejné dopravy  včetně parkovišť P+R, B+R a K+R vč. využití smart-city prvků</w:t>
            </w:r>
          </w:p>
          <w:p w14:paraId="4CCF69D4" w14:textId="77777777" w:rsidR="00DD3EFA" w:rsidRPr="005A0E7C" w:rsidRDefault="00DD3EFA" w:rsidP="00B15ECB">
            <w:r w:rsidRPr="005A0E7C">
              <w:t>- záchytná parkoviště a hromadné garáže (zejm. na sídlištích) v dostupnosti MHD a zvýhodňující uživatele MHD</w:t>
            </w:r>
          </w:p>
          <w:p w14:paraId="4C1BBA6A" w14:textId="77777777" w:rsidR="00DD3EFA" w:rsidRPr="005A0E7C" w:rsidRDefault="00DD3EFA" w:rsidP="00B15ECB">
            <w:r w:rsidRPr="005A0E7C">
              <w:t xml:space="preserve">- zapojení projektů smart city s dopadem na sběr dat z dopravy a jejich využití pro integraci dopravy </w:t>
            </w:r>
          </w:p>
          <w:p w14:paraId="5ECB4A86" w14:textId="77777777" w:rsidR="00DD3EFA" w:rsidRPr="005A0E7C" w:rsidRDefault="00DD3EFA" w:rsidP="00B15ECB">
            <w:r w:rsidRPr="005A0E7C">
              <w:t>- projekty city logistiky</w:t>
            </w:r>
          </w:p>
          <w:p w14:paraId="37F6E49A" w14:textId="77777777" w:rsidR="00DD3EFA" w:rsidRPr="005A0E7C" w:rsidRDefault="00DD3EFA" w:rsidP="00B15ECB">
            <w:r w:rsidRPr="005A0E7C">
              <w:t>- podpora car-sharingu a bike-sharingu (vč. dobíjecí infrastruktury)</w:t>
            </w:r>
          </w:p>
          <w:p w14:paraId="15ACAD55" w14:textId="77777777" w:rsidR="00DD3EFA" w:rsidRPr="005A0E7C" w:rsidRDefault="00DD3EFA" w:rsidP="00B15ECB">
            <w:r w:rsidRPr="005A0E7C">
              <w:t>- podpora systémů typu tram-train a S-bahn</w:t>
            </w:r>
          </w:p>
          <w:p w14:paraId="1C825100" w14:textId="77777777" w:rsidR="00DD3EFA" w:rsidRPr="005A0E7C" w:rsidRDefault="00DD3EFA" w:rsidP="00B15ECB">
            <w:r w:rsidRPr="005A0E7C">
              <w:t>- komplexní urbanistické řešení uličního prostoru</w:t>
            </w:r>
          </w:p>
          <w:p w14:paraId="4E6A2C8A" w14:textId="77777777" w:rsidR="00DD3EFA" w:rsidRPr="005A0E7C" w:rsidRDefault="00DD3EFA" w:rsidP="00B15ECB">
            <w:r w:rsidRPr="005A0E7C">
              <w:t>- efektivnější spojení měst a venkova</w:t>
            </w:r>
          </w:p>
          <w:p w14:paraId="5A3B852B" w14:textId="77777777" w:rsidR="00DD3EFA" w:rsidRPr="005A0E7C" w:rsidRDefault="00DD3EFA" w:rsidP="00B15ECB">
            <w:pPr>
              <w:rPr>
                <w:u w:val="single"/>
              </w:rPr>
            </w:pPr>
          </w:p>
        </w:tc>
        <w:tc>
          <w:tcPr>
            <w:tcW w:w="249" w:type="dxa"/>
            <w:tcBorders>
              <w:top w:val="nil"/>
              <w:bottom w:val="nil"/>
            </w:tcBorders>
            <w:shd w:val="clear" w:color="auto" w:fill="66CCFF"/>
          </w:tcPr>
          <w:p w14:paraId="3870B70F" w14:textId="77777777" w:rsidR="00DD3EFA" w:rsidRPr="005A0E7C" w:rsidRDefault="00DD3EFA" w:rsidP="00B15ECB">
            <w:pPr>
              <w:rPr>
                <w:b/>
              </w:rPr>
            </w:pPr>
          </w:p>
        </w:tc>
      </w:tr>
      <w:tr w:rsidR="00DD3EFA" w:rsidRPr="005A0E7C" w14:paraId="2D0C6658" w14:textId="77777777" w:rsidTr="00B15ECB">
        <w:trPr>
          <w:trHeight w:val="46"/>
        </w:trPr>
        <w:tc>
          <w:tcPr>
            <w:tcW w:w="249" w:type="dxa"/>
            <w:tcBorders>
              <w:top w:val="nil"/>
              <w:bottom w:val="nil"/>
              <w:right w:val="nil"/>
            </w:tcBorders>
            <w:shd w:val="clear" w:color="auto" w:fill="66CCFF"/>
          </w:tcPr>
          <w:p w14:paraId="3F715AB5"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7AB1B1E2"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0E022D08" w14:textId="77777777" w:rsidR="00DD3EFA" w:rsidRPr="005A0E7C" w:rsidRDefault="00DD3EFA" w:rsidP="00B15ECB">
            <w:pPr>
              <w:rPr>
                <w:b/>
              </w:rPr>
            </w:pPr>
          </w:p>
        </w:tc>
        <w:tc>
          <w:tcPr>
            <w:tcW w:w="249" w:type="dxa"/>
            <w:tcBorders>
              <w:top w:val="nil"/>
              <w:left w:val="nil"/>
              <w:bottom w:val="nil"/>
            </w:tcBorders>
            <w:shd w:val="clear" w:color="auto" w:fill="66CCFF"/>
          </w:tcPr>
          <w:p w14:paraId="04863E30" w14:textId="77777777" w:rsidR="00DD3EFA" w:rsidRPr="005A0E7C" w:rsidRDefault="00DD3EFA" w:rsidP="00B15ECB">
            <w:pPr>
              <w:rPr>
                <w:b/>
              </w:rPr>
            </w:pPr>
          </w:p>
        </w:tc>
      </w:tr>
      <w:tr w:rsidR="00DD3EFA" w:rsidRPr="005A0E7C" w14:paraId="050FB638" w14:textId="77777777" w:rsidTr="00B15ECB">
        <w:trPr>
          <w:trHeight w:val="1274"/>
        </w:trPr>
        <w:tc>
          <w:tcPr>
            <w:tcW w:w="249" w:type="dxa"/>
            <w:tcBorders>
              <w:top w:val="nil"/>
              <w:bottom w:val="nil"/>
            </w:tcBorders>
            <w:shd w:val="clear" w:color="auto" w:fill="66CCFF"/>
          </w:tcPr>
          <w:p w14:paraId="4FBF0C9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F520544"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8A105CD" w14:textId="77777777" w:rsidR="00DD3EFA" w:rsidRPr="005A0E7C" w:rsidRDefault="00DD3EFA" w:rsidP="00B15ECB">
            <w:pPr>
              <w:spacing w:before="60" w:after="60"/>
              <w:rPr>
                <w:rFonts w:eastAsiaTheme="majorEastAsia"/>
              </w:rPr>
            </w:pPr>
            <w:r w:rsidRPr="005A0E7C">
              <w:t>Přestože ze statistického hlediska počet obyvatel s trvalým bydlištěm většiny nejvýznamnějších měst ČR a jejich zázemí výrazně neroste (s výjimkou Prahy a částečně Brna), je oprávněné konstatovat, že koncentrace ekonomických aktivit do nejvýznamnějších sídel osídlení nadále pokračuje, což pochopitelně znamená vzrůstající nároky na dopravu v těchto regionech. Právě městské oblasti je možné označit za regiony, ve kterých se většina negativních dopadů dopravy (emise, hluk, dopravní zácpy, zábor volných prostranství apod.) projevuje nejvýrazněji. Z tohoto důvodu budou mít nezastupitelnou úlohu intervence do městské a příměstské hromadné dopravy na udržitelné bázi, tedy v podobě městské drážní dopravy (metro, tramvaje, trolejbusy, případně i doplňkové/alternativní systémy jako např. tram-train apod.) a stavební i organizační preference MHD před individuální automobilovou dopravou. Jedná se tedy o provázanost dopravy zejména ve městech a jejich okolí, včetně řešení přestupních míst jak mezi jednotlivými druhy veřejné dopravy, tak i IAD a řešení jejich napojení na zázemí měst a příměstských oblastí.</w:t>
            </w:r>
          </w:p>
        </w:tc>
        <w:tc>
          <w:tcPr>
            <w:tcW w:w="249" w:type="dxa"/>
            <w:tcBorders>
              <w:top w:val="nil"/>
              <w:bottom w:val="nil"/>
            </w:tcBorders>
            <w:shd w:val="clear" w:color="auto" w:fill="66CCFF"/>
          </w:tcPr>
          <w:p w14:paraId="14686C4E" w14:textId="77777777" w:rsidR="00DD3EFA" w:rsidRPr="005A0E7C" w:rsidRDefault="00DD3EFA" w:rsidP="00B15ECB">
            <w:pPr>
              <w:rPr>
                <w:b/>
              </w:rPr>
            </w:pPr>
          </w:p>
        </w:tc>
      </w:tr>
      <w:tr w:rsidR="00DD3EFA" w:rsidRPr="005A0E7C" w14:paraId="6B6B2B91" w14:textId="77777777" w:rsidTr="00B15ECB">
        <w:trPr>
          <w:trHeight w:val="1274"/>
        </w:trPr>
        <w:tc>
          <w:tcPr>
            <w:tcW w:w="249" w:type="dxa"/>
            <w:tcBorders>
              <w:top w:val="nil"/>
              <w:bottom w:val="nil"/>
            </w:tcBorders>
            <w:shd w:val="clear" w:color="auto" w:fill="66CCFF"/>
          </w:tcPr>
          <w:p w14:paraId="46CE399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083447E"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76E78749" w14:textId="77777777" w:rsidR="00DD3EFA" w:rsidRPr="005A0E7C" w:rsidRDefault="00DD3EFA" w:rsidP="00B15ECB">
            <w:pPr>
              <w:spacing w:before="60" w:after="60"/>
            </w:pPr>
            <w:r w:rsidRPr="005A0E7C">
              <w:t xml:space="preserve">Veřejná hromadná doprava ve městech má výrazný vliv na životní prostředí většiny obyvatel v místě jejich bydliště. Elektrické trakce tvoří páteř většiny nejvýznamnějších českých provozů MHD. Přesto se potýká s problémem podfinancované infrastruktury, která vyžaduje jak modernizaci, tak rozšíření reflektující územní proměnu a rozvoj městských aglomerací. Moderní infrastruktura elektrické trakce představuje velký potenciál pro rozvoj elektromobility ve všech formách. </w:t>
            </w:r>
          </w:p>
          <w:p w14:paraId="2B3E02EB" w14:textId="77777777" w:rsidR="00DD3EFA" w:rsidRPr="005A0E7C" w:rsidRDefault="00DD3EFA" w:rsidP="00B15ECB">
            <w:pPr>
              <w:spacing w:before="60" w:after="60"/>
              <w:rPr>
                <w:rFonts w:eastAsiaTheme="majorEastAsia"/>
              </w:rPr>
            </w:pPr>
            <w:r w:rsidRPr="005A0E7C">
              <w:t>Vzhledem k oblíbenosti kvalitní veřejné hromadné dopravy se objevuje další významný problém – kapacita dopravní infrastruktury pro MHD a příměstskou dopravu, zejména kolejovou na území a v okolí velkých měst je již vyčerpána, čímž je podvázán další rozvoj tohoto základního prvku udržitelné mobility.</w:t>
            </w:r>
          </w:p>
          <w:p w14:paraId="0502AD8B" w14:textId="77777777" w:rsidR="00DD3EFA" w:rsidRPr="005A0E7C" w:rsidRDefault="00DD3EFA" w:rsidP="00B15ECB">
            <w:pPr>
              <w:spacing w:before="60" w:after="60"/>
              <w:rPr>
                <w:i/>
              </w:rPr>
            </w:pPr>
          </w:p>
        </w:tc>
        <w:tc>
          <w:tcPr>
            <w:tcW w:w="249" w:type="dxa"/>
            <w:tcBorders>
              <w:top w:val="nil"/>
              <w:bottom w:val="nil"/>
            </w:tcBorders>
            <w:shd w:val="clear" w:color="auto" w:fill="66CCFF"/>
          </w:tcPr>
          <w:p w14:paraId="52C85B80" w14:textId="77777777" w:rsidR="00DD3EFA" w:rsidRPr="005A0E7C" w:rsidRDefault="00DD3EFA" w:rsidP="00B15ECB">
            <w:pPr>
              <w:rPr>
                <w:b/>
              </w:rPr>
            </w:pPr>
          </w:p>
        </w:tc>
      </w:tr>
      <w:tr w:rsidR="00DD3EFA" w:rsidRPr="005A0E7C" w14:paraId="5CE81035" w14:textId="77777777" w:rsidTr="00B15ECB">
        <w:trPr>
          <w:trHeight w:val="1274"/>
        </w:trPr>
        <w:tc>
          <w:tcPr>
            <w:tcW w:w="249" w:type="dxa"/>
            <w:tcBorders>
              <w:top w:val="nil"/>
              <w:bottom w:val="nil"/>
            </w:tcBorders>
            <w:shd w:val="clear" w:color="auto" w:fill="66CCFF"/>
          </w:tcPr>
          <w:p w14:paraId="0973535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851C9AA"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64B23F0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529835B" w14:textId="77777777" w:rsidR="00DD3EFA" w:rsidRPr="005A0E7C" w:rsidRDefault="00DD3EFA" w:rsidP="00B15ECB">
            <w:pPr>
              <w:spacing w:before="60" w:after="60"/>
            </w:pPr>
            <w:r w:rsidRPr="005A0E7C">
              <w:t xml:space="preserve">Modernizace a rozšíření infrastruktury elektrické trakce MHD. </w:t>
            </w:r>
          </w:p>
          <w:p w14:paraId="44A10549" w14:textId="77777777" w:rsidR="00DD3EFA" w:rsidRPr="005A0E7C" w:rsidRDefault="00DD3EFA" w:rsidP="00B15ECB">
            <w:pPr>
              <w:spacing w:before="60" w:after="60"/>
            </w:pPr>
            <w:r w:rsidRPr="005A0E7C">
              <w:t>Zatraktivnění veřejné hromadné osobní dopravy jejím zrychlením a začleněním do moderní multimodální dopravy (návaznosti P+R, IDS, železnicí apod.), nutné posílení kapacity sítě MHD.</w:t>
            </w:r>
          </w:p>
          <w:p w14:paraId="7054A971" w14:textId="77777777" w:rsidR="00DD3EFA" w:rsidRPr="005A0E7C" w:rsidRDefault="00DD3EFA" w:rsidP="00B15ECB">
            <w:pPr>
              <w:spacing w:before="60" w:after="60"/>
            </w:pPr>
            <w:r w:rsidRPr="005A0E7C">
              <w:t>Modal split - zvýšit využívání VHD na úkor IAD</w:t>
            </w:r>
          </w:p>
          <w:p w14:paraId="7AF551C7" w14:textId="77777777" w:rsidR="00DD3EFA" w:rsidRPr="005A0E7C" w:rsidRDefault="00DD3EFA" w:rsidP="00B15ECB">
            <w:pPr>
              <w:spacing w:before="60" w:after="60"/>
            </w:pPr>
            <w:r w:rsidRPr="005A0E7C">
              <w:t>Snížit negativní vlivy dopravy na ŽP</w:t>
            </w:r>
          </w:p>
          <w:p w14:paraId="304F37B4" w14:textId="77777777" w:rsidR="00DD3EFA" w:rsidRPr="005A0E7C" w:rsidRDefault="00DD3EFA" w:rsidP="00B15ECB">
            <w:pPr>
              <w:spacing w:before="60" w:after="60"/>
            </w:pPr>
            <w:r w:rsidRPr="005A0E7C">
              <w:t>Zefektivnění dělby přepravní práce</w:t>
            </w:r>
          </w:p>
          <w:p w14:paraId="6A18CA55" w14:textId="77777777" w:rsidR="00DD3EFA" w:rsidRPr="005A0E7C" w:rsidRDefault="00DD3EFA" w:rsidP="00B15ECB">
            <w:pPr>
              <w:spacing w:before="60" w:after="60"/>
              <w:rPr>
                <w:i/>
              </w:rPr>
            </w:pPr>
            <w:r w:rsidRPr="005A0E7C">
              <w:t>Zvýšit provázanost dopravy s ostatními oblastmi ve městě (zejména s urbanisitckou koncepcí a územním plánováním, ale i s dalšími – např. výzkum a vývoj apod.)</w:t>
            </w:r>
          </w:p>
          <w:p w14:paraId="541705D4" w14:textId="77777777" w:rsidR="00DD3EFA" w:rsidRPr="005A0E7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124785E3" w14:textId="77777777" w:rsidR="00DD3EFA" w:rsidRPr="005A0E7C" w:rsidRDefault="00DD3EFA" w:rsidP="00B15ECB">
            <w:pPr>
              <w:rPr>
                <w:b/>
              </w:rPr>
            </w:pPr>
          </w:p>
        </w:tc>
      </w:tr>
      <w:tr w:rsidR="00DD3EFA" w:rsidRPr="005A0E7C" w14:paraId="1FE6AFB3" w14:textId="77777777" w:rsidTr="00B15ECB">
        <w:trPr>
          <w:trHeight w:val="1274"/>
        </w:trPr>
        <w:tc>
          <w:tcPr>
            <w:tcW w:w="249" w:type="dxa"/>
            <w:tcBorders>
              <w:top w:val="nil"/>
              <w:bottom w:val="nil"/>
            </w:tcBorders>
            <w:shd w:val="clear" w:color="auto" w:fill="66CCFF"/>
          </w:tcPr>
          <w:p w14:paraId="4DC2AAA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01A9E7E"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583F13F9" w14:textId="77777777" w:rsidR="00DD3EFA" w:rsidRPr="005A0E7C" w:rsidRDefault="00DD3EFA" w:rsidP="00B15ECB">
            <w:pPr>
              <w:spacing w:before="60" w:after="60"/>
            </w:pPr>
            <w:r w:rsidRPr="005A0E7C">
              <w:t>Délka modernizovaných a nových km tratí elektrické trakce.</w:t>
            </w:r>
          </w:p>
          <w:p w14:paraId="06EE2D40" w14:textId="77777777" w:rsidR="00DD3EFA" w:rsidRPr="005A0E7C" w:rsidRDefault="00DD3EFA" w:rsidP="00B15ECB">
            <w:pPr>
              <w:spacing w:before="60" w:after="60"/>
            </w:pPr>
            <w:r w:rsidRPr="005A0E7C">
              <w:t>Navýšení přepravních výkonů bezemisní veřejné dopravy v režimu elektrické trakce i jízdy na baterie v kombinaci s dynamickým dobíjením.</w:t>
            </w:r>
          </w:p>
          <w:p w14:paraId="7A4A920A" w14:textId="77777777" w:rsidR="00DD3EFA" w:rsidRPr="005A0E7C" w:rsidRDefault="00DD3EFA" w:rsidP="00B15ECB">
            <w:pPr>
              <w:spacing w:before="60" w:after="60"/>
            </w:pPr>
            <w:r w:rsidRPr="005A0E7C">
              <w:t>Délka nových vyhrazených jízdních pruhů a komunikací nově vyhrazených pro MHD a nemotorovou dopravu.</w:t>
            </w:r>
          </w:p>
          <w:p w14:paraId="19D186C4" w14:textId="77777777" w:rsidR="00DD3EFA" w:rsidRPr="005A0E7C" w:rsidRDefault="00DD3EFA" w:rsidP="00B15ECB">
            <w:pPr>
              <w:spacing w:before="60" w:after="60"/>
            </w:pPr>
            <w:r w:rsidRPr="005A0E7C">
              <w:t>Změna modal-share ve prospěch udržitelných forem dopravy ve městech</w:t>
            </w:r>
          </w:p>
          <w:p w14:paraId="162BCDDE" w14:textId="77777777" w:rsidR="00DD3EFA" w:rsidRPr="005A0E7C" w:rsidRDefault="00DD3EFA" w:rsidP="00B15ECB">
            <w:pPr>
              <w:spacing w:before="60" w:after="60"/>
            </w:pPr>
            <w:r w:rsidRPr="005A0E7C">
              <w:t>Zvýšení počtu cestujících VHD ve městech</w:t>
            </w:r>
          </w:p>
          <w:p w14:paraId="29858E20" w14:textId="77777777" w:rsidR="00DD3EFA" w:rsidRPr="005A0E7C" w:rsidRDefault="00DD3EFA" w:rsidP="00B15ECB">
            <w:pPr>
              <w:spacing w:before="60" w:after="60"/>
            </w:pPr>
            <w:r w:rsidRPr="005A0E7C">
              <w:t>Snížení znečištění ovzduší v největších městských aglomeracích (zejména NOx, PM10)</w:t>
            </w:r>
          </w:p>
          <w:p w14:paraId="03AA1840" w14:textId="77777777" w:rsidR="00DD3EFA" w:rsidRPr="005A0E7C" w:rsidRDefault="00DD3EFA" w:rsidP="00B15ECB">
            <w:pPr>
              <w:spacing w:before="60" w:after="60"/>
              <w:rPr>
                <w:rFonts w:eastAsiaTheme="majorEastAsia"/>
                <w:u w:val="single"/>
              </w:rPr>
            </w:pPr>
          </w:p>
        </w:tc>
        <w:tc>
          <w:tcPr>
            <w:tcW w:w="249" w:type="dxa"/>
            <w:tcBorders>
              <w:top w:val="nil"/>
              <w:bottom w:val="nil"/>
            </w:tcBorders>
            <w:shd w:val="clear" w:color="auto" w:fill="66CCFF"/>
          </w:tcPr>
          <w:p w14:paraId="2F7112B0" w14:textId="77777777" w:rsidR="00DD3EFA" w:rsidRPr="005A0E7C" w:rsidRDefault="00DD3EFA" w:rsidP="00B15ECB">
            <w:pPr>
              <w:rPr>
                <w:b/>
              </w:rPr>
            </w:pPr>
          </w:p>
        </w:tc>
      </w:tr>
      <w:tr w:rsidR="00DD3EFA" w:rsidRPr="005A0E7C" w14:paraId="193FB734" w14:textId="77777777" w:rsidTr="00B15ECB">
        <w:trPr>
          <w:trHeight w:val="1274"/>
        </w:trPr>
        <w:tc>
          <w:tcPr>
            <w:tcW w:w="249" w:type="dxa"/>
            <w:tcBorders>
              <w:top w:val="nil"/>
              <w:bottom w:val="nil"/>
            </w:tcBorders>
            <w:shd w:val="clear" w:color="auto" w:fill="66CCFF"/>
          </w:tcPr>
          <w:p w14:paraId="6FEF1D9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350546C"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7BC39038" w14:textId="77777777" w:rsidR="00DD3EFA" w:rsidRPr="005A0E7C" w:rsidRDefault="00DD3EFA" w:rsidP="00B15ECB">
            <w:pPr>
              <w:spacing w:before="60" w:after="60"/>
              <w:rPr>
                <w:rFonts w:eastAsiaTheme="majorEastAsia"/>
              </w:rPr>
            </w:pPr>
            <w:r w:rsidRPr="005A0E7C">
              <w:rPr>
                <w:rFonts w:eastAsiaTheme="majorEastAsia"/>
              </w:rPr>
              <w:t>60 %</w:t>
            </w:r>
          </w:p>
        </w:tc>
        <w:tc>
          <w:tcPr>
            <w:tcW w:w="249" w:type="dxa"/>
            <w:tcBorders>
              <w:top w:val="nil"/>
              <w:bottom w:val="nil"/>
            </w:tcBorders>
            <w:shd w:val="clear" w:color="auto" w:fill="66CCFF"/>
          </w:tcPr>
          <w:p w14:paraId="18809E25" w14:textId="77777777" w:rsidR="00DD3EFA" w:rsidRPr="005A0E7C" w:rsidRDefault="00DD3EFA" w:rsidP="00B15ECB">
            <w:pPr>
              <w:rPr>
                <w:b/>
              </w:rPr>
            </w:pPr>
          </w:p>
        </w:tc>
      </w:tr>
      <w:tr w:rsidR="00DD3EFA" w:rsidRPr="005A0E7C" w14:paraId="3E95FBBC" w14:textId="77777777" w:rsidTr="00B15ECB">
        <w:trPr>
          <w:trHeight w:val="1274"/>
        </w:trPr>
        <w:tc>
          <w:tcPr>
            <w:tcW w:w="249" w:type="dxa"/>
            <w:tcBorders>
              <w:top w:val="nil"/>
              <w:bottom w:val="nil"/>
            </w:tcBorders>
            <w:shd w:val="clear" w:color="auto" w:fill="66CCFF"/>
          </w:tcPr>
          <w:p w14:paraId="3C63FD7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30075B5"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23B07DA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Problémy dopravy se nejvíce koncentrují právě ve městech a městských aglomeracích. Největším problémem je zde individuální doprava, a to zejména z důvodů prostorové náročnosti. V novém programovém období bude nezbytné klást větší důraz na preferenci projektů v oblastech s významným vlivem dopravy na kvalitu ovzduší, a kde jsou v důsledku toho překračovány imisní limity.</w:t>
            </w:r>
          </w:p>
        </w:tc>
        <w:tc>
          <w:tcPr>
            <w:tcW w:w="249" w:type="dxa"/>
            <w:tcBorders>
              <w:top w:val="nil"/>
              <w:bottom w:val="nil"/>
            </w:tcBorders>
            <w:shd w:val="clear" w:color="auto" w:fill="66CCFF"/>
          </w:tcPr>
          <w:p w14:paraId="44D1C597" w14:textId="77777777" w:rsidR="00DD3EFA" w:rsidRPr="005A0E7C" w:rsidRDefault="00DD3EFA" w:rsidP="00B15ECB">
            <w:pPr>
              <w:rPr>
                <w:b/>
              </w:rPr>
            </w:pPr>
          </w:p>
        </w:tc>
      </w:tr>
      <w:tr w:rsidR="00DD3EFA" w:rsidRPr="005A0E7C" w14:paraId="66C1D5B8" w14:textId="77777777" w:rsidTr="00B15ECB">
        <w:trPr>
          <w:trHeight w:val="272"/>
        </w:trPr>
        <w:tc>
          <w:tcPr>
            <w:tcW w:w="249" w:type="dxa"/>
            <w:tcBorders>
              <w:top w:val="nil"/>
              <w:bottom w:val="nil"/>
              <w:right w:val="nil"/>
            </w:tcBorders>
            <w:shd w:val="clear" w:color="auto" w:fill="66CCFF"/>
          </w:tcPr>
          <w:p w14:paraId="1AE738E3"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37E0AEC"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575CAE4"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12F5476D" w14:textId="77777777" w:rsidR="00DD3EFA" w:rsidRPr="005A0E7C" w:rsidRDefault="00DD3EFA" w:rsidP="00B15ECB">
            <w:pPr>
              <w:rPr>
                <w:b/>
              </w:rPr>
            </w:pPr>
          </w:p>
        </w:tc>
      </w:tr>
      <w:tr w:rsidR="00DD3EFA" w:rsidRPr="005A0E7C" w14:paraId="76B31ABC" w14:textId="77777777" w:rsidTr="00B15ECB">
        <w:trPr>
          <w:trHeight w:val="835"/>
        </w:trPr>
        <w:tc>
          <w:tcPr>
            <w:tcW w:w="249" w:type="dxa"/>
            <w:tcBorders>
              <w:top w:val="nil"/>
              <w:bottom w:val="nil"/>
            </w:tcBorders>
            <w:shd w:val="clear" w:color="auto" w:fill="66CCFF"/>
          </w:tcPr>
          <w:p w14:paraId="3530EBBB"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30D03063"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3DDD1C6F"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66989953" w14:textId="77777777" w:rsidR="00DD3EFA" w:rsidRPr="005A0E7C" w:rsidRDefault="00DD3EFA" w:rsidP="00B15ECB">
            <w:r w:rsidRPr="005A0E7C">
              <w:rPr>
                <w:i/>
              </w:rPr>
              <w:t xml:space="preserve">- </w:t>
            </w:r>
            <w:r w:rsidRPr="005A0E7C">
              <w:t>infrastruktura městské drážní dopravy (tramvaje, trolejbusy, tram-train včetně technického zázemí)</w:t>
            </w:r>
          </w:p>
          <w:p w14:paraId="073EFE8A" w14:textId="77777777" w:rsidR="00DD3EFA" w:rsidRPr="005A0E7C" w:rsidRDefault="00DD3EFA" w:rsidP="00B15ECB">
            <w:r w:rsidRPr="005A0E7C">
              <w:t>- terminály veřejné hromadné dopravy  </w:t>
            </w:r>
          </w:p>
          <w:p w14:paraId="16B7B180" w14:textId="77777777" w:rsidR="00DD3EFA" w:rsidRPr="005A0E7C" w:rsidRDefault="00DD3EFA" w:rsidP="00B15ECB">
            <w:r w:rsidRPr="005A0E7C">
              <w:t>- parkoviště typu P + R, P + G</w:t>
            </w:r>
          </w:p>
          <w:p w14:paraId="20214C46" w14:textId="77777777" w:rsidR="00DD3EFA" w:rsidRPr="005A0E7C" w:rsidRDefault="00DD3EFA" w:rsidP="00B15ECB">
            <w:r w:rsidRPr="005A0E7C">
              <w:t>- opatření směřující k větší bezpečnosti dopravy s důrazem na bezpečnost chodců a cyklistů</w:t>
            </w:r>
          </w:p>
          <w:p w14:paraId="3877EBED" w14:textId="77777777" w:rsidR="00DD3EFA" w:rsidRPr="005A0E7C" w:rsidRDefault="00DD3EFA" w:rsidP="00B15ECB">
            <w:r w:rsidRPr="005A0E7C">
              <w:t>- projekty city logistiky</w:t>
            </w:r>
          </w:p>
          <w:p w14:paraId="6BA2BC69" w14:textId="77777777" w:rsidR="00DD3EFA" w:rsidRPr="005A0E7C" w:rsidRDefault="00DD3EFA" w:rsidP="00B15ECB">
            <w:r w:rsidRPr="005A0E7C">
              <w:t xml:space="preserve">- pilotní projekty v oblasti podpory car-sharingu a bike-sharingu </w:t>
            </w:r>
          </w:p>
          <w:p w14:paraId="5D22F5C3" w14:textId="77777777" w:rsidR="00DD3EFA" w:rsidRPr="005A0E7C" w:rsidRDefault="00DD3EFA" w:rsidP="00B15ECB">
            <w:pPr>
              <w:spacing w:before="60" w:after="60"/>
              <w:rPr>
                <w:rFonts w:eastAsiaTheme="majorEastAsia"/>
                <w:i/>
              </w:rPr>
            </w:pPr>
            <w:r w:rsidRPr="005A0E7C">
              <w:t>- výstavba infrastruktury cyklistické dopravy</w:t>
            </w:r>
          </w:p>
        </w:tc>
        <w:tc>
          <w:tcPr>
            <w:tcW w:w="249" w:type="dxa"/>
            <w:tcBorders>
              <w:top w:val="nil"/>
              <w:bottom w:val="nil"/>
            </w:tcBorders>
            <w:shd w:val="clear" w:color="auto" w:fill="66CCFF"/>
          </w:tcPr>
          <w:p w14:paraId="213B3027" w14:textId="77777777" w:rsidR="00DD3EFA" w:rsidRPr="005A0E7C" w:rsidRDefault="00DD3EFA" w:rsidP="00B15ECB">
            <w:pPr>
              <w:rPr>
                <w:b/>
              </w:rPr>
            </w:pPr>
          </w:p>
        </w:tc>
      </w:tr>
      <w:tr w:rsidR="00DD3EFA" w:rsidRPr="005A0E7C" w14:paraId="0214DF37" w14:textId="77777777" w:rsidTr="00B15ECB">
        <w:trPr>
          <w:trHeight w:val="377"/>
        </w:trPr>
        <w:tc>
          <w:tcPr>
            <w:tcW w:w="249" w:type="dxa"/>
            <w:tcBorders>
              <w:top w:val="nil"/>
              <w:bottom w:val="nil"/>
              <w:right w:val="nil"/>
            </w:tcBorders>
            <w:shd w:val="clear" w:color="auto" w:fill="66CCFF"/>
          </w:tcPr>
          <w:p w14:paraId="5015A4F1"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9659B1F"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9FCF1D7"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77D6AF6D" w14:textId="77777777" w:rsidR="00DD3EFA" w:rsidRPr="005A0E7C" w:rsidRDefault="00DD3EFA" w:rsidP="00B15ECB">
            <w:pPr>
              <w:rPr>
                <w:b/>
              </w:rPr>
            </w:pPr>
          </w:p>
        </w:tc>
      </w:tr>
      <w:tr w:rsidR="00DD3EFA" w:rsidRPr="005A0E7C" w14:paraId="6E3DB067" w14:textId="77777777" w:rsidTr="00B15ECB">
        <w:trPr>
          <w:trHeight w:val="607"/>
        </w:trPr>
        <w:tc>
          <w:tcPr>
            <w:tcW w:w="249" w:type="dxa"/>
            <w:tcBorders>
              <w:top w:val="nil"/>
              <w:bottom w:val="nil"/>
            </w:tcBorders>
            <w:shd w:val="clear" w:color="auto" w:fill="66CCFF"/>
          </w:tcPr>
          <w:p w14:paraId="75C3E2C5"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76DF9CB2"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7B8B569D"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B86D247" w14:textId="77777777" w:rsidR="00DD3EFA" w:rsidRPr="005A0E7C" w:rsidRDefault="00DD3EFA" w:rsidP="00B15ECB">
            <w:pPr>
              <w:rPr>
                <w:b/>
              </w:rPr>
            </w:pPr>
          </w:p>
        </w:tc>
      </w:tr>
      <w:tr w:rsidR="00DD3EFA" w:rsidRPr="005A0E7C" w14:paraId="365E3587" w14:textId="77777777" w:rsidTr="00B15ECB">
        <w:trPr>
          <w:trHeight w:val="1202"/>
        </w:trPr>
        <w:tc>
          <w:tcPr>
            <w:tcW w:w="249" w:type="dxa"/>
            <w:tcBorders>
              <w:top w:val="nil"/>
              <w:bottom w:val="nil"/>
            </w:tcBorders>
            <w:shd w:val="clear" w:color="auto" w:fill="66CCFF"/>
          </w:tcPr>
          <w:p w14:paraId="4FA54B9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352AAF7"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657592E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A91AB9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Územní dimenze se váže na funkční vztahy mezi jádrovými městy a jejich zázemím, resp. integrované přístupy vyžadující kvalitní strategické plánování dopravy v širším kontextu (SUMP). To se týká jak metropolí, aglomerací i regionálních center v Česku, přičemž na každé geografické úrovni jsou z hlediska dopravy a propojení s funkčním zázemím odlišné výzvy. Pro metropole, ale i většinu krajských měst je typické, že ze zázemí do jádrového města denně cestuje značné množství obyvatel za prací, službami či do škol. Vzhledem k vysokému podílu využívání individuální automobilové dopravy vznikají problémy (kongesce, znečištění, snížená bezpečnost pro chodce, cyklisty) již v zázemí na nejvytíženějších tazích směřujících do jádra, v samotném jádru se pak problémy dále koncentrují (např. problémy s parkováním aj.) Naopak pro regionální centra (tj. většina ORP) je významná další podpora vzájemné integrace dopravních systémů, rozvoj přestupních terminálů, zajištění obslužnosti přes hranice regionů apod.</w:t>
            </w:r>
          </w:p>
          <w:p w14:paraId="716FB8F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rPr>
              <w:t xml:space="preserve">V jednotlivých regionech bude proto nezbytné podporovat dílčí opatření zaměřená na posílení kombinace mezi individuální automobilovou dopravou a veřejnou hromadnou dopravou (včetně železniční dopravy) i mezi jednotlivými druhy VHD navzájem (na bázi páteřního a plošně obslužného systému). Jedná se také o zlepšení integrace dopravy ve funkčních vztazích měst a obcí, případně v rámci jednotlivých místních částí a odlehlejších periferních oblastech. </w:t>
            </w:r>
          </w:p>
          <w:p w14:paraId="6618772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Koordinace různých druhů dopravy by měla být v rámci měst a jejich zázemí řešena s důrazem na kvalitu a funkční uspořádání uličního prostoru a dalších veřejných prostranství. Podpora by se měla soustředit na řešení kolizních míst, preferenci veřejné hromadné a nemotorové dopravy v uličním prostoru a propojenost udržitelných forem dopravy (MHD, železniční, cyklo a pěší). </w:t>
            </w:r>
          </w:p>
          <w:p w14:paraId="53A1259B"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V intravilánu měst a obcí by měl být zároveň podporován komplexní přístup k řešení veřejných prostranství, kdy dopravní hledisko není jediným sledovaným aspektem řešení. Měly by být podporovány projekty spojené vedle optimalizace dopravního řešení rovněž s rozvojem pobytových aktivit, esteticky kvalitním materiálovým řešením, podporou ekosystémových služeb např. prostřednictvím výsadby veřejné zeleně, apod. Utváření veřejného prostranství má zásadní vliv na kvalitu pobytu v něm i v zástavbě, která ho obklopuje. </w:t>
            </w:r>
          </w:p>
          <w:p w14:paraId="682C9BD9"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Proto je v programovém období 2014-2020 podporováno pořizování územních studií veřejného prostranství, které jsou základem pro úpravy stávajících či návrh nových veřejných prostranství, resp. jsou podkladem pro komplexní urbanistické řešení uličního prostoru a dalších veřejných prostranství. V procesu pořizování těchto studií se rovněž nabízí příležitost k zapojení veřejnosti do plánování města v problematice, ke které mají lidé nejblíže, jelikož veřejná prostranství denně užívají. </w:t>
            </w:r>
          </w:p>
          <w:p w14:paraId="1263CD4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rPr>
              <w:t>V programovém období 2021-2027 by měla být prioritně podpořena realizace projektů navazujících na tzv. územní studie veřejného prostranství.</w:t>
            </w:r>
            <w:r w:rsidRPr="005A0E7C">
              <w:rPr>
                <w:rFonts w:ascii="Times New Roman" w:hAnsi="Times New Roman"/>
                <w:b/>
              </w:rPr>
              <w:tab/>
            </w:r>
          </w:p>
          <w:p w14:paraId="19C77A9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b/>
              </w:rPr>
            </w:pPr>
            <w:r w:rsidRPr="005A0E7C">
              <w:rPr>
                <w:rFonts w:ascii="Times New Roman" w:hAnsi="Times New Roman"/>
              </w:rPr>
              <w:t>Rovněž je také podstatné městské plánování dopravy ve vazbě na venkov a vyvažování dopravních toků skrze přetížená spojení. Některé města jsou přetížena dojížďkou z širokého okolí méně obydlených oblastí kvůli horší dostupnosti veřejnou dopravou.</w:t>
            </w:r>
          </w:p>
        </w:tc>
        <w:tc>
          <w:tcPr>
            <w:tcW w:w="249" w:type="dxa"/>
            <w:tcBorders>
              <w:top w:val="nil"/>
              <w:bottom w:val="nil"/>
            </w:tcBorders>
            <w:shd w:val="clear" w:color="auto" w:fill="66CCFF"/>
          </w:tcPr>
          <w:p w14:paraId="14B672C9" w14:textId="77777777" w:rsidR="00DD3EFA" w:rsidRPr="005A0E7C" w:rsidRDefault="00DD3EFA" w:rsidP="00B15ECB">
            <w:pPr>
              <w:rPr>
                <w:b/>
              </w:rPr>
            </w:pPr>
          </w:p>
        </w:tc>
      </w:tr>
      <w:tr w:rsidR="00DD3EFA" w:rsidRPr="005A0E7C" w14:paraId="66EBDE58" w14:textId="77777777" w:rsidTr="00B15ECB">
        <w:trPr>
          <w:trHeight w:val="1202"/>
        </w:trPr>
        <w:tc>
          <w:tcPr>
            <w:tcW w:w="249" w:type="dxa"/>
            <w:tcBorders>
              <w:top w:val="nil"/>
              <w:bottom w:val="nil"/>
            </w:tcBorders>
            <w:shd w:val="clear" w:color="auto" w:fill="66CCFF"/>
          </w:tcPr>
          <w:p w14:paraId="573851D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6A857C2"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233B7F3A"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C8C8E11"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Snížení emisí skleníkových plynů je nutné dosáhnout větším využíváním hromadné a nemotorové dopravy na úkor dopravy individuální (energetické úspory a úspory spotřeby fosilních paliv), jakožto zaváděním alternativních energií v dopravě (čistá energie a snižování spotřeby fosilních paliv). Z hlediska přizpůsobení se změně klimatu je důležitá zejména optimalizace teplot v dopravních prostředcích s ohledem na předpokládané teplotní změny a zvýšenou extremalitu počasí.</w:t>
            </w:r>
          </w:p>
          <w:p w14:paraId="7732EC47"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Sektor dopravy se výraznou měrou podílí na znečistění ovzduší.  Nejvíce zasaženou oblastí jsou velká města a aglomerace s vysokou hustotou osídlení, vysokou dopravní náročností a hustou silniční sítí. Na území velkých měst a aglomerací je podíl silniční dopravy na celkové produkci emisí znečisťujících látek, zejména pevných částic a oxidů dusíku cca 50 %, z tohoto důvodu je nutné podporovat využívání šetrnějších druhů dopravy. </w:t>
            </w:r>
          </w:p>
          <w:p w14:paraId="779F5248"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 xml:space="preserve">Elektrická trakce v městské dopravě (tramvaje, trolejbusy včetně vozů s dynamickým dobíjením, formy městské a příměstské železnice) představují jak bezemisní způsob dopravy, tak druhy dopravy s nejvyšší dosaženou energetickou účinností, tzn. nejnižší spotřebou primární energie na jednotku přepravního výkonu a tím i nejnižším množstvím vyprodukovaných skleníkových plynů ze všech druhů dopravy, hromadné i individuální. </w:t>
            </w:r>
          </w:p>
          <w:p w14:paraId="362482FA" w14:textId="77777777" w:rsidR="00DD3EFA" w:rsidRPr="005A0E7C" w:rsidRDefault="00DD3EFA" w:rsidP="00B15ECB">
            <w:pPr>
              <w:pStyle w:val="slovanodstavec"/>
              <w:tabs>
                <w:tab w:val="left" w:pos="284"/>
              </w:tabs>
              <w:suppressAutoHyphens/>
              <w:spacing w:line="240" w:lineRule="auto"/>
              <w:rPr>
                <w:rFonts w:ascii="Times New Roman" w:hAnsi="Times New Roman"/>
              </w:rPr>
            </w:pPr>
            <w:r w:rsidRPr="005A0E7C">
              <w:rPr>
                <w:rFonts w:ascii="Times New Roman" w:hAnsi="Times New Roman"/>
              </w:rPr>
              <w:t>Způsob řešení uličního prostoru a dalších veřejných prostranství má rovněž vliv na mikroklima ve městě. V závislosti na podílu vegetačních a zpevněných ploch i jejich materiálovém řešení lze buď napomáhat či zhoršovat provětrávání území; jejich řešení má přímý vliv na teplotu, vlhkost, kvalitu ovzduší i nakládání se srážkovými vodami v dané oblasti.</w:t>
            </w:r>
          </w:p>
        </w:tc>
        <w:tc>
          <w:tcPr>
            <w:tcW w:w="249" w:type="dxa"/>
            <w:tcBorders>
              <w:top w:val="nil"/>
              <w:bottom w:val="nil"/>
            </w:tcBorders>
            <w:shd w:val="clear" w:color="auto" w:fill="66CCFF"/>
          </w:tcPr>
          <w:p w14:paraId="31C17D2C" w14:textId="77777777" w:rsidR="00DD3EFA" w:rsidRPr="005A0E7C" w:rsidRDefault="00DD3EFA" w:rsidP="00B15ECB">
            <w:pPr>
              <w:rPr>
                <w:b/>
              </w:rPr>
            </w:pPr>
          </w:p>
        </w:tc>
      </w:tr>
      <w:tr w:rsidR="00DD3EFA" w:rsidRPr="005A0E7C" w14:paraId="3899321B" w14:textId="77777777" w:rsidTr="00B15ECB">
        <w:trPr>
          <w:trHeight w:val="708"/>
        </w:trPr>
        <w:tc>
          <w:tcPr>
            <w:tcW w:w="249" w:type="dxa"/>
            <w:tcBorders>
              <w:top w:val="nil"/>
              <w:bottom w:val="nil"/>
            </w:tcBorders>
            <w:shd w:val="clear" w:color="auto" w:fill="66CCFF"/>
          </w:tcPr>
          <w:p w14:paraId="01BDBC4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6EB9467"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76A91340"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F547B4E"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Doprava ve městech a jejich zázemí bude ovlivňována do budoucna stále více potřebou koordinace a komplexního řešení. Jedním z hlavním posunů ve vztahu k výzvám Společnosti 4.0 je adaptace na automatizaci řízení dopravy (v rámci ITS) a autonomní řízení vozidel. S tímto nástrojem pracuje úspěšně koncept Smart City a bude nutné zohlednit vývoj v této oblasti do zaměření budoucí podpory a posílit tak využívání dat ze sdílených systémů řízení také pro účely městského plánování. </w:t>
            </w:r>
          </w:p>
          <w:p w14:paraId="770B3F51"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Systémy plně automatizovaného provozu metra (GoA 4) se staly standardem. Obdobou na tratích automatizovaného metra již široce používaného systému CBTC (na komunikaci založeného zabezpečení) je systém vlakového zabezpečovače ETCS, jednotně zaváděný na evropských železnicích.</w:t>
            </w:r>
          </w:p>
          <w:p w14:paraId="0588FA6B"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Součástí specifik městské dopravy je také inteligentní řízení zásobování měst a jejich okolí tzv. City logistikou.</w:t>
            </w:r>
          </w:p>
        </w:tc>
        <w:tc>
          <w:tcPr>
            <w:tcW w:w="249" w:type="dxa"/>
            <w:tcBorders>
              <w:top w:val="nil"/>
              <w:bottom w:val="nil"/>
            </w:tcBorders>
            <w:shd w:val="clear" w:color="auto" w:fill="66CCFF"/>
          </w:tcPr>
          <w:p w14:paraId="72FB953D" w14:textId="77777777" w:rsidR="00DD3EFA" w:rsidRPr="005A0E7C" w:rsidRDefault="00DD3EFA" w:rsidP="00B15ECB">
            <w:pPr>
              <w:rPr>
                <w:b/>
              </w:rPr>
            </w:pPr>
          </w:p>
        </w:tc>
      </w:tr>
      <w:tr w:rsidR="00DD3EFA" w:rsidRPr="005A0E7C" w14:paraId="1CC676ED" w14:textId="77777777" w:rsidTr="00B15ECB">
        <w:trPr>
          <w:trHeight w:val="1202"/>
        </w:trPr>
        <w:tc>
          <w:tcPr>
            <w:tcW w:w="249" w:type="dxa"/>
            <w:tcBorders>
              <w:top w:val="nil"/>
              <w:bottom w:val="nil"/>
            </w:tcBorders>
            <w:shd w:val="clear" w:color="auto" w:fill="66CCFF"/>
          </w:tcPr>
          <w:p w14:paraId="682413D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B1A1DBC"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43F38E1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19EC532" w14:textId="77777777" w:rsidR="00DD3EFA" w:rsidRPr="005A0E7C" w:rsidRDefault="00DD3EFA" w:rsidP="00B15ECB">
            <w:pPr>
              <w:spacing w:before="60" w:after="60"/>
              <w:rPr>
                <w:rFonts w:eastAsiaTheme="majorEastAsia"/>
              </w:rPr>
            </w:pPr>
            <w:r w:rsidRPr="005A0E7C">
              <w:rPr>
                <w:b/>
              </w:rPr>
              <w:t xml:space="preserve">Rostoucí mobilita </w:t>
            </w:r>
          </w:p>
          <w:p w14:paraId="72FFFBE2" w14:textId="77777777" w:rsidR="00DD3EFA" w:rsidRPr="005A0E7C" w:rsidRDefault="00DD3EFA" w:rsidP="00B15ECB">
            <w:pPr>
              <w:spacing w:before="40"/>
            </w:pPr>
            <w:r w:rsidRPr="005A0E7C">
              <w:t>Dochází ke zvýšenému pohybu lidí, zboží, ale s tím také rostoucí environmentální zátěže.</w:t>
            </w:r>
          </w:p>
          <w:p w14:paraId="616EFC85" w14:textId="77777777" w:rsidR="00DD3EFA" w:rsidRPr="005A0E7C" w:rsidRDefault="00DD3EFA" w:rsidP="00B15ECB">
            <w:pPr>
              <w:spacing w:before="40"/>
            </w:pPr>
            <w:r w:rsidRPr="005A0E7C">
              <w:rPr>
                <w:b/>
              </w:rPr>
              <w:t xml:space="preserve">Urbanizace </w:t>
            </w:r>
          </w:p>
          <w:p w14:paraId="79DA580C" w14:textId="77777777" w:rsidR="00DD3EFA" w:rsidRPr="005A0E7C" w:rsidRDefault="00DD3EFA" w:rsidP="00B15ECB">
            <w:pPr>
              <w:spacing w:before="40"/>
            </w:pPr>
            <w:r w:rsidRPr="005A0E7C">
              <w:t xml:space="preserve">Stěhování lidí z venkova do měst a jejich zázemí pokračuje bez ohledu na rostoucí negativa, která s sebou přináší. </w:t>
            </w:r>
          </w:p>
          <w:p w14:paraId="4870CD7A" w14:textId="77777777" w:rsidR="00DD3EFA" w:rsidRPr="005A0E7C" w:rsidRDefault="00DD3EFA" w:rsidP="00B15ECB">
            <w:pPr>
              <w:spacing w:before="40"/>
            </w:pPr>
            <w:r w:rsidRPr="005A0E7C">
              <w:rPr>
                <w:b/>
              </w:rPr>
              <w:t>Rostoucí spotřeba energie</w:t>
            </w:r>
          </w:p>
          <w:p w14:paraId="2A87AABF" w14:textId="77777777" w:rsidR="00DD3EFA" w:rsidRPr="005A0E7C" w:rsidRDefault="00DD3EFA" w:rsidP="00B15ECB">
            <w:pPr>
              <w:spacing w:before="40" w:after="160" w:line="259" w:lineRule="auto"/>
            </w:pPr>
            <w:r w:rsidRPr="005A0E7C">
              <w:t>Energetická náročnost lidské činnosti narůstá v souvislosti s rostoucím bohatstvím a populační expanzí.</w:t>
            </w:r>
          </w:p>
          <w:p w14:paraId="31AE2AAB" w14:textId="77777777" w:rsidR="00DD3EFA" w:rsidRPr="005A0E7C" w:rsidRDefault="00DD3EFA" w:rsidP="00B15ECB">
            <w:pPr>
              <w:spacing w:before="40" w:after="160" w:line="259" w:lineRule="auto"/>
            </w:pPr>
            <w:r w:rsidRPr="005A0E7C">
              <w:rPr>
                <w:b/>
              </w:rPr>
              <w:t>Změna klimatu a její dopady</w:t>
            </w:r>
          </w:p>
          <w:p w14:paraId="01A7AE54" w14:textId="77777777" w:rsidR="00DD3EFA" w:rsidRPr="005A0E7C" w:rsidRDefault="00DD3EFA" w:rsidP="00B15ECB">
            <w:pPr>
              <w:spacing w:before="40" w:after="160" w:line="259" w:lineRule="auto"/>
            </w:pPr>
            <w:r w:rsidRPr="005A0E7C">
              <w:t>Změna klimatu zásadně ovlivňuje nejen životní prostředí, ale i všechny hospodářské sektory a tím i kvalitu života celé společnosti.</w:t>
            </w:r>
          </w:p>
        </w:tc>
        <w:tc>
          <w:tcPr>
            <w:tcW w:w="249" w:type="dxa"/>
            <w:tcBorders>
              <w:top w:val="nil"/>
              <w:bottom w:val="nil"/>
            </w:tcBorders>
            <w:shd w:val="clear" w:color="auto" w:fill="66CCFF"/>
          </w:tcPr>
          <w:p w14:paraId="18D77594" w14:textId="77777777" w:rsidR="00DD3EFA" w:rsidRPr="005A0E7C" w:rsidRDefault="00DD3EFA" w:rsidP="00B15ECB">
            <w:pPr>
              <w:rPr>
                <w:b/>
              </w:rPr>
            </w:pPr>
          </w:p>
        </w:tc>
      </w:tr>
      <w:tr w:rsidR="00DD3EFA" w:rsidRPr="005A0E7C" w14:paraId="33637CDF" w14:textId="77777777" w:rsidTr="00B15ECB">
        <w:trPr>
          <w:trHeight w:val="1202"/>
        </w:trPr>
        <w:tc>
          <w:tcPr>
            <w:tcW w:w="249" w:type="dxa"/>
            <w:tcBorders>
              <w:top w:val="nil"/>
              <w:bottom w:val="nil"/>
            </w:tcBorders>
            <w:shd w:val="clear" w:color="auto" w:fill="66CCFF"/>
          </w:tcPr>
          <w:p w14:paraId="04CD1E0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C04DB86"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71668CFD" w14:textId="77777777" w:rsidR="00DD3EFA" w:rsidRPr="005A0E7C" w:rsidRDefault="00DD3EFA" w:rsidP="00B15ECB">
            <w:pPr>
              <w:spacing w:before="60" w:after="60"/>
              <w:rPr>
                <w:rFonts w:eastAsiaTheme="majorEastAsia"/>
              </w:rPr>
            </w:pPr>
            <w:r w:rsidRPr="005A0E7C">
              <w:rPr>
                <w:rFonts w:eastAsiaTheme="majorEastAsia"/>
              </w:rPr>
              <w:t xml:space="preserve"> </w:t>
            </w:r>
            <w:r w:rsidRPr="005A0E7C">
              <w:rPr>
                <w:rFonts w:eastAsiaTheme="majorEastAsia"/>
                <w:b/>
              </w:rPr>
              <w:t>Politický cíl ON:</w:t>
            </w:r>
          </w:p>
          <w:p w14:paraId="063BBE40" w14:textId="77777777" w:rsidR="00DD3EFA" w:rsidRPr="005A0E7C" w:rsidRDefault="00DD3EFA" w:rsidP="00B15ECB">
            <w:pPr>
              <w:spacing w:before="60" w:after="60"/>
              <w:rPr>
                <w:rFonts w:eastAsiaTheme="majorEastAsia"/>
              </w:rPr>
            </w:pPr>
            <w:r w:rsidRPr="005A0E7C">
              <w:rPr>
                <w:rFonts w:eastAsiaTheme="majorEastAsia"/>
              </w:rPr>
              <w:t xml:space="preserve">Zelenější, nízkouhlíková Evropa díky podpoře přechodu na čistou a spravedlivou energii, zelených a modrých investic, oběhového hospodářství, přizpůsobení se změnám klimatu a prevence a řízení rizik </w:t>
            </w:r>
          </w:p>
          <w:p w14:paraId="3CFE45F0" w14:textId="77777777" w:rsidR="00DD3EFA" w:rsidRPr="005A0E7C" w:rsidRDefault="00DD3EFA" w:rsidP="00B15ECB">
            <w:pPr>
              <w:spacing w:before="60" w:after="60"/>
              <w:rPr>
                <w:rFonts w:eastAsiaTheme="majorEastAsia"/>
                <w:b/>
              </w:rPr>
            </w:pPr>
            <w:r w:rsidRPr="005A0E7C">
              <w:rPr>
                <w:rFonts w:eastAsiaTheme="majorEastAsia"/>
                <w:b/>
              </w:rPr>
              <w:t>Specifické cíle EFRR/FS:</w:t>
            </w:r>
          </w:p>
          <w:p w14:paraId="01CDD3DF" w14:textId="77777777" w:rsidR="00DD3EFA" w:rsidRPr="005A0E7C" w:rsidRDefault="00DD3EFA" w:rsidP="00B15ECB">
            <w:pPr>
              <w:spacing w:before="60" w:after="60"/>
              <w:rPr>
                <w:rFonts w:eastAsiaTheme="majorEastAsia"/>
              </w:rPr>
            </w:pPr>
            <w:r w:rsidRPr="005A0E7C">
              <w:rPr>
                <w:rFonts w:eastAsiaTheme="majorEastAsia"/>
              </w:rPr>
              <w:t>čl. 2 odst. 1 písm. b viii)</w:t>
            </w:r>
          </w:p>
          <w:p w14:paraId="5045B0A8" w14:textId="77777777" w:rsidR="00DD3EFA" w:rsidRPr="005A0E7C" w:rsidRDefault="00DD3EFA" w:rsidP="00B15ECB">
            <w:pPr>
              <w:spacing w:before="60" w:after="60"/>
              <w:rPr>
                <w:rFonts w:eastAsiaTheme="majorEastAsia"/>
              </w:rPr>
            </w:pPr>
            <w:r w:rsidRPr="005A0E7C">
              <w:rPr>
                <w:rFonts w:eastAsiaTheme="majorEastAsia"/>
              </w:rPr>
              <w:t>podpora udržitelné multimodální městské mobility</w:t>
            </w:r>
          </w:p>
          <w:p w14:paraId="1C97020A" w14:textId="77777777" w:rsidR="00DD3EFA" w:rsidRPr="005A0E7C" w:rsidRDefault="00DD3EFA" w:rsidP="00B15ECB">
            <w:pPr>
              <w:rPr>
                <w:color w:val="000000"/>
              </w:rPr>
            </w:pPr>
            <w:r w:rsidRPr="005A0E7C">
              <w:rPr>
                <w:color w:val="000000"/>
              </w:rPr>
              <w:t>CP</w:t>
            </w:r>
          </w:p>
          <w:p w14:paraId="6835FE6A" w14:textId="77777777" w:rsidR="00DD3EFA" w:rsidRPr="005A0E7C" w:rsidRDefault="00DD3EFA" w:rsidP="00B15ECB">
            <w:pPr>
              <w:rPr>
                <w:color w:val="000000"/>
              </w:rPr>
            </w:pPr>
            <w:r w:rsidRPr="005A0E7C">
              <w:rPr>
                <w:color w:val="000000"/>
              </w:rPr>
              <w:t>2. A greener, low-carbon and resilient Europe by promoting clean and fair energy transition, green and blue investment, the circular economy, climate adaptation and risk prevention and management</w:t>
            </w:r>
          </w:p>
          <w:p w14:paraId="7A6E1EF7" w14:textId="77777777" w:rsidR="00DD3EFA" w:rsidRPr="005A0E7C" w:rsidRDefault="00DD3EFA" w:rsidP="00B15ECB">
            <w:pPr>
              <w:rPr>
                <w:color w:val="000000"/>
              </w:rPr>
            </w:pPr>
            <w:r w:rsidRPr="005A0E7C">
              <w:rPr>
                <w:color w:val="000000"/>
              </w:rPr>
              <w:t>SC</w:t>
            </w:r>
          </w:p>
          <w:p w14:paraId="6DA6F099" w14:textId="77777777" w:rsidR="00DD3EFA" w:rsidRPr="005A0E7C" w:rsidRDefault="00DD3EFA" w:rsidP="00B15ECB">
            <w:pPr>
              <w:spacing w:before="60" w:after="60"/>
              <w:rPr>
                <w:rFonts w:eastAsiaTheme="majorEastAsia"/>
                <w:i/>
              </w:rPr>
            </w:pPr>
            <w:r w:rsidRPr="005A0E7C">
              <w:rPr>
                <w:color w:val="000000"/>
              </w:rPr>
              <w:t>(viii) Promoting sustainable multimodal urban mobility</w:t>
            </w:r>
          </w:p>
        </w:tc>
        <w:tc>
          <w:tcPr>
            <w:tcW w:w="249" w:type="dxa"/>
            <w:tcBorders>
              <w:top w:val="nil"/>
              <w:bottom w:val="nil"/>
            </w:tcBorders>
            <w:shd w:val="clear" w:color="auto" w:fill="66CCFF"/>
          </w:tcPr>
          <w:p w14:paraId="38691BFD" w14:textId="77777777" w:rsidR="00DD3EFA" w:rsidRPr="005A0E7C" w:rsidRDefault="00DD3EFA" w:rsidP="00B15ECB">
            <w:pPr>
              <w:rPr>
                <w:b/>
              </w:rPr>
            </w:pPr>
          </w:p>
        </w:tc>
      </w:tr>
      <w:tr w:rsidR="00DD3EFA" w:rsidRPr="005A0E7C" w14:paraId="71DD2FE4" w14:textId="77777777" w:rsidTr="00B15ECB">
        <w:trPr>
          <w:trHeight w:val="1202"/>
        </w:trPr>
        <w:tc>
          <w:tcPr>
            <w:tcW w:w="249" w:type="dxa"/>
            <w:tcBorders>
              <w:top w:val="nil"/>
              <w:bottom w:val="nil"/>
            </w:tcBorders>
            <w:shd w:val="clear" w:color="auto" w:fill="66CCFF"/>
          </w:tcPr>
          <w:p w14:paraId="0ABA473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749BD8D"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52F99E24" w14:textId="77777777" w:rsidR="00DD3EFA" w:rsidRPr="005A0E7C" w:rsidRDefault="00DD3EFA" w:rsidP="00B15ECB">
            <w:pPr>
              <w:spacing w:before="60" w:after="60"/>
              <w:rPr>
                <w:rFonts w:eastAsiaTheme="majorEastAsia"/>
              </w:rPr>
            </w:pPr>
            <w:r w:rsidRPr="005A0E7C">
              <w:rPr>
                <w:rFonts w:eastAsiaTheme="majorEastAsia"/>
              </w:rPr>
              <w:t xml:space="preserve">Vybraná specifická doporučení Rady </w:t>
            </w:r>
            <w:r w:rsidRPr="005A0E7C">
              <w:rPr>
                <w:rFonts w:eastAsiaTheme="majorEastAsia"/>
                <w:i/>
              </w:rPr>
              <w:t>(Reduce the administrative burden on investment, including by speeding up permit procedures for infrastructure work. Address weaknesses in public procurement practices…)</w:t>
            </w:r>
            <w:r w:rsidRPr="005A0E7C">
              <w:rPr>
                <w:rFonts w:eastAsiaTheme="majorEastAsia"/>
              </w:rPr>
              <w:t xml:space="preserve"> směřují k bariérám ovlivňujícím implementaci specifického cíle NKR.</w:t>
            </w:r>
          </w:p>
          <w:p w14:paraId="4D34B5B3"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7A2B8012" w14:textId="77777777" w:rsidR="00DD3EFA" w:rsidRPr="005A0E7C" w:rsidRDefault="00DD3EFA" w:rsidP="00B15ECB">
            <w:pPr>
              <w:rPr>
                <w:b/>
              </w:rPr>
            </w:pPr>
          </w:p>
        </w:tc>
      </w:tr>
      <w:tr w:rsidR="00DD3EFA" w:rsidRPr="005A0E7C" w14:paraId="3E4AB008" w14:textId="77777777" w:rsidTr="00B15ECB">
        <w:trPr>
          <w:trHeight w:val="180"/>
        </w:trPr>
        <w:tc>
          <w:tcPr>
            <w:tcW w:w="249" w:type="dxa"/>
            <w:tcBorders>
              <w:top w:val="nil"/>
              <w:bottom w:val="nil"/>
              <w:right w:val="nil"/>
            </w:tcBorders>
            <w:shd w:val="clear" w:color="auto" w:fill="66CCFF"/>
          </w:tcPr>
          <w:p w14:paraId="4D8339AF" w14:textId="77777777" w:rsidR="00DD3EFA" w:rsidRPr="005A0E7C" w:rsidRDefault="00DD3EFA" w:rsidP="00B15ECB">
            <w:pPr>
              <w:rPr>
                <w:b/>
              </w:rPr>
            </w:pPr>
          </w:p>
        </w:tc>
        <w:tc>
          <w:tcPr>
            <w:tcW w:w="2548" w:type="dxa"/>
            <w:tcBorders>
              <w:left w:val="nil"/>
              <w:right w:val="nil"/>
            </w:tcBorders>
            <w:shd w:val="clear" w:color="auto" w:fill="66CCFF"/>
          </w:tcPr>
          <w:p w14:paraId="3E48D228" w14:textId="77777777" w:rsidR="00DD3EFA" w:rsidRPr="005A0E7C" w:rsidRDefault="00DD3EFA" w:rsidP="00B15ECB">
            <w:pPr>
              <w:rPr>
                <w:b/>
              </w:rPr>
            </w:pPr>
          </w:p>
        </w:tc>
        <w:tc>
          <w:tcPr>
            <w:tcW w:w="5978" w:type="dxa"/>
            <w:tcBorders>
              <w:left w:val="nil"/>
              <w:right w:val="nil"/>
            </w:tcBorders>
            <w:shd w:val="clear" w:color="auto" w:fill="66CCFF"/>
          </w:tcPr>
          <w:p w14:paraId="0AB30B5F" w14:textId="77777777" w:rsidR="00DD3EFA" w:rsidRPr="005A0E7C" w:rsidRDefault="00DD3EFA" w:rsidP="00B15ECB">
            <w:pPr>
              <w:rPr>
                <w:b/>
              </w:rPr>
            </w:pPr>
          </w:p>
        </w:tc>
        <w:tc>
          <w:tcPr>
            <w:tcW w:w="249" w:type="dxa"/>
            <w:tcBorders>
              <w:top w:val="nil"/>
              <w:left w:val="nil"/>
              <w:bottom w:val="nil"/>
            </w:tcBorders>
            <w:shd w:val="clear" w:color="auto" w:fill="66CCFF"/>
          </w:tcPr>
          <w:p w14:paraId="11C7EFE4" w14:textId="77777777" w:rsidR="00DD3EFA" w:rsidRPr="005A0E7C" w:rsidRDefault="00DD3EFA" w:rsidP="00B15ECB">
            <w:pPr>
              <w:rPr>
                <w:b/>
              </w:rPr>
            </w:pPr>
          </w:p>
        </w:tc>
      </w:tr>
      <w:tr w:rsidR="00DD3EFA" w:rsidRPr="005A0E7C" w14:paraId="390C2395" w14:textId="77777777" w:rsidTr="00B15ECB">
        <w:trPr>
          <w:trHeight w:val="938"/>
        </w:trPr>
        <w:tc>
          <w:tcPr>
            <w:tcW w:w="249" w:type="dxa"/>
            <w:tcBorders>
              <w:top w:val="nil"/>
              <w:bottom w:val="nil"/>
            </w:tcBorders>
            <w:shd w:val="clear" w:color="auto" w:fill="66CCFF"/>
          </w:tcPr>
          <w:p w14:paraId="524FF13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FE550F9"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7B604EAC"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38B7241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64F0F0F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Plány udržitelné městské mobility jednotlivých měst.</w:t>
            </w:r>
          </w:p>
          <w:p w14:paraId="0A58B5F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084A22E6" w14:textId="77777777" w:rsidR="00DD3EFA" w:rsidRPr="005A0E7C" w:rsidRDefault="00DD3EFA" w:rsidP="00B15ECB">
            <w:r w:rsidRPr="005A0E7C">
              <w:t>Bílá kniha – Koncepce veřejné dopravy</w:t>
            </w:r>
          </w:p>
          <w:p w14:paraId="1F297453" w14:textId="77777777" w:rsidR="00DD3EFA" w:rsidRPr="005A0E7C" w:rsidRDefault="00DD3EFA" w:rsidP="00B15ECB">
            <w:r w:rsidRPr="005A0E7C">
              <w:t>Národní program snižování emisí ČR</w:t>
            </w:r>
          </w:p>
          <w:p w14:paraId="1460526C" w14:textId="77777777" w:rsidR="00DD3EFA" w:rsidRPr="005A0E7C" w:rsidRDefault="00DD3EFA" w:rsidP="00B15ECB">
            <w:r w:rsidRPr="005A0E7C">
              <w:t>Programy zlepšování kvality ovzduší</w:t>
            </w:r>
          </w:p>
          <w:p w14:paraId="4E46AA89" w14:textId="77777777" w:rsidR="00DD3EFA" w:rsidRPr="005A0E7C" w:rsidRDefault="00DD3EFA" w:rsidP="00B15ECB">
            <w:r w:rsidRPr="005A0E7C">
              <w:t>Střednědobá strategie zlepšení kvality ovzduší v ČR</w:t>
            </w:r>
          </w:p>
          <w:p w14:paraId="0809378B" w14:textId="77777777" w:rsidR="00DD3EFA" w:rsidRPr="005A0E7C" w:rsidRDefault="00DD3EFA" w:rsidP="00B15ECB">
            <w:r w:rsidRPr="005A0E7C">
              <w:t>Národní akční plán čisté mobility</w:t>
            </w:r>
          </w:p>
          <w:p w14:paraId="64A486F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Politika architektury a stavební kultury ČR Politika územního rozvoje ČR</w:t>
            </w:r>
          </w:p>
        </w:tc>
        <w:tc>
          <w:tcPr>
            <w:tcW w:w="249" w:type="dxa"/>
            <w:tcBorders>
              <w:top w:val="nil"/>
              <w:bottom w:val="nil"/>
            </w:tcBorders>
            <w:shd w:val="clear" w:color="auto" w:fill="66CCFF"/>
          </w:tcPr>
          <w:p w14:paraId="16D9B547" w14:textId="77777777" w:rsidR="00DD3EFA" w:rsidRPr="005A0E7C" w:rsidRDefault="00DD3EFA" w:rsidP="00B15ECB">
            <w:pPr>
              <w:rPr>
                <w:b/>
              </w:rPr>
            </w:pPr>
          </w:p>
        </w:tc>
      </w:tr>
      <w:tr w:rsidR="00DD3EFA" w:rsidRPr="005A0E7C" w14:paraId="42CFCE4F" w14:textId="77777777" w:rsidTr="00B15ECB">
        <w:trPr>
          <w:trHeight w:val="938"/>
        </w:trPr>
        <w:tc>
          <w:tcPr>
            <w:tcW w:w="249" w:type="dxa"/>
            <w:tcBorders>
              <w:top w:val="nil"/>
              <w:bottom w:val="nil"/>
            </w:tcBorders>
            <w:shd w:val="clear" w:color="auto" w:fill="66CCFF"/>
          </w:tcPr>
          <w:p w14:paraId="21BDED3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E42018B"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1541EB9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CF6EAC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Ve většině plánů udržitelné městské mobility se vcelku jednoznačně ukazuje, že ve využívání VHD obyvateli měst je doposud velký potenciál, resp. že využívání IAD je oprávněné označit za nadměrné, což přináší rozsáhlé negativní externality. Rovněž se zřetelně ukazuje, že pro definování směru, kterým se má město v případě udržitelné mobility ubírat, představuje participace veřejnosti neopomenutelný prvek. Klíčovou zásadou pro podporu udržitelné městské mobility je koordinace jednotlivých částí dopravního systému, nikoliv jejich konkurence. To se zřetelně projevuje na projektové úrovni u aktivit typu terminály VHD, budování záchytných parkovišt (parkoviště P + R, P + G) apod.</w:t>
            </w:r>
          </w:p>
        </w:tc>
        <w:tc>
          <w:tcPr>
            <w:tcW w:w="249" w:type="dxa"/>
            <w:tcBorders>
              <w:top w:val="nil"/>
              <w:bottom w:val="nil"/>
            </w:tcBorders>
            <w:shd w:val="clear" w:color="auto" w:fill="66CCFF"/>
          </w:tcPr>
          <w:p w14:paraId="47988FC2" w14:textId="77777777" w:rsidR="00DD3EFA" w:rsidRPr="005A0E7C" w:rsidRDefault="00DD3EFA" w:rsidP="00B15ECB">
            <w:pPr>
              <w:rPr>
                <w:b/>
              </w:rPr>
            </w:pPr>
          </w:p>
        </w:tc>
      </w:tr>
      <w:tr w:rsidR="00DD3EFA" w:rsidRPr="005A0E7C" w14:paraId="516FD9AA" w14:textId="77777777" w:rsidTr="00B15ECB">
        <w:trPr>
          <w:trHeight w:val="938"/>
        </w:trPr>
        <w:tc>
          <w:tcPr>
            <w:tcW w:w="249" w:type="dxa"/>
            <w:tcBorders>
              <w:top w:val="nil"/>
              <w:bottom w:val="nil"/>
            </w:tcBorders>
            <w:shd w:val="clear" w:color="auto" w:fill="66CCFF"/>
          </w:tcPr>
          <w:p w14:paraId="392A757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CE8CB4B"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79CBC22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8E43E11" w14:textId="77777777" w:rsidR="00DD3EFA" w:rsidRPr="005A0E7C" w:rsidRDefault="00DD3EFA" w:rsidP="00B15ECB">
            <w:pPr>
              <w:spacing w:before="60" w:after="60"/>
            </w:pPr>
            <w:r w:rsidRPr="005A0E7C">
              <w:t>Realizovat projekty, vymezené plány udržitelné městské mobility (resp. jejich akčními plány) do roku 2027.</w:t>
            </w:r>
          </w:p>
          <w:p w14:paraId="072DDB3C" w14:textId="77777777" w:rsidR="00DD3EFA" w:rsidRPr="005A0E7C" w:rsidRDefault="00DD3EFA" w:rsidP="00B15ECB">
            <w:pPr>
              <w:spacing w:before="60" w:after="60"/>
            </w:pPr>
            <w:r w:rsidRPr="005A0E7C">
              <w:t>Např.:</w:t>
            </w:r>
          </w:p>
          <w:p w14:paraId="05404419" w14:textId="77777777" w:rsidR="00DD3EFA" w:rsidRPr="005A0E7C" w:rsidRDefault="00DD3EFA" w:rsidP="00B15ECB">
            <w:pPr>
              <w:spacing w:before="60" w:after="60"/>
            </w:pPr>
            <w:r w:rsidRPr="005A0E7C">
              <w:t>Délka modernizovaných a nových km tratí elektrické trakce včetně napájecí infrastruktury.</w:t>
            </w:r>
          </w:p>
          <w:p w14:paraId="0D812882" w14:textId="77777777" w:rsidR="00DD3EFA" w:rsidRPr="005A0E7C" w:rsidRDefault="00DD3EFA" w:rsidP="00B15ECB">
            <w:pPr>
              <w:spacing w:before="60" w:after="60"/>
            </w:pPr>
            <w:r w:rsidRPr="005A0E7C">
              <w:t>Navýšení přepravních výkonů bezemisní veřejné dopravy v režimu elektrické trakce i jízdy na baterie v kombinaci s dynamickým dobíjením.</w:t>
            </w:r>
          </w:p>
          <w:p w14:paraId="2EFBCA43" w14:textId="77777777" w:rsidR="00DD3EFA" w:rsidRPr="005A0E7C" w:rsidRDefault="00DD3EFA" w:rsidP="00B15ECB">
            <w:pPr>
              <w:spacing w:before="60" w:after="60"/>
            </w:pPr>
            <w:r w:rsidRPr="005A0E7C">
              <w:t>Délka nových vyhrazených jízdních pruhů a komunikací nově vyhrazených pro MHD a nemotorovou dopravu.</w:t>
            </w:r>
          </w:p>
        </w:tc>
        <w:tc>
          <w:tcPr>
            <w:tcW w:w="249" w:type="dxa"/>
            <w:tcBorders>
              <w:top w:val="nil"/>
              <w:bottom w:val="nil"/>
            </w:tcBorders>
            <w:shd w:val="clear" w:color="auto" w:fill="66CCFF"/>
          </w:tcPr>
          <w:p w14:paraId="0C8B2750" w14:textId="77777777" w:rsidR="00DD3EFA" w:rsidRPr="005A0E7C" w:rsidRDefault="00DD3EFA" w:rsidP="00B15ECB">
            <w:pPr>
              <w:rPr>
                <w:b/>
              </w:rPr>
            </w:pPr>
          </w:p>
        </w:tc>
      </w:tr>
      <w:tr w:rsidR="00DD3EFA" w:rsidRPr="005A0E7C" w14:paraId="03CAD4DD" w14:textId="77777777" w:rsidTr="00B15ECB">
        <w:trPr>
          <w:trHeight w:val="938"/>
        </w:trPr>
        <w:tc>
          <w:tcPr>
            <w:tcW w:w="249" w:type="dxa"/>
            <w:tcBorders>
              <w:top w:val="nil"/>
              <w:bottom w:val="nil"/>
            </w:tcBorders>
            <w:shd w:val="clear" w:color="auto" w:fill="66CCFF"/>
          </w:tcPr>
          <w:p w14:paraId="4AFE320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4D276F6"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692A803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E86082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Využití integrovaných nástrojů podobným způsobem jako v programovém období 2014-2020. Příprava projektů vycházejících z plánů udržitelné městské mobility je plně v kompetenci měst, MDČR (příp. i ve spolupráci s MMR) poskytuje metodickou podporu. Pokračující diskuse o legislativním zakotvení plánů udržitelné městké mobility.</w:t>
            </w:r>
          </w:p>
        </w:tc>
        <w:tc>
          <w:tcPr>
            <w:tcW w:w="249" w:type="dxa"/>
            <w:tcBorders>
              <w:top w:val="nil"/>
              <w:bottom w:val="nil"/>
            </w:tcBorders>
            <w:shd w:val="clear" w:color="auto" w:fill="66CCFF"/>
          </w:tcPr>
          <w:p w14:paraId="16F3031B" w14:textId="77777777" w:rsidR="00DD3EFA" w:rsidRPr="005A0E7C" w:rsidRDefault="00DD3EFA" w:rsidP="00B15ECB">
            <w:pPr>
              <w:rPr>
                <w:b/>
              </w:rPr>
            </w:pPr>
          </w:p>
        </w:tc>
      </w:tr>
      <w:tr w:rsidR="00DD3EFA" w:rsidRPr="005A0E7C" w14:paraId="2488FB5E" w14:textId="77777777" w:rsidTr="00B15ECB">
        <w:trPr>
          <w:trHeight w:val="938"/>
        </w:trPr>
        <w:tc>
          <w:tcPr>
            <w:tcW w:w="249" w:type="dxa"/>
            <w:tcBorders>
              <w:top w:val="nil"/>
              <w:bottom w:val="nil"/>
            </w:tcBorders>
            <w:shd w:val="clear" w:color="auto" w:fill="66CCFF"/>
          </w:tcPr>
          <w:p w14:paraId="1754E2A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E87D54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2C0D7F2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Všechny plány udržitelné městské mobility mají nastaven systém monitoringu a evaluace, jedná se o jeden ze základních požadavků stanovených Metodikou pro přípravu plánů udržitelné mobility měst České republiky od Centra dopravního výzkumu.</w:t>
            </w:r>
          </w:p>
        </w:tc>
        <w:tc>
          <w:tcPr>
            <w:tcW w:w="249" w:type="dxa"/>
            <w:tcBorders>
              <w:top w:val="nil"/>
              <w:bottom w:val="nil"/>
            </w:tcBorders>
            <w:shd w:val="clear" w:color="auto" w:fill="66CCFF"/>
          </w:tcPr>
          <w:p w14:paraId="1CD4A349" w14:textId="77777777" w:rsidR="00DD3EFA" w:rsidRPr="005A0E7C" w:rsidRDefault="00DD3EFA" w:rsidP="00B15ECB">
            <w:pPr>
              <w:rPr>
                <w:b/>
              </w:rPr>
            </w:pPr>
          </w:p>
        </w:tc>
      </w:tr>
      <w:tr w:rsidR="00DD3EFA" w:rsidRPr="005A0E7C" w14:paraId="75C4DEBC" w14:textId="77777777" w:rsidTr="00B15ECB">
        <w:trPr>
          <w:trHeight w:val="130"/>
        </w:trPr>
        <w:tc>
          <w:tcPr>
            <w:tcW w:w="249" w:type="dxa"/>
            <w:tcBorders>
              <w:top w:val="nil"/>
              <w:bottom w:val="nil"/>
              <w:right w:val="nil"/>
            </w:tcBorders>
            <w:shd w:val="clear" w:color="auto" w:fill="66CCFF"/>
          </w:tcPr>
          <w:p w14:paraId="36200271" w14:textId="77777777" w:rsidR="00DD3EFA" w:rsidRPr="005A0E7C" w:rsidRDefault="00DD3EFA" w:rsidP="00B15ECB">
            <w:pPr>
              <w:rPr>
                <w:b/>
              </w:rPr>
            </w:pPr>
          </w:p>
        </w:tc>
        <w:tc>
          <w:tcPr>
            <w:tcW w:w="2548" w:type="dxa"/>
            <w:tcBorders>
              <w:left w:val="nil"/>
              <w:right w:val="nil"/>
            </w:tcBorders>
            <w:shd w:val="clear" w:color="auto" w:fill="66CCFF"/>
          </w:tcPr>
          <w:p w14:paraId="050A72DC" w14:textId="77777777" w:rsidR="00DD3EFA" w:rsidRPr="005A0E7C" w:rsidRDefault="00DD3EFA" w:rsidP="00B15ECB">
            <w:pPr>
              <w:rPr>
                <w:b/>
              </w:rPr>
            </w:pPr>
          </w:p>
        </w:tc>
        <w:tc>
          <w:tcPr>
            <w:tcW w:w="5978" w:type="dxa"/>
            <w:tcBorders>
              <w:left w:val="nil"/>
              <w:right w:val="nil"/>
            </w:tcBorders>
            <w:shd w:val="clear" w:color="auto" w:fill="66CCFF"/>
          </w:tcPr>
          <w:p w14:paraId="7CE5122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7AF72149" w14:textId="77777777" w:rsidR="00DD3EFA" w:rsidRPr="005A0E7C" w:rsidRDefault="00DD3EFA" w:rsidP="00B15ECB">
            <w:pPr>
              <w:rPr>
                <w:b/>
              </w:rPr>
            </w:pPr>
          </w:p>
        </w:tc>
      </w:tr>
      <w:tr w:rsidR="00DD3EFA" w:rsidRPr="005A0E7C" w14:paraId="26FE841B" w14:textId="77777777" w:rsidTr="00B15ECB">
        <w:trPr>
          <w:trHeight w:val="1258"/>
        </w:trPr>
        <w:tc>
          <w:tcPr>
            <w:tcW w:w="249" w:type="dxa"/>
            <w:tcBorders>
              <w:top w:val="nil"/>
              <w:bottom w:val="nil"/>
              <w:right w:val="nil"/>
            </w:tcBorders>
            <w:shd w:val="clear" w:color="auto" w:fill="66CCFF"/>
          </w:tcPr>
          <w:p w14:paraId="1CA1BDD2" w14:textId="77777777" w:rsidR="00DD3EFA" w:rsidRPr="005A0E7C" w:rsidRDefault="00DD3EFA" w:rsidP="00B15ECB">
            <w:pPr>
              <w:rPr>
                <w:b/>
              </w:rPr>
            </w:pPr>
          </w:p>
        </w:tc>
        <w:tc>
          <w:tcPr>
            <w:tcW w:w="2548" w:type="dxa"/>
            <w:shd w:val="clear" w:color="auto" w:fill="FFFFFF" w:themeFill="background1"/>
          </w:tcPr>
          <w:p w14:paraId="03FBEDF2"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72E4096B" w14:textId="77777777" w:rsidR="00DD3EFA" w:rsidRPr="005A0E7C" w:rsidRDefault="00DD3EFA" w:rsidP="00B15ECB">
            <w:r w:rsidRPr="005A0E7C">
              <w:t>Městská drážní doprava byla sice podporována z regionálních operačních programů, ale jednalo se o nahodilou podporu bez nějaké propracovanější koncepce s omezenými efekty. Teprve se zahrnutím těchto oblastí do Operačního programu Doprava 2014-2020 je oprávněné hovořit o významnější změně, byť od zahájení reálné implementace OPD2 uplynula doposud příliš krátká doba k tomu, aby se efekty mohly v praxi projevit. I přes významnou podporu VHD z fondů EU v programových obdobích 2007–2013 a 2014–2020 bude s ohledem na velkou dynamiku rozvoje měst a jejich zázemí nezbytné v této podpoře pokračovat i po roce 2020. A to i s ohledem na fakt, že neřešení nárůstu dopravy a mobility obyvatel bude představovat jednu s hlavních překážek rozvoje měst a jejich zázemí a jedním z hlavních determinantů kvality života v těchto územích.</w:t>
            </w:r>
          </w:p>
          <w:p w14:paraId="314A4A07" w14:textId="77777777" w:rsidR="00DD3EFA" w:rsidRPr="005A0E7C" w:rsidRDefault="00DD3EFA" w:rsidP="00B15ECB"/>
          <w:p w14:paraId="0A06C7A3" w14:textId="77777777" w:rsidR="00DD3EFA" w:rsidRPr="005A0E7C" w:rsidRDefault="00DD3EFA" w:rsidP="00B15ECB">
            <w:r w:rsidRPr="005A0E7C">
              <w:t>V rámci OP D 2014-2020 je doprava ve městech řešena v </w:t>
            </w:r>
            <w:r w:rsidRPr="005A0E7C">
              <w:rPr>
                <w:i/>
              </w:rPr>
              <w:t>PO 1 Infrastruktura pro železniční a další udržitelnou dopravu SC 1.4 Vytvoření podmínek pro zvýšení využívání veřejné hromadné dopravy ve městech v elektrické trakci</w:t>
            </w:r>
            <w:r w:rsidRPr="005A0E7C">
              <w:t xml:space="preserve"> a částečně do této kategorie můžeme zahrnout rovněž v </w:t>
            </w:r>
            <w:r w:rsidRPr="005A0E7C">
              <w:rPr>
                <w:i/>
              </w:rPr>
              <w:t>SC 1.5 Vytvoření podmínek pro širší využití železniční a vodní dopravy prostřednictvím modernizace dopravního parku</w:t>
            </w:r>
            <w:r w:rsidRPr="005A0E7C">
              <w:t>, neboť v rámci tohoto specifického cíle dochází k modernizaci ŽKV v jednotlivých krajích, které následně v mnoha případech slouží jako příměstské spoje a pomáhají a ulevují tak dopravě ve městech a nejbližším okolí. Dále je doprava ve městech řešena rovněž v </w:t>
            </w:r>
            <w:r w:rsidRPr="005A0E7C">
              <w:rPr>
                <w:i/>
              </w:rPr>
              <w:t>PO 2 Silniční infrastruktura na síti TEN-T SC 2.2 Vytvoření podmínek pro širší využití vozidel na alternativní pohon na silniční síti</w:t>
            </w:r>
            <w:r w:rsidRPr="005A0E7C">
              <w:t xml:space="preserve">. V rámci tohoto specifického cíle je podporováno vytvoření podmínek pro širší využití vozidel na alternativní pohon na silniční síti, a to zejména </w:t>
            </w:r>
            <w:r w:rsidRPr="005A0E7C">
              <w:rPr>
                <w:b/>
              </w:rPr>
              <w:t>ve městech</w:t>
            </w:r>
            <w:r w:rsidRPr="005A0E7C">
              <w:t xml:space="preserve"> a na hlavní síti TEN-T. Absorpční kapacita i čerpání je na velmi dobré úrovni.</w:t>
            </w:r>
          </w:p>
          <w:p w14:paraId="41256A91" w14:textId="77777777" w:rsidR="00DD3EFA" w:rsidRPr="005A0E7C" w:rsidRDefault="00DD3EFA" w:rsidP="00B15ECB"/>
          <w:p w14:paraId="537618E9" w14:textId="77777777" w:rsidR="00DD3EFA" w:rsidRPr="005A0E7C" w:rsidRDefault="00DD3EFA" w:rsidP="00B15ECB">
            <w:r w:rsidRPr="005A0E7C">
              <w:t xml:space="preserve">V rámci IROP jsou podporovány rekonstrukce silnic v rámci SC 1.1 </w:t>
            </w:r>
            <w:r w:rsidRPr="005A0E7C">
              <w:rPr>
                <w:i/>
              </w:rPr>
              <w:t>Zvýšení regionální mobility prostřednictvím modernizace a rozvoje sítí regionální silniční infrastruktury navazující na síť TEN-T</w:t>
            </w:r>
            <w:r w:rsidRPr="005A0E7C">
              <w:t xml:space="preserve">. Dále v rámci SC 1.2 </w:t>
            </w:r>
            <w:r w:rsidRPr="005A0E7C">
              <w:rPr>
                <w:i/>
              </w:rPr>
              <w:t>Zvýšení podílu udržitelných forem dopravy</w:t>
            </w:r>
            <w:r w:rsidRPr="005A0E7C">
              <w:t xml:space="preserve"> je možné žádat o dotace na nákup nízko-emisních vozidel, výstavbu terminálů a parkovacích systémů, investice do bezpečnosti dopravy či telematiky a na stavbu cyklostezek. O tyto výzvy byl velký zájem a alokace nemohla uspokojit všechny žadatele. Významný podíl mají v IROP i investice do dopravní obslužnosti skrze integrované nástroje, zejména ITI. Na komplexní urbanistické řešení uličního prostoru byla zacílena podpora pořizování územních studií zaměřených na veřejná prostranství z SC 3.3 </w:t>
            </w:r>
            <w:r w:rsidRPr="005A0E7C">
              <w:rPr>
                <w:i/>
              </w:rPr>
              <w:t>Podpora pořizování a uplatňování dokumentů územního rozvoje.</w:t>
            </w:r>
          </w:p>
          <w:p w14:paraId="74A6937C" w14:textId="77777777" w:rsidR="00DD3EFA" w:rsidRPr="005A0E7C" w:rsidRDefault="00DD3EFA" w:rsidP="00B15ECB"/>
          <w:p w14:paraId="3574EB0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Na území hl. m. Prahy je v rámci OP PPR vyčleněna podpora na udržitelnou mobilitu, konkrétně se jedná o realizaci záchytných parkovišť systému P+R a opatření pro preferenci povrchové městské veřejné dopravy v uličním provozu. Tyto aktivity jsou v současném programovém období identifikovány jako problematické, a to především z důvodu nepřipravenosti významných projektů. Předpokládalo se vybudování významných P+R parkovišť na území hl. m. Prahy, nicméně např. z důvodu nevyřešených majetkoprávních vztahů k dotčeným pozemkům dojde k vybudování pouze 2 parkovišť P+R, a to v Radotíně a Černém Mostě. Rovněž aktivity týkající se opatření pro preferenci povrchové dopravy se potýkají se zpožděním, kdy doposud nebyl podán žádný projekt. Z těchto důvodů došlo k vytvoření nového specifického cíle na rozvoj nízko-emisní mobility v oblasti městské dopravy v uličním provozu, kdy bude podporován nákup elektro-busů. Zároveň v oblasti veřejné dopravy dochází k podpoře aktivit spojených s energetickými úsporami, např. zefektivnění využití elektrické energie z kolejových vozidel, výměna kolejnic v síti metra, snížení energetické náročnosti technických dopravních zařízení a úsporné opatření na svislém dopravním značení. Tyto aktivity jsou realizovány dopravním podnikem a je zde dostatečná absorpční kapacita ve vyhlašovaných výzvách.</w:t>
            </w:r>
          </w:p>
          <w:p w14:paraId="6168D2BD" w14:textId="77777777" w:rsidR="00DD3EFA" w:rsidRPr="005A0E7C" w:rsidRDefault="00DD3EFA" w:rsidP="00B15ECB">
            <w:pPr>
              <w:rPr>
                <w:b/>
              </w:rPr>
            </w:pPr>
          </w:p>
        </w:tc>
        <w:tc>
          <w:tcPr>
            <w:tcW w:w="249" w:type="dxa"/>
            <w:tcBorders>
              <w:top w:val="nil"/>
              <w:left w:val="nil"/>
              <w:bottom w:val="nil"/>
            </w:tcBorders>
            <w:shd w:val="clear" w:color="auto" w:fill="66CCFF"/>
          </w:tcPr>
          <w:p w14:paraId="0D699825" w14:textId="77777777" w:rsidR="00DD3EFA" w:rsidRPr="005A0E7C" w:rsidRDefault="00DD3EFA" w:rsidP="00B15ECB">
            <w:pPr>
              <w:rPr>
                <w:b/>
              </w:rPr>
            </w:pPr>
          </w:p>
        </w:tc>
      </w:tr>
      <w:tr w:rsidR="00DD3EFA" w:rsidRPr="005A0E7C" w14:paraId="156F8119" w14:textId="77777777" w:rsidTr="00B15ECB">
        <w:trPr>
          <w:trHeight w:val="1258"/>
        </w:trPr>
        <w:tc>
          <w:tcPr>
            <w:tcW w:w="249" w:type="dxa"/>
            <w:tcBorders>
              <w:top w:val="nil"/>
              <w:bottom w:val="nil"/>
              <w:right w:val="nil"/>
            </w:tcBorders>
            <w:shd w:val="clear" w:color="auto" w:fill="66CCFF"/>
          </w:tcPr>
          <w:p w14:paraId="0D1ED049" w14:textId="77777777" w:rsidR="00DD3EFA" w:rsidRPr="005A0E7C" w:rsidRDefault="00DD3EFA" w:rsidP="00B15ECB">
            <w:pPr>
              <w:rPr>
                <w:b/>
              </w:rPr>
            </w:pPr>
          </w:p>
        </w:tc>
        <w:tc>
          <w:tcPr>
            <w:tcW w:w="2548" w:type="dxa"/>
            <w:shd w:val="clear" w:color="auto" w:fill="FFFFFF" w:themeFill="background1"/>
          </w:tcPr>
          <w:p w14:paraId="72293724" w14:textId="77777777" w:rsidR="00DD3EFA" w:rsidRPr="005A0E7C" w:rsidRDefault="00DD3EFA" w:rsidP="00B15ECB">
            <w:pPr>
              <w:rPr>
                <w:rFonts w:eastAsiaTheme="majorEastAsia"/>
                <w:b/>
              </w:rPr>
            </w:pPr>
            <w:r w:rsidRPr="005A0E7C">
              <w:rPr>
                <w:rFonts w:eastAsiaTheme="majorEastAsia"/>
                <w:b/>
              </w:rPr>
              <w:t>Věcný posun oblasti</w:t>
            </w:r>
          </w:p>
          <w:p w14:paraId="323549E1"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160027F" w14:textId="77777777" w:rsidR="00DD3EFA" w:rsidRPr="005A0E7C" w:rsidRDefault="00DD3EFA" w:rsidP="00B15ECB">
            <w:r w:rsidRPr="005A0E7C">
              <w:t>Intervence v podpoře městské mobility patří mezi nejúčinnější intervence v oblasti dopravy. Zatímco podpora v programovém období 2007-2013 byla spíše nesystematická a na strategické zdůvodnění projektů byl kladen malý důraz, v programovém období 2014-2020 došlo v tomto ohledu k nezanedbatelnému posunu. Je však potřeba mít na paměti, že podpora udržitelné městské dopravy je nesmírně složitou a komplexní problematikou, která navíc musí být provázána s dalšími doprovodnými intervencemi a to i neinvestičního charakteru (organizační opatření ve VHD, měkká opatření typu propagace, informovanost apod.). Právě této problematice se významnou měrou věnují plány udržitelné městské mobility, jejichž vytvoření a realizace lze vnímat jako nejvýznamnější věcný posun v programovém období 2014-2020 s přesahem do programového období po roce 2020.</w:t>
            </w:r>
          </w:p>
          <w:p w14:paraId="1B4CA019" w14:textId="77777777" w:rsidR="00DD3EFA" w:rsidRPr="005A0E7C" w:rsidRDefault="00DD3EFA" w:rsidP="00B15ECB"/>
          <w:p w14:paraId="65A6B061" w14:textId="77777777" w:rsidR="00DD3EFA" w:rsidRPr="005A0E7C" w:rsidRDefault="00DD3EFA" w:rsidP="00B15ECB">
            <w:r w:rsidRPr="005A0E7C">
              <w:t>Specifický cíl 1.2 IROP v oblasti podpory multimodality dopravy do konce roku 2018 podpořil celkem 78 projektů za 1,9 mld. Kč, z toho 56 projektů bylo k 31. 12. v realizaci, 22 projektů bylo dokončeno.</w:t>
            </w:r>
          </w:p>
          <w:p w14:paraId="46C9562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Ke zlepšení udržitelnosti regionální a místní mobility v celé České republice do konce roku 2018 přispěla výstavba nebo modernizace 10 přestupních terminálů, 1122 parkovacích míst pro automobily a 1514 parkovacích míst pro jízdní kola pro přestup na veřejnou dopravu z IROP.</w:t>
            </w:r>
          </w:p>
        </w:tc>
        <w:tc>
          <w:tcPr>
            <w:tcW w:w="249" w:type="dxa"/>
            <w:tcBorders>
              <w:top w:val="nil"/>
              <w:left w:val="nil"/>
              <w:bottom w:val="nil"/>
            </w:tcBorders>
            <w:shd w:val="clear" w:color="auto" w:fill="66CCFF"/>
          </w:tcPr>
          <w:p w14:paraId="34FAD2A3" w14:textId="77777777" w:rsidR="00DD3EFA" w:rsidRPr="005A0E7C" w:rsidRDefault="00DD3EFA" w:rsidP="00B15ECB">
            <w:pPr>
              <w:rPr>
                <w:b/>
              </w:rPr>
            </w:pPr>
          </w:p>
        </w:tc>
      </w:tr>
      <w:tr w:rsidR="00DD3EFA" w:rsidRPr="005A0E7C" w14:paraId="0595B1CB" w14:textId="77777777" w:rsidTr="00B15ECB">
        <w:trPr>
          <w:trHeight w:val="1258"/>
        </w:trPr>
        <w:tc>
          <w:tcPr>
            <w:tcW w:w="249" w:type="dxa"/>
            <w:tcBorders>
              <w:top w:val="nil"/>
              <w:bottom w:val="nil"/>
              <w:right w:val="nil"/>
            </w:tcBorders>
            <w:shd w:val="clear" w:color="auto" w:fill="66CCFF"/>
          </w:tcPr>
          <w:p w14:paraId="71B8534D" w14:textId="77777777" w:rsidR="00DD3EFA" w:rsidRPr="005A0E7C" w:rsidRDefault="00DD3EFA" w:rsidP="00B15ECB">
            <w:pPr>
              <w:rPr>
                <w:b/>
              </w:rPr>
            </w:pPr>
          </w:p>
        </w:tc>
        <w:tc>
          <w:tcPr>
            <w:tcW w:w="2548" w:type="dxa"/>
            <w:shd w:val="clear" w:color="auto" w:fill="FFFFFF" w:themeFill="background1"/>
          </w:tcPr>
          <w:p w14:paraId="4760AC28" w14:textId="77777777" w:rsidR="00DD3EFA" w:rsidRPr="005A0E7C" w:rsidRDefault="00DD3EFA" w:rsidP="00B15ECB">
            <w:pPr>
              <w:rPr>
                <w:rFonts w:eastAsiaTheme="majorEastAsia"/>
                <w:b/>
              </w:rPr>
            </w:pPr>
            <w:r w:rsidRPr="005A0E7C">
              <w:rPr>
                <w:rFonts w:eastAsiaTheme="majorEastAsia"/>
                <w:b/>
              </w:rPr>
              <w:t>Synergické a multiplikační efekty</w:t>
            </w:r>
          </w:p>
          <w:p w14:paraId="62B945AF"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78B32B8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Synergické a multiplikační efekty projektů v oblasti zlepšování integrace dopravy jsou pravděpodobně nejvýznamnější v celém sektoru dopravy. Ze všech relevantních strategických dokumentů vyplývá, že jednotlivé izolované projekty nemají až na výjimky valného smyslu a proto musí být aspekt synergického působení pevně zakotven ve všech fázích projektového cyklu.</w:t>
            </w:r>
          </w:p>
        </w:tc>
        <w:tc>
          <w:tcPr>
            <w:tcW w:w="249" w:type="dxa"/>
            <w:tcBorders>
              <w:top w:val="nil"/>
              <w:left w:val="nil"/>
              <w:bottom w:val="nil"/>
            </w:tcBorders>
            <w:shd w:val="clear" w:color="auto" w:fill="66CCFF"/>
          </w:tcPr>
          <w:p w14:paraId="0C99DBE6" w14:textId="77777777" w:rsidR="00DD3EFA" w:rsidRPr="005A0E7C" w:rsidRDefault="00DD3EFA" w:rsidP="00B15ECB">
            <w:pPr>
              <w:rPr>
                <w:b/>
              </w:rPr>
            </w:pPr>
          </w:p>
        </w:tc>
      </w:tr>
      <w:tr w:rsidR="00DD3EFA" w:rsidRPr="005A0E7C" w14:paraId="5B164EB3" w14:textId="77777777" w:rsidTr="00B15ECB">
        <w:trPr>
          <w:trHeight w:val="180"/>
        </w:trPr>
        <w:tc>
          <w:tcPr>
            <w:tcW w:w="249" w:type="dxa"/>
            <w:tcBorders>
              <w:top w:val="nil"/>
              <w:bottom w:val="nil"/>
              <w:right w:val="nil"/>
            </w:tcBorders>
            <w:shd w:val="clear" w:color="auto" w:fill="66CCFF"/>
          </w:tcPr>
          <w:p w14:paraId="5AD264CD"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5472052E"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353DA774" w14:textId="77777777" w:rsidR="00DD3EFA" w:rsidRPr="005A0E7C" w:rsidRDefault="00DD3EFA" w:rsidP="00B15ECB">
            <w:pPr>
              <w:rPr>
                <w:b/>
              </w:rPr>
            </w:pPr>
          </w:p>
        </w:tc>
        <w:tc>
          <w:tcPr>
            <w:tcW w:w="249" w:type="dxa"/>
            <w:tcBorders>
              <w:top w:val="nil"/>
              <w:left w:val="nil"/>
              <w:bottom w:val="nil"/>
            </w:tcBorders>
            <w:shd w:val="clear" w:color="auto" w:fill="66CCFF"/>
          </w:tcPr>
          <w:p w14:paraId="194DDCA4" w14:textId="77777777" w:rsidR="00DD3EFA" w:rsidRPr="005A0E7C" w:rsidRDefault="00DD3EFA" w:rsidP="00B15ECB">
            <w:pPr>
              <w:rPr>
                <w:b/>
              </w:rPr>
            </w:pPr>
          </w:p>
        </w:tc>
      </w:tr>
      <w:tr w:rsidR="00DD3EFA" w:rsidRPr="005A0E7C" w14:paraId="701C39E9" w14:textId="77777777" w:rsidTr="00B15ECB">
        <w:trPr>
          <w:trHeight w:val="990"/>
        </w:trPr>
        <w:tc>
          <w:tcPr>
            <w:tcW w:w="249" w:type="dxa"/>
            <w:tcBorders>
              <w:top w:val="nil"/>
              <w:bottom w:val="nil"/>
            </w:tcBorders>
            <w:shd w:val="clear" w:color="auto" w:fill="66CCFF"/>
          </w:tcPr>
          <w:p w14:paraId="01D6220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EE49A86"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7308C5B2" w14:textId="77777777" w:rsidR="00DD3EFA" w:rsidRPr="005A0E7C" w:rsidRDefault="00DD3EFA" w:rsidP="00B15ECB">
            <w:pPr>
              <w:spacing w:before="60" w:after="60"/>
              <w:rPr>
                <w:rFonts w:eastAsiaTheme="majorEastAsia"/>
                <w:i/>
              </w:rPr>
            </w:pPr>
          </w:p>
          <w:p w14:paraId="3295254B" w14:textId="77777777" w:rsidR="00DD3EFA" w:rsidRPr="005A0E7C" w:rsidRDefault="00DD3EFA" w:rsidP="00B15ECB">
            <w:pPr>
              <w:rPr>
                <w:rFonts w:eastAsiaTheme="majorEastAsia"/>
              </w:rPr>
            </w:pPr>
          </w:p>
        </w:tc>
        <w:tc>
          <w:tcPr>
            <w:tcW w:w="249" w:type="dxa"/>
            <w:tcBorders>
              <w:top w:val="nil"/>
              <w:bottom w:val="nil"/>
            </w:tcBorders>
            <w:shd w:val="clear" w:color="auto" w:fill="66CCFF"/>
          </w:tcPr>
          <w:p w14:paraId="1EC469D1" w14:textId="77777777" w:rsidR="00DD3EFA" w:rsidRPr="005A0E7C" w:rsidRDefault="00DD3EFA" w:rsidP="00B15ECB">
            <w:pPr>
              <w:rPr>
                <w:b/>
              </w:rPr>
            </w:pPr>
          </w:p>
        </w:tc>
      </w:tr>
      <w:tr w:rsidR="00DD3EFA" w:rsidRPr="005A0E7C" w14:paraId="28F4F398" w14:textId="77777777" w:rsidTr="00B15ECB">
        <w:trPr>
          <w:trHeight w:val="1260"/>
        </w:trPr>
        <w:tc>
          <w:tcPr>
            <w:tcW w:w="249" w:type="dxa"/>
            <w:tcBorders>
              <w:top w:val="nil"/>
              <w:bottom w:val="nil"/>
            </w:tcBorders>
            <w:shd w:val="clear" w:color="auto" w:fill="66CCFF"/>
          </w:tcPr>
          <w:p w14:paraId="05E6885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808822F"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79774174" w14:textId="77777777" w:rsidR="00DD3EFA" w:rsidRPr="005A0E7C" w:rsidRDefault="00DD3EFA" w:rsidP="00B15ECB">
            <w:pPr>
              <w:spacing w:before="60" w:after="60"/>
            </w:pPr>
            <w:r w:rsidRPr="005A0E7C">
              <w:rPr>
                <w:rFonts w:eastAsia="Calibri"/>
              </w:rPr>
              <w:t>Plnění absorpční kapacity ve stávajícím období mírně zaostává za předpoklady, přičemž je ale potřeba  vzít na vědomí skutečnost, že rozhodující složkou absorpční kapacity jsou rozsáhlé projekty značně náročné na přípravu. Na konci programového období se tedy předpokládá vyčerpání veškeré disponibilní alokace, přičemž tento vývoj by v podstatě odpovídal vývoji v minulém programovém období.</w:t>
            </w:r>
          </w:p>
          <w:p w14:paraId="6F16ED0F" w14:textId="77777777" w:rsidR="00DD3EFA" w:rsidRPr="005A0E7C" w:rsidRDefault="00DD3EFA" w:rsidP="00B15ECB">
            <w:pPr>
              <w:spacing w:before="60" w:after="60"/>
            </w:pPr>
            <w:r w:rsidRPr="005A0E7C">
              <w:t>V IROP byly vyhlášeny celkem 4 výzvy na podporu přestupních uzlů veřejné dopravy a parkovacích systémů jako prvků podporujících multimodalitu. Pro první tři výzvy byl charakteristický průměrný zájem žadatelů z řad obcí a dopravců ve veřejné dopravě. Poslední výzva (č. 73) již byla cca o čtvrtinu alokace, tj. asi 150 mil. Kč, přeplněna a 8 projektů bylo zařazeno na seznam náhradních projektů. Absorpční kapacita je celkově průměrná, vyčleněné prostředky ji prakticky pokrývají.</w:t>
            </w:r>
          </w:p>
        </w:tc>
        <w:tc>
          <w:tcPr>
            <w:tcW w:w="249" w:type="dxa"/>
            <w:tcBorders>
              <w:top w:val="nil"/>
              <w:bottom w:val="nil"/>
            </w:tcBorders>
            <w:shd w:val="clear" w:color="auto" w:fill="66CCFF"/>
          </w:tcPr>
          <w:p w14:paraId="5D914445" w14:textId="77777777" w:rsidR="00DD3EFA" w:rsidRPr="005A0E7C" w:rsidRDefault="00DD3EFA" w:rsidP="00B15ECB">
            <w:pPr>
              <w:rPr>
                <w:b/>
              </w:rPr>
            </w:pPr>
          </w:p>
        </w:tc>
      </w:tr>
      <w:tr w:rsidR="00DD3EFA" w:rsidRPr="005A0E7C" w14:paraId="0C297974" w14:textId="77777777" w:rsidTr="00B15ECB">
        <w:trPr>
          <w:trHeight w:val="850"/>
        </w:trPr>
        <w:tc>
          <w:tcPr>
            <w:tcW w:w="249" w:type="dxa"/>
            <w:tcBorders>
              <w:top w:val="nil"/>
              <w:bottom w:val="nil"/>
            </w:tcBorders>
            <w:shd w:val="clear" w:color="auto" w:fill="66CCFF"/>
          </w:tcPr>
          <w:p w14:paraId="5831D09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A1CA19B"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07705BE1" w14:textId="77777777" w:rsidR="00DD3EFA" w:rsidRPr="005A0E7C" w:rsidRDefault="00DD3EFA" w:rsidP="00B15ECB">
            <w:pPr>
              <w:spacing w:before="60" w:after="60"/>
              <w:rPr>
                <w:rFonts w:eastAsiaTheme="majorEastAsia"/>
                <w:i/>
              </w:rPr>
            </w:pPr>
            <w:r w:rsidRPr="005A0E7C">
              <w:rPr>
                <w:rFonts w:eastAsia="Calibri"/>
              </w:rPr>
              <w:t>Stávající i předpokládaná budoucí poptávka příjemců je konstantně veliká. Zejména v případě infrastruktury městské drážní dopravy kolejového typu se často jedná a finančně náročné projekty, u kterých není reálné předpokládat, že by je města zvládala financovat z vlastních rozpočtů.</w:t>
            </w:r>
          </w:p>
        </w:tc>
        <w:tc>
          <w:tcPr>
            <w:tcW w:w="249" w:type="dxa"/>
            <w:tcBorders>
              <w:top w:val="nil"/>
              <w:bottom w:val="nil"/>
            </w:tcBorders>
            <w:shd w:val="clear" w:color="auto" w:fill="66CCFF"/>
          </w:tcPr>
          <w:p w14:paraId="7C816C6D" w14:textId="77777777" w:rsidR="00DD3EFA" w:rsidRPr="005A0E7C" w:rsidRDefault="00DD3EFA" w:rsidP="00B15ECB">
            <w:pPr>
              <w:rPr>
                <w:b/>
              </w:rPr>
            </w:pPr>
          </w:p>
        </w:tc>
      </w:tr>
      <w:tr w:rsidR="00DD3EFA" w:rsidRPr="005A0E7C" w14:paraId="0D4E7459" w14:textId="77777777" w:rsidTr="00B15ECB">
        <w:trPr>
          <w:trHeight w:val="925"/>
        </w:trPr>
        <w:tc>
          <w:tcPr>
            <w:tcW w:w="249" w:type="dxa"/>
            <w:tcBorders>
              <w:top w:val="nil"/>
              <w:bottom w:val="nil"/>
            </w:tcBorders>
            <w:shd w:val="clear" w:color="auto" w:fill="66CCFF"/>
          </w:tcPr>
          <w:p w14:paraId="2E25015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CB0B11B"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01873E7E" w14:textId="77777777" w:rsidR="00DD3EFA" w:rsidRPr="005A0E7C" w:rsidRDefault="00DD3EFA" w:rsidP="00B15ECB">
            <w:pPr>
              <w:spacing w:before="60" w:after="60"/>
              <w:rPr>
                <w:rFonts w:eastAsiaTheme="majorEastAsia"/>
                <w:i/>
              </w:rPr>
            </w:pPr>
            <w:r w:rsidRPr="005A0E7C">
              <w:rPr>
                <w:rFonts w:eastAsia="Calibri"/>
              </w:rPr>
              <w:t>Projektové záměry pro budoucí období se připravují kontinuálně, přičemž jejich příprava vychází z plánů udržitelné městské mobility (resp. jejich akčních plánů).</w:t>
            </w:r>
          </w:p>
          <w:p w14:paraId="3C75078B"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70AF39EF" w14:textId="77777777" w:rsidR="00DD3EFA" w:rsidRPr="005A0E7C" w:rsidRDefault="00DD3EFA" w:rsidP="00B15ECB">
            <w:pPr>
              <w:rPr>
                <w:b/>
              </w:rPr>
            </w:pPr>
          </w:p>
        </w:tc>
      </w:tr>
      <w:tr w:rsidR="00DD3EFA" w:rsidRPr="005A0E7C" w14:paraId="58D3F101" w14:textId="77777777" w:rsidTr="00B15ECB">
        <w:trPr>
          <w:trHeight w:val="1001"/>
        </w:trPr>
        <w:tc>
          <w:tcPr>
            <w:tcW w:w="249" w:type="dxa"/>
            <w:tcBorders>
              <w:top w:val="nil"/>
              <w:bottom w:val="nil"/>
            </w:tcBorders>
            <w:shd w:val="clear" w:color="auto" w:fill="66CCFF"/>
          </w:tcPr>
          <w:p w14:paraId="15D22AD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AC1350B"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211CCBC7" w14:textId="77777777" w:rsidR="00DD3EFA" w:rsidRPr="005A0E7C" w:rsidRDefault="00DD3EFA" w:rsidP="00B15ECB">
            <w:pPr>
              <w:spacing w:before="60" w:after="60"/>
              <w:rPr>
                <w:rFonts w:eastAsiaTheme="majorEastAsia"/>
                <w:i/>
              </w:rPr>
            </w:pPr>
            <w:r w:rsidRPr="005A0E7C">
              <w:rPr>
                <w:rFonts w:eastAsia="Calibri"/>
              </w:rPr>
              <w:t>Vedle standardních bariér spojovaných s přípravou projektů v oblasti dopravy obecně (složité získávání povolení, řešení vlivu na ŽP, odpor části veřejnosti, změny politických priorit apod.) představuje pro nezanedbatelný počet měst významnou bariéru rovněž nejistota, zda na daný projekt bude možné žádat o dotaci (jinými slovy město schválí pokračování projektové přípravy teprve v okamžiku, až bude mít alespoň relativní jistotu, že na dané aktivity obdrží dotace), což ovlivňuje absorpční kapacitu, resp. zapříčiňuje posun čerpání směrem ke konci programového období.</w:t>
            </w:r>
          </w:p>
          <w:p w14:paraId="68C25088" w14:textId="77777777" w:rsidR="00DD3EFA" w:rsidRPr="005A0E7C" w:rsidRDefault="00DD3EFA" w:rsidP="00B15ECB">
            <w:pPr>
              <w:spacing w:before="60" w:after="60"/>
              <w:rPr>
                <w:rFonts w:eastAsiaTheme="majorEastAsia"/>
              </w:rPr>
            </w:pPr>
            <w:r w:rsidRPr="005A0E7C">
              <w:rPr>
                <w:rFonts w:eastAsiaTheme="majorEastAsia"/>
              </w:rPr>
              <w:t>Časová a finanční náročnost projektové přípravy pro budování infrastruktury udržitelných forem dopravy.</w:t>
            </w:r>
          </w:p>
          <w:p w14:paraId="019856F0" w14:textId="77777777" w:rsidR="00DD3EFA" w:rsidRPr="005A0E7C" w:rsidRDefault="00DD3EFA" w:rsidP="00B15ECB">
            <w:pPr>
              <w:spacing w:before="60" w:after="60"/>
              <w:rPr>
                <w:rFonts w:eastAsiaTheme="majorEastAsia"/>
              </w:rPr>
            </w:pPr>
            <w:r w:rsidRPr="005A0E7C">
              <w:rPr>
                <w:rFonts w:eastAsiaTheme="majorEastAsia"/>
              </w:rPr>
              <w:t xml:space="preserve">   - řešení: finanční a legislativní podpora přípravy takových projektů</w:t>
            </w:r>
          </w:p>
          <w:p w14:paraId="4C4BED62" w14:textId="77777777" w:rsidR="00DD3EFA" w:rsidRPr="005A0E7C" w:rsidRDefault="00DD3EFA" w:rsidP="00B15ECB">
            <w:pPr>
              <w:spacing w:before="60" w:after="60"/>
              <w:rPr>
                <w:rFonts w:eastAsiaTheme="majorEastAsia"/>
              </w:rPr>
            </w:pPr>
            <w:r w:rsidRPr="005A0E7C">
              <w:rPr>
                <w:rFonts w:eastAsiaTheme="majorEastAsia"/>
              </w:rPr>
              <w:t>Velmi složité a příliš náročné legislativní podmínky pro provoz elektrických trakcí městské dopravy (např. požadavky na drážní vozidla, řízení dopravy, personální zajištění, organizaci výluk atd.) i rychlejší implementaci technických inovací (např. legislativní komplikace pro provoz elektrobusů, resp. parciálních trolejbusů).</w:t>
            </w:r>
          </w:p>
          <w:p w14:paraId="17DEAB49" w14:textId="77777777" w:rsidR="00DD3EFA" w:rsidRPr="005A0E7C" w:rsidRDefault="00DD3EFA" w:rsidP="00B15ECB">
            <w:pPr>
              <w:spacing w:before="60" w:after="60"/>
              <w:rPr>
                <w:rFonts w:eastAsiaTheme="majorEastAsia"/>
              </w:rPr>
            </w:pPr>
            <w:r w:rsidRPr="005A0E7C">
              <w:rPr>
                <w:rFonts w:eastAsiaTheme="majorEastAsia"/>
              </w:rPr>
              <w:t xml:space="preserve">   - řešení: zjednodušení legislativy pro drážní MHD</w:t>
            </w:r>
          </w:p>
          <w:p w14:paraId="545DD6ED"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2F0B1FE9" w14:textId="77777777" w:rsidR="00DD3EFA" w:rsidRPr="005A0E7C" w:rsidRDefault="00DD3EFA" w:rsidP="00B15ECB">
            <w:pPr>
              <w:rPr>
                <w:b/>
              </w:rPr>
            </w:pPr>
          </w:p>
        </w:tc>
      </w:tr>
      <w:tr w:rsidR="00DD3EFA" w:rsidRPr="005A0E7C" w14:paraId="09978ADF"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5D19884"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4D4E208"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55F04431"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7D74EC3B" w14:textId="77777777" w:rsidR="00DD3EFA" w:rsidRPr="005A0E7C" w:rsidRDefault="00DD3EFA" w:rsidP="00B15ECB">
            <w:pPr>
              <w:rPr>
                <w:b/>
              </w:rPr>
            </w:pPr>
          </w:p>
        </w:tc>
      </w:tr>
      <w:tr w:rsidR="00DD3EFA" w:rsidRPr="005A0E7C" w14:paraId="416A7197" w14:textId="77777777" w:rsidTr="00B15ECB">
        <w:trPr>
          <w:trHeight w:val="1968"/>
        </w:trPr>
        <w:tc>
          <w:tcPr>
            <w:tcW w:w="249" w:type="dxa"/>
            <w:tcBorders>
              <w:top w:val="single" w:sz="4" w:space="0" w:color="auto"/>
              <w:bottom w:val="nil"/>
            </w:tcBorders>
            <w:shd w:val="clear" w:color="auto" w:fill="66CCFF"/>
          </w:tcPr>
          <w:p w14:paraId="15B7552C"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354B2964"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1F7FA1D8" w14:textId="77777777" w:rsidR="00DD3EFA" w:rsidRPr="005A0E7C" w:rsidRDefault="00DD3EFA" w:rsidP="00B15ECB">
            <w:pPr>
              <w:spacing w:before="60" w:after="60"/>
              <w:rPr>
                <w:rFonts w:eastAsiaTheme="majorEastAsia"/>
                <w:u w:val="single"/>
              </w:rPr>
            </w:pPr>
            <w:r w:rsidRPr="005A0E7C">
              <w:rPr>
                <w:rFonts w:eastAsiaTheme="majorEastAsia"/>
              </w:rPr>
              <w:t>Alternativní zdroje pro tento SC nejsou dostupné.</w:t>
            </w:r>
          </w:p>
        </w:tc>
        <w:tc>
          <w:tcPr>
            <w:tcW w:w="249" w:type="dxa"/>
            <w:tcBorders>
              <w:top w:val="single" w:sz="4" w:space="0" w:color="auto"/>
              <w:bottom w:val="nil"/>
            </w:tcBorders>
            <w:shd w:val="clear" w:color="auto" w:fill="66CCFF"/>
          </w:tcPr>
          <w:p w14:paraId="7E709E00" w14:textId="77777777" w:rsidR="00DD3EFA" w:rsidRPr="005A0E7C" w:rsidRDefault="00DD3EFA" w:rsidP="00B15ECB">
            <w:pPr>
              <w:rPr>
                <w:b/>
              </w:rPr>
            </w:pPr>
          </w:p>
        </w:tc>
      </w:tr>
      <w:tr w:rsidR="00DD3EFA" w:rsidRPr="005A0E7C" w14:paraId="3E9E342A" w14:textId="77777777" w:rsidTr="00B15ECB">
        <w:trPr>
          <w:trHeight w:val="1968"/>
        </w:trPr>
        <w:tc>
          <w:tcPr>
            <w:tcW w:w="249" w:type="dxa"/>
            <w:tcBorders>
              <w:top w:val="nil"/>
              <w:bottom w:val="nil"/>
            </w:tcBorders>
            <w:shd w:val="clear" w:color="auto" w:fill="66CCFF"/>
          </w:tcPr>
          <w:p w14:paraId="2B9496FB" w14:textId="77777777" w:rsidR="00DD3EFA" w:rsidRPr="005A0E7C" w:rsidRDefault="00DD3EFA" w:rsidP="00B15ECB">
            <w:pPr>
              <w:rPr>
                <w:b/>
              </w:rPr>
            </w:pPr>
          </w:p>
        </w:tc>
        <w:tc>
          <w:tcPr>
            <w:tcW w:w="2548" w:type="dxa"/>
            <w:tcBorders>
              <w:top w:val="nil"/>
            </w:tcBorders>
            <w:shd w:val="clear" w:color="auto" w:fill="FFFFFF" w:themeFill="background1"/>
          </w:tcPr>
          <w:p w14:paraId="7E70EEF3"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4D8BE354" w14:textId="77777777" w:rsidR="00DD3EFA" w:rsidRPr="005A0E7C" w:rsidRDefault="00DD3EFA">
            <w:pPr>
              <w:spacing w:before="60" w:after="60"/>
              <w:rPr>
                <w:rFonts w:eastAsiaTheme="majorEastAsia"/>
              </w:rPr>
            </w:pPr>
            <w:r w:rsidRPr="005A0E7C">
              <w:rPr>
                <w:rFonts w:eastAsiaTheme="majorEastAsia"/>
              </w:rPr>
              <w:t>Unijní programy pro tento SC nejsou dostupné.</w:t>
            </w:r>
          </w:p>
        </w:tc>
        <w:tc>
          <w:tcPr>
            <w:tcW w:w="249" w:type="dxa"/>
            <w:tcBorders>
              <w:top w:val="nil"/>
              <w:bottom w:val="nil"/>
            </w:tcBorders>
            <w:shd w:val="clear" w:color="auto" w:fill="66CCFF"/>
          </w:tcPr>
          <w:p w14:paraId="0A9CDB85" w14:textId="77777777" w:rsidR="00DD3EFA" w:rsidRPr="005A0E7C" w:rsidRDefault="00DD3EFA" w:rsidP="00B15ECB">
            <w:pPr>
              <w:rPr>
                <w:b/>
              </w:rPr>
            </w:pPr>
          </w:p>
        </w:tc>
      </w:tr>
      <w:tr w:rsidR="00DD3EFA" w:rsidRPr="005A0E7C" w14:paraId="7097F7BA" w14:textId="77777777" w:rsidTr="00B15ECB">
        <w:trPr>
          <w:trHeight w:val="1968"/>
        </w:trPr>
        <w:tc>
          <w:tcPr>
            <w:tcW w:w="249" w:type="dxa"/>
            <w:tcBorders>
              <w:top w:val="nil"/>
              <w:bottom w:val="nil"/>
            </w:tcBorders>
            <w:shd w:val="clear" w:color="auto" w:fill="66CCFF"/>
          </w:tcPr>
          <w:p w14:paraId="56440799" w14:textId="77777777" w:rsidR="00DD3EFA" w:rsidRPr="005A0E7C" w:rsidRDefault="00DD3EFA" w:rsidP="00B15ECB">
            <w:pPr>
              <w:rPr>
                <w:b/>
              </w:rPr>
            </w:pPr>
          </w:p>
        </w:tc>
        <w:tc>
          <w:tcPr>
            <w:tcW w:w="2548" w:type="dxa"/>
            <w:tcBorders>
              <w:top w:val="nil"/>
            </w:tcBorders>
            <w:shd w:val="clear" w:color="auto" w:fill="FFFFFF" w:themeFill="background1"/>
          </w:tcPr>
          <w:p w14:paraId="0AE45858"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751DE0B0" w14:textId="77777777" w:rsidR="00DD3EFA" w:rsidRPr="005A0E7C" w:rsidRDefault="00DD3EFA" w:rsidP="00B15ECB">
            <w:pPr>
              <w:spacing w:before="60" w:after="60"/>
              <w:rPr>
                <w:rFonts w:eastAsiaTheme="majorEastAsia"/>
              </w:rPr>
            </w:pPr>
            <w:r w:rsidRPr="005A0E7C">
              <w:rPr>
                <w:rFonts w:eastAsiaTheme="majorEastAsia"/>
              </w:rPr>
              <w:t>Jediným dalším zdrojem pro tento SC jsou rozpočty měst</w:t>
            </w:r>
          </w:p>
        </w:tc>
        <w:tc>
          <w:tcPr>
            <w:tcW w:w="249" w:type="dxa"/>
            <w:tcBorders>
              <w:top w:val="nil"/>
              <w:bottom w:val="nil"/>
            </w:tcBorders>
            <w:shd w:val="clear" w:color="auto" w:fill="66CCFF"/>
          </w:tcPr>
          <w:p w14:paraId="1641AD09" w14:textId="77777777" w:rsidR="00DD3EFA" w:rsidRPr="005A0E7C" w:rsidRDefault="00DD3EFA" w:rsidP="00B15ECB">
            <w:pPr>
              <w:rPr>
                <w:b/>
              </w:rPr>
            </w:pPr>
          </w:p>
        </w:tc>
      </w:tr>
      <w:tr w:rsidR="00DD3EFA" w:rsidRPr="005A0E7C" w14:paraId="33FD44C8" w14:textId="77777777" w:rsidTr="00B15ECB">
        <w:trPr>
          <w:trHeight w:val="1968"/>
        </w:trPr>
        <w:tc>
          <w:tcPr>
            <w:tcW w:w="249" w:type="dxa"/>
            <w:tcBorders>
              <w:top w:val="nil"/>
              <w:bottom w:val="nil"/>
            </w:tcBorders>
            <w:shd w:val="clear" w:color="auto" w:fill="66CCFF"/>
          </w:tcPr>
          <w:p w14:paraId="11078306" w14:textId="77777777" w:rsidR="00DD3EFA" w:rsidRPr="005A0E7C" w:rsidRDefault="00DD3EFA" w:rsidP="00B15ECB">
            <w:pPr>
              <w:rPr>
                <w:b/>
              </w:rPr>
            </w:pPr>
          </w:p>
        </w:tc>
        <w:tc>
          <w:tcPr>
            <w:tcW w:w="2548" w:type="dxa"/>
            <w:tcBorders>
              <w:top w:val="nil"/>
            </w:tcBorders>
            <w:shd w:val="clear" w:color="auto" w:fill="FFFFFF" w:themeFill="background1"/>
          </w:tcPr>
          <w:p w14:paraId="683A38BF"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1C9FE0BD" w14:textId="7B87B1FF" w:rsidR="00DD3EFA" w:rsidRPr="005A0E7C" w:rsidRDefault="00DD3EFA" w:rsidP="00B15ECB">
            <w:pPr>
              <w:spacing w:before="60" w:after="60"/>
              <w:rPr>
                <w:rFonts w:eastAsiaTheme="majorEastAsia"/>
              </w:rPr>
            </w:pPr>
            <w:r w:rsidRPr="005A0E7C">
              <w:rPr>
                <w:rFonts w:eastAsiaTheme="majorEastAsia"/>
              </w:rPr>
              <w:t xml:space="preserve">Další zdroje mimo veřejné </w:t>
            </w:r>
            <w:r w:rsidR="0017728B" w:rsidRPr="005A0E7C">
              <w:rPr>
                <w:rFonts w:eastAsiaTheme="majorEastAsia"/>
              </w:rPr>
              <w:t>rozpočty</w:t>
            </w:r>
            <w:r w:rsidRPr="005A0E7C">
              <w:rPr>
                <w:rFonts w:eastAsiaTheme="majorEastAsia"/>
              </w:rPr>
              <w:t xml:space="preserve"> nejsou pro tento SC dostupné.</w:t>
            </w:r>
          </w:p>
        </w:tc>
        <w:tc>
          <w:tcPr>
            <w:tcW w:w="249" w:type="dxa"/>
            <w:tcBorders>
              <w:top w:val="nil"/>
              <w:bottom w:val="nil"/>
            </w:tcBorders>
            <w:shd w:val="clear" w:color="auto" w:fill="66CCFF"/>
          </w:tcPr>
          <w:p w14:paraId="3C7D74F9" w14:textId="77777777" w:rsidR="00DD3EFA" w:rsidRPr="005A0E7C" w:rsidRDefault="00DD3EFA" w:rsidP="00B15ECB">
            <w:pPr>
              <w:rPr>
                <w:b/>
              </w:rPr>
            </w:pPr>
          </w:p>
        </w:tc>
      </w:tr>
      <w:tr w:rsidR="00DD3EFA" w:rsidRPr="005A0E7C" w14:paraId="1D4A1040" w14:textId="77777777" w:rsidTr="00B15ECB">
        <w:trPr>
          <w:trHeight w:val="1968"/>
        </w:trPr>
        <w:tc>
          <w:tcPr>
            <w:tcW w:w="249" w:type="dxa"/>
            <w:tcBorders>
              <w:top w:val="nil"/>
              <w:bottom w:val="nil"/>
            </w:tcBorders>
            <w:shd w:val="clear" w:color="auto" w:fill="66CCFF"/>
          </w:tcPr>
          <w:p w14:paraId="16447BB5" w14:textId="77777777" w:rsidR="00DD3EFA" w:rsidRPr="005A0E7C" w:rsidRDefault="00DD3EFA" w:rsidP="00B15ECB">
            <w:pPr>
              <w:rPr>
                <w:b/>
              </w:rPr>
            </w:pPr>
          </w:p>
        </w:tc>
        <w:tc>
          <w:tcPr>
            <w:tcW w:w="2548" w:type="dxa"/>
            <w:tcBorders>
              <w:top w:val="nil"/>
            </w:tcBorders>
            <w:shd w:val="clear" w:color="auto" w:fill="FFFFFF" w:themeFill="background1"/>
          </w:tcPr>
          <w:p w14:paraId="5C4A9A6E"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35135956" w14:textId="77777777" w:rsidR="00DD3EFA" w:rsidRPr="005A0E7C" w:rsidRDefault="00DD3EFA" w:rsidP="00B15ECB">
            <w:pPr>
              <w:spacing w:before="60" w:after="60"/>
              <w:rPr>
                <w:rFonts w:eastAsiaTheme="majorEastAsia"/>
              </w:rPr>
            </w:pPr>
            <w:r w:rsidRPr="005A0E7C">
              <w:rPr>
                <w:rFonts w:eastAsiaTheme="majorEastAsia"/>
              </w:rPr>
              <w:t>V případě tohoto SC není možné využití FN. Jedná se především o integraci veřejné dopravy.</w:t>
            </w:r>
          </w:p>
        </w:tc>
        <w:tc>
          <w:tcPr>
            <w:tcW w:w="249" w:type="dxa"/>
            <w:tcBorders>
              <w:top w:val="nil"/>
              <w:bottom w:val="nil"/>
            </w:tcBorders>
            <w:shd w:val="clear" w:color="auto" w:fill="66CCFF"/>
          </w:tcPr>
          <w:p w14:paraId="4256F6E2" w14:textId="77777777" w:rsidR="00DD3EFA" w:rsidRPr="005A0E7C" w:rsidRDefault="00DD3EFA" w:rsidP="00B15ECB">
            <w:pPr>
              <w:rPr>
                <w:b/>
              </w:rPr>
            </w:pPr>
          </w:p>
        </w:tc>
      </w:tr>
      <w:tr w:rsidR="00DD3EFA" w:rsidRPr="005A0E7C" w14:paraId="7F81643A" w14:textId="77777777" w:rsidTr="00B15ECB">
        <w:trPr>
          <w:trHeight w:val="150"/>
        </w:trPr>
        <w:tc>
          <w:tcPr>
            <w:tcW w:w="249" w:type="dxa"/>
            <w:tcBorders>
              <w:top w:val="nil"/>
              <w:right w:val="nil"/>
            </w:tcBorders>
            <w:shd w:val="clear" w:color="auto" w:fill="66CCFF"/>
          </w:tcPr>
          <w:p w14:paraId="3D5E1A0D" w14:textId="77777777" w:rsidR="00DD3EFA" w:rsidRPr="005A0E7C" w:rsidRDefault="00DD3EFA" w:rsidP="00B15ECB">
            <w:pPr>
              <w:rPr>
                <w:b/>
              </w:rPr>
            </w:pPr>
          </w:p>
        </w:tc>
        <w:tc>
          <w:tcPr>
            <w:tcW w:w="2548" w:type="dxa"/>
            <w:tcBorders>
              <w:left w:val="nil"/>
              <w:right w:val="nil"/>
            </w:tcBorders>
            <w:shd w:val="clear" w:color="auto" w:fill="66CCFF"/>
          </w:tcPr>
          <w:p w14:paraId="5E1A4468" w14:textId="77777777" w:rsidR="00DD3EFA" w:rsidRPr="005A0E7C" w:rsidRDefault="00DD3EFA" w:rsidP="00B15ECB">
            <w:pPr>
              <w:rPr>
                <w:b/>
              </w:rPr>
            </w:pPr>
          </w:p>
        </w:tc>
        <w:tc>
          <w:tcPr>
            <w:tcW w:w="5978" w:type="dxa"/>
            <w:tcBorders>
              <w:left w:val="nil"/>
              <w:right w:val="nil"/>
            </w:tcBorders>
            <w:shd w:val="clear" w:color="auto" w:fill="66CCFF"/>
          </w:tcPr>
          <w:p w14:paraId="30BF21E6" w14:textId="77777777" w:rsidR="00DD3EFA" w:rsidRPr="005A0E7C" w:rsidRDefault="00DD3EFA" w:rsidP="00B15ECB">
            <w:pPr>
              <w:rPr>
                <w:b/>
              </w:rPr>
            </w:pPr>
          </w:p>
        </w:tc>
        <w:tc>
          <w:tcPr>
            <w:tcW w:w="249" w:type="dxa"/>
            <w:tcBorders>
              <w:top w:val="nil"/>
              <w:left w:val="nil"/>
            </w:tcBorders>
            <w:shd w:val="clear" w:color="auto" w:fill="66CCFF"/>
          </w:tcPr>
          <w:p w14:paraId="2F843F69" w14:textId="77777777" w:rsidR="00DD3EFA" w:rsidRPr="005A0E7C" w:rsidRDefault="00DD3EFA" w:rsidP="00B15ECB">
            <w:pPr>
              <w:rPr>
                <w:b/>
              </w:rPr>
            </w:pPr>
          </w:p>
        </w:tc>
      </w:tr>
    </w:tbl>
    <w:p w14:paraId="21EEF10B" w14:textId="77777777" w:rsidR="00DD3EFA" w:rsidRPr="005A0E7C" w:rsidRDefault="00DD3EFA">
      <w:pPr>
        <w:rPr>
          <w:rFonts w:ascii="Times New Roman" w:hAnsi="Times New Roman" w:cs="Times New Roman"/>
          <w:sz w:val="20"/>
          <w:szCs w:val="20"/>
        </w:rPr>
      </w:pPr>
    </w:p>
    <w:p w14:paraId="66A20318" w14:textId="77777777" w:rsidR="00DD3EFA" w:rsidRPr="005A0E7C" w:rsidRDefault="00DD3EFA" w:rsidP="00B15ECB">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1C9B6F2D" w14:textId="77777777" w:rsidTr="00B15ECB">
        <w:trPr>
          <w:trHeight w:val="180"/>
        </w:trPr>
        <w:tc>
          <w:tcPr>
            <w:tcW w:w="249" w:type="dxa"/>
            <w:tcBorders>
              <w:bottom w:val="nil"/>
              <w:right w:val="nil"/>
            </w:tcBorders>
            <w:shd w:val="clear" w:color="auto" w:fill="66CCFF"/>
          </w:tcPr>
          <w:p w14:paraId="705D9039" w14:textId="77777777" w:rsidR="00DD3EFA" w:rsidRPr="005A0E7C" w:rsidRDefault="00DD3EFA" w:rsidP="00B15ECB">
            <w:pPr>
              <w:rPr>
                <w:b/>
              </w:rPr>
            </w:pPr>
          </w:p>
        </w:tc>
        <w:tc>
          <w:tcPr>
            <w:tcW w:w="2548" w:type="dxa"/>
            <w:tcBorders>
              <w:left w:val="nil"/>
              <w:right w:val="nil"/>
            </w:tcBorders>
            <w:shd w:val="clear" w:color="auto" w:fill="66CCFF"/>
          </w:tcPr>
          <w:p w14:paraId="5072D91C" w14:textId="77777777" w:rsidR="00DD3EFA" w:rsidRPr="005A0E7C" w:rsidRDefault="00DD3EFA" w:rsidP="00B15ECB">
            <w:pPr>
              <w:rPr>
                <w:b/>
              </w:rPr>
            </w:pPr>
          </w:p>
        </w:tc>
        <w:tc>
          <w:tcPr>
            <w:tcW w:w="5978" w:type="dxa"/>
            <w:tcBorders>
              <w:left w:val="nil"/>
              <w:right w:val="nil"/>
            </w:tcBorders>
            <w:shd w:val="clear" w:color="auto" w:fill="66CCFF"/>
          </w:tcPr>
          <w:p w14:paraId="60FFF17E" w14:textId="77777777" w:rsidR="00DD3EFA" w:rsidRPr="005A0E7C" w:rsidRDefault="00DD3EFA" w:rsidP="00B15ECB">
            <w:pPr>
              <w:rPr>
                <w:b/>
              </w:rPr>
            </w:pPr>
          </w:p>
        </w:tc>
        <w:tc>
          <w:tcPr>
            <w:tcW w:w="249" w:type="dxa"/>
            <w:tcBorders>
              <w:left w:val="nil"/>
              <w:bottom w:val="nil"/>
            </w:tcBorders>
            <w:shd w:val="clear" w:color="auto" w:fill="66CCFF"/>
          </w:tcPr>
          <w:p w14:paraId="55E0654F" w14:textId="77777777" w:rsidR="00DD3EFA" w:rsidRPr="005A0E7C" w:rsidRDefault="00DD3EFA" w:rsidP="00B15ECB">
            <w:pPr>
              <w:rPr>
                <w:b/>
              </w:rPr>
            </w:pPr>
          </w:p>
        </w:tc>
      </w:tr>
      <w:tr w:rsidR="00DD3EFA" w:rsidRPr="005A0E7C" w14:paraId="5BB52AB4" w14:textId="77777777" w:rsidTr="00B15ECB">
        <w:trPr>
          <w:trHeight w:val="561"/>
        </w:trPr>
        <w:tc>
          <w:tcPr>
            <w:tcW w:w="249" w:type="dxa"/>
            <w:tcBorders>
              <w:top w:val="nil"/>
              <w:bottom w:val="nil"/>
            </w:tcBorders>
            <w:shd w:val="clear" w:color="auto" w:fill="66CCFF"/>
          </w:tcPr>
          <w:p w14:paraId="1204E545" w14:textId="77777777" w:rsidR="00DD3EFA" w:rsidRPr="005A0E7C" w:rsidRDefault="00DD3EFA" w:rsidP="00B15ECB">
            <w:pPr>
              <w:rPr>
                <w:b/>
              </w:rPr>
            </w:pPr>
          </w:p>
        </w:tc>
        <w:tc>
          <w:tcPr>
            <w:tcW w:w="2548" w:type="dxa"/>
            <w:shd w:val="clear" w:color="auto" w:fill="0070C0"/>
          </w:tcPr>
          <w:p w14:paraId="60DC4C53"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Efektivní, dostupná a k životnímu prostředí šetrná DOPRAVA</w:t>
            </w:r>
          </w:p>
        </w:tc>
        <w:tc>
          <w:tcPr>
            <w:tcW w:w="5978" w:type="dxa"/>
            <w:shd w:val="clear" w:color="auto" w:fill="0070C0"/>
          </w:tcPr>
          <w:p w14:paraId="7E68F832"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t>1</w:t>
            </w:r>
            <w:r w:rsidRPr="005A0E7C">
              <w:rPr>
                <w:rFonts w:eastAsiaTheme="majorEastAsia"/>
                <w:b/>
                <w:color w:val="FFFFFF" w:themeColor="background1"/>
                <w:u w:val="single"/>
              </w:rPr>
              <w:t xml:space="preserve">: </w:t>
            </w:r>
          </w:p>
          <w:p w14:paraId="1C069386"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ZAVEDENÍ MODERNÍCH TECHNOLOGIÍ PRO ORGANIZACI DOPRAVY A SNÍŽENÍ DOPRAVNÍ ZÁTĚŽE</w:t>
            </w:r>
          </w:p>
        </w:tc>
        <w:tc>
          <w:tcPr>
            <w:tcW w:w="249" w:type="dxa"/>
            <w:tcBorders>
              <w:top w:val="nil"/>
              <w:bottom w:val="nil"/>
            </w:tcBorders>
            <w:shd w:val="clear" w:color="auto" w:fill="66CCFF"/>
          </w:tcPr>
          <w:p w14:paraId="43562ACF" w14:textId="77777777" w:rsidR="00DD3EFA" w:rsidRPr="005A0E7C" w:rsidRDefault="00DD3EFA" w:rsidP="00B15ECB">
            <w:pPr>
              <w:rPr>
                <w:b/>
              </w:rPr>
            </w:pPr>
          </w:p>
        </w:tc>
      </w:tr>
      <w:tr w:rsidR="00DD3EFA" w:rsidRPr="005A0E7C" w14:paraId="42A57A24" w14:textId="77777777" w:rsidTr="00B15ECB">
        <w:trPr>
          <w:trHeight w:val="180"/>
        </w:trPr>
        <w:tc>
          <w:tcPr>
            <w:tcW w:w="249" w:type="dxa"/>
            <w:tcBorders>
              <w:top w:val="nil"/>
              <w:bottom w:val="nil"/>
              <w:right w:val="nil"/>
            </w:tcBorders>
            <w:shd w:val="clear" w:color="auto" w:fill="66CCFF"/>
          </w:tcPr>
          <w:p w14:paraId="50341D9F" w14:textId="77777777" w:rsidR="00DD3EFA" w:rsidRPr="005A0E7C" w:rsidRDefault="00DD3EFA" w:rsidP="00B15ECB">
            <w:pPr>
              <w:rPr>
                <w:b/>
              </w:rPr>
            </w:pPr>
          </w:p>
        </w:tc>
        <w:tc>
          <w:tcPr>
            <w:tcW w:w="2548" w:type="dxa"/>
            <w:tcBorders>
              <w:left w:val="nil"/>
              <w:right w:val="nil"/>
            </w:tcBorders>
            <w:shd w:val="clear" w:color="auto" w:fill="66CCFF"/>
          </w:tcPr>
          <w:p w14:paraId="7A613B9E" w14:textId="77777777" w:rsidR="00DD3EFA" w:rsidRPr="005A0E7C" w:rsidRDefault="00DD3EFA" w:rsidP="00B15ECB">
            <w:pPr>
              <w:rPr>
                <w:b/>
              </w:rPr>
            </w:pPr>
          </w:p>
        </w:tc>
        <w:tc>
          <w:tcPr>
            <w:tcW w:w="5978" w:type="dxa"/>
            <w:tcBorders>
              <w:left w:val="nil"/>
              <w:right w:val="nil"/>
            </w:tcBorders>
            <w:shd w:val="clear" w:color="auto" w:fill="66CCFF"/>
          </w:tcPr>
          <w:p w14:paraId="7F391AF3" w14:textId="77777777" w:rsidR="00DD3EFA" w:rsidRPr="005A0E7C" w:rsidRDefault="00DD3EFA" w:rsidP="00B15ECB">
            <w:pPr>
              <w:rPr>
                <w:b/>
              </w:rPr>
            </w:pPr>
          </w:p>
        </w:tc>
        <w:tc>
          <w:tcPr>
            <w:tcW w:w="249" w:type="dxa"/>
            <w:tcBorders>
              <w:top w:val="nil"/>
              <w:left w:val="nil"/>
              <w:bottom w:val="nil"/>
            </w:tcBorders>
            <w:shd w:val="clear" w:color="auto" w:fill="66CCFF"/>
          </w:tcPr>
          <w:p w14:paraId="4CCBD489" w14:textId="77777777" w:rsidR="00DD3EFA" w:rsidRPr="005A0E7C" w:rsidRDefault="00DD3EFA" w:rsidP="00B15ECB">
            <w:pPr>
              <w:rPr>
                <w:b/>
              </w:rPr>
            </w:pPr>
          </w:p>
        </w:tc>
      </w:tr>
      <w:tr w:rsidR="00DD3EFA" w:rsidRPr="005A0E7C" w14:paraId="1CD273C4" w14:textId="77777777" w:rsidTr="00B15ECB">
        <w:trPr>
          <w:trHeight w:val="892"/>
        </w:trPr>
        <w:tc>
          <w:tcPr>
            <w:tcW w:w="249" w:type="dxa"/>
            <w:tcBorders>
              <w:top w:val="nil"/>
              <w:bottom w:val="nil"/>
            </w:tcBorders>
            <w:shd w:val="clear" w:color="auto" w:fill="66CCFF"/>
          </w:tcPr>
          <w:p w14:paraId="614B7FE8" w14:textId="77777777" w:rsidR="00DD3EFA" w:rsidRPr="005A0E7C" w:rsidRDefault="00DD3EFA" w:rsidP="00B15ECB">
            <w:pPr>
              <w:rPr>
                <w:b/>
              </w:rPr>
            </w:pPr>
          </w:p>
        </w:tc>
        <w:tc>
          <w:tcPr>
            <w:tcW w:w="2548" w:type="dxa"/>
            <w:shd w:val="clear" w:color="auto" w:fill="FFFFFF" w:themeFill="background1"/>
          </w:tcPr>
          <w:p w14:paraId="2876D667"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720BEF34" w14:textId="77777777" w:rsidR="00DD3EFA" w:rsidRPr="005A0E7C" w:rsidRDefault="00DD3EFA" w:rsidP="00B15ECB">
            <w:r w:rsidRPr="005A0E7C">
              <w:t>Jedná se o problematiku konkrétních prvků řízení dopravy:</w:t>
            </w:r>
          </w:p>
          <w:p w14:paraId="4EE48A29" w14:textId="77777777" w:rsidR="00DD3EFA" w:rsidRPr="005A0E7C" w:rsidRDefault="00DD3EFA" w:rsidP="00B15ECB"/>
          <w:p w14:paraId="309532DE" w14:textId="77777777" w:rsidR="00DD3EFA" w:rsidRPr="005A0E7C" w:rsidRDefault="00DD3EFA" w:rsidP="00B15ECB">
            <w:r w:rsidRPr="005A0E7C">
              <w:t>- dopravní telematika</w:t>
            </w:r>
          </w:p>
          <w:p w14:paraId="66CD3EAB" w14:textId="77777777" w:rsidR="00DD3EFA" w:rsidRPr="005A0E7C" w:rsidRDefault="00DD3EFA" w:rsidP="00B15ECB">
            <w:r w:rsidRPr="005A0E7C">
              <w:t>- automatizované řízení</w:t>
            </w:r>
          </w:p>
          <w:p w14:paraId="6AEA2605" w14:textId="77777777" w:rsidR="00DD3EFA" w:rsidRPr="005A0E7C" w:rsidRDefault="00DD3EFA" w:rsidP="00B15ECB">
            <w:r w:rsidRPr="005A0E7C">
              <w:t>- systémy monitorování a vyhodnocování dopravních dat</w:t>
            </w:r>
          </w:p>
          <w:p w14:paraId="33C19058" w14:textId="77777777" w:rsidR="00DD3EFA" w:rsidRPr="005A0E7C" w:rsidRDefault="00DD3EFA" w:rsidP="00B15ECB">
            <w:r w:rsidRPr="005A0E7C">
              <w:t>- inteligentní dopravní systémy a řízení dopravy</w:t>
            </w:r>
          </w:p>
          <w:p w14:paraId="23CB43A2" w14:textId="77777777" w:rsidR="00DD3EFA" w:rsidRPr="005A0E7C" w:rsidRDefault="00DD3EFA" w:rsidP="00B15ECB">
            <w:pPr>
              <w:spacing w:before="60" w:after="60"/>
              <w:rPr>
                <w:u w:val="single"/>
              </w:rPr>
            </w:pPr>
          </w:p>
        </w:tc>
        <w:tc>
          <w:tcPr>
            <w:tcW w:w="249" w:type="dxa"/>
            <w:tcBorders>
              <w:top w:val="nil"/>
              <w:bottom w:val="nil"/>
            </w:tcBorders>
            <w:shd w:val="clear" w:color="auto" w:fill="66CCFF"/>
          </w:tcPr>
          <w:p w14:paraId="47EE5227" w14:textId="77777777" w:rsidR="00DD3EFA" w:rsidRPr="005A0E7C" w:rsidRDefault="00DD3EFA" w:rsidP="00B15ECB">
            <w:pPr>
              <w:rPr>
                <w:b/>
              </w:rPr>
            </w:pPr>
          </w:p>
        </w:tc>
      </w:tr>
      <w:tr w:rsidR="00DD3EFA" w:rsidRPr="005A0E7C" w14:paraId="4EB57B26" w14:textId="77777777" w:rsidTr="00B15ECB">
        <w:trPr>
          <w:trHeight w:val="46"/>
        </w:trPr>
        <w:tc>
          <w:tcPr>
            <w:tcW w:w="249" w:type="dxa"/>
            <w:tcBorders>
              <w:top w:val="nil"/>
              <w:bottom w:val="nil"/>
              <w:right w:val="nil"/>
            </w:tcBorders>
            <w:shd w:val="clear" w:color="auto" w:fill="66CCFF"/>
          </w:tcPr>
          <w:p w14:paraId="50AFF8A0"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09E1E47A"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3A06C156" w14:textId="77777777" w:rsidR="00DD3EFA" w:rsidRPr="005A0E7C" w:rsidRDefault="00DD3EFA" w:rsidP="00B15ECB">
            <w:pPr>
              <w:rPr>
                <w:b/>
              </w:rPr>
            </w:pPr>
          </w:p>
        </w:tc>
        <w:tc>
          <w:tcPr>
            <w:tcW w:w="249" w:type="dxa"/>
            <w:tcBorders>
              <w:top w:val="nil"/>
              <w:left w:val="nil"/>
              <w:bottom w:val="nil"/>
            </w:tcBorders>
            <w:shd w:val="clear" w:color="auto" w:fill="66CCFF"/>
          </w:tcPr>
          <w:p w14:paraId="3033CFBE" w14:textId="77777777" w:rsidR="00DD3EFA" w:rsidRPr="005A0E7C" w:rsidRDefault="00DD3EFA" w:rsidP="00B15ECB">
            <w:pPr>
              <w:rPr>
                <w:b/>
              </w:rPr>
            </w:pPr>
          </w:p>
        </w:tc>
      </w:tr>
      <w:tr w:rsidR="00DD3EFA" w:rsidRPr="005A0E7C" w14:paraId="1060BDBE" w14:textId="77777777" w:rsidTr="00B15ECB">
        <w:trPr>
          <w:trHeight w:val="1274"/>
        </w:trPr>
        <w:tc>
          <w:tcPr>
            <w:tcW w:w="249" w:type="dxa"/>
            <w:tcBorders>
              <w:top w:val="nil"/>
              <w:bottom w:val="nil"/>
            </w:tcBorders>
            <w:shd w:val="clear" w:color="auto" w:fill="66CCFF"/>
          </w:tcPr>
          <w:p w14:paraId="2342337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DBCAA07"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09D3B3ED" w14:textId="77777777" w:rsidR="00DD3EFA" w:rsidRPr="005A0E7C" w:rsidRDefault="00DD3EFA" w:rsidP="00B15ECB">
            <w:r w:rsidRPr="005A0E7C">
              <w:t>Doprava v současné době prochází technologickou revolucí, ať už se jedná o postupné nasazování digitálních technologií nebo o trend automatizace. Význam ITS se bude zvyšovat s nárůstem digitalizace ekonomiky (včetně dopravy) a společnosti (Průmysl 4.0 a Společnost 4.0) a bude důležitý pro rozvoj mobility. Jejich rozvoj je rovněž nezbytný pro rozvoj automatizovaného řízení.</w:t>
            </w:r>
          </w:p>
          <w:p w14:paraId="19AA355C" w14:textId="77777777" w:rsidR="00DD3EFA" w:rsidRPr="005A0E7C" w:rsidRDefault="00DD3EFA" w:rsidP="00B15ECB"/>
          <w:p w14:paraId="31CDCEFC" w14:textId="77777777" w:rsidR="00DD3EFA" w:rsidRPr="005A0E7C" w:rsidRDefault="00DD3EFA" w:rsidP="00B15ECB">
            <w:r w:rsidRPr="005A0E7C">
              <w:t xml:space="preserve">Moderní informační a komunikační technologie umožnily vznik nových systémů a aplikací v dopravě nesoucích označení ITS (inteligentní dopravní systémy, nazývané také jako dopravní telematika). Problematika ITS má široký záběr jak ve spektru nabízených služeb, tak i v možnostech využití těchto systémů. Obecně lze říci, že se jedná o systémy pro informování cestujících, řízení a usměrňování dopravy, řešení její bezpečnosti a plynulosti. Rovněž nabízí řešení koordinace propojení různých dopravních systémů. Týkají se především silniční dopravy, ale i VHD. Jejich největší uplatnění tak lze nalézt v metropolitních územích a aglomeracích, případně na komunikacích s vysokými intenzitami dopravy. Zde jsou i největší požadavky na dovybavení dopravní infrastruktury těmito systémy. </w:t>
            </w:r>
          </w:p>
          <w:p w14:paraId="3F8A54BE" w14:textId="77777777" w:rsidR="00DD3EFA" w:rsidRPr="005A0E7C" w:rsidRDefault="00DD3EFA" w:rsidP="00B15ECB">
            <w:r w:rsidRPr="005A0E7C">
              <w:t>Pomalá jízda, zastavení a rozjíždění vozidel je spojeno s vysokým nárůstem produkce emisí znečisťujících látek, s ohledem na zhoršenou kvalitu ovzduší ve městech je proto důležité zajistit co nejplynulejší provoz. K tomuto cíli přispěje vyšší využívání inteligentních dopravních systémů.</w:t>
            </w:r>
          </w:p>
          <w:p w14:paraId="38E1C388" w14:textId="77777777" w:rsidR="00DD3EFA" w:rsidRPr="005A0E7C" w:rsidRDefault="00DD3EFA" w:rsidP="00B15ECB"/>
          <w:p w14:paraId="48170F53" w14:textId="77777777" w:rsidR="00DD3EFA" w:rsidRPr="005A0E7C" w:rsidRDefault="00DD3EFA" w:rsidP="00B15ECB">
            <w:pPr>
              <w:rPr>
                <w:shd w:val="clear" w:color="auto" w:fill="FFFFFF"/>
              </w:rPr>
            </w:pPr>
            <w:r w:rsidRPr="005A0E7C">
              <w:rPr>
                <w:shd w:val="clear" w:color="auto" w:fill="FFFFFF"/>
              </w:rPr>
              <w:t>Automatizované řízení představuje úplně nový způsob organizace a fungování dopravního provozu. V současnosti se pořád jedná o teoretický koncept (i když s již jeho některými vynalezenými avšak zatím vůbec nebo jen z části používanými prvky), u kterého prozatím nelze odhadnout, natož stanovit harmonogram jeho zavádění do praxe. Jedná se o nesmírně komplexní a složitý sytém, který v sobě obsahuje mnohem více rovin než jen dopravní, a sice rovinu výzkumu, vývoje a inovací, rovinu digitalizace, rozvoje podnikání, právně legislativní, vzdělávací, dopadů na trh práce aj. V každém případě se jedná o nastolený trend silně dynamicky se vyvíjející. Představuje rovněž silný potenciál rozvoje pro subjekty či regiony, které se do něj ve všech zmíněných rovinách zapojí. Je nezbytné jej v průběhu přípravy nastavení podpory z fondů EU po roce 2020 bedlivě sledovat a na základě jeho vývoje na to reagovat.</w:t>
            </w:r>
          </w:p>
          <w:p w14:paraId="37B3B19A" w14:textId="77777777" w:rsidR="00DD3EFA" w:rsidRPr="005A0E7C" w:rsidRDefault="00DD3EFA" w:rsidP="00B15ECB">
            <w:pPr>
              <w:rPr>
                <w:shd w:val="clear" w:color="auto" w:fill="FFFFFF"/>
              </w:rPr>
            </w:pPr>
            <w:r w:rsidRPr="005A0E7C">
              <w:rPr>
                <w:shd w:val="clear" w:color="auto" w:fill="FFFFFF"/>
              </w:rPr>
              <w:t xml:space="preserve">Součástí využití moderních technologií by měla být také systematická kontrola přetížených nákladů v přepravě na silniční infrastruktuře. </w:t>
            </w:r>
          </w:p>
          <w:p w14:paraId="03B1419B"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422E96EC" w14:textId="77777777" w:rsidR="00DD3EFA" w:rsidRPr="005A0E7C" w:rsidRDefault="00DD3EFA" w:rsidP="00B15ECB">
            <w:pPr>
              <w:rPr>
                <w:b/>
              </w:rPr>
            </w:pPr>
          </w:p>
        </w:tc>
      </w:tr>
      <w:tr w:rsidR="00DD3EFA" w:rsidRPr="005A0E7C" w14:paraId="6ADD11AB" w14:textId="77777777" w:rsidTr="00B15ECB">
        <w:trPr>
          <w:trHeight w:val="1274"/>
        </w:trPr>
        <w:tc>
          <w:tcPr>
            <w:tcW w:w="249" w:type="dxa"/>
            <w:tcBorders>
              <w:top w:val="nil"/>
              <w:bottom w:val="nil"/>
            </w:tcBorders>
            <w:shd w:val="clear" w:color="auto" w:fill="66CCFF"/>
          </w:tcPr>
          <w:p w14:paraId="6A5BEBF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378BA5F"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2992C593" w14:textId="77777777" w:rsidR="00DD3EFA" w:rsidRPr="005A0E7C" w:rsidRDefault="00DD3EFA" w:rsidP="00B15ECB">
            <w:pPr>
              <w:spacing w:before="60" w:after="60"/>
            </w:pPr>
            <w:r w:rsidRPr="005A0E7C">
              <w:t>ITS ve vztahu k dopravě představuje komplexní oblast. V současné době jsou vozidla, zařízení na dopravní infra</w:t>
            </w:r>
            <w:r w:rsidRPr="005A0E7C">
              <w:softHyphen/>
              <w:t xml:space="preserve">struktuře podporována řadou systémů ITS. Řada těchto systémů slouží ke komerčním účelům a veřejný sektor se na realizaci těchto systémů finančně nepodílí. Budou podporovány projekty, které povedou: </w:t>
            </w:r>
          </w:p>
          <w:p w14:paraId="7EB263ED" w14:textId="77777777" w:rsidR="00DD3EFA" w:rsidRPr="005A0E7C" w:rsidRDefault="00DD3EFA" w:rsidP="00391907">
            <w:pPr>
              <w:numPr>
                <w:ilvl w:val="0"/>
                <w:numId w:val="92"/>
              </w:numPr>
              <w:spacing w:before="60" w:after="60"/>
              <w:ind w:left="185" w:hanging="185"/>
            </w:pPr>
            <w:r w:rsidRPr="005A0E7C">
              <w:t>ke sběru a následnému otevřenému publikování dopravních dat ve strojově čitelném formátu podle standar</w:t>
            </w:r>
            <w:r w:rsidRPr="005A0E7C">
              <w:softHyphen/>
              <w:t>dů EU, jsou-li takovéto standardy zveřejněny, a budování datových platforem ke zkvalitnění poskytovaných informací v reálném čase o dopravním provozu a cestování,</w:t>
            </w:r>
          </w:p>
          <w:p w14:paraId="1CB07EE6" w14:textId="77777777" w:rsidR="00DD3EFA" w:rsidRPr="005A0E7C" w:rsidRDefault="00DD3EFA" w:rsidP="00391907">
            <w:pPr>
              <w:numPr>
                <w:ilvl w:val="0"/>
                <w:numId w:val="92"/>
              </w:numPr>
              <w:spacing w:before="60" w:after="60"/>
              <w:ind w:left="185" w:hanging="185"/>
            </w:pPr>
            <w:r w:rsidRPr="005A0E7C">
              <w:t>k budování vhodné infrastruktury elektronických komunikací podél silniční a železniční sítě v ČR, která zajistí přenos dat v požadované kvalitě a čase, a to při zajištění vzájemné kompatibility jednotlivých systémů a popř. při zajištění dedikovaného frekvenčního pásma pro potřeby ITS systémů,</w:t>
            </w:r>
          </w:p>
          <w:p w14:paraId="3A010483" w14:textId="77777777" w:rsidR="00DD3EFA" w:rsidRPr="005A0E7C" w:rsidRDefault="00DD3EFA" w:rsidP="00391907">
            <w:pPr>
              <w:numPr>
                <w:ilvl w:val="0"/>
                <w:numId w:val="92"/>
              </w:numPr>
              <w:spacing w:before="60" w:after="60"/>
              <w:ind w:left="185" w:hanging="185"/>
            </w:pPr>
            <w:r w:rsidRPr="005A0E7C">
              <w:t xml:space="preserve"> ke zlepšení řízení dopravního provozu a zlepšení řízení mimořádných situací, </w:t>
            </w:r>
          </w:p>
          <w:p w14:paraId="5416EFF4" w14:textId="77777777" w:rsidR="00DD3EFA" w:rsidRPr="005A0E7C" w:rsidRDefault="00DD3EFA" w:rsidP="00391907">
            <w:pPr>
              <w:numPr>
                <w:ilvl w:val="0"/>
                <w:numId w:val="92"/>
              </w:numPr>
              <w:spacing w:before="60" w:after="60"/>
              <w:ind w:left="185" w:hanging="185"/>
            </w:pPr>
            <w:r w:rsidRPr="005A0E7C">
              <w:t xml:space="preserve">ke snížení nehodovosti a snižování následků závažných zranění způsobených dopravními nehodami, </w:t>
            </w:r>
          </w:p>
          <w:p w14:paraId="0F003FBB" w14:textId="77777777" w:rsidR="00DD3EFA" w:rsidRPr="005A0E7C" w:rsidRDefault="00DD3EFA" w:rsidP="00391907">
            <w:pPr>
              <w:numPr>
                <w:ilvl w:val="0"/>
                <w:numId w:val="92"/>
              </w:numPr>
              <w:spacing w:before="60" w:after="60"/>
              <w:ind w:left="185" w:hanging="185"/>
            </w:pPr>
            <w:r w:rsidRPr="005A0E7C">
              <w:t xml:space="preserve">ke zkvalitnění a zatraktivnění veřejné hromadné osobní dopravy a multimodální osobní dopravy, </w:t>
            </w:r>
          </w:p>
          <w:p w14:paraId="1799A57A" w14:textId="77777777" w:rsidR="00DD3EFA" w:rsidRPr="005A0E7C" w:rsidRDefault="00DD3EFA" w:rsidP="00391907">
            <w:pPr>
              <w:numPr>
                <w:ilvl w:val="0"/>
                <w:numId w:val="92"/>
              </w:numPr>
              <w:spacing w:before="60" w:after="60"/>
              <w:ind w:left="185" w:hanging="185"/>
            </w:pPr>
            <w:r w:rsidRPr="005A0E7C">
              <w:t xml:space="preserve">ke zlepšení řízení procesů logistiky nákladní dopravy u zásilek, jejichž přeprava může ovlivnit bezpečnost a plynulost silničního provozu (včetně rychlostního vážení nákladu na silniční infrastruktuře), </w:t>
            </w:r>
          </w:p>
          <w:p w14:paraId="7C6E0A2A" w14:textId="77777777" w:rsidR="00DD3EFA" w:rsidRPr="005A0E7C" w:rsidRDefault="00DD3EFA" w:rsidP="00391907">
            <w:pPr>
              <w:numPr>
                <w:ilvl w:val="0"/>
                <w:numId w:val="92"/>
              </w:numPr>
              <w:spacing w:before="60" w:after="60"/>
              <w:ind w:left="185" w:hanging="185"/>
            </w:pPr>
            <w:r w:rsidRPr="005A0E7C">
              <w:t xml:space="preserve">k účinnému odhalování případů závažného protiprávního jednání v dopravním provozu (např. krádeže přepravovaných zásilek, násilné trestné činy proti cestujícím a řidičům, zejména profesionálním), </w:t>
            </w:r>
          </w:p>
          <w:p w14:paraId="2488ED16" w14:textId="77777777" w:rsidR="00DD3EFA" w:rsidRPr="005A0E7C" w:rsidRDefault="00DD3EFA" w:rsidP="00391907">
            <w:pPr>
              <w:numPr>
                <w:ilvl w:val="0"/>
                <w:numId w:val="92"/>
              </w:numPr>
              <w:spacing w:before="60" w:after="60"/>
              <w:ind w:left="185" w:hanging="185"/>
            </w:pPr>
            <w:r w:rsidRPr="005A0E7C">
              <w:t xml:space="preserve">ke zlepšení přístupnosti k veřejné osobní dopravě, včetně osob se sníženou schopností pohybu nebo orientace a zranitelných účastníků silničního provozu, </w:t>
            </w:r>
          </w:p>
          <w:p w14:paraId="33FC3A56" w14:textId="77777777" w:rsidR="00DD3EFA" w:rsidRPr="005A0E7C" w:rsidRDefault="00DD3EFA" w:rsidP="00391907">
            <w:pPr>
              <w:numPr>
                <w:ilvl w:val="0"/>
                <w:numId w:val="92"/>
              </w:numPr>
              <w:spacing w:before="60" w:after="60"/>
              <w:ind w:left="185" w:hanging="185"/>
            </w:pPr>
            <w:r w:rsidRPr="005A0E7C">
              <w:t>k vytvoření a používání standardizovaných digitálních map,</w:t>
            </w:r>
          </w:p>
          <w:p w14:paraId="6E56CACF" w14:textId="77777777" w:rsidR="00DD3EFA" w:rsidRPr="005A0E7C" w:rsidRDefault="00DD3EFA" w:rsidP="00391907">
            <w:pPr>
              <w:numPr>
                <w:ilvl w:val="0"/>
                <w:numId w:val="92"/>
              </w:numPr>
              <w:spacing w:before="60" w:after="60"/>
              <w:ind w:left="160" w:hanging="185"/>
              <w:jc w:val="both"/>
            </w:pPr>
            <w:r w:rsidRPr="005A0E7C">
              <w:t>k využití systémů EGNOS a Galileo pro zlepšení řízení a pro zvýšení bezpečnosti dopravního provozu, a to včetně využití systémů EGNOS a Galileo pro přiblížení vrtulníků letecké záchranné služby na přistání, zejména v podmínkách zhoršené dohlednosti a k využití specifických služeb systému Galileo pro efektivnější navigaci a řízení složek IZS.</w:t>
            </w:r>
          </w:p>
        </w:tc>
        <w:tc>
          <w:tcPr>
            <w:tcW w:w="249" w:type="dxa"/>
            <w:tcBorders>
              <w:top w:val="nil"/>
              <w:bottom w:val="nil"/>
            </w:tcBorders>
            <w:shd w:val="clear" w:color="auto" w:fill="66CCFF"/>
          </w:tcPr>
          <w:p w14:paraId="12AF51AD" w14:textId="77777777" w:rsidR="00DD3EFA" w:rsidRPr="005A0E7C" w:rsidRDefault="00DD3EFA" w:rsidP="00B15ECB">
            <w:pPr>
              <w:rPr>
                <w:b/>
              </w:rPr>
            </w:pPr>
          </w:p>
        </w:tc>
      </w:tr>
      <w:tr w:rsidR="00DD3EFA" w:rsidRPr="005A0E7C" w14:paraId="2848E449" w14:textId="77777777" w:rsidTr="00B15ECB">
        <w:trPr>
          <w:trHeight w:val="1274"/>
        </w:trPr>
        <w:tc>
          <w:tcPr>
            <w:tcW w:w="249" w:type="dxa"/>
            <w:tcBorders>
              <w:top w:val="nil"/>
              <w:bottom w:val="nil"/>
            </w:tcBorders>
            <w:shd w:val="clear" w:color="auto" w:fill="66CCFF"/>
          </w:tcPr>
          <w:p w14:paraId="3DFBB35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C1B47B2"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3D9A81F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B796002" w14:textId="77777777" w:rsidR="00DD3EFA" w:rsidRPr="005A0E7C" w:rsidRDefault="00DD3EFA" w:rsidP="00B15ECB">
            <w:pPr>
              <w:spacing w:before="60" w:after="60"/>
            </w:pPr>
            <w:r w:rsidRPr="005A0E7C">
              <w:t>Zlepšení řízení dopravy</w:t>
            </w:r>
          </w:p>
          <w:p w14:paraId="2A652729" w14:textId="77777777" w:rsidR="00DD3EFA" w:rsidRPr="005A0E7C" w:rsidRDefault="00DD3EFA" w:rsidP="00B15ECB">
            <w:pPr>
              <w:spacing w:before="60" w:after="60"/>
            </w:pPr>
            <w:r w:rsidRPr="005A0E7C">
              <w:t>Zlepšení informačního toku směrem k uživateli</w:t>
            </w:r>
          </w:p>
          <w:p w14:paraId="059C223F" w14:textId="77777777" w:rsidR="00DD3EFA" w:rsidRPr="005A0E7C" w:rsidRDefault="00DD3EFA" w:rsidP="00B15ECB">
            <w:pPr>
              <w:spacing w:before="60" w:after="60"/>
            </w:pPr>
            <w:r w:rsidRPr="005A0E7C">
              <w:t>Zvýšení bezpečnosti dopravy</w:t>
            </w:r>
          </w:p>
          <w:p w14:paraId="51DA6FE7" w14:textId="77777777" w:rsidR="00DD3EFA" w:rsidRPr="005A0E7C" w:rsidRDefault="00DD3EFA" w:rsidP="00B15ECB">
            <w:pPr>
              <w:spacing w:before="60" w:after="60"/>
            </w:pPr>
            <w:r w:rsidRPr="005A0E7C">
              <w:t>Optimalizace dopravních toků</w:t>
            </w:r>
          </w:p>
          <w:p w14:paraId="4403C06B" w14:textId="77777777" w:rsidR="00DD3EFA" w:rsidRPr="005A0E7C" w:rsidRDefault="00DD3EFA" w:rsidP="00B15ECB">
            <w:pPr>
              <w:spacing w:before="60" w:after="60"/>
            </w:pPr>
            <w:r w:rsidRPr="005A0E7C">
              <w:t>Zvýšení atraktivnosti veřejné hromadné dopravy</w:t>
            </w:r>
          </w:p>
        </w:tc>
        <w:tc>
          <w:tcPr>
            <w:tcW w:w="249" w:type="dxa"/>
            <w:tcBorders>
              <w:top w:val="nil"/>
              <w:bottom w:val="nil"/>
            </w:tcBorders>
            <w:shd w:val="clear" w:color="auto" w:fill="66CCFF"/>
          </w:tcPr>
          <w:p w14:paraId="5EF997FE" w14:textId="77777777" w:rsidR="00DD3EFA" w:rsidRPr="005A0E7C" w:rsidRDefault="00DD3EFA" w:rsidP="00B15ECB">
            <w:pPr>
              <w:rPr>
                <w:b/>
              </w:rPr>
            </w:pPr>
          </w:p>
        </w:tc>
      </w:tr>
      <w:tr w:rsidR="00DD3EFA" w:rsidRPr="005A0E7C" w14:paraId="49BB0B89" w14:textId="77777777" w:rsidTr="00B15ECB">
        <w:trPr>
          <w:trHeight w:val="1274"/>
        </w:trPr>
        <w:tc>
          <w:tcPr>
            <w:tcW w:w="249" w:type="dxa"/>
            <w:tcBorders>
              <w:top w:val="nil"/>
              <w:bottom w:val="nil"/>
            </w:tcBorders>
            <w:shd w:val="clear" w:color="auto" w:fill="66CCFF"/>
          </w:tcPr>
          <w:p w14:paraId="0F6A856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8CCC2A"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28811185" w14:textId="77777777" w:rsidR="00DD3EFA" w:rsidRPr="005A0E7C" w:rsidRDefault="00DD3EFA" w:rsidP="00B15ECB">
            <w:pPr>
              <w:spacing w:before="60" w:after="60"/>
            </w:pPr>
            <w:r w:rsidRPr="005A0E7C">
              <w:t>Zavedení nového ITS.</w:t>
            </w:r>
          </w:p>
          <w:p w14:paraId="7A89DFDF" w14:textId="77777777" w:rsidR="00DD3EFA" w:rsidRPr="005A0E7C" w:rsidRDefault="00DD3EFA" w:rsidP="00B15ECB">
            <w:pPr>
              <w:spacing w:before="60" w:after="60"/>
            </w:pPr>
            <w:r w:rsidRPr="005A0E7C">
              <w:t>Vybavení liniové dopravní infrastruktury technologií pro fungování ITS.</w:t>
            </w:r>
          </w:p>
          <w:p w14:paraId="165E75EF" w14:textId="77777777" w:rsidR="00DD3EFA" w:rsidRPr="005A0E7C" w:rsidRDefault="00DD3EFA" w:rsidP="00B15ECB">
            <w:pPr>
              <w:spacing w:before="60" w:after="60"/>
              <w:rPr>
                <w:rFonts w:eastAsiaTheme="majorEastAsia"/>
                <w:i/>
                <w:u w:val="single"/>
              </w:rPr>
            </w:pPr>
            <w:r w:rsidRPr="005A0E7C">
              <w:t>Optimalizace dopravních toků, zabránění kongescí, lepší organizace dopravy, zvýšení bezpečnosti dopravy. Problematické pro sledování a následné vyhodnocování jednotlivých realizovaných opatření. Je ovlivněno konkrétním časem a prostorem.</w:t>
            </w:r>
          </w:p>
        </w:tc>
        <w:tc>
          <w:tcPr>
            <w:tcW w:w="249" w:type="dxa"/>
            <w:tcBorders>
              <w:top w:val="nil"/>
              <w:bottom w:val="nil"/>
            </w:tcBorders>
            <w:shd w:val="clear" w:color="auto" w:fill="66CCFF"/>
          </w:tcPr>
          <w:p w14:paraId="40DF187B" w14:textId="77777777" w:rsidR="00DD3EFA" w:rsidRPr="005A0E7C" w:rsidRDefault="00DD3EFA" w:rsidP="00B15ECB">
            <w:pPr>
              <w:rPr>
                <w:b/>
              </w:rPr>
            </w:pPr>
          </w:p>
        </w:tc>
      </w:tr>
      <w:tr w:rsidR="00DD3EFA" w:rsidRPr="005A0E7C" w14:paraId="67AA4474" w14:textId="77777777" w:rsidTr="00B15ECB">
        <w:trPr>
          <w:trHeight w:val="1274"/>
        </w:trPr>
        <w:tc>
          <w:tcPr>
            <w:tcW w:w="249" w:type="dxa"/>
            <w:tcBorders>
              <w:top w:val="nil"/>
              <w:bottom w:val="nil"/>
            </w:tcBorders>
            <w:shd w:val="clear" w:color="auto" w:fill="66CCFF"/>
          </w:tcPr>
          <w:p w14:paraId="27B6735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D73B204"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7A80FC0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eastAsiaTheme="majorEastAsia" w:hAnsi="Times New Roman"/>
              </w:rPr>
              <w:t>65 %</w:t>
            </w:r>
          </w:p>
        </w:tc>
        <w:tc>
          <w:tcPr>
            <w:tcW w:w="249" w:type="dxa"/>
            <w:tcBorders>
              <w:top w:val="nil"/>
              <w:bottom w:val="nil"/>
            </w:tcBorders>
            <w:shd w:val="clear" w:color="auto" w:fill="66CCFF"/>
          </w:tcPr>
          <w:p w14:paraId="41515157" w14:textId="77777777" w:rsidR="00DD3EFA" w:rsidRPr="005A0E7C" w:rsidRDefault="00DD3EFA" w:rsidP="00B15ECB">
            <w:pPr>
              <w:rPr>
                <w:b/>
              </w:rPr>
            </w:pPr>
          </w:p>
        </w:tc>
      </w:tr>
      <w:tr w:rsidR="00DD3EFA" w:rsidRPr="005A0E7C" w14:paraId="6313762A" w14:textId="77777777" w:rsidTr="00B15ECB">
        <w:trPr>
          <w:trHeight w:val="1274"/>
        </w:trPr>
        <w:tc>
          <w:tcPr>
            <w:tcW w:w="249" w:type="dxa"/>
            <w:tcBorders>
              <w:top w:val="nil"/>
              <w:bottom w:val="nil"/>
            </w:tcBorders>
            <w:shd w:val="clear" w:color="auto" w:fill="66CCFF"/>
          </w:tcPr>
          <w:p w14:paraId="0A110BC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AFDB1E0"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019DBD63" w14:textId="77777777" w:rsidR="00DD3EFA" w:rsidRPr="005A0E7C" w:rsidRDefault="00DD3EFA" w:rsidP="00B15ECB">
            <w:pPr>
              <w:spacing w:before="60" w:after="60"/>
            </w:pPr>
            <w:r w:rsidRPr="005A0E7C">
              <w:t xml:space="preserve">V oblasti dopravy bude nezbytné více propojovat výstavbu dopravní infrastruktury s prvky inteligentních dopravních systémů. </w:t>
            </w:r>
          </w:p>
          <w:p w14:paraId="1B773EBB" w14:textId="77777777" w:rsidR="00DD3EFA" w:rsidRPr="005A0E7C" w:rsidRDefault="00DD3EFA" w:rsidP="00B15ECB">
            <w:pPr>
              <w:spacing w:before="60" w:after="60"/>
            </w:pPr>
            <w:r w:rsidRPr="005A0E7C">
              <w:t>V minulém období byla problematika zavádění ITS řešena v rámci OPD v rámci městských projektů a projektů v odpovědnosti ŘSD. V případě městské hromadné dopravy pak byla řešena v rámci IROP. Této problematice však zejména ze strany ŘSD nebyla věnována dostatečná pozornost, přičemž je evidentní, že význam těchto projektů s technologickým pokrokem neustále stoupá.</w:t>
            </w:r>
          </w:p>
        </w:tc>
        <w:tc>
          <w:tcPr>
            <w:tcW w:w="249" w:type="dxa"/>
            <w:tcBorders>
              <w:top w:val="nil"/>
              <w:bottom w:val="nil"/>
            </w:tcBorders>
            <w:shd w:val="clear" w:color="auto" w:fill="66CCFF"/>
          </w:tcPr>
          <w:p w14:paraId="48AE5584" w14:textId="77777777" w:rsidR="00DD3EFA" w:rsidRPr="005A0E7C" w:rsidRDefault="00DD3EFA" w:rsidP="00B15ECB">
            <w:pPr>
              <w:rPr>
                <w:b/>
              </w:rPr>
            </w:pPr>
          </w:p>
        </w:tc>
      </w:tr>
      <w:tr w:rsidR="00DD3EFA" w:rsidRPr="005A0E7C" w14:paraId="25BDCAA7" w14:textId="77777777" w:rsidTr="00B15ECB">
        <w:trPr>
          <w:trHeight w:val="272"/>
        </w:trPr>
        <w:tc>
          <w:tcPr>
            <w:tcW w:w="249" w:type="dxa"/>
            <w:tcBorders>
              <w:top w:val="nil"/>
              <w:bottom w:val="nil"/>
              <w:right w:val="nil"/>
            </w:tcBorders>
            <w:shd w:val="clear" w:color="auto" w:fill="66CCFF"/>
          </w:tcPr>
          <w:p w14:paraId="7CA91D3E"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ED3DA9E"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076CC6C"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088D09CE" w14:textId="77777777" w:rsidR="00DD3EFA" w:rsidRPr="005A0E7C" w:rsidRDefault="00DD3EFA" w:rsidP="00B15ECB">
            <w:pPr>
              <w:rPr>
                <w:b/>
              </w:rPr>
            </w:pPr>
          </w:p>
        </w:tc>
      </w:tr>
      <w:tr w:rsidR="00DD3EFA" w:rsidRPr="005A0E7C" w14:paraId="7630F4B1" w14:textId="77777777" w:rsidTr="00B15ECB">
        <w:trPr>
          <w:trHeight w:val="835"/>
        </w:trPr>
        <w:tc>
          <w:tcPr>
            <w:tcW w:w="249" w:type="dxa"/>
            <w:tcBorders>
              <w:top w:val="nil"/>
              <w:bottom w:val="nil"/>
            </w:tcBorders>
            <w:shd w:val="clear" w:color="auto" w:fill="66CCFF"/>
          </w:tcPr>
          <w:p w14:paraId="7D141F96"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80CC32B"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6CA7FDE5"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03C419A7" w14:textId="77777777" w:rsidR="00DD3EFA" w:rsidRPr="005A0E7C" w:rsidRDefault="00DD3EFA" w:rsidP="00B15ECB">
            <w:pPr>
              <w:spacing w:before="60" w:after="60"/>
              <w:rPr>
                <w:rFonts w:eastAsiaTheme="majorEastAsia"/>
              </w:rPr>
            </w:pPr>
            <w:r w:rsidRPr="005A0E7C">
              <w:t>Velmi různorodé, dáno Akčním plánem zavádění ITS</w:t>
            </w:r>
          </w:p>
        </w:tc>
        <w:tc>
          <w:tcPr>
            <w:tcW w:w="249" w:type="dxa"/>
            <w:tcBorders>
              <w:top w:val="nil"/>
              <w:bottom w:val="nil"/>
            </w:tcBorders>
            <w:shd w:val="clear" w:color="auto" w:fill="66CCFF"/>
          </w:tcPr>
          <w:p w14:paraId="1518DF08" w14:textId="77777777" w:rsidR="00DD3EFA" w:rsidRPr="005A0E7C" w:rsidRDefault="00DD3EFA" w:rsidP="00B15ECB">
            <w:pPr>
              <w:rPr>
                <w:b/>
              </w:rPr>
            </w:pPr>
          </w:p>
        </w:tc>
      </w:tr>
      <w:tr w:rsidR="00DD3EFA" w:rsidRPr="005A0E7C" w14:paraId="6E41C3CE" w14:textId="77777777" w:rsidTr="00B15ECB">
        <w:trPr>
          <w:trHeight w:val="377"/>
        </w:trPr>
        <w:tc>
          <w:tcPr>
            <w:tcW w:w="249" w:type="dxa"/>
            <w:tcBorders>
              <w:top w:val="nil"/>
              <w:bottom w:val="nil"/>
              <w:right w:val="nil"/>
            </w:tcBorders>
            <w:shd w:val="clear" w:color="auto" w:fill="66CCFF"/>
          </w:tcPr>
          <w:p w14:paraId="4F2832BF"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42F9A6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1428901"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308EB851" w14:textId="77777777" w:rsidR="00DD3EFA" w:rsidRPr="005A0E7C" w:rsidRDefault="00DD3EFA" w:rsidP="00B15ECB">
            <w:pPr>
              <w:rPr>
                <w:b/>
              </w:rPr>
            </w:pPr>
          </w:p>
        </w:tc>
      </w:tr>
      <w:tr w:rsidR="00DD3EFA" w:rsidRPr="005A0E7C" w14:paraId="0DA429DB" w14:textId="77777777" w:rsidTr="00B15ECB">
        <w:trPr>
          <w:trHeight w:val="607"/>
        </w:trPr>
        <w:tc>
          <w:tcPr>
            <w:tcW w:w="249" w:type="dxa"/>
            <w:tcBorders>
              <w:top w:val="nil"/>
              <w:bottom w:val="nil"/>
            </w:tcBorders>
            <w:shd w:val="clear" w:color="auto" w:fill="66CCFF"/>
          </w:tcPr>
          <w:p w14:paraId="6C01A181"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159DD2D1"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62AD66A1" w14:textId="77777777" w:rsidR="00DD3EFA" w:rsidRPr="005A0E7C" w:rsidRDefault="00DD3EFA" w:rsidP="00B15ECB">
            <w:pPr>
              <w:spacing w:before="60" w:after="60"/>
              <w:rPr>
                <w:rFonts w:eastAsiaTheme="majorEastAsia"/>
                <w:i/>
              </w:rPr>
            </w:pPr>
            <w:r w:rsidRPr="005A0E7C">
              <w:rPr>
                <w:rFonts w:eastAsiaTheme="majorEastAsia"/>
                <w:i/>
              </w:rPr>
              <w:t>Prosíme, popsat konkrétně a jednoznačně souvislost spec. cíle s uvedenými tématy (zejména konkretizovat územní dimenzi a vazbu na SDR, hlavní megatrendy).</w:t>
            </w:r>
          </w:p>
        </w:tc>
        <w:tc>
          <w:tcPr>
            <w:tcW w:w="249" w:type="dxa"/>
            <w:tcBorders>
              <w:top w:val="nil"/>
              <w:bottom w:val="nil"/>
            </w:tcBorders>
            <w:shd w:val="clear" w:color="auto" w:fill="66CCFF"/>
          </w:tcPr>
          <w:p w14:paraId="31470C00" w14:textId="77777777" w:rsidR="00DD3EFA" w:rsidRPr="005A0E7C" w:rsidRDefault="00DD3EFA" w:rsidP="00B15ECB">
            <w:pPr>
              <w:rPr>
                <w:b/>
              </w:rPr>
            </w:pPr>
          </w:p>
        </w:tc>
      </w:tr>
      <w:tr w:rsidR="00DD3EFA" w:rsidRPr="005A0E7C" w14:paraId="51A5A888" w14:textId="77777777" w:rsidTr="00B15ECB">
        <w:trPr>
          <w:trHeight w:val="1202"/>
        </w:trPr>
        <w:tc>
          <w:tcPr>
            <w:tcW w:w="249" w:type="dxa"/>
            <w:tcBorders>
              <w:top w:val="nil"/>
              <w:bottom w:val="nil"/>
            </w:tcBorders>
            <w:shd w:val="clear" w:color="auto" w:fill="66CCFF"/>
          </w:tcPr>
          <w:p w14:paraId="6DE65F7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9E95F2D"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48F5206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EEA090E" w14:textId="77777777" w:rsidR="00DD3EFA" w:rsidRPr="005A0E7C" w:rsidRDefault="00DD3EFA" w:rsidP="00B15ECB">
            <w:r w:rsidRPr="005A0E7C">
              <w:t xml:space="preserve">Sektor dopravy je jednou z důležitých oblastí národního hospodářství, která ovlivňuje prakticky všechny oblasti veřejného i soukromého života a podnikatelské sféry, a je nutnou podmínkou pro zvyšování konkurenceschopnosti České republiky. Pro rozvoj mobility v rámci Společnosti 4.0 je základem rozvoj inteligentních dopravních systémů (ITS). Tyto systémy umožňují sledovat technický stav dopravní cesty, předcházet vážným dopravním nehodám a mohou pomoci odhalovat také závažnou trestnou činnost v dopravě. Ve spojení s družicovými systémy mohou předvídat vlivy povětrnostní situace, sesuvy i poklesy půdy a sledovat také záplavy nebo povodně. Inteligentní dopravní systémy tak mají klíčový význam pro zlepšování bezpečnosti dopravy. </w:t>
            </w:r>
          </w:p>
          <w:p w14:paraId="736A49E8" w14:textId="77777777" w:rsidR="00DD3EFA" w:rsidRPr="005A0E7C" w:rsidRDefault="00DD3EFA" w:rsidP="00B15ECB">
            <w:r w:rsidRPr="005A0E7C">
              <w:t>Systémy ITS kromě řízení a předvídání vývoje umožňují vyhodnocovat i technický stav dopravní cesty a plánovat její opravu. Sledování meteorologických podmínek v místě provozu může informovat účastníky dopravního provozu o blížícím se nebezpečí (prostřednictvím zařízení pro provozní informace nebo mobilní aplikace) a nařídit snížení rychlosti, čímž je možné předcházet vážným dopravním nehodám. Dovybavení silniční sítě adekvátním zařízením umožní také sledování dopadů dopravy na životní prostředí (hluk, emise, smog), kdy aplikace ITS může následně odklonit dopravu mimo aktuálně nejvíce zasažené oblasti.</w:t>
            </w:r>
          </w:p>
          <w:p w14:paraId="4FA231CE" w14:textId="77777777" w:rsidR="00DD3EFA" w:rsidRPr="005A0E7C" w:rsidRDefault="00DD3EFA" w:rsidP="00B15ECB">
            <w:r w:rsidRPr="005A0E7C">
              <w:t>Silniční doprava v současné době prochází technologickou revolucí, ať už se jedná o postupné nasazování digitálních technologií do silničních vozidel nebo o trend automatizace. K</w:t>
            </w:r>
            <w:r w:rsidRPr="005A0E7C">
              <w:rPr>
                <w:color w:val="000000"/>
                <w:shd w:val="clear" w:color="auto" w:fill="FFFFFF"/>
              </w:rPr>
              <w:t xml:space="preserve">opíruje tak do určité míry rozvoj železniční a letecké dopravy, které mají velmi dobře propracované systémy zabezpečení provozu. V současné době jsou řidiči během jízdy podporováni řadou palubních systémů, které již využívají </w:t>
            </w:r>
            <w:r w:rsidRPr="005A0E7C">
              <w:rPr>
                <w:color w:val="000000"/>
              </w:rPr>
              <w:t>kooperativních inteligentních dopravních systémů (C-</w:t>
            </w:r>
            <w:r w:rsidRPr="005A0E7C">
              <w:rPr>
                <w:color w:val="000000"/>
                <w:shd w:val="clear" w:color="auto" w:fill="FFFFFF"/>
              </w:rPr>
              <w:t>ITS) pro řešení ob</w:t>
            </w:r>
            <w:r w:rsidRPr="005A0E7C">
              <w:rPr>
                <w:color w:val="000000"/>
                <w:shd w:val="clear" w:color="auto" w:fill="FFFFFF"/>
              </w:rPr>
              <w:softHyphen/>
              <w:t xml:space="preserve">tížných dopravních situací, na křižovatkách a připojovacích pruzích a pomáhají jim vyhnout se dopravním nehodám, které vznikají za mimořádných situací. </w:t>
            </w:r>
            <w:r w:rsidRPr="005A0E7C">
              <w:t xml:space="preserve"> Budoucnost dopravy lze vidět v tom, že dopravní infrastruktura a vozidla budou například pomocí čidel vzájemně komunikovat. Můžeme očekávat, že za několik let bude datově připojeno téměř každé vozidlo. </w:t>
            </w:r>
            <w:r w:rsidRPr="005A0E7C">
              <w:rPr>
                <w:color w:val="000000"/>
                <w:shd w:val="clear" w:color="auto" w:fill="FFFFFF"/>
              </w:rPr>
              <w:t>Na provoz částečně i plně autonomních vozidel musí být uzpůsobena také silniční a uliční síť, která umožní ko</w:t>
            </w:r>
            <w:r w:rsidRPr="005A0E7C">
              <w:rPr>
                <w:color w:val="000000"/>
                <w:shd w:val="clear" w:color="auto" w:fill="FFFFFF"/>
              </w:rPr>
              <w:softHyphen/>
              <w:t xml:space="preserve">munikaci a interakci těchto vozidel nejen mezi sebou, ale i se zařízeními (stanicemi) na dopravní infrastruktuře. Vývoj v rámci autonomní mobility je silným motorem pro inovace, neboť se jedná o technologie s velmi vysokými požadavky na spolehlivost a odolnost. </w:t>
            </w:r>
            <w:r w:rsidRPr="005A0E7C">
              <w:t xml:space="preserve"> </w:t>
            </w:r>
          </w:p>
          <w:p w14:paraId="1C5D94AA" w14:textId="77777777" w:rsidR="00DD3EFA" w:rsidRPr="005A0E7C" w:rsidRDefault="00DD3EFA" w:rsidP="00B15ECB"/>
          <w:p w14:paraId="4D1CF5A7" w14:textId="77777777" w:rsidR="00DD3EFA" w:rsidRPr="005A0E7C" w:rsidRDefault="00DD3EFA" w:rsidP="00B15ECB">
            <w:r w:rsidRPr="005A0E7C">
              <w:t>Předpokladem je stabilní a bezpečná síť pro elektronickou komunikaci nezbytná pro Smart řešení a zavádění moderních technologií v dopravě, a to i v nejodlehlejších regionech.</w:t>
            </w:r>
          </w:p>
        </w:tc>
        <w:tc>
          <w:tcPr>
            <w:tcW w:w="249" w:type="dxa"/>
            <w:tcBorders>
              <w:top w:val="nil"/>
              <w:bottom w:val="nil"/>
            </w:tcBorders>
            <w:shd w:val="clear" w:color="auto" w:fill="66CCFF"/>
          </w:tcPr>
          <w:p w14:paraId="6B08F4D6" w14:textId="77777777" w:rsidR="00DD3EFA" w:rsidRPr="005A0E7C" w:rsidRDefault="00DD3EFA" w:rsidP="00B15ECB">
            <w:pPr>
              <w:rPr>
                <w:b/>
              </w:rPr>
            </w:pPr>
          </w:p>
        </w:tc>
      </w:tr>
      <w:tr w:rsidR="00DD3EFA" w:rsidRPr="005A0E7C" w14:paraId="180E113C" w14:textId="77777777" w:rsidTr="00B15ECB">
        <w:trPr>
          <w:trHeight w:val="1202"/>
        </w:trPr>
        <w:tc>
          <w:tcPr>
            <w:tcW w:w="249" w:type="dxa"/>
            <w:tcBorders>
              <w:top w:val="nil"/>
              <w:bottom w:val="nil"/>
            </w:tcBorders>
            <w:shd w:val="clear" w:color="auto" w:fill="66CCFF"/>
          </w:tcPr>
          <w:p w14:paraId="5B3F4DB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6960774"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64A8C50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99BA038" w14:textId="77777777" w:rsidR="00DD3EFA" w:rsidRPr="005A0E7C" w:rsidRDefault="00DD3EFA" w:rsidP="00B15ECB">
            <w:pPr>
              <w:pStyle w:val="slovanodstavec"/>
              <w:tabs>
                <w:tab w:val="left" w:pos="284"/>
              </w:tabs>
              <w:suppressAutoHyphens/>
              <w:spacing w:line="240" w:lineRule="auto"/>
              <w:jc w:val="left"/>
              <w:rPr>
                <w:rFonts w:ascii="Times New Roman" w:hAnsi="Times New Roman"/>
                <w:b/>
              </w:rPr>
            </w:pPr>
            <w:r w:rsidRPr="005A0E7C">
              <w:rPr>
                <w:rFonts w:ascii="Times New Roman" w:hAnsi="Times New Roman"/>
              </w:rPr>
              <w:t>Využití telematických a inteligentních dopravních systémů, například pro řízení dopravy při mimořádných a krizových událostech – informace o stavu a sjízdnosti, řízení plynulosti atd. přispěje k zefektivnění dopravy a snížení škodlivých emisí a tím pozitivně ovlivní kvalitu ovzduší.</w:t>
            </w:r>
          </w:p>
        </w:tc>
        <w:tc>
          <w:tcPr>
            <w:tcW w:w="249" w:type="dxa"/>
            <w:tcBorders>
              <w:top w:val="nil"/>
              <w:bottom w:val="nil"/>
            </w:tcBorders>
            <w:shd w:val="clear" w:color="auto" w:fill="66CCFF"/>
          </w:tcPr>
          <w:p w14:paraId="225E55CB" w14:textId="77777777" w:rsidR="00DD3EFA" w:rsidRPr="005A0E7C" w:rsidRDefault="00DD3EFA" w:rsidP="00B15ECB">
            <w:pPr>
              <w:rPr>
                <w:b/>
              </w:rPr>
            </w:pPr>
          </w:p>
        </w:tc>
      </w:tr>
      <w:tr w:rsidR="00DD3EFA" w:rsidRPr="005A0E7C" w14:paraId="7439C460" w14:textId="77777777" w:rsidTr="00B15ECB">
        <w:trPr>
          <w:trHeight w:val="1202"/>
        </w:trPr>
        <w:tc>
          <w:tcPr>
            <w:tcW w:w="249" w:type="dxa"/>
            <w:tcBorders>
              <w:top w:val="nil"/>
              <w:bottom w:val="nil"/>
            </w:tcBorders>
            <w:shd w:val="clear" w:color="auto" w:fill="66CCFF"/>
          </w:tcPr>
          <w:p w14:paraId="6EB7DF0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EF3B3D0"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0645E2BF"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21864FF" w14:textId="77777777" w:rsidR="00DD3EFA" w:rsidRPr="005A0E7C" w:rsidRDefault="00DD3EFA" w:rsidP="00B15ECB">
            <w:r w:rsidRPr="005A0E7C">
              <w:t>Konektivita, inteligentní dopravní systémy a autonomní mobilita představují základní pilíře průmyslu 4.0 a společnosti 4.0. Odpovídající finanční podpora výstavby a rozvoje infrastruktury pro ITS, autonomní mobilitu, včetně sítě elektronických komunikací a infrastruktury prostorových dat, je klíčovým opatřením nejen pro rozvoj autonomní mobility, ale i pro zvýšení konkurenceschopnosti ČR. Automatizované řízení vozidla zajistí nejen plynulejší a bezpečnější jízdu, ale umožní také energetickou optimalizaci jízdy vozidla. Chytrá infrastruktura také zahrnuje nový pohled na prostorové plánování a dimenzování parametrů dopravní infrastruktury. Doprovodné vybavení základní dopravní infrastruktury v podobě chytrého osvětlení a sběru dat z dopravy a jejích průvodních jevů je také nutné chytře koordinovat.</w:t>
            </w:r>
          </w:p>
          <w:p w14:paraId="3CE75989" w14:textId="77777777" w:rsidR="00DD3EFA" w:rsidRPr="005A0E7C" w:rsidRDefault="00DD3EFA" w:rsidP="00B15ECB"/>
          <w:p w14:paraId="1262C0E0" w14:textId="77777777" w:rsidR="00DD3EFA" w:rsidRPr="005A0E7C" w:rsidRDefault="00DD3EFA" w:rsidP="00B15ECB">
            <w:r w:rsidRPr="005A0E7C">
              <w:t>Součástí výzev v oblasti využití moderních technologií v dopravě jsou digitální platformy pro účely sdílené ekonomiky a sdíleného využívání dopravních prostředků pro osobní dopravu.</w:t>
            </w:r>
          </w:p>
        </w:tc>
        <w:tc>
          <w:tcPr>
            <w:tcW w:w="249" w:type="dxa"/>
            <w:tcBorders>
              <w:top w:val="nil"/>
              <w:bottom w:val="nil"/>
            </w:tcBorders>
            <w:shd w:val="clear" w:color="auto" w:fill="66CCFF"/>
          </w:tcPr>
          <w:p w14:paraId="718E1EA0" w14:textId="77777777" w:rsidR="00DD3EFA" w:rsidRPr="005A0E7C" w:rsidRDefault="00DD3EFA" w:rsidP="00B15ECB">
            <w:pPr>
              <w:rPr>
                <w:b/>
              </w:rPr>
            </w:pPr>
          </w:p>
        </w:tc>
      </w:tr>
      <w:tr w:rsidR="00DD3EFA" w:rsidRPr="005A0E7C" w14:paraId="5A6F8F95" w14:textId="77777777" w:rsidTr="00B15ECB">
        <w:trPr>
          <w:trHeight w:val="1202"/>
        </w:trPr>
        <w:tc>
          <w:tcPr>
            <w:tcW w:w="249" w:type="dxa"/>
            <w:tcBorders>
              <w:top w:val="nil"/>
              <w:bottom w:val="nil"/>
            </w:tcBorders>
            <w:shd w:val="clear" w:color="auto" w:fill="66CCFF"/>
          </w:tcPr>
          <w:p w14:paraId="672F989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7FD296D"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362B154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DDB7CF0" w14:textId="77777777" w:rsidR="00DD3EFA" w:rsidRPr="005A0E7C" w:rsidRDefault="00DD3EFA" w:rsidP="00B15ECB">
            <w:pPr>
              <w:spacing w:before="60" w:after="60"/>
              <w:rPr>
                <w:rFonts w:eastAsiaTheme="majorEastAsia"/>
              </w:rPr>
            </w:pPr>
            <w:r w:rsidRPr="005A0E7C">
              <w:rPr>
                <w:b/>
              </w:rPr>
              <w:t xml:space="preserve">Rostoucí mobilita </w:t>
            </w:r>
          </w:p>
          <w:p w14:paraId="5854D59C" w14:textId="77777777" w:rsidR="00DD3EFA" w:rsidRPr="005A0E7C" w:rsidRDefault="00DD3EFA" w:rsidP="00B15ECB">
            <w:pPr>
              <w:spacing w:before="40"/>
            </w:pPr>
            <w:r w:rsidRPr="005A0E7C">
              <w:t>Dochází ke zvýšenému pohybu lidí, zboží, ale s tím také rostoucí environmentální zátěže.</w:t>
            </w:r>
          </w:p>
          <w:p w14:paraId="49939405" w14:textId="77777777" w:rsidR="00DD3EFA" w:rsidRPr="005A0E7C" w:rsidRDefault="00DD3EFA" w:rsidP="00B15ECB">
            <w:pPr>
              <w:spacing w:before="40"/>
            </w:pPr>
            <w:r w:rsidRPr="005A0E7C">
              <w:rPr>
                <w:b/>
              </w:rPr>
              <w:t xml:space="preserve">Urbanizace </w:t>
            </w:r>
          </w:p>
          <w:p w14:paraId="3DA24F32" w14:textId="77777777" w:rsidR="00DD3EFA" w:rsidRPr="005A0E7C" w:rsidRDefault="00DD3EFA" w:rsidP="00B15ECB">
            <w:pPr>
              <w:spacing w:before="40"/>
            </w:pPr>
            <w:r w:rsidRPr="005A0E7C">
              <w:t xml:space="preserve">Stěhování lidí z venkova do měst a jejich zázemí pokračuje bez ohledu na rostoucí negativa, která s sebou přináší. </w:t>
            </w:r>
          </w:p>
          <w:p w14:paraId="16C500AA" w14:textId="77777777" w:rsidR="00DD3EFA" w:rsidRPr="005A0E7C" w:rsidRDefault="00DD3EFA" w:rsidP="00B15ECB">
            <w:pPr>
              <w:spacing w:before="40"/>
            </w:pPr>
            <w:r w:rsidRPr="005A0E7C">
              <w:rPr>
                <w:b/>
              </w:rPr>
              <w:t>Rostoucí spotřeba energie</w:t>
            </w:r>
          </w:p>
          <w:p w14:paraId="1EB748E2" w14:textId="77777777" w:rsidR="00DD3EFA" w:rsidRPr="005A0E7C" w:rsidRDefault="00DD3EFA" w:rsidP="00B15ECB">
            <w:pPr>
              <w:spacing w:before="40" w:after="160" w:line="259" w:lineRule="auto"/>
            </w:pPr>
            <w:r w:rsidRPr="005A0E7C">
              <w:t>Energetická náročnost lidské činnosti narůstá v souvislosti s rostoucím bohatstvím a populační expanzí.</w:t>
            </w:r>
          </w:p>
          <w:p w14:paraId="7873D8BF" w14:textId="77777777" w:rsidR="00DD3EFA" w:rsidRPr="005A0E7C" w:rsidRDefault="00DD3EFA" w:rsidP="00B15ECB">
            <w:pPr>
              <w:spacing w:before="40" w:after="160" w:line="259" w:lineRule="auto"/>
            </w:pPr>
            <w:r w:rsidRPr="005A0E7C">
              <w:rPr>
                <w:b/>
              </w:rPr>
              <w:t>Změna klimatu a její dopady</w:t>
            </w:r>
          </w:p>
          <w:p w14:paraId="0F4EFEA4" w14:textId="77777777" w:rsidR="00DD3EFA" w:rsidRPr="005A0E7C" w:rsidRDefault="00DD3EFA" w:rsidP="00B15ECB">
            <w:pPr>
              <w:spacing w:before="40" w:after="160" w:line="259" w:lineRule="auto"/>
            </w:pPr>
            <w:r w:rsidRPr="005A0E7C">
              <w:t>Změna klimatu zásadně ovlivňuje nejen životní prostředí, ale i všechny hospodářské sektory a tím i kvalitu života celé společnosti.</w:t>
            </w:r>
          </w:p>
        </w:tc>
        <w:tc>
          <w:tcPr>
            <w:tcW w:w="249" w:type="dxa"/>
            <w:tcBorders>
              <w:top w:val="nil"/>
              <w:bottom w:val="nil"/>
            </w:tcBorders>
            <w:shd w:val="clear" w:color="auto" w:fill="66CCFF"/>
          </w:tcPr>
          <w:p w14:paraId="648B98BE" w14:textId="77777777" w:rsidR="00DD3EFA" w:rsidRPr="005A0E7C" w:rsidRDefault="00DD3EFA" w:rsidP="00B15ECB">
            <w:pPr>
              <w:rPr>
                <w:b/>
              </w:rPr>
            </w:pPr>
          </w:p>
        </w:tc>
      </w:tr>
      <w:tr w:rsidR="00DD3EFA" w:rsidRPr="005A0E7C" w14:paraId="0AE441F6" w14:textId="77777777" w:rsidTr="00B15ECB">
        <w:trPr>
          <w:trHeight w:val="1202"/>
        </w:trPr>
        <w:tc>
          <w:tcPr>
            <w:tcW w:w="249" w:type="dxa"/>
            <w:tcBorders>
              <w:top w:val="nil"/>
              <w:bottom w:val="nil"/>
            </w:tcBorders>
            <w:shd w:val="clear" w:color="auto" w:fill="66CCFF"/>
          </w:tcPr>
          <w:p w14:paraId="04E429D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024CC81"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5EC656B0" w14:textId="77777777" w:rsidR="00DD3EFA" w:rsidRPr="005A0E7C" w:rsidRDefault="00DD3EFA" w:rsidP="00B15ECB">
            <w:pPr>
              <w:spacing w:before="60" w:after="60"/>
              <w:rPr>
                <w:rFonts w:eastAsiaTheme="majorEastAsia"/>
                <w:b/>
              </w:rPr>
            </w:pPr>
            <w:r w:rsidRPr="005A0E7C">
              <w:rPr>
                <w:rFonts w:eastAsiaTheme="majorEastAsia"/>
                <w:b/>
              </w:rPr>
              <w:t>Politický cíl ON:</w:t>
            </w:r>
          </w:p>
          <w:p w14:paraId="79F8985E" w14:textId="77777777" w:rsidR="00DD3EFA" w:rsidRPr="005A0E7C" w:rsidRDefault="00DD3EFA" w:rsidP="00B15ECB">
            <w:pPr>
              <w:spacing w:before="60" w:after="60"/>
              <w:rPr>
                <w:rFonts w:eastAsiaTheme="majorEastAsia"/>
              </w:rPr>
            </w:pPr>
            <w:r w:rsidRPr="005A0E7C">
              <w:rPr>
                <w:rFonts w:eastAsiaTheme="majorEastAsia"/>
              </w:rPr>
              <w:t xml:space="preserve">Zelenější, nízkouhlíková Evropa díky podpoře přechodu na čistou a spravedlivou energii, zelených a modrých investic, oběhového hospodářství, přizpůsobení se změnám klimatu a prevence a řízení rizik </w:t>
            </w:r>
          </w:p>
          <w:p w14:paraId="50FA46B5" w14:textId="77777777" w:rsidR="00DD3EFA" w:rsidRPr="005A0E7C" w:rsidRDefault="00DD3EFA" w:rsidP="00B15ECB">
            <w:pPr>
              <w:spacing w:before="60" w:after="60"/>
              <w:rPr>
                <w:rFonts w:eastAsiaTheme="majorEastAsia"/>
                <w:b/>
              </w:rPr>
            </w:pPr>
            <w:r w:rsidRPr="005A0E7C">
              <w:rPr>
                <w:rFonts w:eastAsiaTheme="majorEastAsia"/>
                <w:b/>
              </w:rPr>
              <w:t>Specifické cíle EFRR/FS:</w:t>
            </w:r>
          </w:p>
          <w:p w14:paraId="2C7771A3" w14:textId="77777777" w:rsidR="00DD3EFA" w:rsidRPr="005A0E7C" w:rsidRDefault="00DD3EFA" w:rsidP="00B15ECB">
            <w:pPr>
              <w:spacing w:before="60" w:after="60"/>
              <w:rPr>
                <w:rFonts w:eastAsiaTheme="majorEastAsia"/>
              </w:rPr>
            </w:pPr>
            <w:r w:rsidRPr="005A0E7C">
              <w:rPr>
                <w:rFonts w:eastAsiaTheme="majorEastAsia"/>
              </w:rPr>
              <w:t>čl. 2 odst. 1 písm. b viii)</w:t>
            </w:r>
          </w:p>
          <w:p w14:paraId="7D4F328F" w14:textId="77777777" w:rsidR="00DD3EFA" w:rsidRPr="005A0E7C" w:rsidRDefault="00DD3EFA" w:rsidP="00B15ECB">
            <w:pPr>
              <w:spacing w:before="60" w:after="60"/>
              <w:rPr>
                <w:rFonts w:eastAsiaTheme="majorEastAsia"/>
              </w:rPr>
            </w:pPr>
            <w:r w:rsidRPr="005A0E7C">
              <w:rPr>
                <w:rFonts w:eastAsiaTheme="majorEastAsia"/>
              </w:rPr>
              <w:t>podpora udržitelné multimodální městské mobility</w:t>
            </w:r>
          </w:p>
          <w:p w14:paraId="62538891" w14:textId="77777777" w:rsidR="00DD3EFA" w:rsidRPr="005A0E7C" w:rsidRDefault="00DD3EFA" w:rsidP="00B15ECB">
            <w:pPr>
              <w:rPr>
                <w:color w:val="000000"/>
              </w:rPr>
            </w:pPr>
            <w:r w:rsidRPr="005A0E7C">
              <w:rPr>
                <w:color w:val="000000"/>
              </w:rPr>
              <w:t>CP</w:t>
            </w:r>
          </w:p>
          <w:p w14:paraId="39AAFCD1" w14:textId="77777777" w:rsidR="00DD3EFA" w:rsidRPr="005A0E7C" w:rsidRDefault="00DD3EFA" w:rsidP="00B15ECB">
            <w:pPr>
              <w:rPr>
                <w:color w:val="000000"/>
              </w:rPr>
            </w:pPr>
            <w:r w:rsidRPr="005A0E7C">
              <w:rPr>
                <w:color w:val="000000"/>
              </w:rPr>
              <w:t>2. A greener, low-carbon and resilient Europe by promoting clean and fair energy transition, green and blue investment, the circular economy, climate adaptation and risk prevention and management</w:t>
            </w:r>
          </w:p>
          <w:p w14:paraId="6FB1A51B" w14:textId="77777777" w:rsidR="00DD3EFA" w:rsidRPr="005A0E7C" w:rsidRDefault="00DD3EFA" w:rsidP="00B15ECB">
            <w:pPr>
              <w:rPr>
                <w:color w:val="000000"/>
              </w:rPr>
            </w:pPr>
            <w:r w:rsidRPr="005A0E7C">
              <w:rPr>
                <w:color w:val="000000"/>
              </w:rPr>
              <w:t>(viii) Promoting sustainable multimodal urban mobility</w:t>
            </w:r>
          </w:p>
          <w:p w14:paraId="0D17EC15" w14:textId="77777777" w:rsidR="00DD3EFA" w:rsidRPr="005A0E7C" w:rsidRDefault="00DD3EFA" w:rsidP="00B15ECB">
            <w:pPr>
              <w:rPr>
                <w:color w:val="000000"/>
              </w:rPr>
            </w:pPr>
            <w:r w:rsidRPr="005A0E7C">
              <w:rPr>
                <w:color w:val="000000"/>
              </w:rPr>
              <w:t>CP</w:t>
            </w:r>
          </w:p>
          <w:p w14:paraId="69C88B10" w14:textId="77777777" w:rsidR="00DD3EFA" w:rsidRPr="005A0E7C" w:rsidRDefault="00DD3EFA" w:rsidP="00B15ECB">
            <w:pPr>
              <w:rPr>
                <w:color w:val="000000"/>
              </w:rPr>
            </w:pPr>
            <w:r w:rsidRPr="005A0E7C">
              <w:rPr>
                <w:color w:val="000000"/>
              </w:rPr>
              <w:t>3. A more connected Europe by enhancing mobility and regional ICT connectivity</w:t>
            </w:r>
          </w:p>
          <w:p w14:paraId="4D8BCFCF" w14:textId="77777777" w:rsidR="00DD3EFA" w:rsidRPr="005A0E7C" w:rsidRDefault="00DD3EFA" w:rsidP="00B15ECB">
            <w:pPr>
              <w:spacing w:before="60" w:after="60"/>
              <w:rPr>
                <w:rFonts w:eastAsiaTheme="majorEastAsia"/>
                <w:i/>
              </w:rPr>
            </w:pPr>
            <w:r w:rsidRPr="005A0E7C">
              <w:rPr>
                <w:color w:val="000000"/>
              </w:rPr>
              <w:t>(ii) Developing a sustainable, climate resilient, intelligent, secure and intermodal TEN-T</w:t>
            </w:r>
          </w:p>
        </w:tc>
        <w:tc>
          <w:tcPr>
            <w:tcW w:w="249" w:type="dxa"/>
            <w:tcBorders>
              <w:top w:val="nil"/>
              <w:bottom w:val="nil"/>
            </w:tcBorders>
            <w:shd w:val="clear" w:color="auto" w:fill="66CCFF"/>
          </w:tcPr>
          <w:p w14:paraId="07B020BA" w14:textId="77777777" w:rsidR="00DD3EFA" w:rsidRPr="005A0E7C" w:rsidRDefault="00DD3EFA" w:rsidP="00B15ECB">
            <w:pPr>
              <w:rPr>
                <w:b/>
              </w:rPr>
            </w:pPr>
          </w:p>
        </w:tc>
      </w:tr>
      <w:tr w:rsidR="00DD3EFA" w:rsidRPr="005A0E7C" w14:paraId="0DC20980" w14:textId="77777777" w:rsidTr="00B15ECB">
        <w:trPr>
          <w:trHeight w:val="1202"/>
        </w:trPr>
        <w:tc>
          <w:tcPr>
            <w:tcW w:w="249" w:type="dxa"/>
            <w:tcBorders>
              <w:top w:val="nil"/>
              <w:bottom w:val="nil"/>
            </w:tcBorders>
            <w:shd w:val="clear" w:color="auto" w:fill="66CCFF"/>
          </w:tcPr>
          <w:p w14:paraId="71C32B4B"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760CD8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07B9F330" w14:textId="77777777" w:rsidR="00DD3EFA" w:rsidRPr="005A0E7C" w:rsidRDefault="00DD3EFA" w:rsidP="00B15ECB">
            <w:pPr>
              <w:spacing w:before="60" w:after="60"/>
              <w:rPr>
                <w:rFonts w:eastAsiaTheme="majorEastAsia"/>
                <w:i/>
              </w:rPr>
            </w:pPr>
            <w:r w:rsidRPr="005A0E7C">
              <w:rPr>
                <w:rFonts w:eastAsiaTheme="majorEastAsia"/>
              </w:rPr>
              <w:t xml:space="preserve">Vybraná specifická doporučení Rady </w:t>
            </w:r>
            <w:r w:rsidRPr="005A0E7C">
              <w:rPr>
                <w:rFonts w:eastAsiaTheme="majorEastAsia"/>
                <w:i/>
              </w:rPr>
              <w:t>(Address weaknesses in public procurement practices…)</w:t>
            </w:r>
            <w:r w:rsidRPr="005A0E7C">
              <w:rPr>
                <w:rFonts w:eastAsiaTheme="majorEastAsia"/>
              </w:rPr>
              <w:t xml:space="preserve"> směřují k bariérám ovlivňujícím implementaci specifického cíle NKR.</w:t>
            </w:r>
          </w:p>
        </w:tc>
        <w:tc>
          <w:tcPr>
            <w:tcW w:w="249" w:type="dxa"/>
            <w:tcBorders>
              <w:top w:val="nil"/>
              <w:bottom w:val="nil"/>
            </w:tcBorders>
            <w:shd w:val="clear" w:color="auto" w:fill="66CCFF"/>
          </w:tcPr>
          <w:p w14:paraId="03B339EE" w14:textId="77777777" w:rsidR="00DD3EFA" w:rsidRPr="005A0E7C" w:rsidRDefault="00DD3EFA" w:rsidP="00B15ECB">
            <w:pPr>
              <w:rPr>
                <w:b/>
              </w:rPr>
            </w:pPr>
          </w:p>
        </w:tc>
      </w:tr>
      <w:tr w:rsidR="00DD3EFA" w:rsidRPr="005A0E7C" w14:paraId="4CC08ECC" w14:textId="77777777" w:rsidTr="00B15ECB">
        <w:trPr>
          <w:trHeight w:val="180"/>
        </w:trPr>
        <w:tc>
          <w:tcPr>
            <w:tcW w:w="249" w:type="dxa"/>
            <w:tcBorders>
              <w:top w:val="nil"/>
              <w:bottom w:val="nil"/>
              <w:right w:val="nil"/>
            </w:tcBorders>
            <w:shd w:val="clear" w:color="auto" w:fill="66CCFF"/>
          </w:tcPr>
          <w:p w14:paraId="67F32327" w14:textId="77777777" w:rsidR="00DD3EFA" w:rsidRPr="005A0E7C" w:rsidRDefault="00DD3EFA" w:rsidP="00B15ECB">
            <w:pPr>
              <w:rPr>
                <w:b/>
              </w:rPr>
            </w:pPr>
          </w:p>
        </w:tc>
        <w:tc>
          <w:tcPr>
            <w:tcW w:w="2548" w:type="dxa"/>
            <w:tcBorders>
              <w:left w:val="nil"/>
              <w:right w:val="nil"/>
            </w:tcBorders>
            <w:shd w:val="clear" w:color="auto" w:fill="66CCFF"/>
          </w:tcPr>
          <w:p w14:paraId="75987D16" w14:textId="77777777" w:rsidR="00DD3EFA" w:rsidRPr="005A0E7C" w:rsidRDefault="00DD3EFA" w:rsidP="00B15ECB">
            <w:pPr>
              <w:rPr>
                <w:b/>
              </w:rPr>
            </w:pPr>
          </w:p>
        </w:tc>
        <w:tc>
          <w:tcPr>
            <w:tcW w:w="5978" w:type="dxa"/>
            <w:tcBorders>
              <w:left w:val="nil"/>
              <w:right w:val="nil"/>
            </w:tcBorders>
            <w:shd w:val="clear" w:color="auto" w:fill="66CCFF"/>
          </w:tcPr>
          <w:p w14:paraId="7603A0BC" w14:textId="77777777" w:rsidR="00DD3EFA" w:rsidRPr="005A0E7C" w:rsidRDefault="00DD3EFA" w:rsidP="00B15ECB">
            <w:pPr>
              <w:rPr>
                <w:b/>
              </w:rPr>
            </w:pPr>
          </w:p>
        </w:tc>
        <w:tc>
          <w:tcPr>
            <w:tcW w:w="249" w:type="dxa"/>
            <w:tcBorders>
              <w:top w:val="nil"/>
              <w:left w:val="nil"/>
              <w:bottom w:val="nil"/>
            </w:tcBorders>
            <w:shd w:val="clear" w:color="auto" w:fill="66CCFF"/>
          </w:tcPr>
          <w:p w14:paraId="043A544C" w14:textId="77777777" w:rsidR="00DD3EFA" w:rsidRPr="005A0E7C" w:rsidRDefault="00DD3EFA" w:rsidP="00B15ECB">
            <w:pPr>
              <w:rPr>
                <w:b/>
              </w:rPr>
            </w:pPr>
          </w:p>
        </w:tc>
      </w:tr>
      <w:tr w:rsidR="00DD3EFA" w:rsidRPr="005A0E7C" w14:paraId="179DABBA" w14:textId="77777777" w:rsidTr="00B15ECB">
        <w:trPr>
          <w:trHeight w:val="938"/>
        </w:trPr>
        <w:tc>
          <w:tcPr>
            <w:tcW w:w="249" w:type="dxa"/>
            <w:tcBorders>
              <w:top w:val="nil"/>
              <w:bottom w:val="nil"/>
            </w:tcBorders>
            <w:shd w:val="clear" w:color="auto" w:fill="66CCFF"/>
          </w:tcPr>
          <w:p w14:paraId="123301E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9DBB914"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0D5811C8"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06AECD2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7B00D3B6" w14:textId="77777777" w:rsidR="00DD3EFA" w:rsidRPr="005A0E7C" w:rsidRDefault="00DD3EFA" w:rsidP="00B15ECB">
            <w:r w:rsidRPr="005A0E7C">
              <w:t>Problematika je koncepčně částečně řešena v Akčním plánu zavádění inteligentních dopravních systémů v ČR pro období 2014 – 2018 (AP ITS)</w:t>
            </w:r>
          </w:p>
          <w:p w14:paraId="69C6F410" w14:textId="77777777" w:rsidR="00DD3EFA" w:rsidRPr="005A0E7C" w:rsidRDefault="00DD3EFA" w:rsidP="00B15ECB">
            <w:pPr>
              <w:rPr>
                <w:i/>
              </w:rPr>
            </w:pPr>
          </w:p>
          <w:p w14:paraId="108DE8E6"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2F2C864A" w14:textId="77777777" w:rsidR="00DD3EFA" w:rsidRPr="005A0E7C" w:rsidRDefault="00DD3EFA" w:rsidP="00B15ECB">
            <w:r w:rsidRPr="005A0E7C">
              <w:t>Akční plán pro automatizované řízení</w:t>
            </w:r>
          </w:p>
          <w:p w14:paraId="5A288A57" w14:textId="77777777" w:rsidR="00DD3EFA" w:rsidRPr="005A0E7C" w:rsidRDefault="00DD3EFA" w:rsidP="00B15ECB">
            <w:r w:rsidRPr="005A0E7C">
              <w:t>Národní program snižování emisí ČR</w:t>
            </w:r>
          </w:p>
          <w:p w14:paraId="6050140E" w14:textId="77777777" w:rsidR="00DD3EFA" w:rsidRPr="005A0E7C" w:rsidRDefault="00DD3EFA" w:rsidP="00B15ECB">
            <w:r w:rsidRPr="005A0E7C">
              <w:t>Akční plán o budoucnosti automobilového průmyslu v ČRProgramy zlepšování kvality ovzduší</w:t>
            </w:r>
          </w:p>
          <w:p w14:paraId="7B1E3EDD" w14:textId="77777777" w:rsidR="00DD3EFA" w:rsidRPr="005A0E7C" w:rsidRDefault="00DD3EFA" w:rsidP="00B15ECB">
            <w:r w:rsidRPr="005A0E7C">
              <w:t>Střednědobá strategie zlepšení kvality ovzduší v ČR</w:t>
            </w:r>
          </w:p>
          <w:p w14:paraId="525EA60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Politika územního rozvoje ČR</w:t>
            </w:r>
          </w:p>
        </w:tc>
        <w:tc>
          <w:tcPr>
            <w:tcW w:w="249" w:type="dxa"/>
            <w:tcBorders>
              <w:top w:val="nil"/>
              <w:bottom w:val="nil"/>
            </w:tcBorders>
            <w:shd w:val="clear" w:color="auto" w:fill="66CCFF"/>
          </w:tcPr>
          <w:p w14:paraId="14157E5F" w14:textId="77777777" w:rsidR="00DD3EFA" w:rsidRPr="005A0E7C" w:rsidRDefault="00DD3EFA" w:rsidP="00B15ECB">
            <w:pPr>
              <w:rPr>
                <w:b/>
              </w:rPr>
            </w:pPr>
          </w:p>
        </w:tc>
      </w:tr>
      <w:tr w:rsidR="00DD3EFA" w:rsidRPr="005A0E7C" w14:paraId="686D88CA" w14:textId="77777777" w:rsidTr="00B15ECB">
        <w:trPr>
          <w:trHeight w:val="938"/>
        </w:trPr>
        <w:tc>
          <w:tcPr>
            <w:tcW w:w="249" w:type="dxa"/>
            <w:tcBorders>
              <w:top w:val="nil"/>
              <w:bottom w:val="nil"/>
            </w:tcBorders>
            <w:shd w:val="clear" w:color="auto" w:fill="66CCFF"/>
          </w:tcPr>
          <w:p w14:paraId="16D1AE4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5188E8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1A1F85C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65B6BB2"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ITS představují především příležitost pro zvýšení efektivnosti stávajícího dopravního systému a mohou přispět k řešení většiny problémů a potřeb napříč všemi oblastmi dopravy (více viz cíle níže).</w:t>
            </w:r>
          </w:p>
        </w:tc>
        <w:tc>
          <w:tcPr>
            <w:tcW w:w="249" w:type="dxa"/>
            <w:tcBorders>
              <w:top w:val="nil"/>
              <w:bottom w:val="nil"/>
            </w:tcBorders>
            <w:shd w:val="clear" w:color="auto" w:fill="66CCFF"/>
          </w:tcPr>
          <w:p w14:paraId="3C3F6E0C" w14:textId="77777777" w:rsidR="00DD3EFA" w:rsidRPr="005A0E7C" w:rsidRDefault="00DD3EFA" w:rsidP="00B15ECB">
            <w:pPr>
              <w:rPr>
                <w:b/>
              </w:rPr>
            </w:pPr>
          </w:p>
        </w:tc>
      </w:tr>
      <w:tr w:rsidR="00DD3EFA" w:rsidRPr="005A0E7C" w14:paraId="1949280B" w14:textId="77777777" w:rsidTr="00B15ECB">
        <w:trPr>
          <w:trHeight w:val="938"/>
        </w:trPr>
        <w:tc>
          <w:tcPr>
            <w:tcW w:w="249" w:type="dxa"/>
            <w:tcBorders>
              <w:top w:val="nil"/>
              <w:bottom w:val="nil"/>
            </w:tcBorders>
            <w:shd w:val="clear" w:color="auto" w:fill="66CCFF"/>
          </w:tcPr>
          <w:p w14:paraId="4D25A3B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805B63C"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4E2CFC14"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ECF74C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Trvale zvyšovat efektivitu dopravního systému v ČR (zvyšovat bezpečnost a plynulost dopravního provozu, koordinovat, synchronizovat a optimalizovat přepravu cestujících a pohyby zásilek po síti jednotlivých druhů dopravy, dále snižovat účinky dopravy na životní prostředí a tím pomáhat zvyšovat kvalitu života všech obyvatel).</w:t>
            </w:r>
          </w:p>
          <w:p w14:paraId="67BF5373"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Strategické cíle:</w:t>
            </w:r>
          </w:p>
          <w:p w14:paraId="31F15139" w14:textId="77777777" w:rsidR="00DD3EFA" w:rsidRPr="005A0E7C" w:rsidRDefault="00DD3EFA" w:rsidP="00391907">
            <w:pPr>
              <w:pStyle w:val="slovanodstavec"/>
              <w:numPr>
                <w:ilvl w:val="0"/>
                <w:numId w:val="93"/>
              </w:numPr>
              <w:tabs>
                <w:tab w:val="clear" w:pos="567"/>
                <w:tab w:val="left" w:pos="284"/>
              </w:tabs>
              <w:suppressAutoHyphens/>
              <w:spacing w:line="240" w:lineRule="auto"/>
              <w:jc w:val="left"/>
              <w:rPr>
                <w:rFonts w:ascii="Times New Roman" w:hAnsi="Times New Roman"/>
              </w:rPr>
            </w:pPr>
            <w:r w:rsidRPr="005A0E7C">
              <w:rPr>
                <w:rFonts w:ascii="Times New Roman" w:hAnsi="Times New Roman"/>
              </w:rPr>
              <w:t>Efektivní, inteligentní a dopravní infrastruktura s kvalifikovaným obslužným personálem</w:t>
            </w:r>
          </w:p>
          <w:p w14:paraId="11C5C782" w14:textId="77777777" w:rsidR="00DD3EFA" w:rsidRPr="005A0E7C" w:rsidRDefault="00DD3EFA" w:rsidP="00391907">
            <w:pPr>
              <w:pStyle w:val="slovanodstavec"/>
              <w:numPr>
                <w:ilvl w:val="0"/>
                <w:numId w:val="93"/>
              </w:numPr>
              <w:tabs>
                <w:tab w:val="clear" w:pos="567"/>
                <w:tab w:val="left" w:pos="284"/>
              </w:tabs>
              <w:suppressAutoHyphens/>
              <w:spacing w:line="240" w:lineRule="auto"/>
              <w:jc w:val="left"/>
              <w:rPr>
                <w:rFonts w:ascii="Times New Roman" w:hAnsi="Times New Roman"/>
              </w:rPr>
            </w:pPr>
            <w:r w:rsidRPr="005A0E7C">
              <w:rPr>
                <w:rFonts w:ascii="Times New Roman" w:hAnsi="Times New Roman"/>
              </w:rPr>
              <w:t>Zajištění plynulosti dopravního provozu a s tím spojené snížení celkových časových ztrát v dopravním provozu</w:t>
            </w:r>
          </w:p>
          <w:p w14:paraId="6B838ADC" w14:textId="77777777" w:rsidR="00DD3EFA" w:rsidRPr="005A0E7C" w:rsidRDefault="00DD3EFA" w:rsidP="00391907">
            <w:pPr>
              <w:pStyle w:val="slovanodstavec"/>
              <w:numPr>
                <w:ilvl w:val="0"/>
                <w:numId w:val="93"/>
              </w:numPr>
              <w:tabs>
                <w:tab w:val="clear" w:pos="567"/>
                <w:tab w:val="left" w:pos="284"/>
              </w:tabs>
              <w:suppressAutoHyphens/>
              <w:spacing w:line="240" w:lineRule="auto"/>
              <w:jc w:val="left"/>
              <w:rPr>
                <w:rFonts w:ascii="Times New Roman" w:hAnsi="Times New Roman"/>
              </w:rPr>
            </w:pPr>
            <w:r w:rsidRPr="005A0E7C">
              <w:rPr>
                <w:rFonts w:ascii="Times New Roman" w:hAnsi="Times New Roman"/>
              </w:rPr>
              <w:t>Zvýšení bezpečnosti dopravního provozu</w:t>
            </w:r>
          </w:p>
          <w:p w14:paraId="30730273" w14:textId="77777777" w:rsidR="00DD3EFA" w:rsidRPr="005A0E7C" w:rsidRDefault="00DD3EFA" w:rsidP="00391907">
            <w:pPr>
              <w:pStyle w:val="slovanodstavec"/>
              <w:numPr>
                <w:ilvl w:val="0"/>
                <w:numId w:val="93"/>
              </w:numPr>
              <w:tabs>
                <w:tab w:val="clear" w:pos="567"/>
                <w:tab w:val="left" w:pos="284"/>
              </w:tabs>
              <w:suppressAutoHyphens/>
              <w:spacing w:line="240" w:lineRule="auto"/>
              <w:jc w:val="left"/>
              <w:rPr>
                <w:rFonts w:ascii="Times New Roman" w:hAnsi="Times New Roman"/>
              </w:rPr>
            </w:pPr>
            <w:r w:rsidRPr="005A0E7C">
              <w:rPr>
                <w:rFonts w:ascii="Times New Roman" w:hAnsi="Times New Roman"/>
              </w:rPr>
              <w:t>Snížení závažného porušování pravidel silničního provozu a zamezení závažného protiprávního jednání v dopravě</w:t>
            </w:r>
          </w:p>
          <w:p w14:paraId="4731B83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Opatření viz kapitola 9 AP ITS.</w:t>
            </w:r>
          </w:p>
        </w:tc>
        <w:tc>
          <w:tcPr>
            <w:tcW w:w="249" w:type="dxa"/>
            <w:tcBorders>
              <w:top w:val="nil"/>
              <w:bottom w:val="nil"/>
            </w:tcBorders>
            <w:shd w:val="clear" w:color="auto" w:fill="66CCFF"/>
          </w:tcPr>
          <w:p w14:paraId="5975DA6B" w14:textId="77777777" w:rsidR="00DD3EFA" w:rsidRPr="005A0E7C" w:rsidRDefault="00DD3EFA" w:rsidP="00B15ECB">
            <w:pPr>
              <w:rPr>
                <w:b/>
              </w:rPr>
            </w:pPr>
          </w:p>
        </w:tc>
      </w:tr>
      <w:tr w:rsidR="00DD3EFA" w:rsidRPr="005A0E7C" w14:paraId="5A4195DE" w14:textId="77777777" w:rsidTr="00B15ECB">
        <w:trPr>
          <w:trHeight w:val="938"/>
        </w:trPr>
        <w:tc>
          <w:tcPr>
            <w:tcW w:w="249" w:type="dxa"/>
            <w:tcBorders>
              <w:top w:val="nil"/>
              <w:bottom w:val="nil"/>
            </w:tcBorders>
            <w:shd w:val="clear" w:color="auto" w:fill="66CCFF"/>
          </w:tcPr>
          <w:p w14:paraId="2691FA6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940E590"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59B3A778"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C2C7E7C"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Viz Implementační plán k Akčnímu plánu rozvoje inteligentních dopravních systémů (ITS) v České republice do roku 2020.</w:t>
            </w:r>
          </w:p>
        </w:tc>
        <w:tc>
          <w:tcPr>
            <w:tcW w:w="249" w:type="dxa"/>
            <w:tcBorders>
              <w:top w:val="nil"/>
              <w:bottom w:val="nil"/>
            </w:tcBorders>
            <w:shd w:val="clear" w:color="auto" w:fill="66CCFF"/>
          </w:tcPr>
          <w:p w14:paraId="31FD375C" w14:textId="77777777" w:rsidR="00DD3EFA" w:rsidRPr="005A0E7C" w:rsidRDefault="00DD3EFA" w:rsidP="00B15ECB">
            <w:pPr>
              <w:rPr>
                <w:b/>
              </w:rPr>
            </w:pPr>
          </w:p>
        </w:tc>
      </w:tr>
      <w:tr w:rsidR="00DD3EFA" w:rsidRPr="005A0E7C" w14:paraId="04216784" w14:textId="77777777" w:rsidTr="00B15ECB">
        <w:trPr>
          <w:trHeight w:val="938"/>
        </w:trPr>
        <w:tc>
          <w:tcPr>
            <w:tcW w:w="249" w:type="dxa"/>
            <w:tcBorders>
              <w:top w:val="nil"/>
              <w:bottom w:val="nil"/>
            </w:tcBorders>
            <w:shd w:val="clear" w:color="auto" w:fill="66CCFF"/>
          </w:tcPr>
          <w:p w14:paraId="211F508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95FF2BA"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00EF9434"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Viz Příloha č. 1 AP ITS</w:t>
            </w:r>
          </w:p>
        </w:tc>
        <w:tc>
          <w:tcPr>
            <w:tcW w:w="249" w:type="dxa"/>
            <w:tcBorders>
              <w:top w:val="nil"/>
              <w:bottom w:val="nil"/>
            </w:tcBorders>
            <w:shd w:val="clear" w:color="auto" w:fill="66CCFF"/>
          </w:tcPr>
          <w:p w14:paraId="02153F13" w14:textId="77777777" w:rsidR="00DD3EFA" w:rsidRPr="005A0E7C" w:rsidRDefault="00DD3EFA" w:rsidP="00B15ECB">
            <w:pPr>
              <w:rPr>
                <w:b/>
              </w:rPr>
            </w:pPr>
          </w:p>
        </w:tc>
      </w:tr>
      <w:tr w:rsidR="00DD3EFA" w:rsidRPr="005A0E7C" w14:paraId="28A58E50" w14:textId="77777777" w:rsidTr="00B15ECB">
        <w:trPr>
          <w:trHeight w:val="130"/>
        </w:trPr>
        <w:tc>
          <w:tcPr>
            <w:tcW w:w="249" w:type="dxa"/>
            <w:tcBorders>
              <w:top w:val="nil"/>
              <w:bottom w:val="nil"/>
              <w:right w:val="nil"/>
            </w:tcBorders>
            <w:shd w:val="clear" w:color="auto" w:fill="66CCFF"/>
          </w:tcPr>
          <w:p w14:paraId="108CE6FE" w14:textId="77777777" w:rsidR="00DD3EFA" w:rsidRPr="005A0E7C" w:rsidRDefault="00DD3EFA" w:rsidP="00B15ECB">
            <w:pPr>
              <w:rPr>
                <w:b/>
              </w:rPr>
            </w:pPr>
          </w:p>
        </w:tc>
        <w:tc>
          <w:tcPr>
            <w:tcW w:w="2548" w:type="dxa"/>
            <w:tcBorders>
              <w:left w:val="nil"/>
              <w:right w:val="nil"/>
            </w:tcBorders>
            <w:shd w:val="clear" w:color="auto" w:fill="66CCFF"/>
          </w:tcPr>
          <w:p w14:paraId="088653AC" w14:textId="77777777" w:rsidR="00DD3EFA" w:rsidRPr="005A0E7C" w:rsidRDefault="00DD3EFA" w:rsidP="00B15ECB">
            <w:pPr>
              <w:rPr>
                <w:b/>
              </w:rPr>
            </w:pPr>
          </w:p>
        </w:tc>
        <w:tc>
          <w:tcPr>
            <w:tcW w:w="5978" w:type="dxa"/>
            <w:tcBorders>
              <w:left w:val="nil"/>
              <w:right w:val="nil"/>
            </w:tcBorders>
            <w:shd w:val="clear" w:color="auto" w:fill="66CCFF"/>
          </w:tcPr>
          <w:p w14:paraId="2444AD1A"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79B17A16" w14:textId="77777777" w:rsidR="00DD3EFA" w:rsidRPr="005A0E7C" w:rsidRDefault="00DD3EFA" w:rsidP="00B15ECB">
            <w:pPr>
              <w:rPr>
                <w:b/>
              </w:rPr>
            </w:pPr>
          </w:p>
        </w:tc>
      </w:tr>
      <w:tr w:rsidR="00DD3EFA" w:rsidRPr="005A0E7C" w14:paraId="223FA47C" w14:textId="77777777" w:rsidTr="00B15ECB">
        <w:trPr>
          <w:trHeight w:val="1258"/>
        </w:trPr>
        <w:tc>
          <w:tcPr>
            <w:tcW w:w="249" w:type="dxa"/>
            <w:tcBorders>
              <w:top w:val="nil"/>
              <w:bottom w:val="nil"/>
              <w:right w:val="nil"/>
            </w:tcBorders>
            <w:shd w:val="clear" w:color="auto" w:fill="66CCFF"/>
          </w:tcPr>
          <w:p w14:paraId="72515153" w14:textId="77777777" w:rsidR="00DD3EFA" w:rsidRPr="005A0E7C" w:rsidRDefault="00DD3EFA" w:rsidP="00B15ECB">
            <w:pPr>
              <w:rPr>
                <w:b/>
              </w:rPr>
            </w:pPr>
          </w:p>
        </w:tc>
        <w:tc>
          <w:tcPr>
            <w:tcW w:w="2548" w:type="dxa"/>
            <w:shd w:val="clear" w:color="auto" w:fill="FFFFFF" w:themeFill="background1"/>
          </w:tcPr>
          <w:p w14:paraId="34A9DB2F"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734A61A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ITS byly a jsou postupně podporovány z fondů EU v letech 2007–2013 a 2014–2020.</w:t>
            </w:r>
          </w:p>
          <w:p w14:paraId="0790493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V OPD řešeno v rámci </w:t>
            </w:r>
            <w:r w:rsidRPr="005A0E7C">
              <w:rPr>
                <w:rFonts w:ascii="Times New Roman" w:hAnsi="Times New Roman"/>
                <w:i/>
              </w:rPr>
              <w:t>PO 2 Silniční infrastruktura na síti TEN-T SC 2.3 Zlepšení řízení dopravního provozu a zvyšování bezpečnosti dopravního provozu ve městech</w:t>
            </w:r>
            <w:r w:rsidRPr="005A0E7C">
              <w:rPr>
                <w:rFonts w:ascii="Times New Roman" w:hAnsi="Times New Roman"/>
              </w:rPr>
              <w:t>. Absorpční kapacita i čerpání na uspokojivé úrovni, zejména v poslední době se čerpání zlepšuje.</w:t>
            </w:r>
          </w:p>
          <w:p w14:paraId="4556646E" w14:textId="77777777" w:rsidR="00DD3EFA" w:rsidRPr="005A0E7C" w:rsidRDefault="00DD3EFA" w:rsidP="00B15ECB">
            <w:pPr>
              <w:rPr>
                <w:b/>
              </w:rPr>
            </w:pPr>
            <w:r w:rsidRPr="005A0E7C">
              <w:t xml:space="preserve">IROP podporuje telematiku pro veřejnou dopravu v rámci SC 1.2 </w:t>
            </w:r>
            <w:r w:rsidRPr="005A0E7C">
              <w:rPr>
                <w:i/>
              </w:rPr>
              <w:t>Zvýšení podílu udržitelných forem dopravy</w:t>
            </w:r>
            <w:r w:rsidRPr="005A0E7C">
              <w:t xml:space="preserve">. </w:t>
            </w:r>
          </w:p>
        </w:tc>
        <w:tc>
          <w:tcPr>
            <w:tcW w:w="249" w:type="dxa"/>
            <w:tcBorders>
              <w:top w:val="nil"/>
              <w:left w:val="nil"/>
              <w:bottom w:val="nil"/>
            </w:tcBorders>
            <w:shd w:val="clear" w:color="auto" w:fill="66CCFF"/>
          </w:tcPr>
          <w:p w14:paraId="1E579D70" w14:textId="77777777" w:rsidR="00DD3EFA" w:rsidRPr="005A0E7C" w:rsidRDefault="00DD3EFA" w:rsidP="00B15ECB">
            <w:pPr>
              <w:rPr>
                <w:b/>
              </w:rPr>
            </w:pPr>
          </w:p>
        </w:tc>
      </w:tr>
      <w:tr w:rsidR="00DD3EFA" w:rsidRPr="005A0E7C" w14:paraId="17EEC88F" w14:textId="77777777" w:rsidTr="00B15ECB">
        <w:trPr>
          <w:trHeight w:val="1258"/>
        </w:trPr>
        <w:tc>
          <w:tcPr>
            <w:tcW w:w="249" w:type="dxa"/>
            <w:tcBorders>
              <w:top w:val="nil"/>
              <w:bottom w:val="nil"/>
              <w:right w:val="nil"/>
            </w:tcBorders>
            <w:shd w:val="clear" w:color="auto" w:fill="66CCFF"/>
          </w:tcPr>
          <w:p w14:paraId="7E95F7DE" w14:textId="77777777" w:rsidR="00DD3EFA" w:rsidRPr="005A0E7C" w:rsidRDefault="00DD3EFA" w:rsidP="00B15ECB">
            <w:pPr>
              <w:rPr>
                <w:b/>
              </w:rPr>
            </w:pPr>
          </w:p>
        </w:tc>
        <w:tc>
          <w:tcPr>
            <w:tcW w:w="2548" w:type="dxa"/>
            <w:shd w:val="clear" w:color="auto" w:fill="FFFFFF" w:themeFill="background1"/>
          </w:tcPr>
          <w:p w14:paraId="5A530325" w14:textId="77777777" w:rsidR="00DD3EFA" w:rsidRPr="005A0E7C" w:rsidRDefault="00DD3EFA" w:rsidP="00B15ECB">
            <w:pPr>
              <w:rPr>
                <w:rFonts w:eastAsiaTheme="majorEastAsia"/>
                <w:b/>
              </w:rPr>
            </w:pPr>
            <w:r w:rsidRPr="005A0E7C">
              <w:rPr>
                <w:rFonts w:eastAsiaTheme="majorEastAsia"/>
                <w:b/>
              </w:rPr>
              <w:t>Věcný posun oblasti</w:t>
            </w:r>
          </w:p>
          <w:p w14:paraId="3DAC9A41"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21A6741A" w14:textId="77777777" w:rsidR="00DD3EFA" w:rsidRPr="005A0E7C" w:rsidRDefault="00DD3EFA" w:rsidP="00B15ECB">
            <w:r w:rsidRPr="005A0E7C">
              <w:t xml:space="preserve">S technologickým pokrokem se zvyšuje důraz kladený na zavádění ITS i kvalita a rozsah zaváděných systémů. </w:t>
            </w:r>
          </w:p>
          <w:p w14:paraId="09C0BDAD" w14:textId="77777777" w:rsidR="00DD3EFA" w:rsidRPr="005A0E7C" w:rsidRDefault="00DD3EFA" w:rsidP="00B15ECB"/>
          <w:p w14:paraId="42393A1D" w14:textId="77777777" w:rsidR="00DD3EFA" w:rsidRPr="005A0E7C" w:rsidRDefault="00DD3EFA" w:rsidP="00B15ECB">
            <w:r w:rsidRPr="005A0E7C">
              <w:t>Specifický cíl 1.2 IROP v oblasti inteligentních dopravních systémů do konce roku 2018 podpořil celkem 26 projektů téměř za 0,5 mld. Kč, z toho 19 projektů bylo k 31. 12. v realizaci, 7 projektů bylo dokončeno.</w:t>
            </w:r>
          </w:p>
          <w:p w14:paraId="28774114" w14:textId="77777777" w:rsidR="00DD3EFA" w:rsidRPr="005A0E7C" w:rsidRDefault="00DD3EFA" w:rsidP="00B15ECB"/>
          <w:p w14:paraId="02086E3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rPr>
            </w:pPr>
            <w:r w:rsidRPr="005A0E7C">
              <w:rPr>
                <w:rFonts w:ascii="Times New Roman" w:hAnsi="Times New Roman"/>
              </w:rPr>
              <w:t>Ke zvýšení informovanosti cestujících, atraktivity a zlepšení řízení veřejné hromadné dopravy do konce roku 2018 přispělo zavedení nebo modernizace 7 inteligentních dopravních systémů pro veřejnou dopravu z IROP, nejvíce v Moravskoslezském kraji.</w:t>
            </w:r>
          </w:p>
        </w:tc>
        <w:tc>
          <w:tcPr>
            <w:tcW w:w="249" w:type="dxa"/>
            <w:tcBorders>
              <w:top w:val="nil"/>
              <w:left w:val="nil"/>
              <w:bottom w:val="nil"/>
            </w:tcBorders>
            <w:shd w:val="clear" w:color="auto" w:fill="66CCFF"/>
          </w:tcPr>
          <w:p w14:paraId="1879E910" w14:textId="77777777" w:rsidR="00DD3EFA" w:rsidRPr="005A0E7C" w:rsidRDefault="00DD3EFA" w:rsidP="00B15ECB">
            <w:pPr>
              <w:rPr>
                <w:b/>
              </w:rPr>
            </w:pPr>
          </w:p>
        </w:tc>
      </w:tr>
      <w:tr w:rsidR="00DD3EFA" w:rsidRPr="005A0E7C" w14:paraId="01EECEEA" w14:textId="77777777" w:rsidTr="00B15ECB">
        <w:trPr>
          <w:trHeight w:val="1258"/>
        </w:trPr>
        <w:tc>
          <w:tcPr>
            <w:tcW w:w="249" w:type="dxa"/>
            <w:tcBorders>
              <w:top w:val="nil"/>
              <w:bottom w:val="nil"/>
              <w:right w:val="nil"/>
            </w:tcBorders>
            <w:shd w:val="clear" w:color="auto" w:fill="66CCFF"/>
          </w:tcPr>
          <w:p w14:paraId="3E90D3D7" w14:textId="77777777" w:rsidR="00DD3EFA" w:rsidRPr="005A0E7C" w:rsidRDefault="00DD3EFA" w:rsidP="00B15ECB">
            <w:pPr>
              <w:rPr>
                <w:b/>
              </w:rPr>
            </w:pPr>
          </w:p>
        </w:tc>
        <w:tc>
          <w:tcPr>
            <w:tcW w:w="2548" w:type="dxa"/>
            <w:shd w:val="clear" w:color="auto" w:fill="FFFFFF" w:themeFill="background1"/>
          </w:tcPr>
          <w:p w14:paraId="551BBA4B" w14:textId="77777777" w:rsidR="00DD3EFA" w:rsidRPr="005A0E7C" w:rsidRDefault="00DD3EFA" w:rsidP="00B15ECB">
            <w:pPr>
              <w:rPr>
                <w:rFonts w:eastAsiaTheme="majorEastAsia"/>
                <w:b/>
              </w:rPr>
            </w:pPr>
            <w:r w:rsidRPr="005A0E7C">
              <w:rPr>
                <w:rFonts w:eastAsiaTheme="majorEastAsia"/>
                <w:b/>
              </w:rPr>
              <w:t>Synergické a multiplikační efekty</w:t>
            </w:r>
          </w:p>
          <w:p w14:paraId="23C6AB43"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17A4DEE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Určité synergie jdou spatřit v souvislosti s digitalizací systémů veřejné správy, v tomto případě zpracování dat z dopravy a jejich následné využití.</w:t>
            </w:r>
          </w:p>
        </w:tc>
        <w:tc>
          <w:tcPr>
            <w:tcW w:w="249" w:type="dxa"/>
            <w:tcBorders>
              <w:top w:val="nil"/>
              <w:left w:val="nil"/>
              <w:bottom w:val="nil"/>
            </w:tcBorders>
            <w:shd w:val="clear" w:color="auto" w:fill="66CCFF"/>
          </w:tcPr>
          <w:p w14:paraId="2B088BFA" w14:textId="77777777" w:rsidR="00DD3EFA" w:rsidRPr="005A0E7C" w:rsidRDefault="00DD3EFA" w:rsidP="00B15ECB">
            <w:pPr>
              <w:rPr>
                <w:b/>
              </w:rPr>
            </w:pPr>
          </w:p>
        </w:tc>
      </w:tr>
      <w:tr w:rsidR="00DD3EFA" w:rsidRPr="005A0E7C" w14:paraId="0042AFD6" w14:textId="77777777" w:rsidTr="00B15ECB">
        <w:trPr>
          <w:trHeight w:val="180"/>
        </w:trPr>
        <w:tc>
          <w:tcPr>
            <w:tcW w:w="249" w:type="dxa"/>
            <w:tcBorders>
              <w:top w:val="nil"/>
              <w:bottom w:val="nil"/>
              <w:right w:val="nil"/>
            </w:tcBorders>
            <w:shd w:val="clear" w:color="auto" w:fill="66CCFF"/>
          </w:tcPr>
          <w:p w14:paraId="4184995C"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16FC3AAA"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656346E0" w14:textId="77777777" w:rsidR="00DD3EFA" w:rsidRPr="005A0E7C" w:rsidRDefault="00DD3EFA" w:rsidP="00B15ECB">
            <w:pPr>
              <w:rPr>
                <w:b/>
              </w:rPr>
            </w:pPr>
          </w:p>
        </w:tc>
        <w:tc>
          <w:tcPr>
            <w:tcW w:w="249" w:type="dxa"/>
            <w:tcBorders>
              <w:top w:val="nil"/>
              <w:left w:val="nil"/>
              <w:bottom w:val="nil"/>
            </w:tcBorders>
            <w:shd w:val="clear" w:color="auto" w:fill="66CCFF"/>
          </w:tcPr>
          <w:p w14:paraId="2CA2E547" w14:textId="77777777" w:rsidR="00DD3EFA" w:rsidRPr="005A0E7C" w:rsidRDefault="00DD3EFA" w:rsidP="00B15ECB">
            <w:pPr>
              <w:rPr>
                <w:b/>
              </w:rPr>
            </w:pPr>
          </w:p>
        </w:tc>
      </w:tr>
      <w:tr w:rsidR="00DD3EFA" w:rsidRPr="005A0E7C" w14:paraId="07154FFE" w14:textId="77777777" w:rsidTr="00B15ECB">
        <w:trPr>
          <w:trHeight w:val="990"/>
        </w:trPr>
        <w:tc>
          <w:tcPr>
            <w:tcW w:w="249" w:type="dxa"/>
            <w:tcBorders>
              <w:top w:val="nil"/>
              <w:bottom w:val="nil"/>
            </w:tcBorders>
            <w:shd w:val="clear" w:color="auto" w:fill="66CCFF"/>
          </w:tcPr>
          <w:p w14:paraId="19604C75"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E61E253"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2C344661"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6C7CB414" w14:textId="77777777" w:rsidR="00DD3EFA" w:rsidRPr="005A0E7C" w:rsidRDefault="00DD3EFA" w:rsidP="00B15ECB">
            <w:pPr>
              <w:rPr>
                <w:b/>
              </w:rPr>
            </w:pPr>
          </w:p>
        </w:tc>
      </w:tr>
      <w:tr w:rsidR="00DD3EFA" w:rsidRPr="005A0E7C" w14:paraId="526659B6" w14:textId="77777777" w:rsidTr="00B15ECB">
        <w:trPr>
          <w:trHeight w:val="1260"/>
        </w:trPr>
        <w:tc>
          <w:tcPr>
            <w:tcW w:w="249" w:type="dxa"/>
            <w:tcBorders>
              <w:top w:val="nil"/>
              <w:bottom w:val="nil"/>
            </w:tcBorders>
            <w:shd w:val="clear" w:color="auto" w:fill="66CCFF"/>
          </w:tcPr>
          <w:p w14:paraId="57AA65F7"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F169264"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5FFAE21D" w14:textId="77777777" w:rsidR="00DD3EFA" w:rsidRPr="005A0E7C" w:rsidRDefault="00DD3EFA" w:rsidP="00B15ECB">
            <w:pPr>
              <w:spacing w:before="60" w:after="60"/>
              <w:rPr>
                <w:rFonts w:eastAsiaTheme="majorEastAsia"/>
              </w:rPr>
            </w:pPr>
            <w:r w:rsidRPr="005A0E7C">
              <w:rPr>
                <w:rFonts w:eastAsiaTheme="majorEastAsia"/>
              </w:rPr>
              <w:t>Ve stávajícím období je dostatečná absorpční kapacita projektů měst. Projekty ŘSD mají problémy s přípravou.</w:t>
            </w:r>
          </w:p>
          <w:p w14:paraId="36C15FEE" w14:textId="77777777" w:rsidR="00DD3EFA" w:rsidRPr="005A0E7C" w:rsidRDefault="00DD3EFA" w:rsidP="00B15ECB">
            <w:pPr>
              <w:spacing w:before="60" w:after="60"/>
            </w:pPr>
            <w:r w:rsidRPr="005A0E7C">
              <w:t>V IROP byly vyhlášeny celkem 3 výzvy na podporu zařízení a služeb pro řízení veřejné dopravy. Pro dvě výzvy určené pro metropolitní oblasti a aglomerace je charakteristický průměrný zájem žadatelů z řad dopravců ve veřejné dopravě, potažmo obcí a krajů. Jediná celostátní výzva (s výjimkou hl. m. Prahy) byla přeplněna téměř o polovinu alokace, tj. více než 100 mil. Kč, a 6 projektů bylo zařazeno na seznam náhradních projektů. Absorpční kapacita je celkově průměrná až mírně nadprůměrná a do budoucna lze ještě očekávat zvýšení zájmu o podporu těchto aktivit.</w:t>
            </w:r>
          </w:p>
        </w:tc>
        <w:tc>
          <w:tcPr>
            <w:tcW w:w="249" w:type="dxa"/>
            <w:tcBorders>
              <w:top w:val="nil"/>
              <w:bottom w:val="nil"/>
            </w:tcBorders>
            <w:shd w:val="clear" w:color="auto" w:fill="66CCFF"/>
          </w:tcPr>
          <w:p w14:paraId="338A0ECB" w14:textId="77777777" w:rsidR="00DD3EFA" w:rsidRPr="005A0E7C" w:rsidRDefault="00DD3EFA" w:rsidP="00B15ECB">
            <w:pPr>
              <w:rPr>
                <w:b/>
              </w:rPr>
            </w:pPr>
          </w:p>
        </w:tc>
      </w:tr>
      <w:tr w:rsidR="00DD3EFA" w:rsidRPr="005A0E7C" w14:paraId="15585E37" w14:textId="77777777" w:rsidTr="00B15ECB">
        <w:trPr>
          <w:trHeight w:val="850"/>
        </w:trPr>
        <w:tc>
          <w:tcPr>
            <w:tcW w:w="249" w:type="dxa"/>
            <w:tcBorders>
              <w:top w:val="nil"/>
              <w:bottom w:val="nil"/>
            </w:tcBorders>
            <w:shd w:val="clear" w:color="auto" w:fill="66CCFF"/>
          </w:tcPr>
          <w:p w14:paraId="3B8C7E6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7D9DC6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1BE86077" w14:textId="77777777" w:rsidR="00DD3EFA" w:rsidRPr="005A0E7C" w:rsidRDefault="00DD3EFA" w:rsidP="00B15ECB">
            <w:pPr>
              <w:spacing w:before="60" w:after="60"/>
              <w:rPr>
                <w:rFonts w:eastAsiaTheme="majorEastAsia"/>
              </w:rPr>
            </w:pPr>
            <w:r w:rsidRPr="005A0E7C">
              <w:rPr>
                <w:rFonts w:eastAsiaTheme="majorEastAsia"/>
              </w:rPr>
              <w:t>Na straně příjemců (ŘSD i města) existuje řada projektových záměrů. Na ITS bude do budoucna s dalším vývojem technologií nevyhnutelně kladen vyšší důraz</w:t>
            </w:r>
          </w:p>
        </w:tc>
        <w:tc>
          <w:tcPr>
            <w:tcW w:w="249" w:type="dxa"/>
            <w:tcBorders>
              <w:top w:val="nil"/>
              <w:bottom w:val="nil"/>
            </w:tcBorders>
            <w:shd w:val="clear" w:color="auto" w:fill="66CCFF"/>
          </w:tcPr>
          <w:p w14:paraId="3CC965EF" w14:textId="77777777" w:rsidR="00DD3EFA" w:rsidRPr="005A0E7C" w:rsidRDefault="00DD3EFA" w:rsidP="00B15ECB">
            <w:pPr>
              <w:rPr>
                <w:b/>
              </w:rPr>
            </w:pPr>
          </w:p>
        </w:tc>
      </w:tr>
      <w:tr w:rsidR="00DD3EFA" w:rsidRPr="005A0E7C" w14:paraId="7F4DF14C" w14:textId="77777777" w:rsidTr="00B15ECB">
        <w:trPr>
          <w:trHeight w:val="925"/>
        </w:trPr>
        <w:tc>
          <w:tcPr>
            <w:tcW w:w="249" w:type="dxa"/>
            <w:tcBorders>
              <w:top w:val="nil"/>
              <w:bottom w:val="nil"/>
            </w:tcBorders>
            <w:shd w:val="clear" w:color="auto" w:fill="66CCFF"/>
          </w:tcPr>
          <w:p w14:paraId="7A23160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F1117A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3DC47CE4" w14:textId="77777777" w:rsidR="00DD3EFA" w:rsidRPr="005A0E7C" w:rsidRDefault="00DD3EFA" w:rsidP="00B15ECB">
            <w:pPr>
              <w:spacing w:before="60" w:after="60"/>
              <w:rPr>
                <w:rFonts w:eastAsiaTheme="majorEastAsia"/>
              </w:rPr>
            </w:pPr>
            <w:r w:rsidRPr="005A0E7C">
              <w:rPr>
                <w:rFonts w:eastAsiaTheme="majorEastAsia"/>
              </w:rPr>
              <w:t>MD monitoruje průběžně přípravu projektů a má k dispozici seznam projektových záměrů ŘSD. U měst stále běží výzvy pro toto období, výhled do příštího období bude proveden až po vyhodnocení výzev.</w:t>
            </w:r>
          </w:p>
          <w:p w14:paraId="35F804E8"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06E0F61A" w14:textId="77777777" w:rsidR="00DD3EFA" w:rsidRPr="005A0E7C" w:rsidRDefault="00DD3EFA" w:rsidP="00B15ECB">
            <w:pPr>
              <w:rPr>
                <w:b/>
              </w:rPr>
            </w:pPr>
          </w:p>
        </w:tc>
      </w:tr>
      <w:tr w:rsidR="00DD3EFA" w:rsidRPr="005A0E7C" w14:paraId="6DF7B3CE" w14:textId="77777777" w:rsidTr="00B15ECB">
        <w:trPr>
          <w:trHeight w:val="1001"/>
        </w:trPr>
        <w:tc>
          <w:tcPr>
            <w:tcW w:w="249" w:type="dxa"/>
            <w:tcBorders>
              <w:top w:val="nil"/>
              <w:bottom w:val="nil"/>
            </w:tcBorders>
            <w:shd w:val="clear" w:color="auto" w:fill="66CCFF"/>
          </w:tcPr>
          <w:p w14:paraId="6C2EF71A"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0CAA272"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58C6CEF2" w14:textId="77777777" w:rsidR="00DD3EFA" w:rsidRPr="005A0E7C" w:rsidRDefault="00DD3EFA" w:rsidP="00B15ECB">
            <w:pPr>
              <w:spacing w:before="60" w:after="60"/>
              <w:rPr>
                <w:rFonts w:eastAsiaTheme="majorEastAsia"/>
              </w:rPr>
            </w:pPr>
            <w:r w:rsidRPr="005A0E7C">
              <w:rPr>
                <w:rFonts w:eastAsiaTheme="majorEastAsia"/>
              </w:rPr>
              <w:t>Nedostatečná kapacita a zkušenost příjemců pro přípravu a řízení projektů.</w:t>
            </w:r>
          </w:p>
          <w:p w14:paraId="5DFE0A74" w14:textId="77777777" w:rsidR="00DD3EFA" w:rsidRPr="005A0E7C" w:rsidRDefault="00DD3EFA" w:rsidP="00B15ECB">
            <w:pPr>
              <w:spacing w:before="60" w:after="60"/>
              <w:rPr>
                <w:rFonts w:eastAsiaTheme="majorEastAsia"/>
              </w:rPr>
            </w:pPr>
            <w:r w:rsidRPr="005A0E7C">
              <w:rPr>
                <w:rFonts w:eastAsiaTheme="majorEastAsia"/>
              </w:rPr>
              <w:t xml:space="preserve">Chybí dlouhodobý výhled rozvoje a implementace ITS vč. finančního rámce a závazných metodických postupů. Současný stav implementace je roztříštěný. </w:t>
            </w:r>
          </w:p>
          <w:p w14:paraId="75E3FD99" w14:textId="77777777" w:rsidR="00DD3EFA" w:rsidRPr="005A0E7C" w:rsidRDefault="00DD3EFA" w:rsidP="00B15ECB">
            <w:pPr>
              <w:spacing w:before="60" w:after="60"/>
              <w:rPr>
                <w:rFonts w:eastAsiaTheme="majorEastAsia"/>
              </w:rPr>
            </w:pPr>
            <w:r w:rsidRPr="005A0E7C">
              <w:rPr>
                <w:rFonts w:eastAsiaTheme="majorEastAsia"/>
              </w:rPr>
              <w:t>Legislativní bariéry pro implementaci ITS, ale i jejich využití (např. u automatizovaného řízení)</w:t>
            </w:r>
          </w:p>
        </w:tc>
        <w:tc>
          <w:tcPr>
            <w:tcW w:w="249" w:type="dxa"/>
            <w:tcBorders>
              <w:top w:val="nil"/>
              <w:bottom w:val="nil"/>
            </w:tcBorders>
            <w:shd w:val="clear" w:color="auto" w:fill="66CCFF"/>
          </w:tcPr>
          <w:p w14:paraId="4684C148" w14:textId="77777777" w:rsidR="00DD3EFA" w:rsidRPr="005A0E7C" w:rsidRDefault="00DD3EFA" w:rsidP="00B15ECB">
            <w:pPr>
              <w:rPr>
                <w:b/>
              </w:rPr>
            </w:pPr>
          </w:p>
        </w:tc>
      </w:tr>
      <w:tr w:rsidR="00DD3EFA" w:rsidRPr="005A0E7C" w14:paraId="4A1185F3"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2B9DF12"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FAF8B7B"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C86D4A2"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6B983AB8" w14:textId="77777777" w:rsidR="00DD3EFA" w:rsidRPr="005A0E7C" w:rsidRDefault="00DD3EFA" w:rsidP="00B15ECB">
            <w:pPr>
              <w:rPr>
                <w:b/>
              </w:rPr>
            </w:pPr>
          </w:p>
        </w:tc>
      </w:tr>
      <w:tr w:rsidR="00DD3EFA" w:rsidRPr="005A0E7C" w14:paraId="063E6652" w14:textId="77777777" w:rsidTr="00B15ECB">
        <w:trPr>
          <w:trHeight w:val="1968"/>
        </w:trPr>
        <w:tc>
          <w:tcPr>
            <w:tcW w:w="249" w:type="dxa"/>
            <w:tcBorders>
              <w:top w:val="single" w:sz="4" w:space="0" w:color="auto"/>
              <w:bottom w:val="nil"/>
            </w:tcBorders>
            <w:shd w:val="clear" w:color="auto" w:fill="66CCFF"/>
          </w:tcPr>
          <w:p w14:paraId="1D4CA4B4"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205756AC"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51A4D0B0" w14:textId="77777777" w:rsidR="00DD3EFA" w:rsidRPr="005A0E7C" w:rsidRDefault="00DD3EFA" w:rsidP="00B15ECB">
            <w:pPr>
              <w:spacing w:before="60" w:after="60"/>
              <w:rPr>
                <w:rFonts w:eastAsiaTheme="majorEastAsia"/>
                <w:i/>
              </w:rPr>
            </w:pPr>
            <w:r w:rsidRPr="005A0E7C">
              <w:rPr>
                <w:rFonts w:eastAsiaTheme="majorEastAsia"/>
              </w:rPr>
              <w:t>Alternativní zdroje pro tento SC nejsou známy.</w:t>
            </w:r>
          </w:p>
          <w:p w14:paraId="3AE6BF5D"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41481AF1" w14:textId="77777777" w:rsidR="00DD3EFA" w:rsidRPr="005A0E7C" w:rsidRDefault="00DD3EFA" w:rsidP="00B15ECB">
            <w:pPr>
              <w:rPr>
                <w:b/>
              </w:rPr>
            </w:pPr>
          </w:p>
        </w:tc>
      </w:tr>
      <w:tr w:rsidR="00DD3EFA" w:rsidRPr="005A0E7C" w14:paraId="68203F6B" w14:textId="77777777" w:rsidTr="00B15ECB">
        <w:trPr>
          <w:trHeight w:val="1968"/>
        </w:trPr>
        <w:tc>
          <w:tcPr>
            <w:tcW w:w="249" w:type="dxa"/>
            <w:tcBorders>
              <w:top w:val="nil"/>
              <w:bottom w:val="nil"/>
            </w:tcBorders>
            <w:shd w:val="clear" w:color="auto" w:fill="66CCFF"/>
          </w:tcPr>
          <w:p w14:paraId="22E8184E" w14:textId="77777777" w:rsidR="00DD3EFA" w:rsidRPr="005A0E7C" w:rsidRDefault="00DD3EFA" w:rsidP="00B15ECB">
            <w:pPr>
              <w:rPr>
                <w:b/>
              </w:rPr>
            </w:pPr>
          </w:p>
        </w:tc>
        <w:tc>
          <w:tcPr>
            <w:tcW w:w="2548" w:type="dxa"/>
            <w:tcBorders>
              <w:top w:val="nil"/>
            </w:tcBorders>
            <w:shd w:val="clear" w:color="auto" w:fill="FFFFFF" w:themeFill="background1"/>
          </w:tcPr>
          <w:p w14:paraId="3CF92ADF"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3DEE923E" w14:textId="77777777" w:rsidR="00DD3EFA" w:rsidRPr="005A0E7C" w:rsidRDefault="00DD3EFA" w:rsidP="00B15ECB">
            <w:pPr>
              <w:spacing w:before="60" w:after="60"/>
              <w:rPr>
                <w:rFonts w:eastAsiaTheme="majorEastAsia"/>
                <w:i/>
              </w:rPr>
            </w:pPr>
            <w:r w:rsidRPr="005A0E7C">
              <w:rPr>
                <w:rFonts w:eastAsiaTheme="majorEastAsia"/>
              </w:rPr>
              <w:t xml:space="preserve">Program CEF – podpora projektů zaměřených na ITS, automatizované řízení ve vazbě na síť TEN-T </w:t>
            </w:r>
            <w:r w:rsidRPr="005A0E7C">
              <w:rPr>
                <w:rFonts w:eastAsiaTheme="majorEastAsia"/>
                <w:i/>
              </w:rPr>
              <w:t>(nařízení k CEF 2021-2027 ještě není schváleno).</w:t>
            </w:r>
          </w:p>
        </w:tc>
        <w:tc>
          <w:tcPr>
            <w:tcW w:w="249" w:type="dxa"/>
            <w:tcBorders>
              <w:top w:val="nil"/>
              <w:bottom w:val="nil"/>
            </w:tcBorders>
            <w:shd w:val="clear" w:color="auto" w:fill="66CCFF"/>
          </w:tcPr>
          <w:p w14:paraId="046D1737" w14:textId="77777777" w:rsidR="00DD3EFA" w:rsidRPr="005A0E7C" w:rsidRDefault="00DD3EFA" w:rsidP="00B15ECB">
            <w:pPr>
              <w:rPr>
                <w:b/>
              </w:rPr>
            </w:pPr>
          </w:p>
        </w:tc>
      </w:tr>
      <w:tr w:rsidR="00DD3EFA" w:rsidRPr="005A0E7C" w14:paraId="726D2F99" w14:textId="77777777" w:rsidTr="00B15ECB">
        <w:trPr>
          <w:trHeight w:val="1968"/>
        </w:trPr>
        <w:tc>
          <w:tcPr>
            <w:tcW w:w="249" w:type="dxa"/>
            <w:tcBorders>
              <w:top w:val="nil"/>
              <w:bottom w:val="nil"/>
            </w:tcBorders>
            <w:shd w:val="clear" w:color="auto" w:fill="66CCFF"/>
          </w:tcPr>
          <w:p w14:paraId="382DCCAE" w14:textId="77777777" w:rsidR="00DD3EFA" w:rsidRPr="005A0E7C" w:rsidRDefault="00DD3EFA" w:rsidP="00B15ECB">
            <w:pPr>
              <w:rPr>
                <w:b/>
              </w:rPr>
            </w:pPr>
          </w:p>
        </w:tc>
        <w:tc>
          <w:tcPr>
            <w:tcW w:w="2548" w:type="dxa"/>
            <w:tcBorders>
              <w:top w:val="nil"/>
            </w:tcBorders>
            <w:shd w:val="clear" w:color="auto" w:fill="FFFFFF" w:themeFill="background1"/>
          </w:tcPr>
          <w:p w14:paraId="5011FCC3"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5D1A9E9A" w14:textId="77777777" w:rsidR="00DD3EFA" w:rsidRPr="005A0E7C" w:rsidRDefault="00DD3EFA" w:rsidP="00B15ECB">
            <w:pPr>
              <w:spacing w:before="60" w:after="60"/>
              <w:rPr>
                <w:rFonts w:eastAsiaTheme="majorEastAsia"/>
              </w:rPr>
            </w:pPr>
            <w:r w:rsidRPr="005A0E7C">
              <w:rPr>
                <w:rFonts w:eastAsiaTheme="majorEastAsia"/>
              </w:rPr>
              <w:t>Dalšími národními zdroji pro tento SC jsou zejména rozpočty měst.</w:t>
            </w:r>
          </w:p>
        </w:tc>
        <w:tc>
          <w:tcPr>
            <w:tcW w:w="249" w:type="dxa"/>
            <w:tcBorders>
              <w:top w:val="nil"/>
              <w:bottom w:val="nil"/>
            </w:tcBorders>
            <w:shd w:val="clear" w:color="auto" w:fill="66CCFF"/>
          </w:tcPr>
          <w:p w14:paraId="61436B03" w14:textId="77777777" w:rsidR="00DD3EFA" w:rsidRPr="005A0E7C" w:rsidRDefault="00DD3EFA" w:rsidP="00B15ECB">
            <w:pPr>
              <w:rPr>
                <w:b/>
              </w:rPr>
            </w:pPr>
          </w:p>
        </w:tc>
      </w:tr>
      <w:tr w:rsidR="00DD3EFA" w:rsidRPr="005A0E7C" w14:paraId="215386F6" w14:textId="77777777" w:rsidTr="00B15ECB">
        <w:trPr>
          <w:trHeight w:val="1968"/>
        </w:trPr>
        <w:tc>
          <w:tcPr>
            <w:tcW w:w="249" w:type="dxa"/>
            <w:tcBorders>
              <w:top w:val="nil"/>
              <w:bottom w:val="nil"/>
            </w:tcBorders>
            <w:shd w:val="clear" w:color="auto" w:fill="66CCFF"/>
          </w:tcPr>
          <w:p w14:paraId="61C7F4CB" w14:textId="77777777" w:rsidR="00DD3EFA" w:rsidRPr="005A0E7C" w:rsidRDefault="00DD3EFA" w:rsidP="00B15ECB">
            <w:pPr>
              <w:rPr>
                <w:b/>
              </w:rPr>
            </w:pPr>
          </w:p>
        </w:tc>
        <w:tc>
          <w:tcPr>
            <w:tcW w:w="2548" w:type="dxa"/>
            <w:tcBorders>
              <w:top w:val="nil"/>
            </w:tcBorders>
            <w:shd w:val="clear" w:color="auto" w:fill="FFFFFF" w:themeFill="background1"/>
          </w:tcPr>
          <w:p w14:paraId="4F070575"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5B69410E" w14:textId="77777777" w:rsidR="00DD3EFA" w:rsidRPr="005A0E7C" w:rsidRDefault="00DD3EFA" w:rsidP="00B15ECB">
            <w:pPr>
              <w:spacing w:before="60" w:after="60"/>
              <w:rPr>
                <w:rFonts w:eastAsiaTheme="majorEastAsia"/>
              </w:rPr>
            </w:pPr>
            <w:r w:rsidRPr="005A0E7C">
              <w:rPr>
                <w:rFonts w:eastAsiaTheme="majorEastAsia"/>
              </w:rPr>
              <w:t>Další zdroje mimo veřejné rozpočty pro tento SC nejsou dostupné.</w:t>
            </w:r>
          </w:p>
        </w:tc>
        <w:tc>
          <w:tcPr>
            <w:tcW w:w="249" w:type="dxa"/>
            <w:tcBorders>
              <w:top w:val="nil"/>
              <w:bottom w:val="nil"/>
            </w:tcBorders>
            <w:shd w:val="clear" w:color="auto" w:fill="66CCFF"/>
          </w:tcPr>
          <w:p w14:paraId="6FF190F9" w14:textId="77777777" w:rsidR="00DD3EFA" w:rsidRPr="005A0E7C" w:rsidRDefault="00DD3EFA" w:rsidP="00B15ECB">
            <w:pPr>
              <w:rPr>
                <w:b/>
              </w:rPr>
            </w:pPr>
          </w:p>
        </w:tc>
      </w:tr>
      <w:tr w:rsidR="00DD3EFA" w:rsidRPr="005A0E7C" w14:paraId="3C9E288E" w14:textId="77777777" w:rsidTr="00B15ECB">
        <w:trPr>
          <w:trHeight w:val="1968"/>
        </w:trPr>
        <w:tc>
          <w:tcPr>
            <w:tcW w:w="249" w:type="dxa"/>
            <w:tcBorders>
              <w:top w:val="nil"/>
              <w:bottom w:val="nil"/>
            </w:tcBorders>
            <w:shd w:val="clear" w:color="auto" w:fill="66CCFF"/>
          </w:tcPr>
          <w:p w14:paraId="1C6D516D" w14:textId="77777777" w:rsidR="00DD3EFA" w:rsidRPr="005A0E7C" w:rsidRDefault="00DD3EFA" w:rsidP="00B15ECB">
            <w:pPr>
              <w:rPr>
                <w:b/>
              </w:rPr>
            </w:pPr>
          </w:p>
        </w:tc>
        <w:tc>
          <w:tcPr>
            <w:tcW w:w="2548" w:type="dxa"/>
            <w:tcBorders>
              <w:top w:val="nil"/>
            </w:tcBorders>
            <w:shd w:val="clear" w:color="auto" w:fill="FFFFFF" w:themeFill="background1"/>
          </w:tcPr>
          <w:p w14:paraId="28D99612"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3E5EF15A" w14:textId="77777777" w:rsidR="00DD3EFA" w:rsidRPr="005A0E7C" w:rsidRDefault="00DD3EFA" w:rsidP="00B15ECB">
            <w:pPr>
              <w:spacing w:before="60" w:after="60"/>
              <w:rPr>
                <w:rFonts w:eastAsiaTheme="majorEastAsia"/>
              </w:rPr>
            </w:pPr>
            <w:r w:rsidRPr="005A0E7C">
              <w:rPr>
                <w:rFonts w:eastAsiaTheme="majorEastAsia"/>
              </w:rPr>
              <w:t>Využití FN pro tento SC není vhodné.</w:t>
            </w:r>
          </w:p>
        </w:tc>
        <w:tc>
          <w:tcPr>
            <w:tcW w:w="249" w:type="dxa"/>
            <w:tcBorders>
              <w:top w:val="nil"/>
              <w:bottom w:val="nil"/>
            </w:tcBorders>
            <w:shd w:val="clear" w:color="auto" w:fill="66CCFF"/>
          </w:tcPr>
          <w:p w14:paraId="5B5DE81B" w14:textId="77777777" w:rsidR="00DD3EFA" w:rsidRPr="005A0E7C" w:rsidRDefault="00DD3EFA" w:rsidP="00B15ECB">
            <w:pPr>
              <w:rPr>
                <w:b/>
              </w:rPr>
            </w:pPr>
          </w:p>
        </w:tc>
      </w:tr>
      <w:tr w:rsidR="00DD3EFA" w:rsidRPr="005A0E7C" w14:paraId="16FC5A0D" w14:textId="77777777" w:rsidTr="00B15ECB">
        <w:trPr>
          <w:trHeight w:val="150"/>
        </w:trPr>
        <w:tc>
          <w:tcPr>
            <w:tcW w:w="249" w:type="dxa"/>
            <w:tcBorders>
              <w:top w:val="nil"/>
              <w:right w:val="nil"/>
            </w:tcBorders>
            <w:shd w:val="clear" w:color="auto" w:fill="66CCFF"/>
          </w:tcPr>
          <w:p w14:paraId="1A8693C6" w14:textId="77777777" w:rsidR="00DD3EFA" w:rsidRPr="005A0E7C" w:rsidRDefault="00DD3EFA" w:rsidP="00B15ECB">
            <w:pPr>
              <w:rPr>
                <w:b/>
              </w:rPr>
            </w:pPr>
          </w:p>
        </w:tc>
        <w:tc>
          <w:tcPr>
            <w:tcW w:w="2548" w:type="dxa"/>
            <w:tcBorders>
              <w:left w:val="nil"/>
              <w:right w:val="nil"/>
            </w:tcBorders>
            <w:shd w:val="clear" w:color="auto" w:fill="66CCFF"/>
          </w:tcPr>
          <w:p w14:paraId="37DFD1A5" w14:textId="77777777" w:rsidR="00DD3EFA" w:rsidRPr="005A0E7C" w:rsidRDefault="00DD3EFA" w:rsidP="00B15ECB">
            <w:pPr>
              <w:rPr>
                <w:b/>
              </w:rPr>
            </w:pPr>
          </w:p>
        </w:tc>
        <w:tc>
          <w:tcPr>
            <w:tcW w:w="5978" w:type="dxa"/>
            <w:tcBorders>
              <w:left w:val="nil"/>
              <w:right w:val="nil"/>
            </w:tcBorders>
            <w:shd w:val="clear" w:color="auto" w:fill="66CCFF"/>
          </w:tcPr>
          <w:p w14:paraId="207A820E" w14:textId="77777777" w:rsidR="00DD3EFA" w:rsidRPr="005A0E7C" w:rsidRDefault="00DD3EFA" w:rsidP="00B15ECB">
            <w:pPr>
              <w:rPr>
                <w:b/>
              </w:rPr>
            </w:pPr>
          </w:p>
        </w:tc>
        <w:tc>
          <w:tcPr>
            <w:tcW w:w="249" w:type="dxa"/>
            <w:tcBorders>
              <w:top w:val="nil"/>
              <w:left w:val="nil"/>
            </w:tcBorders>
            <w:shd w:val="clear" w:color="auto" w:fill="66CCFF"/>
          </w:tcPr>
          <w:p w14:paraId="16DC2822" w14:textId="77777777" w:rsidR="00DD3EFA" w:rsidRPr="005A0E7C" w:rsidRDefault="00DD3EFA" w:rsidP="00B15ECB">
            <w:pPr>
              <w:rPr>
                <w:b/>
              </w:rPr>
            </w:pPr>
          </w:p>
        </w:tc>
      </w:tr>
    </w:tbl>
    <w:p w14:paraId="6A1752F4" w14:textId="77777777" w:rsidR="00DD3EFA" w:rsidRPr="005A0E7C" w:rsidRDefault="00DD3EFA">
      <w:pPr>
        <w:rPr>
          <w:rFonts w:ascii="Times New Roman" w:hAnsi="Times New Roman" w:cs="Times New Roman"/>
          <w:sz w:val="20"/>
          <w:szCs w:val="20"/>
        </w:rPr>
      </w:pPr>
    </w:p>
    <w:p w14:paraId="1BD63741" w14:textId="77777777" w:rsidR="00DD3EFA" w:rsidRPr="005A0E7C" w:rsidRDefault="00DD3EFA">
      <w:pPr>
        <w:rPr>
          <w:rFonts w:ascii="Times New Roman" w:hAnsi="Times New Roman" w:cs="Times New Roman"/>
          <w:sz w:val="20"/>
          <w:szCs w:val="20"/>
        </w:rPr>
      </w:pPr>
      <w:r w:rsidRPr="005A0E7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5A0E7C" w14:paraId="4E968A6A" w14:textId="77777777" w:rsidTr="00B15ECB">
        <w:trPr>
          <w:trHeight w:val="180"/>
        </w:trPr>
        <w:tc>
          <w:tcPr>
            <w:tcW w:w="249" w:type="dxa"/>
            <w:tcBorders>
              <w:bottom w:val="nil"/>
              <w:right w:val="nil"/>
            </w:tcBorders>
            <w:shd w:val="clear" w:color="auto" w:fill="66CCFF"/>
          </w:tcPr>
          <w:p w14:paraId="04127F93" w14:textId="77777777" w:rsidR="00DD3EFA" w:rsidRPr="005A0E7C" w:rsidRDefault="00DD3EFA" w:rsidP="00B15ECB">
            <w:pPr>
              <w:rPr>
                <w:b/>
              </w:rPr>
            </w:pPr>
          </w:p>
        </w:tc>
        <w:tc>
          <w:tcPr>
            <w:tcW w:w="2548" w:type="dxa"/>
            <w:tcBorders>
              <w:left w:val="nil"/>
              <w:right w:val="nil"/>
            </w:tcBorders>
            <w:shd w:val="clear" w:color="auto" w:fill="66CCFF"/>
          </w:tcPr>
          <w:p w14:paraId="54B4DE67" w14:textId="77777777" w:rsidR="00DD3EFA" w:rsidRPr="005A0E7C" w:rsidRDefault="00DD3EFA" w:rsidP="00B15ECB">
            <w:pPr>
              <w:rPr>
                <w:b/>
              </w:rPr>
            </w:pPr>
          </w:p>
        </w:tc>
        <w:tc>
          <w:tcPr>
            <w:tcW w:w="5978" w:type="dxa"/>
            <w:tcBorders>
              <w:left w:val="nil"/>
              <w:right w:val="nil"/>
            </w:tcBorders>
            <w:shd w:val="clear" w:color="auto" w:fill="66CCFF"/>
          </w:tcPr>
          <w:p w14:paraId="39C4F181" w14:textId="77777777" w:rsidR="00DD3EFA" w:rsidRPr="005A0E7C" w:rsidRDefault="00DD3EFA" w:rsidP="00B15ECB">
            <w:pPr>
              <w:rPr>
                <w:b/>
              </w:rPr>
            </w:pPr>
          </w:p>
        </w:tc>
        <w:tc>
          <w:tcPr>
            <w:tcW w:w="249" w:type="dxa"/>
            <w:tcBorders>
              <w:left w:val="nil"/>
              <w:bottom w:val="nil"/>
            </w:tcBorders>
            <w:shd w:val="clear" w:color="auto" w:fill="66CCFF"/>
          </w:tcPr>
          <w:p w14:paraId="5371C4C5" w14:textId="77777777" w:rsidR="00DD3EFA" w:rsidRPr="005A0E7C" w:rsidRDefault="00DD3EFA" w:rsidP="00B15ECB">
            <w:pPr>
              <w:rPr>
                <w:b/>
              </w:rPr>
            </w:pPr>
          </w:p>
        </w:tc>
      </w:tr>
      <w:tr w:rsidR="00DD3EFA" w:rsidRPr="005A0E7C" w14:paraId="13BD53F7" w14:textId="77777777" w:rsidTr="00B15ECB">
        <w:trPr>
          <w:trHeight w:val="561"/>
        </w:trPr>
        <w:tc>
          <w:tcPr>
            <w:tcW w:w="249" w:type="dxa"/>
            <w:tcBorders>
              <w:top w:val="nil"/>
              <w:bottom w:val="nil"/>
            </w:tcBorders>
            <w:shd w:val="clear" w:color="auto" w:fill="66CCFF"/>
          </w:tcPr>
          <w:p w14:paraId="0048DDFA" w14:textId="77777777" w:rsidR="00DD3EFA" w:rsidRPr="005A0E7C" w:rsidRDefault="00DD3EFA" w:rsidP="00B15ECB">
            <w:pPr>
              <w:rPr>
                <w:b/>
              </w:rPr>
            </w:pPr>
          </w:p>
        </w:tc>
        <w:tc>
          <w:tcPr>
            <w:tcW w:w="2548" w:type="dxa"/>
            <w:shd w:val="clear" w:color="auto" w:fill="0070C0"/>
          </w:tcPr>
          <w:p w14:paraId="06786EA8"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Efektivní, dostupná a k životnímu prostředí šetrná DOPRAVA</w:t>
            </w:r>
          </w:p>
        </w:tc>
        <w:tc>
          <w:tcPr>
            <w:tcW w:w="5978" w:type="dxa"/>
            <w:shd w:val="clear" w:color="auto" w:fill="0070C0"/>
          </w:tcPr>
          <w:p w14:paraId="5539C44D"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t>1</w:t>
            </w:r>
            <w:r w:rsidRPr="005A0E7C">
              <w:rPr>
                <w:rFonts w:eastAsiaTheme="majorEastAsia"/>
                <w:b/>
                <w:color w:val="FFFFFF" w:themeColor="background1"/>
                <w:u w:val="single"/>
              </w:rPr>
              <w:t xml:space="preserve">: </w:t>
            </w:r>
          </w:p>
          <w:p w14:paraId="242C98B3"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EFEKTIVNÍ VYUŽITÍ MULTIMODÁLNÍ NÁKLADNÍ DOPRAVY</w:t>
            </w:r>
          </w:p>
        </w:tc>
        <w:tc>
          <w:tcPr>
            <w:tcW w:w="249" w:type="dxa"/>
            <w:tcBorders>
              <w:top w:val="nil"/>
              <w:bottom w:val="nil"/>
            </w:tcBorders>
            <w:shd w:val="clear" w:color="auto" w:fill="66CCFF"/>
          </w:tcPr>
          <w:p w14:paraId="5DEACCBD" w14:textId="77777777" w:rsidR="00DD3EFA" w:rsidRPr="005A0E7C" w:rsidRDefault="00DD3EFA" w:rsidP="00B15ECB">
            <w:pPr>
              <w:rPr>
                <w:b/>
              </w:rPr>
            </w:pPr>
          </w:p>
        </w:tc>
      </w:tr>
      <w:tr w:rsidR="00DD3EFA" w:rsidRPr="005A0E7C" w14:paraId="30F41031" w14:textId="77777777" w:rsidTr="00B15ECB">
        <w:trPr>
          <w:trHeight w:val="180"/>
        </w:trPr>
        <w:tc>
          <w:tcPr>
            <w:tcW w:w="249" w:type="dxa"/>
            <w:tcBorders>
              <w:top w:val="nil"/>
              <w:bottom w:val="nil"/>
              <w:right w:val="nil"/>
            </w:tcBorders>
            <w:shd w:val="clear" w:color="auto" w:fill="66CCFF"/>
          </w:tcPr>
          <w:p w14:paraId="614AF462" w14:textId="77777777" w:rsidR="00DD3EFA" w:rsidRPr="005A0E7C" w:rsidRDefault="00DD3EFA" w:rsidP="00B15ECB">
            <w:pPr>
              <w:rPr>
                <w:b/>
              </w:rPr>
            </w:pPr>
          </w:p>
        </w:tc>
        <w:tc>
          <w:tcPr>
            <w:tcW w:w="2548" w:type="dxa"/>
            <w:tcBorders>
              <w:left w:val="nil"/>
              <w:right w:val="nil"/>
            </w:tcBorders>
            <w:shd w:val="clear" w:color="auto" w:fill="66CCFF"/>
          </w:tcPr>
          <w:p w14:paraId="138E42A6" w14:textId="77777777" w:rsidR="00DD3EFA" w:rsidRPr="005A0E7C" w:rsidRDefault="00DD3EFA" w:rsidP="00B15ECB">
            <w:pPr>
              <w:rPr>
                <w:b/>
              </w:rPr>
            </w:pPr>
          </w:p>
        </w:tc>
        <w:tc>
          <w:tcPr>
            <w:tcW w:w="5978" w:type="dxa"/>
            <w:tcBorders>
              <w:left w:val="nil"/>
              <w:right w:val="nil"/>
            </w:tcBorders>
            <w:shd w:val="clear" w:color="auto" w:fill="66CCFF"/>
          </w:tcPr>
          <w:p w14:paraId="539F951F" w14:textId="77777777" w:rsidR="00DD3EFA" w:rsidRPr="005A0E7C" w:rsidRDefault="00DD3EFA" w:rsidP="00B15ECB">
            <w:pPr>
              <w:rPr>
                <w:b/>
              </w:rPr>
            </w:pPr>
          </w:p>
        </w:tc>
        <w:tc>
          <w:tcPr>
            <w:tcW w:w="249" w:type="dxa"/>
            <w:tcBorders>
              <w:top w:val="nil"/>
              <w:left w:val="nil"/>
              <w:bottom w:val="nil"/>
            </w:tcBorders>
            <w:shd w:val="clear" w:color="auto" w:fill="66CCFF"/>
          </w:tcPr>
          <w:p w14:paraId="2C28B6A8" w14:textId="77777777" w:rsidR="00DD3EFA" w:rsidRPr="005A0E7C" w:rsidRDefault="00DD3EFA" w:rsidP="00B15ECB">
            <w:pPr>
              <w:rPr>
                <w:b/>
              </w:rPr>
            </w:pPr>
          </w:p>
        </w:tc>
      </w:tr>
      <w:tr w:rsidR="00DD3EFA" w:rsidRPr="005A0E7C" w14:paraId="6D788E7D" w14:textId="77777777" w:rsidTr="00B15ECB">
        <w:trPr>
          <w:trHeight w:val="892"/>
        </w:trPr>
        <w:tc>
          <w:tcPr>
            <w:tcW w:w="249" w:type="dxa"/>
            <w:tcBorders>
              <w:top w:val="nil"/>
              <w:bottom w:val="nil"/>
            </w:tcBorders>
            <w:shd w:val="clear" w:color="auto" w:fill="66CCFF"/>
          </w:tcPr>
          <w:p w14:paraId="1E1DF461" w14:textId="77777777" w:rsidR="00DD3EFA" w:rsidRPr="005A0E7C" w:rsidRDefault="00DD3EFA" w:rsidP="00B15ECB">
            <w:pPr>
              <w:rPr>
                <w:b/>
              </w:rPr>
            </w:pPr>
          </w:p>
        </w:tc>
        <w:tc>
          <w:tcPr>
            <w:tcW w:w="2548" w:type="dxa"/>
            <w:shd w:val="clear" w:color="auto" w:fill="FFFFFF" w:themeFill="background1"/>
          </w:tcPr>
          <w:p w14:paraId="7E34F923"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978" w:type="dxa"/>
            <w:shd w:val="clear" w:color="auto" w:fill="FFFFFF" w:themeFill="background1"/>
          </w:tcPr>
          <w:p w14:paraId="5146B3FE" w14:textId="77777777" w:rsidR="00DD3EFA" w:rsidRPr="005A0E7C" w:rsidRDefault="00DD3EFA" w:rsidP="00B15ECB">
            <w:r w:rsidRPr="005A0E7C">
              <w:t>Jedná se o problematiku těchto konkrétních prvků:</w:t>
            </w:r>
          </w:p>
          <w:p w14:paraId="2073EFEA" w14:textId="77777777" w:rsidR="00DD3EFA" w:rsidRPr="005A0E7C" w:rsidRDefault="00DD3EFA" w:rsidP="00B15ECB"/>
          <w:p w14:paraId="1AC7B947" w14:textId="77777777" w:rsidR="00DD3EFA" w:rsidRPr="005A0E7C" w:rsidRDefault="00DD3EFA" w:rsidP="00B15ECB">
            <w:r w:rsidRPr="005A0E7C">
              <w:t xml:space="preserve">- terminály kombinované dopravy vč. jejich technologického </w:t>
            </w:r>
          </w:p>
          <w:p w14:paraId="7B1BA764" w14:textId="77777777" w:rsidR="00DD3EFA" w:rsidRPr="005A0E7C" w:rsidRDefault="00DD3EFA" w:rsidP="00B15ECB">
            <w:r w:rsidRPr="005A0E7C">
              <w:t xml:space="preserve">  vybavení a technologie pro systémy horizontální překládky</w:t>
            </w:r>
          </w:p>
          <w:p w14:paraId="6EF195EB" w14:textId="77777777" w:rsidR="00DD3EFA" w:rsidRPr="005A0E7C" w:rsidRDefault="00DD3EFA" w:rsidP="00B15ECB">
            <w:r w:rsidRPr="005A0E7C">
              <w:t xml:space="preserve">- podpora pořízení přepravních jednotek pro kombinovanou </w:t>
            </w:r>
          </w:p>
          <w:p w14:paraId="45115C78" w14:textId="77777777" w:rsidR="00DD3EFA" w:rsidRPr="005A0E7C" w:rsidRDefault="00DD3EFA" w:rsidP="00B15ECB">
            <w:r w:rsidRPr="005A0E7C">
              <w:t xml:space="preserve">  dopravu</w:t>
            </w:r>
          </w:p>
          <w:p w14:paraId="46154A6D" w14:textId="77777777" w:rsidR="00DD3EFA" w:rsidRPr="005A0E7C" w:rsidRDefault="00DD3EFA" w:rsidP="00B15ECB">
            <w:r w:rsidRPr="005A0E7C">
              <w:t>- říční přístavy</w:t>
            </w:r>
          </w:p>
          <w:p w14:paraId="39D5017A" w14:textId="77777777" w:rsidR="00DD3EFA" w:rsidRPr="005A0E7C" w:rsidRDefault="00DD3EFA" w:rsidP="00B15ECB">
            <w:r w:rsidRPr="005A0E7C">
              <w:t xml:space="preserve">- úpravy již modernizované železniční infrastruktury dle     </w:t>
            </w:r>
          </w:p>
          <w:p w14:paraId="3BA682E8" w14:textId="77777777" w:rsidR="00DD3EFA" w:rsidRPr="005A0E7C" w:rsidRDefault="00DD3EFA" w:rsidP="00B15ECB">
            <w:r w:rsidRPr="005A0E7C">
              <w:t xml:space="preserve">  požadavků nařízení 1315/2013/EU (vlaky délky 740 m)</w:t>
            </w:r>
          </w:p>
          <w:p w14:paraId="7DF8D319" w14:textId="77777777" w:rsidR="00DD3EFA" w:rsidRPr="005A0E7C" w:rsidRDefault="00DD3EFA" w:rsidP="00B15ECB">
            <w:pPr>
              <w:tabs>
                <w:tab w:val="left" w:pos="213"/>
              </w:tabs>
            </w:pPr>
            <w:r w:rsidRPr="005A0E7C">
              <w:t>- přednostní využití železničních vozidel s elektrickým pohonem  na elektrifikovaných tratích pro nákladní přepravu</w:t>
            </w:r>
          </w:p>
          <w:p w14:paraId="4DC75799" w14:textId="77777777" w:rsidR="00DD3EFA" w:rsidRPr="005A0E7C" w:rsidRDefault="00DD3EFA" w:rsidP="00B15ECB">
            <w:pPr>
              <w:spacing w:before="60" w:after="60"/>
              <w:rPr>
                <w:u w:val="single"/>
              </w:rPr>
            </w:pPr>
          </w:p>
        </w:tc>
        <w:tc>
          <w:tcPr>
            <w:tcW w:w="249" w:type="dxa"/>
            <w:tcBorders>
              <w:top w:val="nil"/>
              <w:bottom w:val="nil"/>
            </w:tcBorders>
            <w:shd w:val="clear" w:color="auto" w:fill="66CCFF"/>
          </w:tcPr>
          <w:p w14:paraId="7378699D" w14:textId="77777777" w:rsidR="00DD3EFA" w:rsidRPr="005A0E7C" w:rsidRDefault="00DD3EFA" w:rsidP="00B15ECB">
            <w:pPr>
              <w:rPr>
                <w:b/>
              </w:rPr>
            </w:pPr>
          </w:p>
        </w:tc>
      </w:tr>
      <w:tr w:rsidR="00DD3EFA" w:rsidRPr="005A0E7C" w14:paraId="2CFE7290" w14:textId="77777777" w:rsidTr="00B15ECB">
        <w:trPr>
          <w:trHeight w:val="46"/>
        </w:trPr>
        <w:tc>
          <w:tcPr>
            <w:tcW w:w="249" w:type="dxa"/>
            <w:tcBorders>
              <w:top w:val="nil"/>
              <w:bottom w:val="nil"/>
              <w:right w:val="nil"/>
            </w:tcBorders>
            <w:shd w:val="clear" w:color="auto" w:fill="66CCFF"/>
          </w:tcPr>
          <w:p w14:paraId="44FF4553" w14:textId="77777777" w:rsidR="00DD3EFA" w:rsidRPr="005A0E7C" w:rsidRDefault="00DD3EFA" w:rsidP="00B15ECB">
            <w:pPr>
              <w:rPr>
                <w:b/>
              </w:rPr>
            </w:pPr>
            <w:r w:rsidRPr="005A0E7C">
              <w:rPr>
                <w:b/>
              </w:rPr>
              <w:t xml:space="preserve"> </w:t>
            </w:r>
          </w:p>
        </w:tc>
        <w:tc>
          <w:tcPr>
            <w:tcW w:w="2548" w:type="dxa"/>
            <w:tcBorders>
              <w:left w:val="nil"/>
              <w:bottom w:val="single" w:sz="4" w:space="0" w:color="auto"/>
              <w:right w:val="nil"/>
            </w:tcBorders>
            <w:shd w:val="clear" w:color="auto" w:fill="66CCFF"/>
          </w:tcPr>
          <w:p w14:paraId="10135AFF"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519693F2" w14:textId="77777777" w:rsidR="00DD3EFA" w:rsidRPr="005A0E7C" w:rsidRDefault="00DD3EFA" w:rsidP="00B15ECB">
            <w:pPr>
              <w:rPr>
                <w:b/>
              </w:rPr>
            </w:pPr>
          </w:p>
        </w:tc>
        <w:tc>
          <w:tcPr>
            <w:tcW w:w="249" w:type="dxa"/>
            <w:tcBorders>
              <w:top w:val="nil"/>
              <w:left w:val="nil"/>
              <w:bottom w:val="nil"/>
            </w:tcBorders>
            <w:shd w:val="clear" w:color="auto" w:fill="66CCFF"/>
          </w:tcPr>
          <w:p w14:paraId="18B6844E" w14:textId="77777777" w:rsidR="00DD3EFA" w:rsidRPr="005A0E7C" w:rsidRDefault="00DD3EFA" w:rsidP="00B15ECB">
            <w:pPr>
              <w:rPr>
                <w:b/>
              </w:rPr>
            </w:pPr>
          </w:p>
        </w:tc>
      </w:tr>
      <w:tr w:rsidR="00DD3EFA" w:rsidRPr="005A0E7C" w14:paraId="3B0292B3" w14:textId="77777777" w:rsidTr="00B15ECB">
        <w:trPr>
          <w:trHeight w:val="1274"/>
        </w:trPr>
        <w:tc>
          <w:tcPr>
            <w:tcW w:w="249" w:type="dxa"/>
            <w:tcBorders>
              <w:top w:val="nil"/>
              <w:bottom w:val="nil"/>
            </w:tcBorders>
            <w:shd w:val="clear" w:color="auto" w:fill="66CCFF"/>
          </w:tcPr>
          <w:p w14:paraId="387DCA1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CBDBA27"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59B4B0D" w14:textId="77777777" w:rsidR="00DD3EFA" w:rsidRPr="005A0E7C" w:rsidRDefault="00DD3EFA" w:rsidP="00B15ECB">
            <w:pPr>
              <w:spacing w:before="60" w:after="60"/>
            </w:pPr>
            <w:r w:rsidRPr="005A0E7C">
              <w:t>Uplatnění principu co-modality, tzn. snížení podílu silniční dopravy při přepravách na delší vzdálenosti, a to formou služby pro silniční dopravce. Sdílené a kombinované využívání dopravních cest, jak silničních, tak železničních, případně vodních, přispěje (za předpokladu funkčního propojeného systému) k možnosti snížit náklady dopravcům a také snížit některé lokální dopady na životní prostředí. Obecně jde pak o snižování negativního vlivu nákladní dopravy na životní prostředí a veřejné zdraví a vyšší energetická účinnost nákladní dopravy jako takové.</w:t>
            </w:r>
          </w:p>
          <w:p w14:paraId="519B063E"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434B4E2B" w14:textId="77777777" w:rsidR="00DD3EFA" w:rsidRPr="005A0E7C" w:rsidRDefault="00DD3EFA" w:rsidP="00B15ECB">
            <w:pPr>
              <w:rPr>
                <w:b/>
              </w:rPr>
            </w:pPr>
          </w:p>
        </w:tc>
      </w:tr>
      <w:tr w:rsidR="00DD3EFA" w:rsidRPr="005A0E7C" w14:paraId="459ACE57" w14:textId="77777777" w:rsidTr="00B15ECB">
        <w:trPr>
          <w:trHeight w:val="1274"/>
        </w:trPr>
        <w:tc>
          <w:tcPr>
            <w:tcW w:w="249" w:type="dxa"/>
            <w:tcBorders>
              <w:top w:val="nil"/>
              <w:bottom w:val="nil"/>
            </w:tcBorders>
            <w:shd w:val="clear" w:color="auto" w:fill="66CCFF"/>
          </w:tcPr>
          <w:p w14:paraId="6CC2B704"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4F3F411" w14:textId="77777777" w:rsidR="00DD3EFA" w:rsidRPr="005A0E7C" w:rsidRDefault="00DD3EFA" w:rsidP="00B15ECB">
            <w:pPr>
              <w:spacing w:before="60" w:after="60"/>
              <w:rPr>
                <w:rFonts w:eastAsiaTheme="majorEastAsia"/>
                <w:b/>
              </w:rPr>
            </w:pPr>
            <w:r w:rsidRPr="005A0E7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1DE6DAF6" w14:textId="77777777" w:rsidR="00DD3EFA" w:rsidRPr="005A0E7C" w:rsidRDefault="00DD3EFA" w:rsidP="00B15ECB">
            <w:pPr>
              <w:spacing w:before="60" w:after="60"/>
            </w:pPr>
            <w:r w:rsidRPr="005A0E7C">
              <w:t xml:space="preserve">Vytíženost, parametry a nedostatečnou kapacitu tratí po nákladní dopravu </w:t>
            </w:r>
          </w:p>
          <w:p w14:paraId="3C6ADE58" w14:textId="77777777" w:rsidR="00DD3EFA" w:rsidRPr="005A0E7C" w:rsidRDefault="00DD3EFA" w:rsidP="00B15ECB">
            <w:pPr>
              <w:spacing w:before="60" w:after="60"/>
              <w:rPr>
                <w:i/>
              </w:rPr>
            </w:pPr>
          </w:p>
        </w:tc>
        <w:tc>
          <w:tcPr>
            <w:tcW w:w="249" w:type="dxa"/>
            <w:tcBorders>
              <w:top w:val="nil"/>
              <w:bottom w:val="nil"/>
            </w:tcBorders>
            <w:shd w:val="clear" w:color="auto" w:fill="66CCFF"/>
          </w:tcPr>
          <w:p w14:paraId="6AE09AAD" w14:textId="77777777" w:rsidR="00DD3EFA" w:rsidRPr="005A0E7C" w:rsidRDefault="00DD3EFA" w:rsidP="00B15ECB">
            <w:pPr>
              <w:rPr>
                <w:b/>
              </w:rPr>
            </w:pPr>
          </w:p>
        </w:tc>
      </w:tr>
      <w:tr w:rsidR="00DD3EFA" w:rsidRPr="005A0E7C" w14:paraId="422167F6" w14:textId="77777777" w:rsidTr="00B15ECB">
        <w:trPr>
          <w:trHeight w:val="1274"/>
        </w:trPr>
        <w:tc>
          <w:tcPr>
            <w:tcW w:w="249" w:type="dxa"/>
            <w:tcBorders>
              <w:top w:val="nil"/>
              <w:bottom w:val="nil"/>
            </w:tcBorders>
            <w:shd w:val="clear" w:color="auto" w:fill="66CCFF"/>
          </w:tcPr>
          <w:p w14:paraId="5EEAC43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F770976"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cíle – změny, které chceme dosáhnout</w:t>
            </w:r>
          </w:p>
          <w:p w14:paraId="44B2E1A3"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D87081A" w14:textId="77777777" w:rsidR="00DD3EFA" w:rsidRPr="005A0E7C" w:rsidRDefault="00DD3EFA" w:rsidP="00B15ECB">
            <w:pPr>
              <w:spacing w:before="60" w:after="60"/>
              <w:rPr>
                <w:rFonts w:eastAsiaTheme="majorEastAsia"/>
                <w:u w:val="single"/>
              </w:rPr>
            </w:pPr>
            <w:r w:rsidRPr="005A0E7C">
              <w:t>Změnit skladbu přepravních výkonů ve prospěch železniční/ kombinované nákladní dopravy včetně jejího fungování na bázi spolupráce silničních a železničních dopravců (např. pomocí kontinentální kombinované dopravy).</w:t>
            </w:r>
          </w:p>
        </w:tc>
        <w:tc>
          <w:tcPr>
            <w:tcW w:w="249" w:type="dxa"/>
            <w:tcBorders>
              <w:top w:val="nil"/>
              <w:bottom w:val="nil"/>
            </w:tcBorders>
            <w:shd w:val="clear" w:color="auto" w:fill="66CCFF"/>
          </w:tcPr>
          <w:p w14:paraId="604E97C6" w14:textId="77777777" w:rsidR="00DD3EFA" w:rsidRPr="005A0E7C" w:rsidRDefault="00DD3EFA" w:rsidP="00B15ECB">
            <w:pPr>
              <w:rPr>
                <w:b/>
              </w:rPr>
            </w:pPr>
          </w:p>
        </w:tc>
      </w:tr>
      <w:tr w:rsidR="00DD3EFA" w:rsidRPr="005A0E7C" w14:paraId="17340AF3" w14:textId="77777777" w:rsidTr="00B15ECB">
        <w:trPr>
          <w:trHeight w:val="1274"/>
        </w:trPr>
        <w:tc>
          <w:tcPr>
            <w:tcW w:w="249" w:type="dxa"/>
            <w:tcBorders>
              <w:top w:val="nil"/>
              <w:bottom w:val="nil"/>
            </w:tcBorders>
            <w:shd w:val="clear" w:color="auto" w:fill="66CCFF"/>
          </w:tcPr>
          <w:p w14:paraId="169E2AD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CDDAE0E"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6F6B1AE9" w14:textId="77777777" w:rsidR="00DD3EFA" w:rsidRPr="005A0E7C" w:rsidRDefault="00DD3EFA" w:rsidP="00B15ECB">
            <w:pPr>
              <w:spacing w:before="60" w:after="60"/>
            </w:pPr>
            <w:r w:rsidRPr="005A0E7C">
              <w:t>Síť terminálů multimodální dopravy pro kontinentální přepravu</w:t>
            </w:r>
          </w:p>
          <w:p w14:paraId="7AF455F3" w14:textId="77777777" w:rsidR="00DD3EFA" w:rsidRPr="005A0E7C" w:rsidRDefault="00DD3EFA" w:rsidP="00B15ECB">
            <w:pPr>
              <w:spacing w:before="60" w:after="60"/>
            </w:pPr>
            <w:r w:rsidRPr="005A0E7C">
              <w:t>Vyšší uplatnění co-modality</w:t>
            </w:r>
          </w:p>
          <w:p w14:paraId="0A924E7B" w14:textId="77777777" w:rsidR="00DD3EFA" w:rsidRPr="005A0E7C" w:rsidRDefault="00DD3EFA" w:rsidP="00B15ECB">
            <w:pPr>
              <w:spacing w:before="60" w:after="60"/>
              <w:rPr>
                <w:rFonts w:eastAsiaTheme="majorEastAsia"/>
                <w:i/>
                <w:u w:val="single"/>
              </w:rPr>
            </w:pPr>
            <w:r w:rsidRPr="005A0E7C">
              <w:t>Zkrácení efektivní vzdálenosti u kontinentálních přeprav</w:t>
            </w:r>
          </w:p>
        </w:tc>
        <w:tc>
          <w:tcPr>
            <w:tcW w:w="249" w:type="dxa"/>
            <w:tcBorders>
              <w:top w:val="nil"/>
              <w:bottom w:val="nil"/>
            </w:tcBorders>
            <w:shd w:val="clear" w:color="auto" w:fill="66CCFF"/>
          </w:tcPr>
          <w:p w14:paraId="29D97A42" w14:textId="77777777" w:rsidR="00DD3EFA" w:rsidRPr="005A0E7C" w:rsidRDefault="00DD3EFA" w:rsidP="00B15ECB">
            <w:pPr>
              <w:rPr>
                <w:b/>
              </w:rPr>
            </w:pPr>
          </w:p>
        </w:tc>
      </w:tr>
      <w:tr w:rsidR="00DD3EFA" w:rsidRPr="005A0E7C" w14:paraId="034318BA" w14:textId="77777777" w:rsidTr="00B15ECB">
        <w:trPr>
          <w:trHeight w:val="1274"/>
        </w:trPr>
        <w:tc>
          <w:tcPr>
            <w:tcW w:w="249" w:type="dxa"/>
            <w:tcBorders>
              <w:top w:val="nil"/>
              <w:bottom w:val="nil"/>
            </w:tcBorders>
            <w:shd w:val="clear" w:color="auto" w:fill="66CCFF"/>
          </w:tcPr>
          <w:p w14:paraId="4294BF0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F706214"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756F7580" w14:textId="77777777" w:rsidR="00DD3EFA" w:rsidRPr="005A0E7C" w:rsidRDefault="00DD3EFA" w:rsidP="00B15ECB">
            <w:pPr>
              <w:spacing w:before="60" w:after="60"/>
              <w:rPr>
                <w:rFonts w:eastAsiaTheme="majorEastAsia"/>
                <w:i/>
                <w:u w:val="single"/>
              </w:rPr>
            </w:pPr>
            <w:r w:rsidRPr="005A0E7C">
              <w:rPr>
                <w:rFonts w:eastAsia="Calibri"/>
              </w:rPr>
              <w:t>50 %</w:t>
            </w:r>
          </w:p>
        </w:tc>
        <w:tc>
          <w:tcPr>
            <w:tcW w:w="249" w:type="dxa"/>
            <w:tcBorders>
              <w:top w:val="nil"/>
              <w:bottom w:val="nil"/>
            </w:tcBorders>
            <w:shd w:val="clear" w:color="auto" w:fill="66CCFF"/>
          </w:tcPr>
          <w:p w14:paraId="4FFBA057" w14:textId="77777777" w:rsidR="00DD3EFA" w:rsidRPr="005A0E7C" w:rsidRDefault="00DD3EFA" w:rsidP="00B15ECB">
            <w:pPr>
              <w:rPr>
                <w:b/>
              </w:rPr>
            </w:pPr>
          </w:p>
        </w:tc>
      </w:tr>
      <w:tr w:rsidR="00DD3EFA" w:rsidRPr="005A0E7C" w14:paraId="724D1EE8" w14:textId="77777777" w:rsidTr="00B15ECB">
        <w:trPr>
          <w:trHeight w:val="1274"/>
        </w:trPr>
        <w:tc>
          <w:tcPr>
            <w:tcW w:w="249" w:type="dxa"/>
            <w:tcBorders>
              <w:top w:val="nil"/>
              <w:bottom w:val="nil"/>
            </w:tcBorders>
            <w:shd w:val="clear" w:color="auto" w:fill="66CCFF"/>
          </w:tcPr>
          <w:p w14:paraId="4018595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128E456" w14:textId="77777777" w:rsidR="00DD3EFA" w:rsidRPr="005A0E7C" w:rsidRDefault="00DD3EFA" w:rsidP="00391907">
            <w:pPr>
              <w:pStyle w:val="Odstavecseseznamem"/>
              <w:numPr>
                <w:ilvl w:val="0"/>
                <w:numId w:val="4"/>
              </w:numPr>
              <w:spacing w:before="60" w:after="60"/>
              <w:rPr>
                <w:rFonts w:eastAsiaTheme="majorEastAsia"/>
                <w:b/>
              </w:rPr>
            </w:pPr>
            <w:r w:rsidRPr="005A0E7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18CC6D6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eastAsia="Times New Roman" w:hAnsi="Times New Roman"/>
              </w:rPr>
              <w:t>Je nutné pokračovat ve stávajícím zaměření podpory, a to zejména s důrazem na kontinentální kombinovanou dopravu. Jedná se o oblast, která navazuje na infrastrukturní opatření zejména v oblasti modernizace železniční infrastruktury a infrastruktury vnitrozemských vodních cest.</w:t>
            </w:r>
          </w:p>
        </w:tc>
        <w:tc>
          <w:tcPr>
            <w:tcW w:w="249" w:type="dxa"/>
            <w:tcBorders>
              <w:top w:val="nil"/>
              <w:bottom w:val="nil"/>
            </w:tcBorders>
            <w:shd w:val="clear" w:color="auto" w:fill="66CCFF"/>
          </w:tcPr>
          <w:p w14:paraId="758E61DC" w14:textId="77777777" w:rsidR="00DD3EFA" w:rsidRPr="005A0E7C" w:rsidRDefault="00DD3EFA" w:rsidP="00B15ECB">
            <w:pPr>
              <w:rPr>
                <w:b/>
              </w:rPr>
            </w:pPr>
          </w:p>
        </w:tc>
      </w:tr>
      <w:tr w:rsidR="00DD3EFA" w:rsidRPr="005A0E7C" w14:paraId="5066B920" w14:textId="77777777" w:rsidTr="00B15ECB">
        <w:trPr>
          <w:trHeight w:val="272"/>
        </w:trPr>
        <w:tc>
          <w:tcPr>
            <w:tcW w:w="249" w:type="dxa"/>
            <w:tcBorders>
              <w:top w:val="nil"/>
              <w:bottom w:val="nil"/>
              <w:right w:val="nil"/>
            </w:tcBorders>
            <w:shd w:val="clear" w:color="auto" w:fill="66CCFF"/>
          </w:tcPr>
          <w:p w14:paraId="13A794C2"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F028E4D"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019DFD0" w14:textId="77777777" w:rsidR="00DD3EFA" w:rsidRPr="005A0E7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3BABFF1C" w14:textId="77777777" w:rsidR="00DD3EFA" w:rsidRPr="005A0E7C" w:rsidRDefault="00DD3EFA" w:rsidP="00B15ECB">
            <w:pPr>
              <w:rPr>
                <w:b/>
              </w:rPr>
            </w:pPr>
          </w:p>
        </w:tc>
      </w:tr>
      <w:tr w:rsidR="00DD3EFA" w:rsidRPr="005A0E7C" w14:paraId="30518C05" w14:textId="77777777" w:rsidTr="00B15ECB">
        <w:trPr>
          <w:trHeight w:val="835"/>
        </w:trPr>
        <w:tc>
          <w:tcPr>
            <w:tcW w:w="249" w:type="dxa"/>
            <w:tcBorders>
              <w:top w:val="nil"/>
              <w:bottom w:val="nil"/>
            </w:tcBorders>
            <w:shd w:val="clear" w:color="auto" w:fill="66CCFF"/>
          </w:tcPr>
          <w:p w14:paraId="0FD8E64E"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auto"/>
          </w:tcPr>
          <w:p w14:paraId="0F080479" w14:textId="77777777" w:rsidR="00DD3EFA" w:rsidRPr="005A0E7C" w:rsidRDefault="00DD3EFA" w:rsidP="00B15ECB">
            <w:pPr>
              <w:spacing w:before="60" w:after="60"/>
              <w:rPr>
                <w:rFonts w:eastAsiaTheme="majorEastAsia"/>
                <w:b/>
              </w:rPr>
            </w:pPr>
            <w:r w:rsidRPr="005A0E7C">
              <w:rPr>
                <w:rFonts w:eastAsiaTheme="majorEastAsia"/>
                <w:b/>
              </w:rPr>
              <w:t>Dílčí cíle podpory</w:t>
            </w:r>
          </w:p>
          <w:p w14:paraId="41A04A08" w14:textId="77777777" w:rsidR="00DD3EFA" w:rsidRPr="005A0E7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3D44F7F6" w14:textId="77777777" w:rsidR="00DD3EFA" w:rsidRPr="005A0E7C" w:rsidRDefault="00DD3EFA" w:rsidP="00B15ECB">
            <w:pPr>
              <w:spacing w:before="60" w:after="60"/>
            </w:pPr>
            <w:r w:rsidRPr="005A0E7C">
              <w:t>Modernizace terminálů</w:t>
            </w:r>
          </w:p>
          <w:p w14:paraId="19E97727" w14:textId="77777777" w:rsidR="00DD3EFA" w:rsidRPr="005A0E7C" w:rsidRDefault="00DD3EFA" w:rsidP="00B15ECB">
            <w:pPr>
              <w:spacing w:before="60" w:after="60"/>
            </w:pPr>
            <w:r w:rsidRPr="005A0E7C">
              <w:t>Podpora pořízení přepravních jednotek</w:t>
            </w:r>
          </w:p>
          <w:p w14:paraId="2C8CE464"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422A646" w14:textId="77777777" w:rsidR="00DD3EFA" w:rsidRPr="005A0E7C" w:rsidRDefault="00DD3EFA" w:rsidP="00B15ECB">
            <w:pPr>
              <w:rPr>
                <w:b/>
              </w:rPr>
            </w:pPr>
          </w:p>
        </w:tc>
      </w:tr>
      <w:tr w:rsidR="00DD3EFA" w:rsidRPr="005A0E7C" w14:paraId="19988E6A" w14:textId="77777777" w:rsidTr="00B15ECB">
        <w:trPr>
          <w:trHeight w:val="377"/>
        </w:trPr>
        <w:tc>
          <w:tcPr>
            <w:tcW w:w="249" w:type="dxa"/>
            <w:tcBorders>
              <w:top w:val="nil"/>
              <w:bottom w:val="nil"/>
              <w:right w:val="nil"/>
            </w:tcBorders>
            <w:shd w:val="clear" w:color="auto" w:fill="66CCFF"/>
          </w:tcPr>
          <w:p w14:paraId="43756552"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9BCDBE6"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D4CC99E" w14:textId="77777777" w:rsidR="00DD3EFA" w:rsidRPr="005A0E7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75DF7BAD" w14:textId="77777777" w:rsidR="00DD3EFA" w:rsidRPr="005A0E7C" w:rsidRDefault="00DD3EFA" w:rsidP="00B15ECB">
            <w:pPr>
              <w:rPr>
                <w:b/>
              </w:rPr>
            </w:pPr>
          </w:p>
        </w:tc>
      </w:tr>
      <w:tr w:rsidR="00DD3EFA" w:rsidRPr="005A0E7C" w14:paraId="0E013F71" w14:textId="77777777" w:rsidTr="00B15ECB">
        <w:trPr>
          <w:trHeight w:val="607"/>
        </w:trPr>
        <w:tc>
          <w:tcPr>
            <w:tcW w:w="249" w:type="dxa"/>
            <w:tcBorders>
              <w:top w:val="nil"/>
              <w:bottom w:val="nil"/>
            </w:tcBorders>
            <w:shd w:val="clear" w:color="auto" w:fill="66CCFF"/>
          </w:tcPr>
          <w:p w14:paraId="0C9C4803" w14:textId="77777777" w:rsidR="00DD3EFA" w:rsidRPr="005A0E7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628343D9" w14:textId="77777777" w:rsidR="00DD3EFA" w:rsidRPr="005A0E7C" w:rsidRDefault="00DD3EFA" w:rsidP="00B15ECB">
            <w:pPr>
              <w:spacing w:before="60" w:after="60"/>
              <w:rPr>
                <w:rFonts w:eastAsiaTheme="majorEastAsia"/>
                <w:b/>
              </w:rPr>
            </w:pPr>
            <w:r w:rsidRPr="005A0E7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60CED4D7"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79C8235A" w14:textId="77777777" w:rsidR="00DD3EFA" w:rsidRPr="005A0E7C" w:rsidRDefault="00DD3EFA" w:rsidP="00B15ECB">
            <w:pPr>
              <w:rPr>
                <w:b/>
              </w:rPr>
            </w:pPr>
          </w:p>
        </w:tc>
      </w:tr>
      <w:tr w:rsidR="00DD3EFA" w:rsidRPr="005A0E7C" w14:paraId="157BD467" w14:textId="77777777" w:rsidTr="00B15ECB">
        <w:trPr>
          <w:trHeight w:val="1202"/>
        </w:trPr>
        <w:tc>
          <w:tcPr>
            <w:tcW w:w="249" w:type="dxa"/>
            <w:tcBorders>
              <w:top w:val="nil"/>
              <w:bottom w:val="nil"/>
            </w:tcBorders>
            <w:shd w:val="clear" w:color="auto" w:fill="66CCFF"/>
          </w:tcPr>
          <w:p w14:paraId="60EB7C6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50FAD7E"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Územní dimenze</w:t>
            </w:r>
          </w:p>
          <w:p w14:paraId="057F9837"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AFF1681" w14:textId="77777777" w:rsidR="00DD3EFA" w:rsidRPr="005A0E7C" w:rsidRDefault="00DD3EFA" w:rsidP="00B15ECB">
            <w:r w:rsidRPr="005A0E7C">
              <w:t>Podpora by měla být zaměřena v souladu s aktuální verzí Koncepce nákladní dopravy a Program podpory modernizace a výstavby překladišť kombinované dopravy. Jelikož je celá ČR tranzitním dopravním regionem evropského významu, jedná se o měřítko celého území ČR, zejména pak hlavních mezinárodních dopravních tahů (silniční, železniční, vodní) do okolních států a dále do krajních poloh EU a mimo EU.</w:t>
            </w:r>
            <w:r w:rsidRPr="005A0E7C">
              <w:rPr>
                <w:b/>
              </w:rPr>
              <w:tab/>
            </w:r>
          </w:p>
        </w:tc>
        <w:tc>
          <w:tcPr>
            <w:tcW w:w="249" w:type="dxa"/>
            <w:tcBorders>
              <w:top w:val="nil"/>
              <w:bottom w:val="nil"/>
            </w:tcBorders>
            <w:shd w:val="clear" w:color="auto" w:fill="66CCFF"/>
          </w:tcPr>
          <w:p w14:paraId="770EFFE4" w14:textId="77777777" w:rsidR="00DD3EFA" w:rsidRPr="005A0E7C" w:rsidRDefault="00DD3EFA" w:rsidP="00B15ECB">
            <w:pPr>
              <w:rPr>
                <w:b/>
              </w:rPr>
            </w:pPr>
          </w:p>
        </w:tc>
      </w:tr>
      <w:tr w:rsidR="00DD3EFA" w:rsidRPr="005A0E7C" w14:paraId="245C7428" w14:textId="77777777" w:rsidTr="00B15ECB">
        <w:trPr>
          <w:trHeight w:val="1202"/>
        </w:trPr>
        <w:tc>
          <w:tcPr>
            <w:tcW w:w="249" w:type="dxa"/>
            <w:tcBorders>
              <w:top w:val="nil"/>
              <w:bottom w:val="nil"/>
            </w:tcBorders>
            <w:shd w:val="clear" w:color="auto" w:fill="66CCFF"/>
          </w:tcPr>
          <w:p w14:paraId="4A902F9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87E61DD"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Adaptace na změnu klimatu</w:t>
            </w:r>
          </w:p>
          <w:p w14:paraId="437D22F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2B43D98"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Jedná se o podporu jednoho z významných mitigačních opatření. Sektor nákladní dopravy se výraznou měrou podílí na znečistění ovzduší. V současné době je přeprava věcí realizována převážně silniční nákladní dopravou, která používá dieselové motory.  Ke snížení negativních vlivů dopravy na kvalitu ovzduší je nutné přesměrovat silniční nákladní dopravu na železniční a vodní dopravu, k čemuž přispěje realizace výše uvedených opatření. </w:t>
            </w:r>
          </w:p>
        </w:tc>
        <w:tc>
          <w:tcPr>
            <w:tcW w:w="249" w:type="dxa"/>
            <w:tcBorders>
              <w:top w:val="nil"/>
              <w:bottom w:val="nil"/>
            </w:tcBorders>
            <w:shd w:val="clear" w:color="auto" w:fill="66CCFF"/>
          </w:tcPr>
          <w:p w14:paraId="47ABC975" w14:textId="77777777" w:rsidR="00DD3EFA" w:rsidRPr="005A0E7C" w:rsidRDefault="00DD3EFA" w:rsidP="00B15ECB">
            <w:pPr>
              <w:rPr>
                <w:b/>
              </w:rPr>
            </w:pPr>
          </w:p>
        </w:tc>
      </w:tr>
      <w:tr w:rsidR="00DD3EFA" w:rsidRPr="005A0E7C" w14:paraId="1EFF8233" w14:textId="77777777" w:rsidTr="00B15ECB">
        <w:trPr>
          <w:trHeight w:val="1202"/>
        </w:trPr>
        <w:tc>
          <w:tcPr>
            <w:tcW w:w="249" w:type="dxa"/>
            <w:tcBorders>
              <w:top w:val="nil"/>
              <w:bottom w:val="nil"/>
            </w:tcBorders>
            <w:shd w:val="clear" w:color="auto" w:fill="66CCFF"/>
          </w:tcPr>
          <w:p w14:paraId="09E0F68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65E6446"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Společnost 4.0.</w:t>
            </w:r>
          </w:p>
          <w:p w14:paraId="3E3992FE"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1C8F1A4"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V souvislosti se strategickou geografickou polohou ve středu Evropy se stává ČR výzvou pro nové trendy v oblasti přepravy zboží. Poloha mezi severem a jihem a východem a západem s sebou přináší mnohá rizika v přetížení a zatížení země tranzitní dopravou. Za tímto účelem může digitalizace a internet věcí zapříčinit snížení potřeby přepravy fyzických produktů. I tak však zůstane do budoucna velká část zejména nadměrných nákladů (např. strojírenské výrobky) nutné přepravovat fyzicky. </w:t>
            </w:r>
          </w:p>
          <w:p w14:paraId="54EAF279" w14:textId="77777777" w:rsidR="00DD3EFA" w:rsidRPr="005A0E7C" w:rsidRDefault="00DD3EFA" w:rsidP="00B15ECB">
            <w:pPr>
              <w:pStyle w:val="slovanodstavec"/>
              <w:tabs>
                <w:tab w:val="left" w:pos="284"/>
              </w:tabs>
              <w:suppressAutoHyphens/>
              <w:spacing w:line="240" w:lineRule="auto"/>
              <w:jc w:val="left"/>
              <w:rPr>
                <w:rFonts w:ascii="Times New Roman" w:hAnsi="Times New Roman"/>
              </w:rPr>
            </w:pPr>
            <w:r w:rsidRPr="005A0E7C">
              <w:rPr>
                <w:rFonts w:ascii="Times New Roman" w:hAnsi="Times New Roman"/>
              </w:rPr>
              <w:t xml:space="preserve">S konceptem Průmyslu 4.0 je také spojen rychlý přístup ke zboží tzv. just-in-time, což znamená v důsledku velkou frekvenci dopravních toků. Tomu je potřeba čelit připraveností dopravních systémů využívajících aktuální data ke koordinaci a kombinovanému využití dopravní infrastruktury. </w:t>
            </w:r>
          </w:p>
          <w:p w14:paraId="5464FA40" w14:textId="77777777" w:rsidR="00DD3EFA" w:rsidRPr="005A0E7C" w:rsidRDefault="00DD3EFA" w:rsidP="00B15ECB">
            <w:pPr>
              <w:pStyle w:val="slovanodstavec"/>
              <w:tabs>
                <w:tab w:val="left" w:pos="284"/>
              </w:tabs>
              <w:suppressAutoHyphens/>
              <w:spacing w:line="240" w:lineRule="auto"/>
              <w:jc w:val="left"/>
              <w:rPr>
                <w:rFonts w:ascii="Times New Roman" w:hAnsi="Times New Roman"/>
                <w:b/>
              </w:rPr>
            </w:pPr>
            <w:r w:rsidRPr="005A0E7C">
              <w:rPr>
                <w:rFonts w:ascii="Times New Roman" w:hAnsi="Times New Roman"/>
              </w:rPr>
              <w:t>Promítnutí inteligentních logistických systémů a plánování efektivního využití propojení dopravní infrastruktury (zejména silnice – železnice, ale i vodních cest) může znamenat pro ČR značnou konkurenční výhodu, která bude posilovat využití polohy ČR pro ekonomický růst. Právě včasné a koordinované plánování pro připravenost na možný nárůst může zamezit i negativním vlivům na životní prostředí.</w:t>
            </w:r>
            <w:r w:rsidRPr="005A0E7C">
              <w:rPr>
                <w:rFonts w:ascii="Times New Roman" w:hAnsi="Times New Roman"/>
                <w:b/>
              </w:rPr>
              <w:tab/>
            </w:r>
          </w:p>
        </w:tc>
        <w:tc>
          <w:tcPr>
            <w:tcW w:w="249" w:type="dxa"/>
            <w:tcBorders>
              <w:top w:val="nil"/>
              <w:bottom w:val="nil"/>
            </w:tcBorders>
            <w:shd w:val="clear" w:color="auto" w:fill="66CCFF"/>
          </w:tcPr>
          <w:p w14:paraId="40E1517A" w14:textId="77777777" w:rsidR="00DD3EFA" w:rsidRPr="005A0E7C" w:rsidRDefault="00DD3EFA" w:rsidP="00B15ECB">
            <w:pPr>
              <w:rPr>
                <w:b/>
              </w:rPr>
            </w:pPr>
          </w:p>
        </w:tc>
      </w:tr>
      <w:tr w:rsidR="00DD3EFA" w:rsidRPr="005A0E7C" w14:paraId="718A6B4D" w14:textId="77777777" w:rsidTr="00B15ECB">
        <w:trPr>
          <w:trHeight w:val="1202"/>
        </w:trPr>
        <w:tc>
          <w:tcPr>
            <w:tcW w:w="249" w:type="dxa"/>
            <w:tcBorders>
              <w:top w:val="nil"/>
              <w:bottom w:val="nil"/>
            </w:tcBorders>
            <w:shd w:val="clear" w:color="auto" w:fill="66CCFF"/>
          </w:tcPr>
          <w:p w14:paraId="4B329FF0"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02EA9FA" w14:textId="77777777" w:rsidR="00DD3EFA" w:rsidRPr="005A0E7C" w:rsidRDefault="00DD3EFA" w:rsidP="00391907">
            <w:pPr>
              <w:pStyle w:val="Odstavecseseznamem"/>
              <w:numPr>
                <w:ilvl w:val="0"/>
                <w:numId w:val="2"/>
              </w:numPr>
              <w:spacing w:before="60" w:after="60"/>
              <w:rPr>
                <w:rFonts w:eastAsiaTheme="majorEastAsia"/>
                <w:b/>
              </w:rPr>
            </w:pPr>
            <w:r w:rsidRPr="005A0E7C">
              <w:rPr>
                <w:rFonts w:eastAsiaTheme="majorEastAsia"/>
                <w:b/>
              </w:rPr>
              <w:t>Vazba na megatrendy</w:t>
            </w:r>
          </w:p>
          <w:p w14:paraId="493BDC52"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8802369" w14:textId="77777777" w:rsidR="00DD3EFA" w:rsidRPr="005A0E7C" w:rsidRDefault="00DD3EFA" w:rsidP="00B15ECB">
            <w:pPr>
              <w:spacing w:before="60" w:after="60"/>
              <w:rPr>
                <w:rFonts w:eastAsiaTheme="majorEastAsia"/>
              </w:rPr>
            </w:pPr>
            <w:r w:rsidRPr="005A0E7C">
              <w:rPr>
                <w:b/>
              </w:rPr>
              <w:t xml:space="preserve">Rostoucí mobilita </w:t>
            </w:r>
          </w:p>
          <w:p w14:paraId="06DB4306" w14:textId="77777777" w:rsidR="00DD3EFA" w:rsidRPr="005A0E7C" w:rsidRDefault="00DD3EFA" w:rsidP="00B15ECB">
            <w:pPr>
              <w:spacing w:before="40"/>
            </w:pPr>
            <w:r w:rsidRPr="005A0E7C">
              <w:t>Dochází ke zvýšenému pohybu lidí, zboží, ale s tím také rostoucí environmentální zátěže.</w:t>
            </w:r>
          </w:p>
          <w:p w14:paraId="24A6E26C" w14:textId="77777777" w:rsidR="00DD3EFA" w:rsidRPr="005A0E7C" w:rsidRDefault="00DD3EFA" w:rsidP="00B15ECB">
            <w:pPr>
              <w:spacing w:before="240" w:line="259" w:lineRule="auto"/>
              <w:rPr>
                <w:b/>
              </w:rPr>
            </w:pPr>
            <w:r w:rsidRPr="005A0E7C">
              <w:rPr>
                <w:b/>
              </w:rPr>
              <w:t>Změna klimatu a její dopady</w:t>
            </w:r>
          </w:p>
          <w:p w14:paraId="31490747" w14:textId="77777777" w:rsidR="00DD3EFA" w:rsidRPr="005A0E7C" w:rsidRDefault="00DD3EFA" w:rsidP="00B15ECB">
            <w:pPr>
              <w:spacing w:before="40"/>
            </w:pPr>
            <w:r w:rsidRPr="005A0E7C">
              <w:t>Změna klimatu zásadně ovlivňuje nejen životní prostředí, ale i všechny hospodářské sektory a tím i kvalitu života celé společnosti.</w:t>
            </w:r>
          </w:p>
          <w:p w14:paraId="59A8F18E" w14:textId="77777777" w:rsidR="00DD3EFA" w:rsidRPr="005A0E7C" w:rsidRDefault="00DD3EFA" w:rsidP="00B15ECB">
            <w:pPr>
              <w:spacing w:before="240" w:line="259" w:lineRule="auto"/>
              <w:rPr>
                <w:b/>
              </w:rPr>
            </w:pPr>
            <w:r w:rsidRPr="005A0E7C">
              <w:rPr>
                <w:b/>
              </w:rPr>
              <w:t>Rostoucí spotřeba energie</w:t>
            </w:r>
          </w:p>
          <w:p w14:paraId="4147A85B" w14:textId="77777777" w:rsidR="00DD3EFA" w:rsidRPr="005A0E7C" w:rsidRDefault="00DD3EFA" w:rsidP="00B15ECB">
            <w:pPr>
              <w:spacing w:before="40"/>
            </w:pPr>
            <w:r w:rsidRPr="005A0E7C">
              <w:t>Energetická náročnost lidské činnosti narůstá v souvislosti s rostoucím bohatstvím a populační expanzí.</w:t>
            </w:r>
          </w:p>
          <w:p w14:paraId="751287BE" w14:textId="77777777" w:rsidR="00DD3EFA" w:rsidRPr="005A0E7C" w:rsidRDefault="00DD3EFA" w:rsidP="00B15ECB">
            <w:pPr>
              <w:spacing w:before="40"/>
              <w:rPr>
                <w:rFonts w:eastAsiaTheme="majorEastAsia"/>
              </w:rPr>
            </w:pPr>
          </w:p>
        </w:tc>
        <w:tc>
          <w:tcPr>
            <w:tcW w:w="249" w:type="dxa"/>
            <w:tcBorders>
              <w:top w:val="nil"/>
              <w:bottom w:val="nil"/>
            </w:tcBorders>
            <w:shd w:val="clear" w:color="auto" w:fill="66CCFF"/>
          </w:tcPr>
          <w:p w14:paraId="62EE784F" w14:textId="77777777" w:rsidR="00DD3EFA" w:rsidRPr="005A0E7C" w:rsidRDefault="00DD3EFA" w:rsidP="00B15ECB">
            <w:pPr>
              <w:rPr>
                <w:b/>
              </w:rPr>
            </w:pPr>
          </w:p>
        </w:tc>
      </w:tr>
      <w:tr w:rsidR="00DD3EFA" w:rsidRPr="005A0E7C" w14:paraId="52E0A8DC" w14:textId="77777777" w:rsidTr="00B15ECB">
        <w:trPr>
          <w:trHeight w:val="1202"/>
        </w:trPr>
        <w:tc>
          <w:tcPr>
            <w:tcW w:w="249" w:type="dxa"/>
            <w:tcBorders>
              <w:top w:val="nil"/>
              <w:bottom w:val="nil"/>
            </w:tcBorders>
            <w:shd w:val="clear" w:color="auto" w:fill="66CCFF"/>
          </w:tcPr>
          <w:p w14:paraId="66436BCC"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38B50A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52A1941F" w14:textId="77777777" w:rsidR="00DD3EFA" w:rsidRPr="005A0E7C" w:rsidRDefault="00DD3EFA" w:rsidP="00B15ECB">
            <w:pPr>
              <w:rPr>
                <w:color w:val="000000"/>
              </w:rPr>
            </w:pPr>
            <w:r w:rsidRPr="005A0E7C">
              <w:rPr>
                <w:color w:val="000000"/>
              </w:rPr>
              <w:t>CP3. A more connected Europe by enhancing mobility and regional ICT connectivity</w:t>
            </w:r>
          </w:p>
          <w:p w14:paraId="1BBC3C5C" w14:textId="77777777" w:rsidR="00DD3EFA" w:rsidRPr="005A0E7C" w:rsidRDefault="00DD3EFA" w:rsidP="00B15ECB">
            <w:pPr>
              <w:rPr>
                <w:color w:val="000000"/>
              </w:rPr>
            </w:pPr>
            <w:r w:rsidRPr="005A0E7C">
              <w:rPr>
                <w:color w:val="000000"/>
              </w:rPr>
              <w:t>SC</w:t>
            </w:r>
          </w:p>
          <w:p w14:paraId="1F6459C2" w14:textId="77777777" w:rsidR="00DD3EFA" w:rsidRPr="005A0E7C" w:rsidRDefault="00DD3EFA" w:rsidP="00B15ECB">
            <w:pPr>
              <w:spacing w:before="60" w:after="60"/>
              <w:rPr>
                <w:rFonts w:eastAsiaTheme="majorEastAsia"/>
                <w:i/>
              </w:rPr>
            </w:pPr>
            <w:r w:rsidRPr="005A0E7C">
              <w:rPr>
                <w:color w:val="000000"/>
              </w:rPr>
              <w:t>(iii) Developing and enhancing sustainable, climate resilient, intelligent and intermodal national, regional and local mobility, including improved access to TEN-T and cross-border mobility</w:t>
            </w:r>
          </w:p>
        </w:tc>
        <w:tc>
          <w:tcPr>
            <w:tcW w:w="249" w:type="dxa"/>
            <w:tcBorders>
              <w:top w:val="nil"/>
              <w:bottom w:val="nil"/>
            </w:tcBorders>
            <w:shd w:val="clear" w:color="auto" w:fill="66CCFF"/>
          </w:tcPr>
          <w:p w14:paraId="67D43420" w14:textId="77777777" w:rsidR="00DD3EFA" w:rsidRPr="005A0E7C" w:rsidRDefault="00DD3EFA" w:rsidP="00B15ECB">
            <w:pPr>
              <w:rPr>
                <w:b/>
              </w:rPr>
            </w:pPr>
          </w:p>
        </w:tc>
      </w:tr>
      <w:tr w:rsidR="00DD3EFA" w:rsidRPr="005A0E7C" w14:paraId="21701DF9" w14:textId="77777777" w:rsidTr="00B15ECB">
        <w:trPr>
          <w:trHeight w:val="1202"/>
        </w:trPr>
        <w:tc>
          <w:tcPr>
            <w:tcW w:w="249" w:type="dxa"/>
            <w:tcBorders>
              <w:top w:val="nil"/>
              <w:bottom w:val="nil"/>
            </w:tcBorders>
            <w:shd w:val="clear" w:color="auto" w:fill="66CCFF"/>
          </w:tcPr>
          <w:p w14:paraId="0FBAD5B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0DA5A680"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SDR</w:t>
            </w:r>
          </w:p>
        </w:tc>
        <w:tc>
          <w:tcPr>
            <w:tcW w:w="5978" w:type="dxa"/>
            <w:tcBorders>
              <w:bottom w:val="single" w:sz="4" w:space="0" w:color="auto"/>
            </w:tcBorders>
            <w:shd w:val="clear" w:color="auto" w:fill="FFFFFF" w:themeFill="background1"/>
          </w:tcPr>
          <w:p w14:paraId="26F127E3" w14:textId="77777777" w:rsidR="00DD3EFA" w:rsidRPr="005A0E7C" w:rsidRDefault="00DD3EFA" w:rsidP="00B15ECB">
            <w:pPr>
              <w:spacing w:before="60" w:after="60"/>
              <w:rPr>
                <w:rFonts w:eastAsiaTheme="majorEastAsia"/>
                <w:i/>
              </w:rPr>
            </w:pPr>
            <w:r w:rsidRPr="005A0E7C">
              <w:rPr>
                <w:rFonts w:eastAsiaTheme="majorEastAsia"/>
              </w:rPr>
              <w:t xml:space="preserve">Vybraná specifická doporučení Rady </w:t>
            </w:r>
            <w:r w:rsidRPr="005A0E7C">
              <w:rPr>
                <w:rFonts w:eastAsiaTheme="majorEastAsia"/>
                <w:i/>
              </w:rPr>
              <w:t>(Reduce the administrative burden on investment, including by speeding up permit procedures for infrastructure work. Address weaknesses in public procurement practices…)</w:t>
            </w:r>
            <w:r w:rsidRPr="005A0E7C">
              <w:rPr>
                <w:rFonts w:eastAsiaTheme="majorEastAsia"/>
              </w:rPr>
              <w:t xml:space="preserve"> směřují k bariérám, které mohou mít vliv na implementaci specifického cíle NKR.</w:t>
            </w:r>
          </w:p>
        </w:tc>
        <w:tc>
          <w:tcPr>
            <w:tcW w:w="249" w:type="dxa"/>
            <w:tcBorders>
              <w:top w:val="nil"/>
              <w:bottom w:val="nil"/>
            </w:tcBorders>
            <w:shd w:val="clear" w:color="auto" w:fill="66CCFF"/>
          </w:tcPr>
          <w:p w14:paraId="0C93E976" w14:textId="77777777" w:rsidR="00DD3EFA" w:rsidRPr="005A0E7C" w:rsidRDefault="00DD3EFA" w:rsidP="00B15ECB">
            <w:pPr>
              <w:rPr>
                <w:b/>
              </w:rPr>
            </w:pPr>
          </w:p>
        </w:tc>
      </w:tr>
      <w:tr w:rsidR="00DD3EFA" w:rsidRPr="005A0E7C" w14:paraId="55EA4F38" w14:textId="77777777" w:rsidTr="00B15ECB">
        <w:trPr>
          <w:trHeight w:val="180"/>
        </w:trPr>
        <w:tc>
          <w:tcPr>
            <w:tcW w:w="249" w:type="dxa"/>
            <w:tcBorders>
              <w:top w:val="nil"/>
              <w:bottom w:val="nil"/>
              <w:right w:val="nil"/>
            </w:tcBorders>
            <w:shd w:val="clear" w:color="auto" w:fill="66CCFF"/>
          </w:tcPr>
          <w:p w14:paraId="653AA595" w14:textId="77777777" w:rsidR="00DD3EFA" w:rsidRPr="005A0E7C" w:rsidRDefault="00DD3EFA" w:rsidP="00B15ECB">
            <w:pPr>
              <w:rPr>
                <w:b/>
              </w:rPr>
            </w:pPr>
          </w:p>
        </w:tc>
        <w:tc>
          <w:tcPr>
            <w:tcW w:w="2548" w:type="dxa"/>
            <w:tcBorders>
              <w:left w:val="nil"/>
              <w:right w:val="nil"/>
            </w:tcBorders>
            <w:shd w:val="clear" w:color="auto" w:fill="66CCFF"/>
          </w:tcPr>
          <w:p w14:paraId="15EF33F3" w14:textId="77777777" w:rsidR="00DD3EFA" w:rsidRPr="005A0E7C" w:rsidRDefault="00DD3EFA" w:rsidP="00B15ECB">
            <w:pPr>
              <w:rPr>
                <w:b/>
              </w:rPr>
            </w:pPr>
          </w:p>
        </w:tc>
        <w:tc>
          <w:tcPr>
            <w:tcW w:w="5978" w:type="dxa"/>
            <w:tcBorders>
              <w:left w:val="nil"/>
              <w:right w:val="nil"/>
            </w:tcBorders>
            <w:shd w:val="clear" w:color="auto" w:fill="66CCFF"/>
          </w:tcPr>
          <w:p w14:paraId="14A8BD8F" w14:textId="77777777" w:rsidR="00DD3EFA" w:rsidRPr="005A0E7C" w:rsidRDefault="00DD3EFA" w:rsidP="00B15ECB">
            <w:pPr>
              <w:rPr>
                <w:b/>
              </w:rPr>
            </w:pPr>
          </w:p>
        </w:tc>
        <w:tc>
          <w:tcPr>
            <w:tcW w:w="249" w:type="dxa"/>
            <w:tcBorders>
              <w:top w:val="nil"/>
              <w:left w:val="nil"/>
              <w:bottom w:val="nil"/>
            </w:tcBorders>
            <w:shd w:val="clear" w:color="auto" w:fill="66CCFF"/>
          </w:tcPr>
          <w:p w14:paraId="287CC6FB" w14:textId="77777777" w:rsidR="00DD3EFA" w:rsidRPr="005A0E7C" w:rsidRDefault="00DD3EFA" w:rsidP="00B15ECB">
            <w:pPr>
              <w:rPr>
                <w:b/>
              </w:rPr>
            </w:pPr>
          </w:p>
        </w:tc>
      </w:tr>
      <w:tr w:rsidR="00DD3EFA" w:rsidRPr="005A0E7C" w14:paraId="543AAAEE" w14:textId="77777777" w:rsidTr="00B15ECB">
        <w:trPr>
          <w:trHeight w:val="938"/>
        </w:trPr>
        <w:tc>
          <w:tcPr>
            <w:tcW w:w="249" w:type="dxa"/>
            <w:tcBorders>
              <w:top w:val="nil"/>
              <w:bottom w:val="nil"/>
            </w:tcBorders>
            <w:shd w:val="clear" w:color="auto" w:fill="66CCFF"/>
          </w:tcPr>
          <w:p w14:paraId="18EDEE7D"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AE2EE66" w14:textId="77777777" w:rsidR="00DD3EFA" w:rsidRPr="005A0E7C" w:rsidRDefault="00DD3EFA" w:rsidP="00B15ECB">
            <w:pPr>
              <w:spacing w:before="60" w:after="60"/>
              <w:rPr>
                <w:rFonts w:eastAsiaTheme="majorEastAsia"/>
                <w:b/>
              </w:rPr>
            </w:pPr>
            <w:r w:rsidRPr="005A0E7C">
              <w:rPr>
                <w:rFonts w:eastAsiaTheme="majorEastAsia"/>
                <w:b/>
              </w:rPr>
              <w:t>Strategický dokument pro daný cíl pro období 2020+; v případě více dokumentů identifikujte strategii dominantní ve vztahu k cíli.</w:t>
            </w:r>
          </w:p>
          <w:p w14:paraId="6EE0B9B6" w14:textId="77777777" w:rsidR="00DD3EFA" w:rsidRPr="005A0E7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3E41624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Hlavní strategický dokument pro období 2020+:</w:t>
            </w:r>
          </w:p>
          <w:p w14:paraId="6D64B5BA" w14:textId="77777777" w:rsidR="00DD3EFA" w:rsidRPr="005A0E7C" w:rsidRDefault="00DD3EFA" w:rsidP="00B15ECB">
            <w:r w:rsidRPr="005A0E7C">
              <w:t>Koncepce nákladní dopravy pro období 2017 – 2023 s výhledem do roku 2030.</w:t>
            </w:r>
          </w:p>
          <w:p w14:paraId="4B9CA2A5" w14:textId="77777777" w:rsidR="00DD3EFA" w:rsidRPr="005A0E7C" w:rsidRDefault="00DD3EFA" w:rsidP="00B15ECB">
            <w:pPr>
              <w:rPr>
                <w:i/>
              </w:rPr>
            </w:pPr>
          </w:p>
          <w:p w14:paraId="53187A5E"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i/>
                <w:u w:val="single"/>
              </w:rPr>
              <w:t>Ostatní strategické dokumenty:</w:t>
            </w:r>
          </w:p>
          <w:p w14:paraId="6D1B4D99" w14:textId="77777777" w:rsidR="00DD3EFA" w:rsidRPr="005A0E7C" w:rsidRDefault="00DD3EFA" w:rsidP="00B15ECB">
            <w:r w:rsidRPr="005A0E7C">
              <w:t>Národní program snižování emisí ČR</w:t>
            </w:r>
          </w:p>
          <w:p w14:paraId="4B7CE489" w14:textId="77777777" w:rsidR="00DD3EFA" w:rsidRPr="005A0E7C" w:rsidRDefault="00DD3EFA" w:rsidP="00B15ECB">
            <w:r w:rsidRPr="005A0E7C">
              <w:t>Programy zlepšování kvality ovzduší</w:t>
            </w:r>
          </w:p>
          <w:p w14:paraId="115842A6" w14:textId="77777777" w:rsidR="00DD3EFA" w:rsidRPr="005A0E7C" w:rsidRDefault="00DD3EFA" w:rsidP="00B15ECB">
            <w:r w:rsidRPr="005A0E7C">
              <w:t>Střednědobá strategie zlepšení kvality ovzduší v ČR</w:t>
            </w:r>
          </w:p>
          <w:p w14:paraId="02019CD8"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5A0E7C">
              <w:rPr>
                <w:rFonts w:ascii="Times New Roman" w:hAnsi="Times New Roman"/>
              </w:rPr>
              <w:t>Politika územního rozvoje ČR</w:t>
            </w:r>
          </w:p>
        </w:tc>
        <w:tc>
          <w:tcPr>
            <w:tcW w:w="249" w:type="dxa"/>
            <w:tcBorders>
              <w:top w:val="nil"/>
              <w:bottom w:val="nil"/>
            </w:tcBorders>
            <w:shd w:val="clear" w:color="auto" w:fill="66CCFF"/>
          </w:tcPr>
          <w:p w14:paraId="12EAC956" w14:textId="77777777" w:rsidR="00DD3EFA" w:rsidRPr="005A0E7C" w:rsidRDefault="00DD3EFA" w:rsidP="00B15ECB">
            <w:pPr>
              <w:rPr>
                <w:b/>
              </w:rPr>
            </w:pPr>
          </w:p>
        </w:tc>
      </w:tr>
      <w:tr w:rsidR="00DD3EFA" w:rsidRPr="005A0E7C" w14:paraId="534D2CA0" w14:textId="77777777" w:rsidTr="00B15ECB">
        <w:trPr>
          <w:trHeight w:val="938"/>
        </w:trPr>
        <w:tc>
          <w:tcPr>
            <w:tcW w:w="249" w:type="dxa"/>
            <w:tcBorders>
              <w:top w:val="nil"/>
              <w:bottom w:val="nil"/>
            </w:tcBorders>
            <w:shd w:val="clear" w:color="auto" w:fill="66CCFF"/>
          </w:tcPr>
          <w:p w14:paraId="69BC5043"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8601871"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analýza problémů a potřeb</w:t>
            </w:r>
          </w:p>
          <w:p w14:paraId="19969BCB"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1E36E39"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Koncepce nákladní dopravy analyzuje předpoklady pro větší využívání železniční nákladní dopravy. Vedle parametrů a kapacity železniční infrastruktury je problém v kapacitě a parametrech sítě terminálů kombinované dopravy a v nedostatečném vybavení dopravců přepravními jednotkami (například vertikálně překladatelné silniční návěsy).</w:t>
            </w:r>
          </w:p>
        </w:tc>
        <w:tc>
          <w:tcPr>
            <w:tcW w:w="249" w:type="dxa"/>
            <w:tcBorders>
              <w:top w:val="nil"/>
              <w:bottom w:val="nil"/>
            </w:tcBorders>
            <w:shd w:val="clear" w:color="auto" w:fill="66CCFF"/>
          </w:tcPr>
          <w:p w14:paraId="4D085261" w14:textId="77777777" w:rsidR="00DD3EFA" w:rsidRPr="005A0E7C" w:rsidRDefault="00DD3EFA" w:rsidP="00B15ECB">
            <w:pPr>
              <w:rPr>
                <w:b/>
              </w:rPr>
            </w:pPr>
          </w:p>
        </w:tc>
      </w:tr>
      <w:tr w:rsidR="00DD3EFA" w:rsidRPr="005A0E7C" w14:paraId="7BE42E45" w14:textId="77777777" w:rsidTr="00B15ECB">
        <w:trPr>
          <w:trHeight w:val="938"/>
        </w:trPr>
        <w:tc>
          <w:tcPr>
            <w:tcW w:w="249" w:type="dxa"/>
            <w:tcBorders>
              <w:top w:val="nil"/>
              <w:bottom w:val="nil"/>
            </w:tcBorders>
            <w:shd w:val="clear" w:color="auto" w:fill="66CCFF"/>
          </w:tcPr>
          <w:p w14:paraId="52B5EAB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27FA3A3C"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jasně definované cíle a opatření</w:t>
            </w:r>
          </w:p>
          <w:p w14:paraId="4598DBC6"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4341BD1"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Podpořit modernizaci a kapacitu terminálů kombinované dopravy a zlepšit vybavenost silničních dopravců, přepravců a operátorů kombinované dopravy vhodnými přepravními jednotkami.</w:t>
            </w:r>
          </w:p>
        </w:tc>
        <w:tc>
          <w:tcPr>
            <w:tcW w:w="249" w:type="dxa"/>
            <w:tcBorders>
              <w:top w:val="nil"/>
              <w:bottom w:val="nil"/>
            </w:tcBorders>
            <w:shd w:val="clear" w:color="auto" w:fill="66CCFF"/>
          </w:tcPr>
          <w:p w14:paraId="2E1BCF15" w14:textId="77777777" w:rsidR="00DD3EFA" w:rsidRPr="005A0E7C" w:rsidRDefault="00DD3EFA" w:rsidP="00B15ECB">
            <w:pPr>
              <w:rPr>
                <w:b/>
              </w:rPr>
            </w:pPr>
          </w:p>
        </w:tc>
      </w:tr>
      <w:tr w:rsidR="00DD3EFA" w:rsidRPr="005A0E7C" w14:paraId="18BFD626" w14:textId="77777777" w:rsidTr="00B15ECB">
        <w:trPr>
          <w:trHeight w:val="938"/>
        </w:trPr>
        <w:tc>
          <w:tcPr>
            <w:tcW w:w="249" w:type="dxa"/>
            <w:tcBorders>
              <w:top w:val="nil"/>
              <w:bottom w:val="nil"/>
            </w:tcBorders>
            <w:shd w:val="clear" w:color="auto" w:fill="66CCFF"/>
          </w:tcPr>
          <w:p w14:paraId="7BCFFE81"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75639B5D" w14:textId="77777777" w:rsidR="00DD3EFA" w:rsidRPr="005A0E7C" w:rsidRDefault="00DD3EFA" w:rsidP="00391907">
            <w:pPr>
              <w:pStyle w:val="Odstavecseseznamem"/>
              <w:numPr>
                <w:ilvl w:val="0"/>
                <w:numId w:val="3"/>
              </w:numPr>
              <w:spacing w:before="60" w:after="60"/>
              <w:rPr>
                <w:rFonts w:eastAsiaTheme="majorEastAsia"/>
                <w:b/>
              </w:rPr>
            </w:pPr>
            <w:r w:rsidRPr="005A0E7C">
              <w:rPr>
                <w:rFonts w:eastAsiaTheme="majorEastAsia"/>
                <w:b/>
              </w:rPr>
              <w:t>implementační mechanismus</w:t>
            </w:r>
          </w:p>
          <w:p w14:paraId="094C2C69" w14:textId="77777777" w:rsidR="00DD3EFA" w:rsidRPr="005A0E7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A5061BB"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Jedná se podporu aktivit privátních subjektů a záleží tedy na podaných projektech. MD ve spolupráci s ČESMAD Bohemia podporuje privátní sektor, a to např. formou klasického a e-learningového školení pro silniční dopravce o výhodách a možnostech využívání kombinované dopravy.</w:t>
            </w:r>
          </w:p>
        </w:tc>
        <w:tc>
          <w:tcPr>
            <w:tcW w:w="249" w:type="dxa"/>
            <w:tcBorders>
              <w:top w:val="nil"/>
              <w:bottom w:val="nil"/>
            </w:tcBorders>
            <w:shd w:val="clear" w:color="auto" w:fill="66CCFF"/>
          </w:tcPr>
          <w:p w14:paraId="08C21582" w14:textId="77777777" w:rsidR="00DD3EFA" w:rsidRPr="005A0E7C" w:rsidRDefault="00DD3EFA" w:rsidP="00B15ECB">
            <w:pPr>
              <w:rPr>
                <w:b/>
              </w:rPr>
            </w:pPr>
          </w:p>
        </w:tc>
      </w:tr>
      <w:tr w:rsidR="00DD3EFA" w:rsidRPr="005A0E7C" w14:paraId="5629E899" w14:textId="77777777" w:rsidTr="00B15ECB">
        <w:trPr>
          <w:trHeight w:val="938"/>
        </w:trPr>
        <w:tc>
          <w:tcPr>
            <w:tcW w:w="249" w:type="dxa"/>
            <w:tcBorders>
              <w:top w:val="nil"/>
              <w:bottom w:val="nil"/>
            </w:tcBorders>
            <w:shd w:val="clear" w:color="auto" w:fill="66CCFF"/>
          </w:tcPr>
          <w:p w14:paraId="128732F2"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67BA17CC"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monitoring a evaluace</w:t>
            </w:r>
          </w:p>
        </w:tc>
        <w:tc>
          <w:tcPr>
            <w:tcW w:w="5978" w:type="dxa"/>
            <w:tcBorders>
              <w:bottom w:val="single" w:sz="4" w:space="0" w:color="auto"/>
            </w:tcBorders>
            <w:shd w:val="clear" w:color="auto" w:fill="FFFFFF" w:themeFill="background1"/>
          </w:tcPr>
          <w:p w14:paraId="692FDB8D"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Jde o podporu privátních subjektů působících v tržním prostředí.</w:t>
            </w:r>
          </w:p>
        </w:tc>
        <w:tc>
          <w:tcPr>
            <w:tcW w:w="249" w:type="dxa"/>
            <w:tcBorders>
              <w:top w:val="nil"/>
              <w:bottom w:val="nil"/>
            </w:tcBorders>
            <w:shd w:val="clear" w:color="auto" w:fill="66CCFF"/>
          </w:tcPr>
          <w:p w14:paraId="6C06A662" w14:textId="77777777" w:rsidR="00DD3EFA" w:rsidRPr="005A0E7C" w:rsidRDefault="00DD3EFA" w:rsidP="00B15ECB">
            <w:pPr>
              <w:rPr>
                <w:b/>
              </w:rPr>
            </w:pPr>
          </w:p>
        </w:tc>
      </w:tr>
      <w:tr w:rsidR="00DD3EFA" w:rsidRPr="005A0E7C" w14:paraId="3F9A1E10" w14:textId="77777777" w:rsidTr="00B15ECB">
        <w:trPr>
          <w:trHeight w:val="130"/>
        </w:trPr>
        <w:tc>
          <w:tcPr>
            <w:tcW w:w="249" w:type="dxa"/>
            <w:tcBorders>
              <w:top w:val="nil"/>
              <w:bottom w:val="nil"/>
              <w:right w:val="nil"/>
            </w:tcBorders>
            <w:shd w:val="clear" w:color="auto" w:fill="66CCFF"/>
          </w:tcPr>
          <w:p w14:paraId="20CD1E1C" w14:textId="77777777" w:rsidR="00DD3EFA" w:rsidRPr="005A0E7C" w:rsidRDefault="00DD3EFA" w:rsidP="00B15ECB">
            <w:pPr>
              <w:rPr>
                <w:b/>
              </w:rPr>
            </w:pPr>
          </w:p>
        </w:tc>
        <w:tc>
          <w:tcPr>
            <w:tcW w:w="2548" w:type="dxa"/>
            <w:tcBorders>
              <w:left w:val="nil"/>
              <w:right w:val="nil"/>
            </w:tcBorders>
            <w:shd w:val="clear" w:color="auto" w:fill="66CCFF"/>
          </w:tcPr>
          <w:p w14:paraId="7808DA8E" w14:textId="77777777" w:rsidR="00DD3EFA" w:rsidRPr="005A0E7C" w:rsidRDefault="00DD3EFA" w:rsidP="00B15ECB">
            <w:pPr>
              <w:rPr>
                <w:b/>
              </w:rPr>
            </w:pPr>
          </w:p>
        </w:tc>
        <w:tc>
          <w:tcPr>
            <w:tcW w:w="5978" w:type="dxa"/>
            <w:tcBorders>
              <w:left w:val="nil"/>
              <w:right w:val="nil"/>
            </w:tcBorders>
            <w:shd w:val="clear" w:color="auto" w:fill="66CCFF"/>
          </w:tcPr>
          <w:p w14:paraId="06B5773F" w14:textId="77777777" w:rsidR="00DD3EFA" w:rsidRPr="005A0E7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7AAC5086" w14:textId="77777777" w:rsidR="00DD3EFA" w:rsidRPr="005A0E7C" w:rsidRDefault="00DD3EFA" w:rsidP="00B15ECB">
            <w:pPr>
              <w:rPr>
                <w:b/>
              </w:rPr>
            </w:pPr>
          </w:p>
        </w:tc>
      </w:tr>
      <w:tr w:rsidR="00DD3EFA" w:rsidRPr="005A0E7C" w14:paraId="20E1F456" w14:textId="77777777" w:rsidTr="00B15ECB">
        <w:trPr>
          <w:trHeight w:val="1258"/>
        </w:trPr>
        <w:tc>
          <w:tcPr>
            <w:tcW w:w="249" w:type="dxa"/>
            <w:tcBorders>
              <w:top w:val="nil"/>
              <w:bottom w:val="nil"/>
              <w:right w:val="nil"/>
            </w:tcBorders>
            <w:shd w:val="clear" w:color="auto" w:fill="66CCFF"/>
          </w:tcPr>
          <w:p w14:paraId="16802F8B" w14:textId="77777777" w:rsidR="00DD3EFA" w:rsidRPr="005A0E7C" w:rsidRDefault="00DD3EFA" w:rsidP="00B15ECB">
            <w:pPr>
              <w:rPr>
                <w:b/>
              </w:rPr>
            </w:pPr>
          </w:p>
        </w:tc>
        <w:tc>
          <w:tcPr>
            <w:tcW w:w="2548" w:type="dxa"/>
            <w:shd w:val="clear" w:color="auto" w:fill="FFFFFF" w:themeFill="background1"/>
          </w:tcPr>
          <w:p w14:paraId="4EACB845" w14:textId="77777777" w:rsidR="00DD3EFA" w:rsidRPr="005A0E7C" w:rsidRDefault="00DD3EFA" w:rsidP="00B15ECB">
            <w:pPr>
              <w:rPr>
                <w:b/>
              </w:rPr>
            </w:pPr>
            <w:r w:rsidRPr="005A0E7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53260190"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Podpora v posledních dvou programovacích obdobích reflektovala potřeby rostoucích kapacit infrastruktury pro kombinovanou dopravu. Dle statistických údajů námořní kombinovaná doprava dlouhodobě rostla a v současné době převažuje nad dopravou silniční. Obdobný posun je do budoucna nutné podpořit i v případě kontinentální kombinované dopravy. </w:t>
            </w:r>
          </w:p>
          <w:p w14:paraId="7416CAA0" w14:textId="77777777" w:rsidR="00DD3EFA" w:rsidRPr="005A0E7C" w:rsidRDefault="00DD3EFA" w:rsidP="00B15ECB">
            <w:pPr>
              <w:rPr>
                <w:b/>
              </w:rPr>
            </w:pPr>
            <w:r w:rsidRPr="005A0E7C">
              <w:t xml:space="preserve">V OP D řešeno v rámci </w:t>
            </w:r>
            <w:r w:rsidRPr="005A0E7C">
              <w:rPr>
                <w:i/>
              </w:rPr>
              <w:t>PO 1 Infrastruktura pro železniční a další udržitelnou dopravu SC 1.3 Vytvoření podmínek pro větší využití multimodální dopravy</w:t>
            </w:r>
            <w:r w:rsidRPr="005A0E7C">
              <w:t>. Absorpční kapacita i čerpání je na velmi dobré úrovni.</w:t>
            </w:r>
          </w:p>
        </w:tc>
        <w:tc>
          <w:tcPr>
            <w:tcW w:w="249" w:type="dxa"/>
            <w:tcBorders>
              <w:top w:val="nil"/>
              <w:left w:val="nil"/>
              <w:bottom w:val="nil"/>
            </w:tcBorders>
            <w:shd w:val="clear" w:color="auto" w:fill="66CCFF"/>
          </w:tcPr>
          <w:p w14:paraId="296849BF" w14:textId="77777777" w:rsidR="00DD3EFA" w:rsidRPr="005A0E7C" w:rsidRDefault="00DD3EFA" w:rsidP="00B15ECB">
            <w:pPr>
              <w:rPr>
                <w:b/>
              </w:rPr>
            </w:pPr>
          </w:p>
        </w:tc>
      </w:tr>
      <w:tr w:rsidR="00DD3EFA" w:rsidRPr="005A0E7C" w14:paraId="55E2E785" w14:textId="77777777" w:rsidTr="00B15ECB">
        <w:trPr>
          <w:trHeight w:val="1258"/>
        </w:trPr>
        <w:tc>
          <w:tcPr>
            <w:tcW w:w="249" w:type="dxa"/>
            <w:tcBorders>
              <w:top w:val="nil"/>
              <w:bottom w:val="nil"/>
              <w:right w:val="nil"/>
            </w:tcBorders>
            <w:shd w:val="clear" w:color="auto" w:fill="66CCFF"/>
          </w:tcPr>
          <w:p w14:paraId="176759D1" w14:textId="77777777" w:rsidR="00DD3EFA" w:rsidRPr="005A0E7C" w:rsidRDefault="00DD3EFA" w:rsidP="00B15ECB">
            <w:pPr>
              <w:rPr>
                <w:b/>
              </w:rPr>
            </w:pPr>
          </w:p>
        </w:tc>
        <w:tc>
          <w:tcPr>
            <w:tcW w:w="2548" w:type="dxa"/>
            <w:shd w:val="clear" w:color="auto" w:fill="FFFFFF" w:themeFill="background1"/>
          </w:tcPr>
          <w:p w14:paraId="72ED60D8" w14:textId="77777777" w:rsidR="00DD3EFA" w:rsidRPr="005A0E7C" w:rsidRDefault="00DD3EFA" w:rsidP="00B15ECB">
            <w:pPr>
              <w:rPr>
                <w:rFonts w:eastAsiaTheme="majorEastAsia"/>
                <w:b/>
              </w:rPr>
            </w:pPr>
            <w:r w:rsidRPr="005A0E7C">
              <w:rPr>
                <w:rFonts w:eastAsiaTheme="majorEastAsia"/>
                <w:b/>
              </w:rPr>
              <w:t>Věcný posun oblasti</w:t>
            </w:r>
          </w:p>
          <w:p w14:paraId="17A927F8"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4F6F2557"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 xml:space="preserve">Současný program podpory pořízení přepravních jednotek je po ukončení notifikačního procesu v průběhu první výzvy. Program podpory terminálů KD probíhá vyhodnocováním nabídek. </w:t>
            </w:r>
          </w:p>
        </w:tc>
        <w:tc>
          <w:tcPr>
            <w:tcW w:w="249" w:type="dxa"/>
            <w:tcBorders>
              <w:top w:val="nil"/>
              <w:left w:val="nil"/>
              <w:bottom w:val="nil"/>
            </w:tcBorders>
            <w:shd w:val="clear" w:color="auto" w:fill="66CCFF"/>
          </w:tcPr>
          <w:p w14:paraId="75F8690C" w14:textId="77777777" w:rsidR="00DD3EFA" w:rsidRPr="005A0E7C" w:rsidRDefault="00DD3EFA" w:rsidP="00B15ECB">
            <w:pPr>
              <w:rPr>
                <w:b/>
              </w:rPr>
            </w:pPr>
          </w:p>
        </w:tc>
      </w:tr>
      <w:tr w:rsidR="00DD3EFA" w:rsidRPr="005A0E7C" w14:paraId="0E9B4D85" w14:textId="77777777" w:rsidTr="00B15ECB">
        <w:trPr>
          <w:trHeight w:val="1258"/>
        </w:trPr>
        <w:tc>
          <w:tcPr>
            <w:tcW w:w="249" w:type="dxa"/>
            <w:tcBorders>
              <w:top w:val="nil"/>
              <w:bottom w:val="nil"/>
              <w:right w:val="nil"/>
            </w:tcBorders>
            <w:shd w:val="clear" w:color="auto" w:fill="66CCFF"/>
          </w:tcPr>
          <w:p w14:paraId="7CD8C463" w14:textId="77777777" w:rsidR="00DD3EFA" w:rsidRPr="005A0E7C" w:rsidRDefault="00DD3EFA" w:rsidP="00B15ECB">
            <w:pPr>
              <w:rPr>
                <w:b/>
              </w:rPr>
            </w:pPr>
          </w:p>
        </w:tc>
        <w:tc>
          <w:tcPr>
            <w:tcW w:w="2548" w:type="dxa"/>
            <w:shd w:val="clear" w:color="auto" w:fill="FFFFFF" w:themeFill="background1"/>
          </w:tcPr>
          <w:p w14:paraId="22F2F976" w14:textId="77777777" w:rsidR="00DD3EFA" w:rsidRPr="005A0E7C" w:rsidRDefault="00DD3EFA" w:rsidP="00B15ECB">
            <w:pPr>
              <w:rPr>
                <w:rFonts w:eastAsiaTheme="majorEastAsia"/>
                <w:b/>
              </w:rPr>
            </w:pPr>
            <w:r w:rsidRPr="005A0E7C">
              <w:rPr>
                <w:rFonts w:eastAsiaTheme="majorEastAsia"/>
                <w:b/>
              </w:rPr>
              <w:t>Synergické a multiplikační efekty</w:t>
            </w:r>
          </w:p>
          <w:p w14:paraId="5E58E222" w14:textId="77777777" w:rsidR="00DD3EFA" w:rsidRPr="005A0E7C" w:rsidRDefault="00DD3EFA" w:rsidP="00B15ECB">
            <w:pPr>
              <w:rPr>
                <w:rFonts w:eastAsiaTheme="majorEastAsia"/>
                <w:b/>
              </w:rPr>
            </w:pPr>
            <w:r w:rsidRPr="005A0E7C">
              <w:rPr>
                <w:rFonts w:eastAsiaTheme="majorEastAsia"/>
                <w:b/>
              </w:rPr>
              <w:t>(tj. v období 2014 – 2020, příp. 2007 – 2013)</w:t>
            </w:r>
          </w:p>
        </w:tc>
        <w:tc>
          <w:tcPr>
            <w:tcW w:w="5978" w:type="dxa"/>
            <w:shd w:val="clear" w:color="auto" w:fill="FFFFFF" w:themeFill="background1"/>
          </w:tcPr>
          <w:p w14:paraId="12E80A05" w14:textId="77777777" w:rsidR="00DD3EFA" w:rsidRPr="005A0E7C" w:rsidRDefault="00DD3EFA" w:rsidP="00B15ECB">
            <w:pPr>
              <w:pStyle w:val="slovanodstavec"/>
              <w:tabs>
                <w:tab w:val="clear" w:pos="567"/>
                <w:tab w:val="left" w:pos="284"/>
              </w:tabs>
              <w:suppressAutoHyphens/>
              <w:spacing w:line="240" w:lineRule="auto"/>
              <w:jc w:val="left"/>
              <w:rPr>
                <w:rFonts w:ascii="Times New Roman" w:hAnsi="Times New Roman"/>
              </w:rPr>
            </w:pPr>
            <w:r w:rsidRPr="005A0E7C">
              <w:rPr>
                <w:rFonts w:ascii="Times New Roman" w:hAnsi="Times New Roman"/>
              </w:rPr>
              <w:t>Posílení multimodálního přístupu k nákladní dopravě vede ke snížení negativních vlivů na životní prostředí, veřejné zdraví, změny klimatu a povede k výraznější energetickým úsporám.</w:t>
            </w:r>
          </w:p>
        </w:tc>
        <w:tc>
          <w:tcPr>
            <w:tcW w:w="249" w:type="dxa"/>
            <w:tcBorders>
              <w:top w:val="nil"/>
              <w:left w:val="nil"/>
              <w:bottom w:val="nil"/>
            </w:tcBorders>
            <w:shd w:val="clear" w:color="auto" w:fill="66CCFF"/>
          </w:tcPr>
          <w:p w14:paraId="6AD52939" w14:textId="77777777" w:rsidR="00DD3EFA" w:rsidRPr="005A0E7C" w:rsidRDefault="00DD3EFA" w:rsidP="00B15ECB">
            <w:pPr>
              <w:rPr>
                <w:b/>
              </w:rPr>
            </w:pPr>
          </w:p>
        </w:tc>
      </w:tr>
      <w:tr w:rsidR="00DD3EFA" w:rsidRPr="005A0E7C" w14:paraId="50028970" w14:textId="77777777" w:rsidTr="00B15ECB">
        <w:trPr>
          <w:trHeight w:val="180"/>
        </w:trPr>
        <w:tc>
          <w:tcPr>
            <w:tcW w:w="249" w:type="dxa"/>
            <w:tcBorders>
              <w:top w:val="nil"/>
              <w:bottom w:val="nil"/>
              <w:right w:val="nil"/>
            </w:tcBorders>
            <w:shd w:val="clear" w:color="auto" w:fill="66CCFF"/>
          </w:tcPr>
          <w:p w14:paraId="76F9AAAD" w14:textId="77777777" w:rsidR="00DD3EFA" w:rsidRPr="005A0E7C" w:rsidRDefault="00DD3EFA" w:rsidP="00B15ECB">
            <w:pPr>
              <w:rPr>
                <w:b/>
              </w:rPr>
            </w:pPr>
          </w:p>
        </w:tc>
        <w:tc>
          <w:tcPr>
            <w:tcW w:w="2548" w:type="dxa"/>
            <w:tcBorders>
              <w:left w:val="nil"/>
              <w:bottom w:val="single" w:sz="4" w:space="0" w:color="auto"/>
              <w:right w:val="nil"/>
            </w:tcBorders>
            <w:shd w:val="clear" w:color="auto" w:fill="66CCFF"/>
          </w:tcPr>
          <w:p w14:paraId="63159400" w14:textId="77777777" w:rsidR="00DD3EFA" w:rsidRPr="005A0E7C" w:rsidRDefault="00DD3EFA" w:rsidP="00B15ECB">
            <w:pPr>
              <w:rPr>
                <w:b/>
              </w:rPr>
            </w:pPr>
          </w:p>
        </w:tc>
        <w:tc>
          <w:tcPr>
            <w:tcW w:w="5978" w:type="dxa"/>
            <w:tcBorders>
              <w:left w:val="nil"/>
              <w:bottom w:val="single" w:sz="4" w:space="0" w:color="auto"/>
              <w:right w:val="nil"/>
            </w:tcBorders>
            <w:shd w:val="clear" w:color="auto" w:fill="66CCFF"/>
          </w:tcPr>
          <w:p w14:paraId="4DDBA63B" w14:textId="77777777" w:rsidR="00DD3EFA" w:rsidRPr="005A0E7C" w:rsidRDefault="00DD3EFA" w:rsidP="00B15ECB">
            <w:pPr>
              <w:rPr>
                <w:b/>
              </w:rPr>
            </w:pPr>
          </w:p>
        </w:tc>
        <w:tc>
          <w:tcPr>
            <w:tcW w:w="249" w:type="dxa"/>
            <w:tcBorders>
              <w:top w:val="nil"/>
              <w:left w:val="nil"/>
              <w:bottom w:val="nil"/>
            </w:tcBorders>
            <w:shd w:val="clear" w:color="auto" w:fill="66CCFF"/>
          </w:tcPr>
          <w:p w14:paraId="7E85044A" w14:textId="77777777" w:rsidR="00DD3EFA" w:rsidRPr="005A0E7C" w:rsidRDefault="00DD3EFA" w:rsidP="00B15ECB">
            <w:pPr>
              <w:rPr>
                <w:b/>
              </w:rPr>
            </w:pPr>
          </w:p>
        </w:tc>
      </w:tr>
      <w:tr w:rsidR="00DD3EFA" w:rsidRPr="005A0E7C" w14:paraId="3AA5F7CD" w14:textId="77777777" w:rsidTr="00B15ECB">
        <w:trPr>
          <w:trHeight w:val="990"/>
        </w:trPr>
        <w:tc>
          <w:tcPr>
            <w:tcW w:w="249" w:type="dxa"/>
            <w:tcBorders>
              <w:top w:val="nil"/>
              <w:bottom w:val="nil"/>
            </w:tcBorders>
            <w:shd w:val="clear" w:color="auto" w:fill="66CCFF"/>
          </w:tcPr>
          <w:p w14:paraId="0C5F5F96"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1E2C56C" w14:textId="77777777" w:rsidR="00DD3EFA" w:rsidRPr="005A0E7C" w:rsidRDefault="00DD3EFA" w:rsidP="00B15ECB">
            <w:pPr>
              <w:spacing w:before="60" w:after="60"/>
              <w:rPr>
                <w:rFonts w:eastAsiaTheme="majorEastAsia"/>
                <w:b/>
              </w:rPr>
            </w:pPr>
            <w:r w:rsidRPr="005A0E7C">
              <w:rPr>
                <w:rFonts w:eastAsiaTheme="majorEastAsia"/>
                <w:b/>
              </w:rPr>
              <w:t>Absorpční kapacita</w:t>
            </w:r>
          </w:p>
        </w:tc>
        <w:tc>
          <w:tcPr>
            <w:tcW w:w="5978" w:type="dxa"/>
            <w:tcBorders>
              <w:bottom w:val="single" w:sz="4" w:space="0" w:color="auto"/>
            </w:tcBorders>
            <w:shd w:val="clear" w:color="auto" w:fill="FFFFFF" w:themeFill="background1"/>
          </w:tcPr>
          <w:p w14:paraId="33BCA876" w14:textId="77777777" w:rsidR="00DD3EFA" w:rsidRPr="005A0E7C" w:rsidRDefault="00DD3EFA" w:rsidP="00B15ECB">
            <w:pPr>
              <w:spacing w:before="60" w:after="60"/>
              <w:rPr>
                <w:rFonts w:eastAsiaTheme="majorEastAsia"/>
              </w:rPr>
            </w:pPr>
          </w:p>
        </w:tc>
        <w:tc>
          <w:tcPr>
            <w:tcW w:w="249" w:type="dxa"/>
            <w:tcBorders>
              <w:top w:val="nil"/>
              <w:bottom w:val="nil"/>
            </w:tcBorders>
            <w:shd w:val="clear" w:color="auto" w:fill="66CCFF"/>
          </w:tcPr>
          <w:p w14:paraId="679783BE" w14:textId="77777777" w:rsidR="00DD3EFA" w:rsidRPr="005A0E7C" w:rsidRDefault="00DD3EFA" w:rsidP="00B15ECB">
            <w:pPr>
              <w:rPr>
                <w:b/>
              </w:rPr>
            </w:pPr>
          </w:p>
        </w:tc>
      </w:tr>
      <w:tr w:rsidR="00DD3EFA" w:rsidRPr="005A0E7C" w14:paraId="2C365F34" w14:textId="77777777" w:rsidTr="00B15ECB">
        <w:trPr>
          <w:trHeight w:val="1260"/>
        </w:trPr>
        <w:tc>
          <w:tcPr>
            <w:tcW w:w="249" w:type="dxa"/>
            <w:tcBorders>
              <w:top w:val="nil"/>
              <w:bottom w:val="nil"/>
            </w:tcBorders>
            <w:shd w:val="clear" w:color="auto" w:fill="66CCFF"/>
          </w:tcPr>
          <w:p w14:paraId="0C203CE8"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4BCD440E"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1CB8BAA2" w14:textId="77777777" w:rsidR="00DD3EFA" w:rsidRPr="005A0E7C" w:rsidRDefault="00DD3EFA" w:rsidP="00B15ECB">
            <w:pPr>
              <w:spacing w:before="60" w:after="60"/>
              <w:rPr>
                <w:rFonts w:eastAsiaTheme="majorEastAsia"/>
                <w:i/>
              </w:rPr>
            </w:pPr>
            <w:r w:rsidRPr="005A0E7C">
              <w:rPr>
                <w:rFonts w:eastAsiaTheme="majorEastAsia"/>
              </w:rPr>
              <w:t xml:space="preserve">Absorpční kapacita v případě terminálů KD nebyla v období 2014 – 2020 dostatečná. Alokace většiny výzev nebyla plně využita. Analýza příčin bude součástí připravované evaluace. </w:t>
            </w:r>
          </w:p>
        </w:tc>
        <w:tc>
          <w:tcPr>
            <w:tcW w:w="249" w:type="dxa"/>
            <w:tcBorders>
              <w:top w:val="nil"/>
              <w:bottom w:val="nil"/>
            </w:tcBorders>
            <w:shd w:val="clear" w:color="auto" w:fill="66CCFF"/>
          </w:tcPr>
          <w:p w14:paraId="75DCA1C1" w14:textId="77777777" w:rsidR="00DD3EFA" w:rsidRPr="005A0E7C" w:rsidRDefault="00DD3EFA" w:rsidP="00B15ECB">
            <w:pPr>
              <w:rPr>
                <w:b/>
              </w:rPr>
            </w:pPr>
          </w:p>
        </w:tc>
      </w:tr>
      <w:tr w:rsidR="00DD3EFA" w:rsidRPr="005A0E7C" w14:paraId="0DD8CC4F" w14:textId="77777777" w:rsidTr="00B15ECB">
        <w:trPr>
          <w:trHeight w:val="850"/>
        </w:trPr>
        <w:tc>
          <w:tcPr>
            <w:tcW w:w="249" w:type="dxa"/>
            <w:tcBorders>
              <w:top w:val="nil"/>
              <w:bottom w:val="nil"/>
            </w:tcBorders>
            <w:shd w:val="clear" w:color="auto" w:fill="66CCFF"/>
          </w:tcPr>
          <w:p w14:paraId="3CEF0B8F"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99B333C"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Poptávka příjemců</w:t>
            </w:r>
          </w:p>
        </w:tc>
        <w:tc>
          <w:tcPr>
            <w:tcW w:w="5978" w:type="dxa"/>
            <w:tcBorders>
              <w:bottom w:val="single" w:sz="4" w:space="0" w:color="auto"/>
            </w:tcBorders>
            <w:shd w:val="clear" w:color="auto" w:fill="FFFFFF" w:themeFill="background1"/>
          </w:tcPr>
          <w:p w14:paraId="120946D0" w14:textId="77777777" w:rsidR="00DD3EFA" w:rsidRPr="005A0E7C" w:rsidRDefault="00DD3EFA" w:rsidP="00B15ECB">
            <w:pPr>
              <w:spacing w:before="60" w:after="60"/>
              <w:rPr>
                <w:rFonts w:eastAsiaTheme="majorEastAsia"/>
              </w:rPr>
            </w:pPr>
            <w:r w:rsidRPr="005A0E7C">
              <w:rPr>
                <w:rFonts w:eastAsiaTheme="majorEastAsia"/>
              </w:rPr>
              <w:t xml:space="preserve">Absorpční kapacita v případě terminálů KD nebyla v období 2014 – 2020 dostatečná.  Analýza příčin a výhledu do budoucího období bude součástí připravované evaluace. </w:t>
            </w:r>
          </w:p>
          <w:p w14:paraId="08EE4E04"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3933A8A0" w14:textId="77777777" w:rsidR="00DD3EFA" w:rsidRPr="005A0E7C" w:rsidRDefault="00DD3EFA" w:rsidP="00B15ECB">
            <w:pPr>
              <w:rPr>
                <w:b/>
              </w:rPr>
            </w:pPr>
          </w:p>
        </w:tc>
      </w:tr>
      <w:tr w:rsidR="00DD3EFA" w:rsidRPr="005A0E7C" w14:paraId="581B5315" w14:textId="77777777" w:rsidTr="00B15ECB">
        <w:trPr>
          <w:trHeight w:val="925"/>
        </w:trPr>
        <w:tc>
          <w:tcPr>
            <w:tcW w:w="249" w:type="dxa"/>
            <w:tcBorders>
              <w:top w:val="nil"/>
              <w:bottom w:val="nil"/>
            </w:tcBorders>
            <w:shd w:val="clear" w:color="auto" w:fill="66CCFF"/>
          </w:tcPr>
          <w:p w14:paraId="51229F6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384B29A9"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Příprava projektových záměrů</w:t>
            </w:r>
          </w:p>
        </w:tc>
        <w:tc>
          <w:tcPr>
            <w:tcW w:w="5978" w:type="dxa"/>
            <w:tcBorders>
              <w:bottom w:val="single" w:sz="4" w:space="0" w:color="auto"/>
            </w:tcBorders>
            <w:shd w:val="clear" w:color="auto" w:fill="FFFFFF" w:themeFill="background1"/>
          </w:tcPr>
          <w:p w14:paraId="368A050C" w14:textId="77777777" w:rsidR="00DD3EFA" w:rsidRPr="005A0E7C" w:rsidRDefault="00DD3EFA" w:rsidP="00B15ECB">
            <w:pPr>
              <w:spacing w:before="60" w:after="60"/>
              <w:rPr>
                <w:rFonts w:eastAsiaTheme="majorEastAsia"/>
              </w:rPr>
            </w:pPr>
            <w:r w:rsidRPr="005A0E7C">
              <w:rPr>
                <w:rFonts w:eastAsiaTheme="majorEastAsia"/>
              </w:rPr>
              <w:t>Projektovými záměry pro další období se bude MD zabývat po vyhodnocení výzev OP Doprava 2014 – 2020.</w:t>
            </w:r>
          </w:p>
          <w:p w14:paraId="67F0703A"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0E0E5D3B" w14:textId="77777777" w:rsidR="00DD3EFA" w:rsidRPr="005A0E7C" w:rsidRDefault="00DD3EFA" w:rsidP="00B15ECB">
            <w:pPr>
              <w:rPr>
                <w:b/>
              </w:rPr>
            </w:pPr>
          </w:p>
        </w:tc>
      </w:tr>
      <w:tr w:rsidR="00DD3EFA" w:rsidRPr="005A0E7C" w14:paraId="74D4484C" w14:textId="77777777" w:rsidTr="00B15ECB">
        <w:trPr>
          <w:trHeight w:val="1001"/>
        </w:trPr>
        <w:tc>
          <w:tcPr>
            <w:tcW w:w="249" w:type="dxa"/>
            <w:tcBorders>
              <w:top w:val="nil"/>
              <w:bottom w:val="nil"/>
            </w:tcBorders>
            <w:shd w:val="clear" w:color="auto" w:fill="66CCFF"/>
          </w:tcPr>
          <w:p w14:paraId="2B4F44BE"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1B0CE705" w14:textId="77777777" w:rsidR="00DD3EFA" w:rsidRPr="005A0E7C" w:rsidRDefault="00DD3EFA" w:rsidP="00391907">
            <w:pPr>
              <w:pStyle w:val="Odstavecseseznamem"/>
              <w:numPr>
                <w:ilvl w:val="0"/>
                <w:numId w:val="5"/>
              </w:numPr>
              <w:spacing w:before="60" w:after="60"/>
              <w:rPr>
                <w:rFonts w:eastAsiaTheme="majorEastAsia"/>
                <w:b/>
              </w:rPr>
            </w:pPr>
            <w:r w:rsidRPr="005A0E7C">
              <w:rPr>
                <w:rFonts w:eastAsiaTheme="majorEastAsia"/>
                <w:b/>
              </w:rPr>
              <w:t>Bariéry</w:t>
            </w:r>
          </w:p>
        </w:tc>
        <w:tc>
          <w:tcPr>
            <w:tcW w:w="5978" w:type="dxa"/>
            <w:tcBorders>
              <w:bottom w:val="single" w:sz="4" w:space="0" w:color="auto"/>
            </w:tcBorders>
            <w:shd w:val="clear" w:color="auto" w:fill="FFFFFF" w:themeFill="background1"/>
          </w:tcPr>
          <w:p w14:paraId="590774EB" w14:textId="77777777" w:rsidR="00DD3EFA" w:rsidRPr="005A0E7C" w:rsidRDefault="00DD3EFA" w:rsidP="00B15ECB">
            <w:pPr>
              <w:spacing w:before="60" w:after="60"/>
              <w:rPr>
                <w:rFonts w:eastAsiaTheme="majorEastAsia"/>
              </w:rPr>
            </w:pPr>
            <w:r w:rsidRPr="005A0E7C">
              <w:rPr>
                <w:rFonts w:eastAsiaTheme="majorEastAsia"/>
              </w:rPr>
              <w:t>Bude předmětem připravované evaluace. Vlastníci terminálů mají obavu z požadavku veřejného přístupu k podnikání v terminálu za stených podmínek pro všechny zájemce.</w:t>
            </w:r>
          </w:p>
          <w:p w14:paraId="0E1D4DDD" w14:textId="77777777" w:rsidR="00DD3EFA" w:rsidRPr="005A0E7C" w:rsidRDefault="00DD3EFA" w:rsidP="00B15ECB">
            <w:pPr>
              <w:spacing w:before="60" w:after="60"/>
              <w:rPr>
                <w:rFonts w:eastAsiaTheme="majorEastAsia"/>
                <w:i/>
              </w:rPr>
            </w:pPr>
          </w:p>
        </w:tc>
        <w:tc>
          <w:tcPr>
            <w:tcW w:w="249" w:type="dxa"/>
            <w:tcBorders>
              <w:top w:val="nil"/>
              <w:bottom w:val="nil"/>
            </w:tcBorders>
            <w:shd w:val="clear" w:color="auto" w:fill="66CCFF"/>
          </w:tcPr>
          <w:p w14:paraId="1540DFBE" w14:textId="77777777" w:rsidR="00DD3EFA" w:rsidRPr="005A0E7C" w:rsidRDefault="00DD3EFA" w:rsidP="00B15ECB">
            <w:pPr>
              <w:rPr>
                <w:b/>
              </w:rPr>
            </w:pPr>
          </w:p>
        </w:tc>
      </w:tr>
      <w:tr w:rsidR="00DD3EFA" w:rsidRPr="005A0E7C" w14:paraId="4132C0BD"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0EE6885E" w14:textId="77777777" w:rsidR="00DD3EFA" w:rsidRPr="005A0E7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D0A4242" w14:textId="77777777" w:rsidR="00DD3EFA" w:rsidRPr="005A0E7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D9CBC16" w14:textId="77777777" w:rsidR="00DD3EFA" w:rsidRPr="005A0E7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10E8773B" w14:textId="77777777" w:rsidR="00DD3EFA" w:rsidRPr="005A0E7C" w:rsidRDefault="00DD3EFA" w:rsidP="00B15ECB">
            <w:pPr>
              <w:rPr>
                <w:b/>
              </w:rPr>
            </w:pPr>
          </w:p>
        </w:tc>
      </w:tr>
      <w:tr w:rsidR="00DD3EFA" w:rsidRPr="005A0E7C" w14:paraId="0A542B1B" w14:textId="77777777" w:rsidTr="00B15ECB">
        <w:trPr>
          <w:trHeight w:val="1968"/>
        </w:trPr>
        <w:tc>
          <w:tcPr>
            <w:tcW w:w="249" w:type="dxa"/>
            <w:tcBorders>
              <w:top w:val="single" w:sz="4" w:space="0" w:color="auto"/>
              <w:bottom w:val="nil"/>
            </w:tcBorders>
            <w:shd w:val="clear" w:color="auto" w:fill="66CCFF"/>
          </w:tcPr>
          <w:p w14:paraId="5318F63D" w14:textId="77777777" w:rsidR="00DD3EFA" w:rsidRPr="005A0E7C" w:rsidRDefault="00DD3EFA" w:rsidP="00B15ECB">
            <w:pPr>
              <w:rPr>
                <w:b/>
              </w:rPr>
            </w:pPr>
          </w:p>
        </w:tc>
        <w:tc>
          <w:tcPr>
            <w:tcW w:w="2548" w:type="dxa"/>
            <w:tcBorders>
              <w:top w:val="single" w:sz="4" w:space="0" w:color="auto"/>
            </w:tcBorders>
            <w:shd w:val="clear" w:color="auto" w:fill="FFFFFF" w:themeFill="background1"/>
          </w:tcPr>
          <w:p w14:paraId="7FAB6B5B" w14:textId="77777777" w:rsidR="00DD3EFA" w:rsidRPr="005A0E7C" w:rsidRDefault="00DD3EFA" w:rsidP="00B15ECB">
            <w:pPr>
              <w:spacing w:before="60" w:after="60"/>
              <w:rPr>
                <w:rFonts w:eastAsiaTheme="majorEastAsia"/>
                <w:b/>
              </w:rPr>
            </w:pPr>
            <w:r w:rsidRPr="005A0E7C">
              <w:rPr>
                <w:rFonts w:eastAsiaTheme="majorEastAsia"/>
                <w:b/>
              </w:rPr>
              <w:t>Alternativní zdroje</w:t>
            </w:r>
          </w:p>
        </w:tc>
        <w:tc>
          <w:tcPr>
            <w:tcW w:w="5978" w:type="dxa"/>
            <w:tcBorders>
              <w:top w:val="single" w:sz="4" w:space="0" w:color="auto"/>
            </w:tcBorders>
            <w:shd w:val="clear" w:color="auto" w:fill="FFFFFF" w:themeFill="background1"/>
          </w:tcPr>
          <w:p w14:paraId="6E428328" w14:textId="77777777" w:rsidR="00DD3EFA" w:rsidRPr="005A0E7C" w:rsidRDefault="00DD3EFA" w:rsidP="00B15ECB">
            <w:pPr>
              <w:spacing w:before="60" w:after="60"/>
              <w:rPr>
                <w:rFonts w:eastAsiaTheme="majorEastAsia"/>
                <w:i/>
              </w:rPr>
            </w:pPr>
            <w:r w:rsidRPr="005A0E7C">
              <w:rPr>
                <w:rFonts w:eastAsiaTheme="majorEastAsia"/>
              </w:rPr>
              <w:t>Alternativní zdroje pro tento SC nejsou známy.</w:t>
            </w:r>
          </w:p>
          <w:p w14:paraId="08AE948A" w14:textId="77777777" w:rsidR="00DD3EFA" w:rsidRPr="005A0E7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2C85211D" w14:textId="77777777" w:rsidR="00DD3EFA" w:rsidRPr="005A0E7C" w:rsidRDefault="00DD3EFA" w:rsidP="00B15ECB">
            <w:pPr>
              <w:rPr>
                <w:b/>
              </w:rPr>
            </w:pPr>
          </w:p>
        </w:tc>
      </w:tr>
      <w:tr w:rsidR="00DD3EFA" w:rsidRPr="005A0E7C" w14:paraId="34916B37" w14:textId="77777777" w:rsidTr="00B15ECB">
        <w:trPr>
          <w:trHeight w:val="1968"/>
        </w:trPr>
        <w:tc>
          <w:tcPr>
            <w:tcW w:w="249" w:type="dxa"/>
            <w:tcBorders>
              <w:top w:val="nil"/>
              <w:bottom w:val="nil"/>
            </w:tcBorders>
            <w:shd w:val="clear" w:color="auto" w:fill="66CCFF"/>
          </w:tcPr>
          <w:p w14:paraId="5A066EEB" w14:textId="77777777" w:rsidR="00DD3EFA" w:rsidRPr="005A0E7C" w:rsidRDefault="00DD3EFA" w:rsidP="00B15ECB">
            <w:pPr>
              <w:rPr>
                <w:b/>
              </w:rPr>
            </w:pPr>
          </w:p>
        </w:tc>
        <w:tc>
          <w:tcPr>
            <w:tcW w:w="2548" w:type="dxa"/>
            <w:tcBorders>
              <w:top w:val="nil"/>
            </w:tcBorders>
            <w:shd w:val="clear" w:color="auto" w:fill="FFFFFF" w:themeFill="background1"/>
          </w:tcPr>
          <w:p w14:paraId="43DA0B7B" w14:textId="77777777" w:rsidR="00DD3EFA" w:rsidRPr="005A0E7C" w:rsidRDefault="00DD3EFA" w:rsidP="00391907">
            <w:pPr>
              <w:pStyle w:val="Odstavecseseznamem"/>
              <w:numPr>
                <w:ilvl w:val="0"/>
                <w:numId w:val="62"/>
              </w:numPr>
              <w:tabs>
                <w:tab w:val="left" w:pos="301"/>
              </w:tabs>
              <w:spacing w:before="60" w:after="60"/>
              <w:ind w:left="0" w:firstLine="0"/>
              <w:rPr>
                <w:rFonts w:eastAsiaTheme="majorEastAsia"/>
                <w:b/>
              </w:rPr>
            </w:pPr>
            <w:r w:rsidRPr="005A0E7C">
              <w:rPr>
                <w:rFonts w:eastAsiaTheme="majorEastAsia"/>
                <w:b/>
              </w:rPr>
              <w:t>Unijní programy</w:t>
            </w:r>
          </w:p>
        </w:tc>
        <w:tc>
          <w:tcPr>
            <w:tcW w:w="5978" w:type="dxa"/>
            <w:tcBorders>
              <w:top w:val="nil"/>
            </w:tcBorders>
            <w:shd w:val="clear" w:color="auto" w:fill="FFFFFF" w:themeFill="background1"/>
          </w:tcPr>
          <w:p w14:paraId="1EF74CEB" w14:textId="77777777" w:rsidR="00DD3EFA" w:rsidRPr="005A0E7C" w:rsidRDefault="00DD3EFA" w:rsidP="00B15ECB">
            <w:pPr>
              <w:spacing w:before="60" w:after="60"/>
              <w:rPr>
                <w:rFonts w:eastAsiaTheme="majorEastAsia"/>
              </w:rPr>
            </w:pPr>
            <w:r w:rsidRPr="005A0E7C">
              <w:rPr>
                <w:rFonts w:eastAsiaTheme="majorEastAsia"/>
              </w:rPr>
              <w:t>Program CEF – multimodální terminály apod. (nařízení k CEF 2021-2027 ještě není schváleno).</w:t>
            </w:r>
          </w:p>
        </w:tc>
        <w:tc>
          <w:tcPr>
            <w:tcW w:w="249" w:type="dxa"/>
            <w:tcBorders>
              <w:top w:val="nil"/>
              <w:bottom w:val="nil"/>
            </w:tcBorders>
            <w:shd w:val="clear" w:color="auto" w:fill="66CCFF"/>
          </w:tcPr>
          <w:p w14:paraId="104EA80B" w14:textId="77777777" w:rsidR="00DD3EFA" w:rsidRPr="005A0E7C" w:rsidRDefault="00DD3EFA" w:rsidP="00B15ECB">
            <w:pPr>
              <w:rPr>
                <w:b/>
              </w:rPr>
            </w:pPr>
          </w:p>
        </w:tc>
      </w:tr>
      <w:tr w:rsidR="00DD3EFA" w:rsidRPr="005A0E7C" w14:paraId="08B407DD" w14:textId="77777777" w:rsidTr="00B15ECB">
        <w:trPr>
          <w:trHeight w:val="1968"/>
        </w:trPr>
        <w:tc>
          <w:tcPr>
            <w:tcW w:w="249" w:type="dxa"/>
            <w:tcBorders>
              <w:top w:val="nil"/>
              <w:bottom w:val="nil"/>
            </w:tcBorders>
            <w:shd w:val="clear" w:color="auto" w:fill="66CCFF"/>
          </w:tcPr>
          <w:p w14:paraId="49CADFD1" w14:textId="77777777" w:rsidR="00DD3EFA" w:rsidRPr="005A0E7C" w:rsidRDefault="00DD3EFA" w:rsidP="00B15ECB">
            <w:pPr>
              <w:rPr>
                <w:b/>
              </w:rPr>
            </w:pPr>
          </w:p>
        </w:tc>
        <w:tc>
          <w:tcPr>
            <w:tcW w:w="2548" w:type="dxa"/>
            <w:tcBorders>
              <w:top w:val="nil"/>
            </w:tcBorders>
            <w:shd w:val="clear" w:color="auto" w:fill="FFFFFF" w:themeFill="background1"/>
          </w:tcPr>
          <w:p w14:paraId="06F92FAB" w14:textId="77777777" w:rsidR="00DD3EFA" w:rsidRPr="005A0E7C" w:rsidRDefault="00DD3EFA" w:rsidP="00391907">
            <w:pPr>
              <w:pStyle w:val="Odstavecseseznamem"/>
              <w:numPr>
                <w:ilvl w:val="0"/>
                <w:numId w:val="62"/>
              </w:numPr>
              <w:tabs>
                <w:tab w:val="left" w:pos="326"/>
              </w:tabs>
              <w:spacing w:before="60" w:after="60"/>
              <w:ind w:left="0" w:firstLine="0"/>
              <w:rPr>
                <w:rFonts w:eastAsiaTheme="majorEastAsia"/>
                <w:b/>
              </w:rPr>
            </w:pPr>
            <w:r w:rsidRPr="005A0E7C">
              <w:rPr>
                <w:rFonts w:eastAsiaTheme="majorEastAsia"/>
                <w:b/>
              </w:rPr>
              <w:t>Státní rozpočet a další národní zdroje</w:t>
            </w:r>
          </w:p>
        </w:tc>
        <w:tc>
          <w:tcPr>
            <w:tcW w:w="5978" w:type="dxa"/>
            <w:tcBorders>
              <w:top w:val="nil"/>
            </w:tcBorders>
            <w:shd w:val="clear" w:color="auto" w:fill="FFFFFF" w:themeFill="background1"/>
          </w:tcPr>
          <w:p w14:paraId="20A66553" w14:textId="77777777" w:rsidR="00DD3EFA" w:rsidRPr="005A0E7C" w:rsidRDefault="00DD3EFA">
            <w:pPr>
              <w:spacing w:before="60" w:after="60"/>
              <w:rPr>
                <w:rFonts w:eastAsiaTheme="majorEastAsia"/>
              </w:rPr>
            </w:pPr>
            <w:r w:rsidRPr="005A0E7C">
              <w:rPr>
                <w:rFonts w:eastAsiaTheme="majorEastAsia"/>
              </w:rPr>
              <w:t xml:space="preserve">Další národní zdroje nejsou známy. </w:t>
            </w:r>
          </w:p>
        </w:tc>
        <w:tc>
          <w:tcPr>
            <w:tcW w:w="249" w:type="dxa"/>
            <w:tcBorders>
              <w:top w:val="nil"/>
              <w:bottom w:val="nil"/>
            </w:tcBorders>
            <w:shd w:val="clear" w:color="auto" w:fill="66CCFF"/>
          </w:tcPr>
          <w:p w14:paraId="2A89EF74" w14:textId="77777777" w:rsidR="00DD3EFA" w:rsidRPr="005A0E7C" w:rsidRDefault="00DD3EFA" w:rsidP="00B15ECB">
            <w:pPr>
              <w:rPr>
                <w:b/>
              </w:rPr>
            </w:pPr>
          </w:p>
        </w:tc>
      </w:tr>
      <w:tr w:rsidR="00DD3EFA" w:rsidRPr="005A0E7C" w14:paraId="0F42270C" w14:textId="77777777" w:rsidTr="00B15ECB">
        <w:trPr>
          <w:trHeight w:val="1968"/>
        </w:trPr>
        <w:tc>
          <w:tcPr>
            <w:tcW w:w="249" w:type="dxa"/>
            <w:tcBorders>
              <w:top w:val="nil"/>
              <w:bottom w:val="nil"/>
            </w:tcBorders>
            <w:shd w:val="clear" w:color="auto" w:fill="66CCFF"/>
          </w:tcPr>
          <w:p w14:paraId="7D9E7123" w14:textId="77777777" w:rsidR="00DD3EFA" w:rsidRPr="005A0E7C" w:rsidRDefault="00DD3EFA" w:rsidP="00B15ECB">
            <w:pPr>
              <w:rPr>
                <w:b/>
              </w:rPr>
            </w:pPr>
          </w:p>
        </w:tc>
        <w:tc>
          <w:tcPr>
            <w:tcW w:w="2548" w:type="dxa"/>
            <w:tcBorders>
              <w:top w:val="nil"/>
            </w:tcBorders>
            <w:shd w:val="clear" w:color="auto" w:fill="FFFFFF" w:themeFill="background1"/>
          </w:tcPr>
          <w:p w14:paraId="42675356"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Další zdroje mimo veřejné rozpočty</w:t>
            </w:r>
          </w:p>
        </w:tc>
        <w:tc>
          <w:tcPr>
            <w:tcW w:w="5978" w:type="dxa"/>
            <w:tcBorders>
              <w:top w:val="nil"/>
            </w:tcBorders>
            <w:shd w:val="clear" w:color="auto" w:fill="FFFFFF" w:themeFill="background1"/>
          </w:tcPr>
          <w:p w14:paraId="10F4DB65" w14:textId="77777777" w:rsidR="00DD3EFA" w:rsidRPr="005A0E7C" w:rsidRDefault="00DD3EFA" w:rsidP="00B15ECB">
            <w:pPr>
              <w:spacing w:before="60" w:after="60"/>
              <w:rPr>
                <w:rFonts w:eastAsiaTheme="majorEastAsia"/>
              </w:rPr>
            </w:pPr>
            <w:r w:rsidRPr="005A0E7C">
              <w:rPr>
                <w:rFonts w:eastAsiaTheme="majorEastAsia"/>
              </w:rPr>
              <w:t>Další zdroje mimo veřejné rozpočty jsou zdroje soukromých dopravních společností.</w:t>
            </w:r>
          </w:p>
        </w:tc>
        <w:tc>
          <w:tcPr>
            <w:tcW w:w="249" w:type="dxa"/>
            <w:tcBorders>
              <w:top w:val="nil"/>
              <w:bottom w:val="nil"/>
            </w:tcBorders>
            <w:shd w:val="clear" w:color="auto" w:fill="66CCFF"/>
          </w:tcPr>
          <w:p w14:paraId="1C915A4E" w14:textId="77777777" w:rsidR="00DD3EFA" w:rsidRPr="005A0E7C" w:rsidRDefault="00DD3EFA" w:rsidP="00B15ECB">
            <w:pPr>
              <w:rPr>
                <w:b/>
              </w:rPr>
            </w:pPr>
          </w:p>
        </w:tc>
      </w:tr>
      <w:tr w:rsidR="00DD3EFA" w:rsidRPr="005A0E7C" w14:paraId="23156D17" w14:textId="77777777" w:rsidTr="00B15ECB">
        <w:trPr>
          <w:trHeight w:val="1968"/>
        </w:trPr>
        <w:tc>
          <w:tcPr>
            <w:tcW w:w="249" w:type="dxa"/>
            <w:tcBorders>
              <w:top w:val="nil"/>
              <w:bottom w:val="nil"/>
            </w:tcBorders>
            <w:shd w:val="clear" w:color="auto" w:fill="66CCFF"/>
          </w:tcPr>
          <w:p w14:paraId="77E0C07C" w14:textId="77777777" w:rsidR="00DD3EFA" w:rsidRPr="005A0E7C" w:rsidRDefault="00DD3EFA" w:rsidP="00B15ECB">
            <w:pPr>
              <w:rPr>
                <w:b/>
              </w:rPr>
            </w:pPr>
          </w:p>
        </w:tc>
        <w:tc>
          <w:tcPr>
            <w:tcW w:w="2548" w:type="dxa"/>
            <w:tcBorders>
              <w:top w:val="nil"/>
            </w:tcBorders>
            <w:shd w:val="clear" w:color="auto" w:fill="FFFFFF" w:themeFill="background1"/>
          </w:tcPr>
          <w:p w14:paraId="0445600B" w14:textId="77777777" w:rsidR="00DD3EFA" w:rsidRPr="005A0E7C" w:rsidRDefault="00DD3EFA" w:rsidP="00391907">
            <w:pPr>
              <w:pStyle w:val="Odstavecseseznamem"/>
              <w:numPr>
                <w:ilvl w:val="0"/>
                <w:numId w:val="62"/>
              </w:numPr>
              <w:spacing w:before="60" w:after="60"/>
              <w:ind w:left="346" w:hanging="346"/>
              <w:rPr>
                <w:rFonts w:eastAsiaTheme="majorEastAsia"/>
                <w:b/>
              </w:rPr>
            </w:pPr>
            <w:r w:rsidRPr="005A0E7C">
              <w:rPr>
                <w:rFonts w:eastAsiaTheme="majorEastAsia"/>
                <w:b/>
              </w:rPr>
              <w:t>Možnost využití FN</w:t>
            </w:r>
          </w:p>
        </w:tc>
        <w:tc>
          <w:tcPr>
            <w:tcW w:w="5978" w:type="dxa"/>
            <w:tcBorders>
              <w:top w:val="nil"/>
            </w:tcBorders>
            <w:shd w:val="clear" w:color="auto" w:fill="FFFFFF" w:themeFill="background1"/>
          </w:tcPr>
          <w:p w14:paraId="7482375F" w14:textId="77777777" w:rsidR="00DD3EFA" w:rsidRPr="005A0E7C" w:rsidRDefault="00DD3EFA" w:rsidP="00B15ECB">
            <w:pPr>
              <w:spacing w:before="60" w:after="60"/>
              <w:rPr>
                <w:rFonts w:eastAsiaTheme="majorEastAsia"/>
              </w:rPr>
            </w:pPr>
            <w:r w:rsidRPr="005A0E7C">
              <w:rPr>
                <w:rFonts w:eastAsiaTheme="majorEastAsia"/>
              </w:rPr>
              <w:t>Pro tento SC není využití FN v dostatečné míře dobře využitelné.</w:t>
            </w:r>
          </w:p>
        </w:tc>
        <w:tc>
          <w:tcPr>
            <w:tcW w:w="249" w:type="dxa"/>
            <w:tcBorders>
              <w:top w:val="nil"/>
              <w:bottom w:val="nil"/>
            </w:tcBorders>
            <w:shd w:val="clear" w:color="auto" w:fill="66CCFF"/>
          </w:tcPr>
          <w:p w14:paraId="42932C40" w14:textId="77777777" w:rsidR="00DD3EFA" w:rsidRPr="005A0E7C" w:rsidRDefault="00DD3EFA" w:rsidP="00B15ECB">
            <w:pPr>
              <w:rPr>
                <w:b/>
              </w:rPr>
            </w:pPr>
          </w:p>
        </w:tc>
      </w:tr>
      <w:tr w:rsidR="00DD3EFA" w:rsidRPr="005A0E7C" w14:paraId="10F0D74D" w14:textId="77777777" w:rsidTr="00B15ECB">
        <w:trPr>
          <w:trHeight w:val="150"/>
        </w:trPr>
        <w:tc>
          <w:tcPr>
            <w:tcW w:w="249" w:type="dxa"/>
            <w:tcBorders>
              <w:top w:val="nil"/>
              <w:right w:val="nil"/>
            </w:tcBorders>
            <w:shd w:val="clear" w:color="auto" w:fill="66CCFF"/>
          </w:tcPr>
          <w:p w14:paraId="0806DD08" w14:textId="77777777" w:rsidR="00DD3EFA" w:rsidRPr="005A0E7C" w:rsidRDefault="00DD3EFA" w:rsidP="00B15ECB">
            <w:pPr>
              <w:rPr>
                <w:b/>
              </w:rPr>
            </w:pPr>
          </w:p>
        </w:tc>
        <w:tc>
          <w:tcPr>
            <w:tcW w:w="2548" w:type="dxa"/>
            <w:tcBorders>
              <w:left w:val="nil"/>
              <w:right w:val="nil"/>
            </w:tcBorders>
            <w:shd w:val="clear" w:color="auto" w:fill="66CCFF"/>
          </w:tcPr>
          <w:p w14:paraId="0A5A2EF0" w14:textId="77777777" w:rsidR="00DD3EFA" w:rsidRPr="005A0E7C" w:rsidRDefault="00DD3EFA" w:rsidP="00B15ECB">
            <w:pPr>
              <w:rPr>
                <w:b/>
              </w:rPr>
            </w:pPr>
          </w:p>
        </w:tc>
        <w:tc>
          <w:tcPr>
            <w:tcW w:w="5978" w:type="dxa"/>
            <w:tcBorders>
              <w:left w:val="nil"/>
              <w:right w:val="nil"/>
            </w:tcBorders>
            <w:shd w:val="clear" w:color="auto" w:fill="66CCFF"/>
          </w:tcPr>
          <w:p w14:paraId="40C7550D" w14:textId="77777777" w:rsidR="00DD3EFA" w:rsidRPr="005A0E7C" w:rsidRDefault="00DD3EFA" w:rsidP="00B15ECB">
            <w:pPr>
              <w:rPr>
                <w:b/>
              </w:rPr>
            </w:pPr>
          </w:p>
        </w:tc>
        <w:tc>
          <w:tcPr>
            <w:tcW w:w="249" w:type="dxa"/>
            <w:tcBorders>
              <w:top w:val="nil"/>
              <w:left w:val="nil"/>
            </w:tcBorders>
            <w:shd w:val="clear" w:color="auto" w:fill="66CCFF"/>
          </w:tcPr>
          <w:p w14:paraId="3A169F7A" w14:textId="77777777" w:rsidR="00DD3EFA" w:rsidRPr="005A0E7C" w:rsidRDefault="00DD3EFA" w:rsidP="00B15ECB">
            <w:pPr>
              <w:rPr>
                <w:b/>
              </w:rPr>
            </w:pPr>
          </w:p>
        </w:tc>
      </w:tr>
    </w:tbl>
    <w:p w14:paraId="02805F7F" w14:textId="77777777" w:rsidR="00DD3EFA" w:rsidRPr="005A0E7C" w:rsidRDefault="00DD3EFA">
      <w:pPr>
        <w:rPr>
          <w:rFonts w:ascii="Times New Roman" w:hAnsi="Times New Roman" w:cs="Times New Roman"/>
          <w:sz w:val="20"/>
          <w:szCs w:val="20"/>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850"/>
        <w:gridCol w:w="377"/>
      </w:tblGrid>
      <w:tr w:rsidR="00DD3EFA" w:rsidRPr="005A0E7C" w14:paraId="1449D91D" w14:textId="77777777" w:rsidTr="00B15ECB">
        <w:trPr>
          <w:trHeight w:val="180"/>
        </w:trPr>
        <w:tc>
          <w:tcPr>
            <w:tcW w:w="249" w:type="dxa"/>
            <w:tcBorders>
              <w:bottom w:val="nil"/>
              <w:right w:val="nil"/>
            </w:tcBorders>
            <w:shd w:val="clear" w:color="auto" w:fill="66CCFF"/>
          </w:tcPr>
          <w:p w14:paraId="11DC394C" w14:textId="77777777" w:rsidR="00DD3EFA" w:rsidRPr="005A0E7C" w:rsidRDefault="00DD3EFA" w:rsidP="00B15ECB">
            <w:pPr>
              <w:rPr>
                <w:b/>
              </w:rPr>
            </w:pPr>
          </w:p>
        </w:tc>
        <w:tc>
          <w:tcPr>
            <w:tcW w:w="2548" w:type="dxa"/>
            <w:tcBorders>
              <w:left w:val="nil"/>
              <w:right w:val="nil"/>
            </w:tcBorders>
            <w:shd w:val="clear" w:color="auto" w:fill="66CCFF"/>
          </w:tcPr>
          <w:p w14:paraId="488EC7E4" w14:textId="77777777" w:rsidR="00DD3EFA" w:rsidRPr="005A0E7C" w:rsidRDefault="00DD3EFA" w:rsidP="00B15ECB">
            <w:pPr>
              <w:rPr>
                <w:b/>
              </w:rPr>
            </w:pPr>
          </w:p>
        </w:tc>
        <w:tc>
          <w:tcPr>
            <w:tcW w:w="5850" w:type="dxa"/>
            <w:tcBorders>
              <w:left w:val="nil"/>
              <w:right w:val="nil"/>
            </w:tcBorders>
            <w:shd w:val="clear" w:color="auto" w:fill="66CCFF"/>
          </w:tcPr>
          <w:p w14:paraId="289757E9" w14:textId="77777777" w:rsidR="00DD3EFA" w:rsidRPr="005A0E7C" w:rsidRDefault="00DD3EFA" w:rsidP="00B15ECB">
            <w:pPr>
              <w:rPr>
                <w:b/>
              </w:rPr>
            </w:pPr>
          </w:p>
        </w:tc>
        <w:tc>
          <w:tcPr>
            <w:tcW w:w="377" w:type="dxa"/>
            <w:tcBorders>
              <w:left w:val="nil"/>
              <w:bottom w:val="nil"/>
            </w:tcBorders>
            <w:shd w:val="clear" w:color="auto" w:fill="66CCFF"/>
          </w:tcPr>
          <w:p w14:paraId="51145691" w14:textId="77777777" w:rsidR="00DD3EFA" w:rsidRPr="005A0E7C" w:rsidRDefault="00DD3EFA" w:rsidP="00B15ECB">
            <w:pPr>
              <w:rPr>
                <w:b/>
              </w:rPr>
            </w:pPr>
          </w:p>
        </w:tc>
      </w:tr>
      <w:tr w:rsidR="00DD3EFA" w:rsidRPr="005A0E7C" w14:paraId="031634EF" w14:textId="77777777" w:rsidTr="00B15ECB">
        <w:trPr>
          <w:trHeight w:val="561"/>
        </w:trPr>
        <w:tc>
          <w:tcPr>
            <w:tcW w:w="249" w:type="dxa"/>
            <w:tcBorders>
              <w:top w:val="nil"/>
              <w:bottom w:val="nil"/>
            </w:tcBorders>
            <w:shd w:val="clear" w:color="auto" w:fill="66CCFF"/>
          </w:tcPr>
          <w:p w14:paraId="701AD83E" w14:textId="77777777" w:rsidR="00DD3EFA" w:rsidRPr="005A0E7C" w:rsidRDefault="00DD3EFA" w:rsidP="00B15ECB">
            <w:pPr>
              <w:rPr>
                <w:b/>
              </w:rPr>
            </w:pPr>
          </w:p>
        </w:tc>
        <w:tc>
          <w:tcPr>
            <w:tcW w:w="2548" w:type="dxa"/>
            <w:shd w:val="clear" w:color="auto" w:fill="0070C0"/>
          </w:tcPr>
          <w:p w14:paraId="50E6B0E4"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u w:val="single"/>
              </w:rPr>
              <w:t>Strategický cíl NKR:</w:t>
            </w:r>
            <w:r w:rsidRPr="005A0E7C">
              <w:rPr>
                <w:rFonts w:eastAsiaTheme="majorEastAsia"/>
                <w:b/>
                <w:color w:val="FFFFFF" w:themeColor="background1"/>
              </w:rPr>
              <w:t xml:space="preserve"> Efektivní, dostupná a k životnímu prostředí šetrná DOPRAVA</w:t>
            </w:r>
          </w:p>
        </w:tc>
        <w:tc>
          <w:tcPr>
            <w:tcW w:w="5850" w:type="dxa"/>
            <w:shd w:val="clear" w:color="auto" w:fill="0070C0"/>
          </w:tcPr>
          <w:p w14:paraId="3D1D0A19" w14:textId="77777777" w:rsidR="00DD3EFA" w:rsidRPr="005A0E7C" w:rsidRDefault="00DD3EFA" w:rsidP="00B15ECB">
            <w:pPr>
              <w:spacing w:before="60" w:after="60"/>
              <w:rPr>
                <w:rFonts w:eastAsiaTheme="majorEastAsia"/>
                <w:b/>
                <w:color w:val="FFFFFF" w:themeColor="background1"/>
                <w:u w:val="single"/>
              </w:rPr>
            </w:pPr>
            <w:r w:rsidRPr="005A0E7C">
              <w:rPr>
                <w:rFonts w:eastAsiaTheme="majorEastAsia"/>
                <w:b/>
                <w:color w:val="FFFFFF" w:themeColor="background1"/>
                <w:u w:val="single"/>
              </w:rPr>
              <w:t>Specifický cíl NKR</w:t>
            </w:r>
            <w:r w:rsidRPr="005A0E7C">
              <w:rPr>
                <w:rStyle w:val="Znakapoznpodarou"/>
                <w:rFonts w:eastAsiaTheme="majorEastAsia"/>
                <w:color w:val="FFFFFF" w:themeColor="background1"/>
                <w:u w:val="single"/>
              </w:rPr>
              <w:t>1</w:t>
            </w:r>
            <w:r w:rsidRPr="005A0E7C">
              <w:rPr>
                <w:rFonts w:eastAsiaTheme="majorEastAsia"/>
                <w:b/>
                <w:color w:val="FFFFFF" w:themeColor="background1"/>
                <w:u w:val="single"/>
              </w:rPr>
              <w:t xml:space="preserve">: </w:t>
            </w:r>
          </w:p>
          <w:p w14:paraId="1E1930CF" w14:textId="77777777" w:rsidR="00DD3EFA" w:rsidRPr="005A0E7C" w:rsidRDefault="00DD3EFA" w:rsidP="00B15ECB">
            <w:pPr>
              <w:spacing w:before="60" w:after="60"/>
              <w:rPr>
                <w:rFonts w:eastAsiaTheme="majorEastAsia"/>
                <w:b/>
                <w:color w:val="FFFFFF" w:themeColor="background1"/>
              </w:rPr>
            </w:pPr>
            <w:r w:rsidRPr="005A0E7C">
              <w:rPr>
                <w:rFonts w:eastAsiaTheme="majorEastAsia"/>
                <w:b/>
                <w:color w:val="FFFFFF" w:themeColor="background1"/>
              </w:rPr>
              <w:t>ZVÝŠENÍ VYUŽITÍ A DOSTUPNOSTI ALTERNATIVNÍCH PALIV V DOPRAVĚ</w:t>
            </w:r>
          </w:p>
        </w:tc>
        <w:tc>
          <w:tcPr>
            <w:tcW w:w="377" w:type="dxa"/>
            <w:tcBorders>
              <w:top w:val="nil"/>
              <w:bottom w:val="nil"/>
            </w:tcBorders>
            <w:shd w:val="clear" w:color="auto" w:fill="66CCFF"/>
          </w:tcPr>
          <w:p w14:paraId="477232DD" w14:textId="77777777" w:rsidR="00DD3EFA" w:rsidRPr="005A0E7C" w:rsidRDefault="00DD3EFA" w:rsidP="00B15ECB">
            <w:pPr>
              <w:rPr>
                <w:b/>
              </w:rPr>
            </w:pPr>
          </w:p>
        </w:tc>
      </w:tr>
      <w:tr w:rsidR="00DD3EFA" w:rsidRPr="005A0E7C" w14:paraId="7893C164" w14:textId="77777777" w:rsidTr="00B15ECB">
        <w:trPr>
          <w:trHeight w:val="180"/>
        </w:trPr>
        <w:tc>
          <w:tcPr>
            <w:tcW w:w="249" w:type="dxa"/>
            <w:tcBorders>
              <w:top w:val="nil"/>
              <w:bottom w:val="nil"/>
              <w:right w:val="nil"/>
            </w:tcBorders>
            <w:shd w:val="clear" w:color="auto" w:fill="66CCFF"/>
          </w:tcPr>
          <w:p w14:paraId="05F976D7" w14:textId="77777777" w:rsidR="00DD3EFA" w:rsidRPr="005A0E7C" w:rsidRDefault="00DD3EFA" w:rsidP="00B15ECB">
            <w:pPr>
              <w:rPr>
                <w:b/>
              </w:rPr>
            </w:pPr>
          </w:p>
        </w:tc>
        <w:tc>
          <w:tcPr>
            <w:tcW w:w="2548" w:type="dxa"/>
            <w:tcBorders>
              <w:left w:val="nil"/>
              <w:right w:val="nil"/>
            </w:tcBorders>
            <w:shd w:val="clear" w:color="auto" w:fill="66CCFF"/>
          </w:tcPr>
          <w:p w14:paraId="4E50CA8F" w14:textId="77777777" w:rsidR="00DD3EFA" w:rsidRPr="005A0E7C" w:rsidRDefault="00DD3EFA" w:rsidP="00B15ECB">
            <w:pPr>
              <w:rPr>
                <w:b/>
              </w:rPr>
            </w:pPr>
          </w:p>
        </w:tc>
        <w:tc>
          <w:tcPr>
            <w:tcW w:w="5850" w:type="dxa"/>
            <w:tcBorders>
              <w:left w:val="nil"/>
              <w:right w:val="nil"/>
            </w:tcBorders>
            <w:shd w:val="clear" w:color="auto" w:fill="66CCFF"/>
          </w:tcPr>
          <w:p w14:paraId="0C77A01E" w14:textId="77777777" w:rsidR="00DD3EFA" w:rsidRPr="005A0E7C" w:rsidRDefault="00DD3EFA" w:rsidP="00B15ECB">
            <w:pPr>
              <w:rPr>
                <w:b/>
              </w:rPr>
            </w:pPr>
          </w:p>
        </w:tc>
        <w:tc>
          <w:tcPr>
            <w:tcW w:w="377" w:type="dxa"/>
            <w:tcBorders>
              <w:top w:val="nil"/>
              <w:left w:val="nil"/>
              <w:bottom w:val="nil"/>
            </w:tcBorders>
            <w:shd w:val="clear" w:color="auto" w:fill="66CCFF"/>
          </w:tcPr>
          <w:p w14:paraId="644650B9" w14:textId="77777777" w:rsidR="00DD3EFA" w:rsidRPr="005A0E7C" w:rsidRDefault="00DD3EFA" w:rsidP="00B15ECB">
            <w:pPr>
              <w:rPr>
                <w:b/>
              </w:rPr>
            </w:pPr>
          </w:p>
        </w:tc>
      </w:tr>
      <w:tr w:rsidR="00DD3EFA" w:rsidRPr="005A0E7C" w14:paraId="74AE440A" w14:textId="77777777" w:rsidTr="00B15ECB">
        <w:trPr>
          <w:trHeight w:val="892"/>
        </w:trPr>
        <w:tc>
          <w:tcPr>
            <w:tcW w:w="249" w:type="dxa"/>
            <w:tcBorders>
              <w:top w:val="nil"/>
              <w:bottom w:val="nil"/>
            </w:tcBorders>
            <w:shd w:val="clear" w:color="auto" w:fill="66CCFF"/>
          </w:tcPr>
          <w:p w14:paraId="576F00A7" w14:textId="77777777" w:rsidR="00DD3EFA" w:rsidRPr="005A0E7C" w:rsidRDefault="00DD3EFA" w:rsidP="00B15ECB">
            <w:pPr>
              <w:rPr>
                <w:b/>
              </w:rPr>
            </w:pPr>
          </w:p>
        </w:tc>
        <w:tc>
          <w:tcPr>
            <w:tcW w:w="2548" w:type="dxa"/>
            <w:shd w:val="clear" w:color="auto" w:fill="FFFFFF" w:themeFill="background1"/>
          </w:tcPr>
          <w:p w14:paraId="5878F317" w14:textId="77777777" w:rsidR="00DD3EFA" w:rsidRPr="005A0E7C" w:rsidRDefault="00DD3EFA" w:rsidP="00B15ECB">
            <w:pPr>
              <w:spacing w:before="60" w:after="60"/>
              <w:rPr>
                <w:rFonts w:eastAsiaTheme="majorEastAsia"/>
                <w:b/>
              </w:rPr>
            </w:pPr>
            <w:r w:rsidRPr="005A0E7C">
              <w:rPr>
                <w:rFonts w:eastAsiaTheme="majorEastAsia"/>
                <w:b/>
              </w:rPr>
              <w:t>Věcné vymezení specifického cíle NKR</w:t>
            </w:r>
          </w:p>
        </w:tc>
        <w:tc>
          <w:tcPr>
            <w:tcW w:w="5850" w:type="dxa"/>
            <w:shd w:val="clear" w:color="auto" w:fill="FFFFFF" w:themeFill="background1"/>
          </w:tcPr>
          <w:p w14:paraId="33128CD4" w14:textId="77777777" w:rsidR="00DD3EFA" w:rsidRPr="005A0E7C" w:rsidRDefault="00DD3EFA" w:rsidP="00B15ECB">
            <w:r w:rsidRPr="005A0E7C">
              <w:t>Jedná se o problematiku těchto konkrétních prvků v rámci podpory čisté mobility:</w:t>
            </w:r>
          </w:p>
          <w:p w14:paraId="69B161D4" w14:textId="77777777" w:rsidR="00DD3EFA" w:rsidRPr="005A0E7C" w:rsidRDefault="00DD3EFA" w:rsidP="00B15ECB"/>
          <w:p w14:paraId="5502E06D" w14:textId="77777777" w:rsidR="00DD3EFA" w:rsidRPr="005A0E7C" w:rsidRDefault="00DD3EFA" w:rsidP="00B15ECB">
            <w:r w:rsidRPr="005A0E7C">
              <w:t>- veřejné plnící a dobíjecí stanice na alternativní paliva</w:t>
            </w:r>
          </w:p>
          <w:p w14:paraId="6A688A57" w14:textId="77777777" w:rsidR="00DD3EFA" w:rsidRPr="005A0E7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5A0E7C">
              <w:rPr>
                <w:rFonts w:ascii="Times New Roman" w:hAnsi="Times New Roman"/>
              </w:rPr>
              <w:t>- podpora využívání biomethanu/bioplynu jako náhrady zemního plynu vč. využití v nákladní dopravě</w:t>
            </w:r>
          </w:p>
          <w:p w14:paraId="47901627" w14:textId="77777777" w:rsidR="00DD3EFA" w:rsidRPr="005A0E7C" w:rsidRDefault="00DD3EFA" w:rsidP="00B15ECB">
            <w:r w:rsidRPr="005A0E7C">
              <w:t>- podpora pořízení vozidel na alternativní pohon</w:t>
            </w:r>
          </w:p>
          <w:p w14:paraId="7DAEBB3E" w14:textId="77777777" w:rsidR="00DD3EFA" w:rsidRPr="005A0E7C" w:rsidRDefault="00DD3EFA" w:rsidP="00B15ECB">
            <w:pPr>
              <w:spacing w:before="60" w:after="60"/>
              <w:rPr>
                <w:u w:val="single"/>
              </w:rPr>
            </w:pPr>
          </w:p>
        </w:tc>
        <w:tc>
          <w:tcPr>
            <w:tcW w:w="377" w:type="dxa"/>
            <w:tcBorders>
              <w:top w:val="nil"/>
              <w:bottom w:val="nil"/>
            </w:tcBorders>
            <w:shd w:val="clear" w:color="auto" w:fill="66CCFF"/>
          </w:tcPr>
          <w:p w14:paraId="33523B00" w14:textId="77777777" w:rsidR="00DD3EFA" w:rsidRPr="005A0E7C" w:rsidRDefault="00DD3EFA" w:rsidP="00B15ECB">
            <w:pPr>
              <w:rPr>
                <w:b/>
              </w:rPr>
            </w:pPr>
          </w:p>
        </w:tc>
      </w:tr>
      <w:tr w:rsidR="00DD3EFA" w:rsidRPr="005A0E7C" w14:paraId="665D2E70" w14:textId="77777777" w:rsidTr="00B15ECB">
        <w:trPr>
          <w:trHeight w:val="46"/>
        </w:trPr>
        <w:tc>
          <w:tcPr>
            <w:tcW w:w="249" w:type="dxa"/>
            <w:tcBorders>
              <w:top w:val="nil"/>
              <w:bottom w:val="nil"/>
              <w:right w:val="nil"/>
            </w:tcBorders>
            <w:shd w:val="clear" w:color="auto" w:fill="66CCFF"/>
          </w:tcPr>
          <w:p w14:paraId="5C753A0E" w14:textId="77777777" w:rsidR="00DD3EFA" w:rsidRPr="005A0E7C" w:rsidRDefault="00DD3EFA" w:rsidP="00B15ECB">
            <w:pPr>
              <w:rPr>
                <w:b/>
              </w:rPr>
            </w:pPr>
            <w:r w:rsidRPr="005A0E7C">
              <w:rPr>
                <w:b/>
              </w:rPr>
              <w:t xml:space="preserve"> </w:t>
            </w:r>
          </w:p>
        </w:tc>
        <w:tc>
          <w:tcPr>
            <w:tcW w:w="2548" w:type="dxa"/>
            <w:tcBorders>
              <w:left w:val="nil"/>
              <w:bottom w:val="single" w:sz="4" w:space="0" w:color="auto"/>
              <w:right w:val="nil"/>
            </w:tcBorders>
            <w:shd w:val="clear" w:color="auto" w:fill="66CCFF"/>
          </w:tcPr>
          <w:p w14:paraId="1840FFD5" w14:textId="77777777" w:rsidR="00DD3EFA" w:rsidRPr="005A0E7C" w:rsidRDefault="00DD3EFA" w:rsidP="00B15ECB">
            <w:pPr>
              <w:rPr>
                <w:b/>
              </w:rPr>
            </w:pPr>
          </w:p>
        </w:tc>
        <w:tc>
          <w:tcPr>
            <w:tcW w:w="5850" w:type="dxa"/>
            <w:tcBorders>
              <w:left w:val="nil"/>
              <w:bottom w:val="single" w:sz="4" w:space="0" w:color="auto"/>
              <w:right w:val="nil"/>
            </w:tcBorders>
            <w:shd w:val="clear" w:color="auto" w:fill="66CCFF"/>
          </w:tcPr>
          <w:p w14:paraId="10A35291" w14:textId="77777777" w:rsidR="00DD3EFA" w:rsidRPr="005A0E7C" w:rsidRDefault="00DD3EFA" w:rsidP="00B15ECB">
            <w:pPr>
              <w:rPr>
                <w:b/>
              </w:rPr>
            </w:pPr>
          </w:p>
        </w:tc>
        <w:tc>
          <w:tcPr>
            <w:tcW w:w="377" w:type="dxa"/>
            <w:tcBorders>
              <w:top w:val="nil"/>
              <w:left w:val="nil"/>
              <w:bottom w:val="nil"/>
            </w:tcBorders>
            <w:shd w:val="clear" w:color="auto" w:fill="66CCFF"/>
          </w:tcPr>
          <w:p w14:paraId="64A34364" w14:textId="77777777" w:rsidR="00DD3EFA" w:rsidRPr="005A0E7C" w:rsidRDefault="00DD3EFA" w:rsidP="00B15ECB">
            <w:pPr>
              <w:rPr>
                <w:b/>
              </w:rPr>
            </w:pPr>
          </w:p>
        </w:tc>
      </w:tr>
      <w:tr w:rsidR="00DD3EFA" w:rsidRPr="005A0E7C" w14:paraId="0F6662CC" w14:textId="77777777" w:rsidTr="00B15ECB">
        <w:trPr>
          <w:trHeight w:val="1274"/>
        </w:trPr>
        <w:tc>
          <w:tcPr>
            <w:tcW w:w="249" w:type="dxa"/>
            <w:tcBorders>
              <w:top w:val="nil"/>
              <w:bottom w:val="nil"/>
            </w:tcBorders>
            <w:shd w:val="clear" w:color="auto" w:fill="66CCFF"/>
          </w:tcPr>
          <w:p w14:paraId="1FCB7A19" w14:textId="77777777" w:rsidR="00DD3EFA" w:rsidRPr="005A0E7C" w:rsidRDefault="00DD3EFA" w:rsidP="00B15ECB">
            <w:pPr>
              <w:rPr>
                <w:b/>
              </w:rPr>
            </w:pPr>
          </w:p>
        </w:tc>
        <w:tc>
          <w:tcPr>
            <w:tcW w:w="2548" w:type="dxa"/>
            <w:tcBorders>
              <w:bottom w:val="single" w:sz="4" w:space="0" w:color="auto"/>
            </w:tcBorders>
            <w:shd w:val="clear" w:color="auto" w:fill="FFFFFF" w:themeFill="background1"/>
          </w:tcPr>
          <w:p w14:paraId="5C17CAC7" w14:textId="77777777" w:rsidR="00DD3EFA" w:rsidRPr="005A0E7C" w:rsidRDefault="00DD3EFA" w:rsidP="00B15ECB">
            <w:pPr>
              <w:spacing w:before="60" w:after="60"/>
              <w:rPr>
                <w:rFonts w:eastAsiaTheme="majorEastAsia"/>
                <w:b/>
              </w:rPr>
            </w:pPr>
            <w:r w:rsidRPr="005A0E7C">
              <w:rPr>
                <w:rFonts w:eastAsiaTheme="majorEastAsia"/>
                <w:b/>
              </w:rPr>
              <w:t>Proč je daný cíl důležitý (v kontextu oblasti i v kontextu celku)</w:t>
            </w:r>
          </w:p>
        </w:tc>
        <w:tc>
          <w:tcPr>
            <w:tcW w:w="5850" w:type="dxa"/>
            <w:tcBorders>
              <w:bottom w:val="single" w:sz="4" w:space="0" w:color="auto"/>
            </w:tcBorders>
            <w:shd w:val="clear" w:color="auto" w:fill="FFFFFF" w:themeFill="background1"/>
          </w:tcPr>
          <w:p w14:paraId="17CB08E4" w14:textId="77777777" w:rsidR="00DD3EFA" w:rsidRPr="005A0E7C" w:rsidRDefault="00DD3EFA" w:rsidP="00B15ECB">
            <w:r w:rsidRPr="005A0E7C">
              <w:t>Snižovat závislosti na fosilních palivech a částečně je náhrazovat obnovitelnými zdroji energie je klíčové z hlediska potřeby snižovat produkci emisí  CO</w:t>
            </w:r>
            <w:r w:rsidRPr="005A0E7C">
              <w:rPr>
                <w:vertAlign w:val="subscript"/>
              </w:rPr>
              <w:t xml:space="preserve">2 </w:t>
            </w:r>
            <w:r w:rsidRPr="005A0E7C">
              <w:t>a</w:t>
            </w:r>
            <w:r w:rsidRPr="005A0E7C">
              <w:rPr>
                <w:vertAlign w:val="subscript"/>
              </w:rPr>
              <w:t xml:space="preserve"> </w:t>
            </w:r>
            <w:r w:rsidRPr="005A0E7C">
              <w:t xml:space="preserve">znečišťujících látek z dopravy stejně jako hluku z dopravy s ohledem na nutnost naplňovat  závazky ČR ve vztahu k Pařížské dohodě o změna klimatu. Pokud se má naplnit cíl udržet </w:t>
            </w:r>
            <w:r w:rsidRPr="005A0E7C">
              <w:rPr>
                <w:color w:val="222222"/>
                <w:u w:val="single"/>
              </w:rPr>
              <w:t>globální průměrnou teplotu výrazně pod hranicí 2 °C</w:t>
            </w:r>
            <w:r w:rsidRPr="005A0E7C">
              <w:rPr>
                <w:color w:val="222222"/>
              </w:rPr>
              <w:t xml:space="preserve"> oproti hodnotám před průmyslovou revolucí, musí ke snižování emisí CO2 výrazně přispět sektor dopravy, který se na těchto emisích podílí výraznou měrou, přičemž jde o jediný sektor, kde se nedaří tyto emise snižovat. Stejně tak je třeba řešit </w:t>
            </w:r>
            <w:r w:rsidRPr="005A0E7C">
              <w:t xml:space="preserve">znečištěné ovzduší, které má vliv na zdraví obyvatelstva, představuje zvýšené riziko respiračních onemocnění v důsledku snížení obranyschopnosti organizmu a zvýšené náchylnosti k infekcím. Zavádění dopravy na alternativní paliva je v ČR zatím v počátcích a není pochyb o tom, že bez podpory veřejných finančních prostředků se její rozvoj prozatím neobejde. Podpora z veřejných prostředků (a to nejen na podporu rozvoje příslušné infrastruktury ale i na podporu nákupu vozidel) je často realizována i ve státech západní Evropy, kde je již trh bezemisních a nízkoemisních vozidel ve výrazně pokročilejší fázi. </w:t>
            </w:r>
          </w:p>
          <w:p w14:paraId="6320C913" w14:textId="77777777" w:rsidR="00DD3EFA" w:rsidRPr="005A0E7C" w:rsidRDefault="00DD3EFA" w:rsidP="00B15ECB"/>
          <w:p w14:paraId="7BCECB38" w14:textId="50747B4A" w:rsidR="00DD3EFA" w:rsidRPr="005A0E7C" w:rsidRDefault="00DD3EFA" w:rsidP="00B15ECB">
            <w:r w:rsidRPr="005A0E7C">
              <w:t>Nástup a postupně narůstající podíl alternativních pohonů v dopravě oproti klasické naftě nebo benzínu je neoddiskutovatelným faktem a vývojovým trendem v dopravě. Vedle u nás celkem rozšířeného LPG (Liquified Petroleum Gas – zkapalněný ropný plyn) a v posledních letech výrazně rostoucího CNG (Compressed Natural Gas</w:t>
            </w:r>
            <w:r w:rsidRPr="005A0E7C" w:rsidDel="00D042B5">
              <w:t xml:space="preserve"> </w:t>
            </w:r>
            <w:r w:rsidRPr="005A0E7C">
              <w:t>– stlačený zemní plyn) a LNG, případně LNG v mixu s ob</w:t>
            </w:r>
            <w:r w:rsidR="0017728B" w:rsidRPr="005A0E7C">
              <w:t xml:space="preserve">novitelným biometanem případně </w:t>
            </w:r>
            <w:r w:rsidRPr="005A0E7C">
              <w:t>syntetickým metanem, začíná nastupovat elektromobilita (klasická bateriová nebo hybridní vozidla), která pravděpodobně zaujme dominantní pozici. Velkou výzvou je také širší rozvoj vodíkových technologií a LNG (</w:t>
            </w:r>
            <w:r w:rsidRPr="005A0E7C">
              <w:rPr>
                <w:bCs/>
              </w:rPr>
              <w:t>Liquefied Natural Gas</w:t>
            </w:r>
            <w:r w:rsidRPr="005A0E7C">
              <w:t xml:space="preserve"> - zkapalněný zemní plyn), které by se měly prosazovat a podporovat v následujících letech. </w:t>
            </w:r>
          </w:p>
          <w:p w14:paraId="47572412" w14:textId="77023C7C" w:rsidR="00DD3EFA" w:rsidRPr="005A0E7C" w:rsidRDefault="00DD3EFA" w:rsidP="00B15ECB">
            <w:r w:rsidRPr="005A0E7C">
              <w:t xml:space="preserve"> V oblasti CNG je také velký potenciál ve využití biomethanu v dopravě. S ohledem na nižší až nulovou produkci emisí znečišťujících látek, CO</w:t>
            </w:r>
            <w:r w:rsidRPr="005A0E7C">
              <w:rPr>
                <w:vertAlign w:val="subscript"/>
              </w:rPr>
              <w:t>2</w:t>
            </w:r>
            <w:r w:rsidRPr="005A0E7C">
              <w:t>i hluku v místě provozu jsou vozidla s alternativním pohonem objektem různých forem podpory.</w:t>
            </w:r>
            <w:r w:rsidR="0017728B" w:rsidRPr="005A0E7C">
              <w:t xml:space="preserve"> </w:t>
            </w:r>
            <w:r w:rsidRPr="005A0E7C">
              <w:t xml:space="preserve">Vedle vyšší pořizovací ceny, relativně malého dojezdu vozidel představuje jednu z hlavních překážek absence či pomalý rozvoj dobíjecí/plnící infrastruktury pro využívání alternativních paliv. Proto je nutno vybudovat základní síť veřejných dobíjecích a plnících stanic pro IAD a neveřejné stanice pro autobusy s alternativním pohonem provozované v rámci VHD a také včetně vozidel na svoz komunálného odpadu provozovaných městy či smluvně technickými službami. </w:t>
            </w:r>
          </w:p>
          <w:p w14:paraId="750FA2C6" w14:textId="77777777" w:rsidR="00DD3EFA" w:rsidRPr="005A0E7C" w:rsidRDefault="00DD3EFA" w:rsidP="00B15ECB"/>
          <w:p w14:paraId="73E476C5" w14:textId="65AB51B3" w:rsidR="00DD3EFA" w:rsidRPr="005A0E7C" w:rsidRDefault="00DD3EFA" w:rsidP="00B15ECB">
            <w:pPr>
              <w:spacing w:before="60" w:after="60"/>
              <w:rPr>
                <w:b/>
                <w:i/>
              </w:rPr>
            </w:pPr>
            <w:r w:rsidRPr="005A0E7C">
              <w:t xml:space="preserve">EP schválil </w:t>
            </w:r>
            <w:r w:rsidR="0017728B" w:rsidRPr="005A0E7C">
              <w:rPr>
                <w:bCs/>
              </w:rPr>
              <w:t>14. 11. 2018</w:t>
            </w:r>
            <w:r w:rsidRPr="005A0E7C">
              <w:t xml:space="preserve"> </w:t>
            </w:r>
            <w:r w:rsidRPr="005A0E7C">
              <w:rPr>
                <w:bCs/>
              </w:rPr>
              <w:t>pozměňovací návrh</w:t>
            </w:r>
            <w:r w:rsidRPr="005A0E7C">
              <w:t xml:space="preserve">, který vyzývá Komisi, aby do konce roku 2020 vypracovala </w:t>
            </w:r>
            <w:r w:rsidRPr="005A0E7C">
              <w:rPr>
                <w:bCs/>
                <w:iCs/>
              </w:rPr>
              <w:t>metodiku zohledňující dopad snížení emisí CO2 z biometanu v nákladní dopravě</w:t>
            </w:r>
            <w:r w:rsidRPr="005A0E7C">
              <w:t xml:space="preserve">. </w:t>
            </w:r>
            <w:r w:rsidRPr="005A0E7C">
              <w:rPr>
                <w:bCs/>
                <w:iCs/>
              </w:rPr>
              <w:t>V prosinci 2018 se EU dohodla na c</w:t>
            </w:r>
            <w:r w:rsidRPr="005A0E7C">
              <w:t>elkové snížení emisí CO</w:t>
            </w:r>
            <w:r w:rsidRPr="005A0E7C">
              <w:rPr>
                <w:vertAlign w:val="subscript"/>
              </w:rPr>
              <w:t>2</w:t>
            </w:r>
            <w:r w:rsidRPr="005A0E7C">
              <w:t xml:space="preserve"> u nových HDVs´ </w:t>
            </w:r>
            <w:r w:rsidRPr="005A0E7C">
              <w:rPr>
                <w:bCs/>
              </w:rPr>
              <w:t xml:space="preserve">od roku 2030 o </w:t>
            </w:r>
            <w:r w:rsidR="0017728B" w:rsidRPr="005A0E7C">
              <w:rPr>
                <w:bCs/>
              </w:rPr>
              <w:t>30% ve</w:t>
            </w:r>
            <w:r w:rsidRPr="005A0E7C">
              <w:t xml:space="preserve"> srovnání s úrovněmi emisí v roce 2019</w:t>
            </w:r>
            <w:r w:rsidRPr="005A0E7C">
              <w:rPr>
                <w:b/>
                <w:i/>
              </w:rPr>
              <w:t>.</w:t>
            </w:r>
          </w:p>
          <w:p w14:paraId="1EAD52B0" w14:textId="77777777" w:rsidR="00DD3EFA" w:rsidRPr="005A0E7C" w:rsidRDefault="00DD3EFA" w:rsidP="00B15ECB">
            <w:pPr>
              <w:spacing w:before="60" w:after="60"/>
              <w:rPr>
                <w:b/>
                <w:i/>
              </w:rPr>
            </w:pPr>
          </w:p>
          <w:p w14:paraId="7A49EBCC" w14:textId="77777777" w:rsidR="00DD3EFA" w:rsidRPr="005A0E7C" w:rsidRDefault="00DD3EFA" w:rsidP="00B15ECB">
            <w:pPr>
              <w:spacing w:before="60" w:after="60"/>
              <w:rPr>
                <w:lang w:eastAsia="cs-CZ"/>
              </w:rPr>
            </w:pPr>
            <w:r w:rsidRPr="005A0E7C">
              <w:t xml:space="preserve">- Bílá kniha – Plán jednotného evropského dopravního prostoru (2011), ukládá snížení závislosti na spotřebě ropy, snížení emisí skleníkových plynů, podpora rozvoje alternativních paliv a využívání energeticky efektivnějších druhů dopravy. Nová opatření Evropské komise zveřejněné 17. května 2018 Třetí balíček mobility mají zajistit systém mobility, který bude </w:t>
            </w:r>
            <w:r w:rsidRPr="005A0E7C">
              <w:rPr>
                <w:rStyle w:val="Siln"/>
              </w:rPr>
              <w:t>bezpečný</w:t>
            </w:r>
            <w:r w:rsidRPr="005A0E7C">
              <w:t xml:space="preserve">, </w:t>
            </w:r>
            <w:r w:rsidRPr="005A0E7C">
              <w:rPr>
                <w:rStyle w:val="Siln"/>
              </w:rPr>
              <w:t>čistý</w:t>
            </w:r>
            <w:r w:rsidRPr="005A0E7C">
              <w:t xml:space="preserve"> a </w:t>
            </w:r>
            <w:r w:rsidRPr="005A0E7C">
              <w:rPr>
                <w:rStyle w:val="Siln"/>
              </w:rPr>
              <w:t>propojený a automatizovaný</w:t>
            </w:r>
            <w:r w:rsidRPr="005A0E7C">
              <w:t xml:space="preserve"> a vytvořit prostředí, jež umožní podnikům v EU vyrábět nejlepší, nejčistší a nejvíce konkurenceschopné výrobky. Jedná se mimo jiné o l</w:t>
            </w:r>
            <w:r w:rsidRPr="005A0E7C">
              <w:rPr>
                <w:lang w:eastAsia="cs-CZ"/>
              </w:rPr>
              <w:t xml:space="preserve">egislativní iniciativy týkající se </w:t>
            </w:r>
            <w:r w:rsidRPr="005A0E7C">
              <w:rPr>
                <w:bCs/>
                <w:lang w:eastAsia="cs-CZ"/>
              </w:rPr>
              <w:t>norem CO</w:t>
            </w:r>
            <w:r w:rsidRPr="005A0E7C">
              <w:rPr>
                <w:bCs/>
                <w:vertAlign w:val="subscript"/>
                <w:lang w:eastAsia="cs-CZ"/>
              </w:rPr>
              <w:t>2</w:t>
            </w:r>
            <w:r w:rsidRPr="005A0E7C">
              <w:rPr>
                <w:bCs/>
                <w:lang w:eastAsia="cs-CZ"/>
              </w:rPr>
              <w:t xml:space="preserve"> pro nákladní automobily </w:t>
            </w:r>
            <w:r w:rsidRPr="005A0E7C">
              <w:rPr>
                <w:lang w:eastAsia="cs-CZ"/>
              </w:rPr>
              <w:t>a jejich aerodynamiky a společné metodiky pro srovnávání cen paliva. Uvedená opatření znovu potvrzují záměr EU snížit emise skleníkových plynů z dopravy a splnit závazky Pařížské dohody.</w:t>
            </w:r>
          </w:p>
          <w:p w14:paraId="00E7E45A" w14:textId="77777777" w:rsidR="00DD3EFA" w:rsidRPr="005A0E7C" w:rsidRDefault="00DD3EFA" w:rsidP="00B15ECB">
            <w:pPr>
              <w:spacing w:before="60" w:after="60"/>
              <w:rPr>
                <w:lang w:eastAsia="cs-CZ"/>
              </w:rPr>
            </w:pPr>
          </w:p>
          <w:p w14:paraId="5B301242" w14:textId="77777777" w:rsidR="00DD3EFA" w:rsidRPr="005A0E7C" w:rsidRDefault="00DD3EFA" w:rsidP="00B15ECB">
            <w:r w:rsidRPr="005A0E7C">
              <w:t xml:space="preserve">- </w:t>
            </w:r>
            <w:r w:rsidRPr="005A0E7C">
              <w:rPr>
                <w:color w:val="111111"/>
                <w:shd w:val="clear" w:color="auto" w:fill="FFFFFF"/>
              </w:rPr>
              <w:t xml:space="preserve">Otázky rozvoje alternativních pohonů a alternativních paliv jsou obzvláště důležité pro země, kde pro hospodářský růst má stěžejní úlohu automobilový průmysl. Do této skupiny patří i ČR. Připravované predikce NAP ČM uvažují s výhledem a příštích 20 až 30 let (do roku 2050), kdy je velmi obtížné předvídat nejen ceny jednotlivých energií a paliv, technologický a hospodářský vývoj země ale i výhled možné podpory ze strany státu i EU. </w:t>
            </w:r>
            <w:r w:rsidRPr="005A0E7C">
              <w:t>Nařízení Evropského parlamentu a Rady  č. 443/2009 stanoví výkonnostní emisní normy pro nové osobní automobily. Výrobci jsou povinni zajistit emise do 95 gCO</w:t>
            </w:r>
            <w:r w:rsidRPr="005A0E7C">
              <w:rPr>
                <w:vertAlign w:val="subscript"/>
              </w:rPr>
              <w:t>2</w:t>
            </w:r>
            <w:r w:rsidRPr="005A0E7C">
              <w:t>/km do roku 2021. 17. 12. 2018 se EU dohodla na snížení uhlíkových emisí o 37,5% do roku 2030 oproti roku 2021. Nařízení Evropského parlamentu a Rady č. 510/2011  pro lehká užitková vozidla stanoví výkonnostní emisní normy na 147 gCO</w:t>
            </w:r>
            <w:r w:rsidRPr="005A0E7C">
              <w:rPr>
                <w:vertAlign w:val="subscript"/>
              </w:rPr>
              <w:t>2</w:t>
            </w:r>
            <w:r w:rsidRPr="005A0E7C">
              <w:t>/km do roku 2020. 17. 12. 2018 se EU dohodla na snížení uhlíkových emisí o 31% do roku 2030 oproti roku 2021.</w:t>
            </w:r>
          </w:p>
          <w:p w14:paraId="5E394558" w14:textId="77777777" w:rsidR="00DD3EFA" w:rsidRPr="005A0E7C" w:rsidRDefault="00DD3EFA" w:rsidP="00B15ECB">
            <w:pPr>
              <w:spacing w:before="60" w:after="60"/>
              <w:rPr>
                <w:rFonts w:eastAsiaTheme="majorEastAsia"/>
              </w:rPr>
            </w:pPr>
          </w:p>
        </w:tc>
        <w:tc>
          <w:tcPr>
            <w:tcW w:w="377" w:type="dxa"/>
            <w:tcBorders>
              <w:top w:val="nil"/>
              <w:bottom w:val="nil"/>
            </w:tcBorders>
            <w:shd w:val="clear" w:color="auto" w:fill="66CCFF"/>
          </w:tcPr>
          <w:p w14:paraId="56261E54" w14:textId="77777777" w:rsidR="00DD3EFA" w:rsidRPr="005A0E7C" w:rsidRDefault="00DD3EFA" w:rsidP="00B15ECB">
            <w:pPr>
              <w:rPr>
                <w:b/>
              </w:rPr>
            </w:pPr>
          </w:p>
        </w:tc>
      </w:tr>
      <w:tr w:rsidR="00DD3EFA" w:rsidRPr="00EC2A1C" w14:paraId="1EA5791C" w14:textId="77777777" w:rsidTr="00B15ECB">
        <w:trPr>
          <w:trHeight w:val="1274"/>
        </w:trPr>
        <w:tc>
          <w:tcPr>
            <w:tcW w:w="249" w:type="dxa"/>
            <w:tcBorders>
              <w:top w:val="nil"/>
              <w:bottom w:val="nil"/>
            </w:tcBorders>
            <w:shd w:val="clear" w:color="auto" w:fill="66CCFF"/>
          </w:tcPr>
          <w:p w14:paraId="65E8DD4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17D332D"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850" w:type="dxa"/>
            <w:tcBorders>
              <w:bottom w:val="single" w:sz="4" w:space="0" w:color="auto"/>
            </w:tcBorders>
            <w:shd w:val="clear" w:color="auto" w:fill="FFFFFF" w:themeFill="background1"/>
          </w:tcPr>
          <w:p w14:paraId="2B21050A" w14:textId="77777777" w:rsidR="00DD3EFA" w:rsidRPr="00EC2A1C" w:rsidRDefault="00DD3EFA" w:rsidP="00B15ECB">
            <w:pPr>
              <w:spacing w:before="60" w:after="60"/>
            </w:pPr>
            <w:r w:rsidRPr="00EC2A1C">
              <w:t>Tento specifický cíl bude řešit problematiku snižováná emísí CO</w:t>
            </w:r>
            <w:r w:rsidRPr="00EC2A1C">
              <w:rPr>
                <w:vertAlign w:val="subscript"/>
              </w:rPr>
              <w:t>2</w:t>
            </w:r>
            <w:r w:rsidRPr="00EC2A1C">
              <w:t xml:space="preserve"> a znečištění ovzduší, která bezprostředně souvisí s oblastí dopravy (rozvoj nízko-emisní hromadné dopravy, alternativní pohony, podpora plnících a dobíjecích stanic na alternativní pohony). Úroveň znečištění ovzduší má přímé dopady na lidské zdraví. Znečištěné ovzduší ohrožuje nejvíce děti, chronicky nemocné a starší lidi.</w:t>
            </w:r>
          </w:p>
          <w:p w14:paraId="2CCB133F" w14:textId="77777777" w:rsidR="00DD3EFA" w:rsidRPr="00EC2A1C" w:rsidRDefault="00DD3EFA" w:rsidP="00B15ECB">
            <w:pPr>
              <w:spacing w:before="60" w:after="60"/>
            </w:pPr>
            <w:r w:rsidRPr="00EC2A1C">
              <w:t>S výše uvedeným souvisí i podpora elektromobility, která se v ČR začíná rozvíjet, ale která stále ještě nemůže jako celek fungovat na zcela komerčním principu a také na LNG. Dále je nutné zaměřit se na podporu postupné náhrady zemního plynu biomethanem a na rozvoj využívání vodíkových technologií v dopravě.</w:t>
            </w:r>
          </w:p>
          <w:p w14:paraId="05AE1DB9" w14:textId="77777777" w:rsidR="00DD3EFA" w:rsidRPr="00EC2A1C" w:rsidRDefault="00DD3EFA" w:rsidP="00B15ECB">
            <w:pPr>
              <w:spacing w:before="60" w:after="60"/>
            </w:pPr>
            <w:r w:rsidRPr="00EC2A1C">
              <w:t>V České republice není zavedena podpora nákupu vozidel na alternativní pohon pro fyzické osoby. Také nejsou vyčleněny státní prostředky na výstavbu související infrastruktury.</w:t>
            </w:r>
          </w:p>
        </w:tc>
        <w:tc>
          <w:tcPr>
            <w:tcW w:w="377" w:type="dxa"/>
            <w:tcBorders>
              <w:top w:val="nil"/>
              <w:bottom w:val="nil"/>
            </w:tcBorders>
            <w:shd w:val="clear" w:color="auto" w:fill="66CCFF"/>
          </w:tcPr>
          <w:p w14:paraId="03B700C7" w14:textId="77777777" w:rsidR="00DD3EFA" w:rsidRPr="00EC2A1C" w:rsidRDefault="00DD3EFA" w:rsidP="00B15ECB">
            <w:pPr>
              <w:rPr>
                <w:b/>
              </w:rPr>
            </w:pPr>
          </w:p>
        </w:tc>
      </w:tr>
      <w:tr w:rsidR="00DD3EFA" w:rsidRPr="00EC2A1C" w14:paraId="6DBFEEB9" w14:textId="77777777" w:rsidTr="00B15ECB">
        <w:trPr>
          <w:trHeight w:val="1274"/>
        </w:trPr>
        <w:tc>
          <w:tcPr>
            <w:tcW w:w="249" w:type="dxa"/>
            <w:tcBorders>
              <w:top w:val="nil"/>
              <w:bottom w:val="nil"/>
            </w:tcBorders>
            <w:shd w:val="clear" w:color="auto" w:fill="66CCFF"/>
          </w:tcPr>
          <w:p w14:paraId="4D23DE1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40C1E06"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Definice cíle – změny, které chceme dosáhnout</w:t>
            </w:r>
          </w:p>
          <w:p w14:paraId="0FE8CE2F"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713A9A3E" w14:textId="77777777" w:rsidR="00DD3EFA" w:rsidRPr="00EC2A1C" w:rsidRDefault="00DD3EFA" w:rsidP="00B15ECB">
            <w:pPr>
              <w:spacing w:before="60" w:after="60"/>
            </w:pPr>
            <w:r w:rsidRPr="00EC2A1C">
              <w:rPr>
                <w:rFonts w:eastAsiaTheme="majorEastAsia"/>
                <w:u w:val="single"/>
              </w:rPr>
              <w:t>Cílem je dosáhnout snížení závislosti dopravy na fosilních palivech a prostřednictvím toho výrazně přispět ke snížení emisí (skleníkoých plynů i znečišťujících látek) z dopravy.</w:t>
            </w:r>
          </w:p>
          <w:p w14:paraId="703C2D10" w14:textId="77777777" w:rsidR="00DD3EFA" w:rsidRPr="00EC2A1C" w:rsidRDefault="00DD3EFA" w:rsidP="00B15ECB">
            <w:pPr>
              <w:spacing w:before="60" w:after="60"/>
            </w:pPr>
            <w:r w:rsidRPr="00EC2A1C">
              <w:t>Vedle posílení multimodálního přístupu k dopravě jde o snížení emisí v silniční dopravě (Národní plán snižování emisí)</w:t>
            </w:r>
          </w:p>
          <w:p w14:paraId="4F99B86C" w14:textId="77777777" w:rsidR="00DD3EFA" w:rsidRPr="00EC2A1C" w:rsidRDefault="00DD3EFA" w:rsidP="00B15ECB">
            <w:pPr>
              <w:spacing w:before="60" w:after="60"/>
            </w:pPr>
            <w:r w:rsidRPr="00EC2A1C">
              <w:t>A dále redukce znečištění ovzduší ze silniční dopravy ve městech (Národní plán snižování emisí)</w:t>
            </w:r>
          </w:p>
          <w:p w14:paraId="5744D994" w14:textId="77777777" w:rsidR="00DD3EFA" w:rsidRPr="00EC2A1C" w:rsidRDefault="00DD3EFA" w:rsidP="00B15ECB">
            <w:pPr>
              <w:spacing w:before="60" w:after="60"/>
              <w:rPr>
                <w:rFonts w:eastAsiaTheme="majorEastAsia"/>
                <w:i/>
                <w:u w:val="single"/>
              </w:rPr>
            </w:pPr>
          </w:p>
        </w:tc>
        <w:tc>
          <w:tcPr>
            <w:tcW w:w="377" w:type="dxa"/>
            <w:tcBorders>
              <w:top w:val="nil"/>
              <w:bottom w:val="nil"/>
            </w:tcBorders>
            <w:shd w:val="clear" w:color="auto" w:fill="66CCFF"/>
          </w:tcPr>
          <w:p w14:paraId="075BF483" w14:textId="77777777" w:rsidR="00DD3EFA" w:rsidRPr="00EC2A1C" w:rsidRDefault="00DD3EFA" w:rsidP="00B15ECB">
            <w:pPr>
              <w:rPr>
                <w:b/>
              </w:rPr>
            </w:pPr>
          </w:p>
        </w:tc>
      </w:tr>
      <w:tr w:rsidR="00DD3EFA" w:rsidRPr="00EC2A1C" w14:paraId="4AA6583E" w14:textId="77777777" w:rsidTr="00B15ECB">
        <w:trPr>
          <w:trHeight w:val="1274"/>
        </w:trPr>
        <w:tc>
          <w:tcPr>
            <w:tcW w:w="249" w:type="dxa"/>
            <w:tcBorders>
              <w:top w:val="nil"/>
              <w:bottom w:val="nil"/>
            </w:tcBorders>
            <w:shd w:val="clear" w:color="auto" w:fill="66CCFF"/>
          </w:tcPr>
          <w:p w14:paraId="773624B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32A934F"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Definice předpokládaných výstupů/výsledků/dopadů</w:t>
            </w:r>
          </w:p>
        </w:tc>
        <w:tc>
          <w:tcPr>
            <w:tcW w:w="5850" w:type="dxa"/>
            <w:tcBorders>
              <w:bottom w:val="single" w:sz="4" w:space="0" w:color="auto"/>
            </w:tcBorders>
            <w:shd w:val="clear" w:color="auto" w:fill="FFFFFF" w:themeFill="background1"/>
          </w:tcPr>
          <w:p w14:paraId="43622507" w14:textId="77777777" w:rsidR="00DD3EFA" w:rsidRPr="00EC2A1C" w:rsidRDefault="00DD3EFA" w:rsidP="00B15ECB">
            <w:pPr>
              <w:spacing w:before="60" w:after="60"/>
            </w:pPr>
            <w:r w:rsidRPr="00EC2A1C">
              <w:t>Hlavním výsledkem podpory v této oblasti by měl být výrazný nárůst počtu dobíjecích a plnících stanic (vodík/ LNG/biometan) a to v návaznosti na cíle, které budou pro jednotlivé typy dotčené infrastruktury stanoveny v aktualizaci NAP CM. Za další relevatnní výsledky pak lze považovat nárůst počtu bezemisních autobusů a bezemisích a nízkoemisních vozidel, aby se v maximální míře podařilo podpořit rozvoj trhu v této oblasti.</w:t>
            </w:r>
          </w:p>
          <w:p w14:paraId="2733439A" w14:textId="77777777" w:rsidR="00DD3EFA" w:rsidRPr="00EC2A1C" w:rsidRDefault="00DD3EFA" w:rsidP="00B15ECB">
            <w:pPr>
              <w:spacing w:before="60" w:after="60"/>
            </w:pPr>
            <w:r w:rsidRPr="00EC2A1C">
              <w:t xml:space="preserve">Nárůst počtu vozidel na elektřinu, vodík, CNG a LNG (NAP ČM). </w:t>
            </w:r>
          </w:p>
          <w:p w14:paraId="74B53E6A" w14:textId="77777777" w:rsidR="00DD3EFA" w:rsidRPr="00EC2A1C" w:rsidRDefault="00DD3EFA" w:rsidP="00B15ECB">
            <w:pPr>
              <w:spacing w:before="60" w:after="60"/>
            </w:pPr>
            <w:r w:rsidRPr="00EC2A1C">
              <w:t>Nárůst počtu dobíjecích a plnících stanic.</w:t>
            </w:r>
          </w:p>
          <w:p w14:paraId="68284FAF" w14:textId="77777777" w:rsidR="00DD3EFA" w:rsidRPr="00EC2A1C" w:rsidRDefault="00DD3EFA" w:rsidP="00B15ECB">
            <w:pPr>
              <w:spacing w:before="60" w:after="60"/>
            </w:pPr>
            <w:r w:rsidRPr="00EC2A1C">
              <w:t>Cíle budou definovány v rámci aktualizace NAP ČM v roce 2019.</w:t>
            </w:r>
          </w:p>
          <w:p w14:paraId="6D85CB0E" w14:textId="77777777" w:rsidR="00DD3EFA" w:rsidRPr="00EC2A1C" w:rsidRDefault="00DD3EFA" w:rsidP="00B15ECB">
            <w:pPr>
              <w:spacing w:before="60" w:after="60"/>
            </w:pPr>
            <w:r w:rsidRPr="00EC2A1C">
              <w:t>Snížení emisí v dopravě. Využití alternativních paliv v dopravě (MWh, m3 CNG, LNG, vodík (kg)).</w:t>
            </w:r>
          </w:p>
          <w:p w14:paraId="40CBDA29" w14:textId="77777777" w:rsidR="00DD3EFA" w:rsidRPr="00EC2A1C" w:rsidRDefault="00DD3EFA" w:rsidP="00B15ECB">
            <w:pPr>
              <w:spacing w:before="60" w:after="60"/>
              <w:rPr>
                <w:rFonts w:eastAsiaTheme="majorEastAsia"/>
                <w:i/>
                <w:u w:val="single"/>
              </w:rPr>
            </w:pPr>
          </w:p>
        </w:tc>
        <w:tc>
          <w:tcPr>
            <w:tcW w:w="377" w:type="dxa"/>
            <w:tcBorders>
              <w:top w:val="nil"/>
              <w:bottom w:val="nil"/>
            </w:tcBorders>
            <w:shd w:val="clear" w:color="auto" w:fill="66CCFF"/>
          </w:tcPr>
          <w:p w14:paraId="677D3D52" w14:textId="77777777" w:rsidR="00DD3EFA" w:rsidRPr="00EC2A1C" w:rsidRDefault="00DD3EFA" w:rsidP="00B15ECB">
            <w:pPr>
              <w:rPr>
                <w:b/>
              </w:rPr>
            </w:pPr>
          </w:p>
        </w:tc>
      </w:tr>
      <w:tr w:rsidR="00DD3EFA" w:rsidRPr="00EC2A1C" w14:paraId="65EFA4B4" w14:textId="77777777" w:rsidTr="00B15ECB">
        <w:trPr>
          <w:trHeight w:val="1274"/>
        </w:trPr>
        <w:tc>
          <w:tcPr>
            <w:tcW w:w="249" w:type="dxa"/>
            <w:tcBorders>
              <w:top w:val="nil"/>
              <w:bottom w:val="nil"/>
            </w:tcBorders>
            <w:shd w:val="clear" w:color="auto" w:fill="66CCFF"/>
          </w:tcPr>
          <w:p w14:paraId="6A941A1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EBAB156"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Stanovení předpokládaného podílu ESIF na plnění specifického cíle NKR</w:t>
            </w:r>
          </w:p>
        </w:tc>
        <w:tc>
          <w:tcPr>
            <w:tcW w:w="5850" w:type="dxa"/>
            <w:tcBorders>
              <w:bottom w:val="single" w:sz="4" w:space="0" w:color="auto"/>
            </w:tcBorders>
            <w:shd w:val="clear" w:color="auto" w:fill="FFFFFF" w:themeFill="background1"/>
          </w:tcPr>
          <w:p w14:paraId="6B32122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eastAsia="Times New Roman" w:hAnsi="Times New Roman"/>
                <w:noProof/>
              </w:rPr>
              <w:t>Míra podílu z ESIF by se měla pohybovat v rozmezí od 40% do 70% podle typu podporované aktivity (podpora nákupu vozidel/podpora infrastruktury) a typu alternativního paliva (nejvyšší v případě vodíku, nejnižší v případě LNG/biometan).</w:t>
            </w:r>
          </w:p>
        </w:tc>
        <w:tc>
          <w:tcPr>
            <w:tcW w:w="377" w:type="dxa"/>
            <w:tcBorders>
              <w:top w:val="nil"/>
              <w:bottom w:val="nil"/>
            </w:tcBorders>
            <w:shd w:val="clear" w:color="auto" w:fill="66CCFF"/>
          </w:tcPr>
          <w:p w14:paraId="7AF00B55" w14:textId="77777777" w:rsidR="00DD3EFA" w:rsidRPr="00EC2A1C" w:rsidRDefault="00DD3EFA" w:rsidP="00B15ECB">
            <w:pPr>
              <w:rPr>
                <w:b/>
              </w:rPr>
            </w:pPr>
          </w:p>
        </w:tc>
      </w:tr>
      <w:tr w:rsidR="00DD3EFA" w:rsidRPr="00EC2A1C" w14:paraId="3FB1CD02" w14:textId="77777777" w:rsidTr="00B15ECB">
        <w:trPr>
          <w:trHeight w:val="1274"/>
        </w:trPr>
        <w:tc>
          <w:tcPr>
            <w:tcW w:w="249" w:type="dxa"/>
            <w:tcBorders>
              <w:top w:val="nil"/>
              <w:bottom w:val="nil"/>
            </w:tcBorders>
            <w:shd w:val="clear" w:color="auto" w:fill="66CCFF"/>
          </w:tcPr>
          <w:p w14:paraId="358E6BBA"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3C78C59"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Posun intervencí oproti dosavadním obdobím</w:t>
            </w:r>
          </w:p>
        </w:tc>
        <w:tc>
          <w:tcPr>
            <w:tcW w:w="5850" w:type="dxa"/>
            <w:tcBorders>
              <w:bottom w:val="single" w:sz="4" w:space="0" w:color="auto"/>
            </w:tcBorders>
            <w:shd w:val="clear" w:color="auto" w:fill="FFFFFF" w:themeFill="background1"/>
          </w:tcPr>
          <w:p w14:paraId="095FFAA4" w14:textId="77777777" w:rsidR="00DD3EFA" w:rsidRPr="00EC2A1C" w:rsidRDefault="00DD3EFA" w:rsidP="00B15ECB">
            <w:pPr>
              <w:spacing w:before="60" w:after="60"/>
            </w:pPr>
            <w:r w:rsidRPr="00EC2A1C">
              <w:t>Pro výraznější uplatnění alternativních energií v dopravě je nutné rozetnout „bludný kruh“: nedostatečně rozvinutá síť dobíjecích a plnících stanic -&gt; malý zájem o vozidla -&gt; malosériová výroba vozidel na alternativní energie -&gt; vysoká cena těchto vozidel -&gt; malý zájem o tato vozidla -&gt; malá atraktivita pro rozšíření sítě dobíjecích a plnících stanic. Proto i v následujícím období bude nutné vedle dalších opatření podpořit jednak další rozšiřování sítě dobíjecích plnících stanic na alternativní energie a dále podpořit poptávku po bezemisích a  nízkoemisích vozidlech</w:t>
            </w:r>
          </w:p>
        </w:tc>
        <w:tc>
          <w:tcPr>
            <w:tcW w:w="377" w:type="dxa"/>
            <w:tcBorders>
              <w:top w:val="nil"/>
              <w:bottom w:val="nil"/>
            </w:tcBorders>
            <w:shd w:val="clear" w:color="auto" w:fill="66CCFF"/>
          </w:tcPr>
          <w:p w14:paraId="421F23EB" w14:textId="77777777" w:rsidR="00DD3EFA" w:rsidRPr="00EC2A1C" w:rsidRDefault="00DD3EFA" w:rsidP="00B15ECB">
            <w:pPr>
              <w:rPr>
                <w:b/>
              </w:rPr>
            </w:pPr>
          </w:p>
        </w:tc>
      </w:tr>
      <w:tr w:rsidR="00DD3EFA" w:rsidRPr="00EC2A1C" w14:paraId="483EB102" w14:textId="77777777" w:rsidTr="00B15ECB">
        <w:trPr>
          <w:trHeight w:val="272"/>
        </w:trPr>
        <w:tc>
          <w:tcPr>
            <w:tcW w:w="249" w:type="dxa"/>
            <w:tcBorders>
              <w:top w:val="nil"/>
              <w:bottom w:val="nil"/>
              <w:right w:val="nil"/>
            </w:tcBorders>
            <w:shd w:val="clear" w:color="auto" w:fill="66CCFF"/>
          </w:tcPr>
          <w:p w14:paraId="23128904"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91F1647" w14:textId="77777777" w:rsidR="00DD3EFA" w:rsidRPr="00EC2A1C" w:rsidRDefault="00DD3EFA" w:rsidP="00B15ECB">
            <w:pPr>
              <w:spacing w:before="60" w:after="60"/>
              <w:rPr>
                <w:rFonts w:eastAsiaTheme="majorEastAsia"/>
                <w:b/>
              </w:rPr>
            </w:pPr>
          </w:p>
        </w:tc>
        <w:tc>
          <w:tcPr>
            <w:tcW w:w="5850" w:type="dxa"/>
            <w:tcBorders>
              <w:top w:val="single" w:sz="4" w:space="0" w:color="auto"/>
              <w:left w:val="nil"/>
              <w:bottom w:val="single" w:sz="4" w:space="0" w:color="auto"/>
              <w:right w:val="nil"/>
            </w:tcBorders>
            <w:shd w:val="clear" w:color="auto" w:fill="66CCFF"/>
          </w:tcPr>
          <w:p w14:paraId="58A661A1" w14:textId="77777777" w:rsidR="00DD3EFA" w:rsidRPr="00EC2A1C" w:rsidRDefault="00DD3EFA" w:rsidP="00B15ECB">
            <w:pPr>
              <w:spacing w:before="60" w:after="60"/>
              <w:rPr>
                <w:rFonts w:eastAsiaTheme="majorEastAsia"/>
                <w:i/>
                <w:u w:val="single"/>
              </w:rPr>
            </w:pPr>
          </w:p>
        </w:tc>
        <w:tc>
          <w:tcPr>
            <w:tcW w:w="377" w:type="dxa"/>
            <w:tcBorders>
              <w:top w:val="nil"/>
              <w:left w:val="nil"/>
              <w:bottom w:val="nil"/>
            </w:tcBorders>
            <w:shd w:val="clear" w:color="auto" w:fill="66CCFF"/>
          </w:tcPr>
          <w:p w14:paraId="01FC5467" w14:textId="77777777" w:rsidR="00DD3EFA" w:rsidRPr="00EC2A1C" w:rsidRDefault="00DD3EFA" w:rsidP="00B15ECB">
            <w:pPr>
              <w:rPr>
                <w:b/>
              </w:rPr>
            </w:pPr>
          </w:p>
        </w:tc>
      </w:tr>
      <w:tr w:rsidR="00DD3EFA" w:rsidRPr="00EC2A1C" w14:paraId="2A939692" w14:textId="77777777" w:rsidTr="00B15ECB">
        <w:trPr>
          <w:trHeight w:val="835"/>
        </w:trPr>
        <w:tc>
          <w:tcPr>
            <w:tcW w:w="249" w:type="dxa"/>
            <w:tcBorders>
              <w:top w:val="nil"/>
              <w:bottom w:val="nil"/>
            </w:tcBorders>
            <w:shd w:val="clear" w:color="auto" w:fill="66CCFF"/>
          </w:tcPr>
          <w:p w14:paraId="28197F69"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753995EA"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3D3929BE" w14:textId="77777777" w:rsidR="00DD3EFA" w:rsidRPr="00EC2A1C" w:rsidRDefault="00DD3EFA" w:rsidP="00B15ECB">
            <w:pPr>
              <w:spacing w:before="60" w:after="60"/>
              <w:rPr>
                <w:rFonts w:eastAsiaTheme="majorEastAsia"/>
                <w:b/>
              </w:rPr>
            </w:pPr>
          </w:p>
        </w:tc>
        <w:tc>
          <w:tcPr>
            <w:tcW w:w="5850" w:type="dxa"/>
            <w:tcBorders>
              <w:top w:val="single" w:sz="4" w:space="0" w:color="auto"/>
              <w:bottom w:val="single" w:sz="4" w:space="0" w:color="auto"/>
            </w:tcBorders>
            <w:shd w:val="clear" w:color="auto" w:fill="auto"/>
          </w:tcPr>
          <w:p w14:paraId="5503420D" w14:textId="3202552A" w:rsidR="00DD3EFA" w:rsidRPr="00EC2A1C" w:rsidRDefault="00DD3EFA" w:rsidP="00B15ECB">
            <w:pPr>
              <w:spacing w:before="60" w:after="60"/>
            </w:pPr>
            <w:r w:rsidRPr="00EC2A1C">
              <w:rPr>
                <w:rFonts w:eastAsiaTheme="majorEastAsia"/>
              </w:rPr>
              <w:t xml:space="preserve">Za dílčí cíle podpory lze označit jednak podporu rozvoje infrastruktury dobíjecích a plnících stanic a vedle toho pak podporu nákupu vozidel na </w:t>
            </w:r>
            <w:r w:rsidR="0017728B" w:rsidRPr="00EC2A1C">
              <w:rPr>
                <w:rFonts w:eastAsiaTheme="majorEastAsia"/>
              </w:rPr>
              <w:t>alternativní</w:t>
            </w:r>
            <w:r w:rsidRPr="00EC2A1C">
              <w:rPr>
                <w:rFonts w:eastAsiaTheme="majorEastAsia"/>
              </w:rPr>
              <w:t xml:space="preserve"> paliva s důrazem na vozidla veřejné hromadné dopravy. Je však zapotřebí pokračovat i v podpoře zaměřené na zavádění vozidel na alternativní paliva v </w:t>
            </w:r>
            <w:r w:rsidR="0017728B" w:rsidRPr="00EC2A1C">
              <w:rPr>
                <w:rFonts w:eastAsiaTheme="majorEastAsia"/>
              </w:rPr>
              <w:t>podnikatelském</w:t>
            </w:r>
            <w:r w:rsidRPr="00EC2A1C">
              <w:rPr>
                <w:rFonts w:eastAsiaTheme="majorEastAsia"/>
              </w:rPr>
              <w:t xml:space="preserve"> sektoru a specificky se zaměřit na podporu nákupu nákladních vozidel na LNG, elektrickou energii a vodík, které mají velmi </w:t>
            </w:r>
            <w:r w:rsidR="0017728B" w:rsidRPr="00EC2A1C">
              <w:rPr>
                <w:rFonts w:eastAsiaTheme="majorEastAsia"/>
              </w:rPr>
              <w:t>vysoké pořizovací</w:t>
            </w:r>
            <w:r w:rsidRPr="00EC2A1C">
              <w:rPr>
                <w:rFonts w:eastAsiaTheme="majorEastAsia"/>
              </w:rPr>
              <w:t xml:space="preserve"> náklady.</w:t>
            </w:r>
          </w:p>
          <w:p w14:paraId="7909D95E" w14:textId="77777777" w:rsidR="00DD3EFA" w:rsidRPr="00EC2A1C" w:rsidRDefault="00DD3EFA" w:rsidP="00B15ECB">
            <w:pPr>
              <w:spacing w:before="60" w:after="60"/>
              <w:rPr>
                <w:rFonts w:eastAsiaTheme="majorEastAsia"/>
                <w:i/>
              </w:rPr>
            </w:pPr>
            <w:r w:rsidRPr="00EC2A1C">
              <w:t>Podpora nákupu elektromobilů a plug in hybridů, dobíjecích stanic, vozidel na vodík a plnicích vodíkových stanic pro podnikatele, případně podpora nákupu LNG vozidel/plavidel.</w:t>
            </w:r>
          </w:p>
        </w:tc>
        <w:tc>
          <w:tcPr>
            <w:tcW w:w="377" w:type="dxa"/>
            <w:tcBorders>
              <w:top w:val="nil"/>
              <w:bottom w:val="nil"/>
            </w:tcBorders>
            <w:shd w:val="clear" w:color="auto" w:fill="66CCFF"/>
          </w:tcPr>
          <w:p w14:paraId="09E4D387" w14:textId="77777777" w:rsidR="00DD3EFA" w:rsidRPr="00EC2A1C" w:rsidRDefault="00DD3EFA" w:rsidP="00B15ECB">
            <w:pPr>
              <w:rPr>
                <w:b/>
              </w:rPr>
            </w:pPr>
          </w:p>
        </w:tc>
      </w:tr>
      <w:tr w:rsidR="00DD3EFA" w:rsidRPr="00EC2A1C" w14:paraId="730F1FB6" w14:textId="77777777" w:rsidTr="00B15ECB">
        <w:trPr>
          <w:trHeight w:val="377"/>
        </w:trPr>
        <w:tc>
          <w:tcPr>
            <w:tcW w:w="249" w:type="dxa"/>
            <w:tcBorders>
              <w:top w:val="nil"/>
              <w:bottom w:val="nil"/>
              <w:right w:val="nil"/>
            </w:tcBorders>
            <w:shd w:val="clear" w:color="auto" w:fill="66CCFF"/>
          </w:tcPr>
          <w:p w14:paraId="7B041F2D"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82CEDC4" w14:textId="77777777" w:rsidR="00DD3EFA" w:rsidRPr="00EC2A1C" w:rsidRDefault="00DD3EFA" w:rsidP="00B15ECB">
            <w:pPr>
              <w:spacing w:before="60" w:after="60"/>
              <w:rPr>
                <w:rFonts w:eastAsiaTheme="majorEastAsia"/>
                <w:b/>
              </w:rPr>
            </w:pPr>
          </w:p>
        </w:tc>
        <w:tc>
          <w:tcPr>
            <w:tcW w:w="5850" w:type="dxa"/>
            <w:tcBorders>
              <w:top w:val="single" w:sz="4" w:space="0" w:color="auto"/>
              <w:left w:val="nil"/>
              <w:bottom w:val="single" w:sz="4" w:space="0" w:color="auto"/>
              <w:right w:val="nil"/>
            </w:tcBorders>
            <w:shd w:val="clear" w:color="auto" w:fill="66CCFF"/>
          </w:tcPr>
          <w:p w14:paraId="1EAA721D" w14:textId="77777777" w:rsidR="00DD3EFA" w:rsidRPr="00EC2A1C" w:rsidRDefault="00DD3EFA" w:rsidP="00B15ECB">
            <w:pPr>
              <w:spacing w:before="60" w:after="60"/>
              <w:rPr>
                <w:rFonts w:eastAsiaTheme="majorEastAsia"/>
                <w:i/>
              </w:rPr>
            </w:pPr>
          </w:p>
        </w:tc>
        <w:tc>
          <w:tcPr>
            <w:tcW w:w="377" w:type="dxa"/>
            <w:tcBorders>
              <w:top w:val="nil"/>
              <w:left w:val="nil"/>
              <w:bottom w:val="nil"/>
            </w:tcBorders>
            <w:shd w:val="clear" w:color="auto" w:fill="66CCFF"/>
          </w:tcPr>
          <w:p w14:paraId="0BE88A52" w14:textId="77777777" w:rsidR="00DD3EFA" w:rsidRPr="00EC2A1C" w:rsidRDefault="00DD3EFA" w:rsidP="00B15ECB">
            <w:pPr>
              <w:rPr>
                <w:b/>
              </w:rPr>
            </w:pPr>
          </w:p>
        </w:tc>
      </w:tr>
      <w:tr w:rsidR="00DD3EFA" w:rsidRPr="00EC2A1C" w14:paraId="33EF6879" w14:textId="77777777" w:rsidTr="00B15ECB">
        <w:trPr>
          <w:trHeight w:val="607"/>
        </w:trPr>
        <w:tc>
          <w:tcPr>
            <w:tcW w:w="249" w:type="dxa"/>
            <w:tcBorders>
              <w:top w:val="nil"/>
              <w:bottom w:val="nil"/>
            </w:tcBorders>
            <w:shd w:val="clear" w:color="auto" w:fill="66CCFF"/>
          </w:tcPr>
          <w:p w14:paraId="2640849A"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142BC89D"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tc>
        <w:tc>
          <w:tcPr>
            <w:tcW w:w="5850" w:type="dxa"/>
            <w:tcBorders>
              <w:top w:val="single" w:sz="4" w:space="0" w:color="auto"/>
              <w:bottom w:val="single" w:sz="4" w:space="0" w:color="auto"/>
            </w:tcBorders>
            <w:shd w:val="clear" w:color="auto" w:fill="FFFFFF" w:themeFill="background1"/>
          </w:tcPr>
          <w:p w14:paraId="6EBBD924" w14:textId="77777777" w:rsidR="00DD3EFA" w:rsidRPr="00EC2A1C" w:rsidRDefault="00DD3EFA" w:rsidP="00B15ECB">
            <w:pPr>
              <w:spacing w:before="60" w:after="60"/>
              <w:rPr>
                <w:rFonts w:eastAsiaTheme="majorEastAsia"/>
                <w:i/>
              </w:rPr>
            </w:pPr>
          </w:p>
        </w:tc>
        <w:tc>
          <w:tcPr>
            <w:tcW w:w="377" w:type="dxa"/>
            <w:tcBorders>
              <w:top w:val="nil"/>
              <w:bottom w:val="nil"/>
            </w:tcBorders>
            <w:shd w:val="clear" w:color="auto" w:fill="66CCFF"/>
          </w:tcPr>
          <w:p w14:paraId="37863D6E" w14:textId="77777777" w:rsidR="00DD3EFA" w:rsidRPr="00EC2A1C" w:rsidRDefault="00DD3EFA" w:rsidP="00B15ECB">
            <w:pPr>
              <w:rPr>
                <w:b/>
              </w:rPr>
            </w:pPr>
          </w:p>
        </w:tc>
      </w:tr>
      <w:tr w:rsidR="00DD3EFA" w:rsidRPr="00EC2A1C" w14:paraId="547BBA63" w14:textId="77777777" w:rsidTr="00B15ECB">
        <w:trPr>
          <w:trHeight w:val="1202"/>
        </w:trPr>
        <w:tc>
          <w:tcPr>
            <w:tcW w:w="249" w:type="dxa"/>
            <w:tcBorders>
              <w:top w:val="nil"/>
              <w:bottom w:val="nil"/>
            </w:tcBorders>
            <w:shd w:val="clear" w:color="auto" w:fill="66CCFF"/>
          </w:tcPr>
          <w:p w14:paraId="0287B6B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B78316A"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3D0C812F"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23C4B21B"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Podpora by měla být realizována v souladu s platnou verzí NAP Čistá mobilita a zaměřena na silniční dopravu ve městech (ideálně všech úrovní – metropole, aglomerace a regionální centra), kde je přínos čisté/bezemisní mobility nejmarkantnější.</w:t>
            </w:r>
          </w:p>
          <w:p w14:paraId="4BF17AF8" w14:textId="77777777" w:rsidR="00DD3EFA" w:rsidRPr="00EC2A1C" w:rsidRDefault="00DD3EFA" w:rsidP="00B15ECB">
            <w:r w:rsidRPr="00EC2A1C">
              <w:t>Co se týče udržitelného rozvoje cestovního ruchu v regionech, zde by měla být podpora směřována do budování a rozvoje sítě dobíjecích stanic pro elektrokola, případně elektromobily ve vazbě na dostupnost cílových destinací – výchozí místa turistických tras, parkoviště u turistických atraktivit atd.</w:t>
            </w:r>
          </w:p>
        </w:tc>
        <w:tc>
          <w:tcPr>
            <w:tcW w:w="377" w:type="dxa"/>
            <w:tcBorders>
              <w:top w:val="nil"/>
              <w:bottom w:val="nil"/>
            </w:tcBorders>
            <w:shd w:val="clear" w:color="auto" w:fill="66CCFF"/>
          </w:tcPr>
          <w:p w14:paraId="0A0748AD" w14:textId="77777777" w:rsidR="00DD3EFA" w:rsidRPr="00EC2A1C" w:rsidRDefault="00DD3EFA" w:rsidP="00B15ECB">
            <w:pPr>
              <w:rPr>
                <w:b/>
              </w:rPr>
            </w:pPr>
          </w:p>
        </w:tc>
      </w:tr>
      <w:tr w:rsidR="00DD3EFA" w:rsidRPr="00EC2A1C" w14:paraId="48B86B9F" w14:textId="77777777" w:rsidTr="00B15ECB">
        <w:trPr>
          <w:trHeight w:val="1202"/>
        </w:trPr>
        <w:tc>
          <w:tcPr>
            <w:tcW w:w="249" w:type="dxa"/>
            <w:tcBorders>
              <w:top w:val="nil"/>
              <w:bottom w:val="nil"/>
            </w:tcBorders>
            <w:shd w:val="clear" w:color="auto" w:fill="66CCFF"/>
          </w:tcPr>
          <w:p w14:paraId="29AA41E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3AE2D62"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4C0FB782"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11FFC4D4"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Co se týče udržitelného rozvoje cestovního ruchu v regionech, zde by měla být podpora směřována do budování a rozvoje sítě dobíjecích stanic ve vazbě na dostupnost cílových destinací – výchozí místa turistických tras, parkoviště u turistických atraktivit atd.</w:t>
            </w:r>
          </w:p>
        </w:tc>
        <w:tc>
          <w:tcPr>
            <w:tcW w:w="377" w:type="dxa"/>
            <w:tcBorders>
              <w:top w:val="nil"/>
              <w:bottom w:val="nil"/>
            </w:tcBorders>
            <w:shd w:val="clear" w:color="auto" w:fill="66CCFF"/>
          </w:tcPr>
          <w:p w14:paraId="1C2EC140" w14:textId="77777777" w:rsidR="00DD3EFA" w:rsidRPr="00EC2A1C" w:rsidRDefault="00DD3EFA" w:rsidP="00B15ECB">
            <w:pPr>
              <w:rPr>
                <w:b/>
              </w:rPr>
            </w:pPr>
          </w:p>
        </w:tc>
      </w:tr>
      <w:tr w:rsidR="00DD3EFA" w:rsidRPr="00EC2A1C" w14:paraId="35F55171" w14:textId="77777777" w:rsidTr="00B15ECB">
        <w:trPr>
          <w:trHeight w:val="1202"/>
        </w:trPr>
        <w:tc>
          <w:tcPr>
            <w:tcW w:w="249" w:type="dxa"/>
            <w:tcBorders>
              <w:top w:val="nil"/>
              <w:bottom w:val="nil"/>
            </w:tcBorders>
            <w:shd w:val="clear" w:color="auto" w:fill="66CCFF"/>
          </w:tcPr>
          <w:p w14:paraId="6605958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F45D239"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p w14:paraId="349EDCC7"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4D8892BD"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Je zřejmé, že požadavky na Průmysl 4.0 a v důsledku toho celou Společnost 4.0 jsou motivované snižováním nákladů na zdroje energií. Chytrý monitoring spotřeby spojený s jeho vyhodnocováním bude mít vazbu na pokrok ve využití alternativních zdrojů energie i pro účely dopravy. Zároveň je to otázka chytrých sítí a návazných spojení, které dokážou dodávku energie optimalizovat a tím vedou k větší hospodárnosti v celkovém nakládání s energiemi. Je zde tedy přímá provazba s konceptem tzv. Smart Grid. Dalším vývojem bude také zřejmá možná větší využitelnost výroby energie přímo v rámci dopravní infrastruktury jako takové. Minimálně již dnes v rámci veřejného osvětlení v rámci dopravní infrastruktury dochází k využití například solární zdrojů energie. Zřejmá se zdá být (vzhledem k místním podmínkám) alespoň využitelnost kombinování zdrojů energie.</w:t>
            </w:r>
          </w:p>
        </w:tc>
        <w:tc>
          <w:tcPr>
            <w:tcW w:w="377" w:type="dxa"/>
            <w:tcBorders>
              <w:top w:val="nil"/>
              <w:bottom w:val="nil"/>
            </w:tcBorders>
            <w:shd w:val="clear" w:color="auto" w:fill="66CCFF"/>
          </w:tcPr>
          <w:p w14:paraId="0B722B57" w14:textId="77777777" w:rsidR="00DD3EFA" w:rsidRPr="00EC2A1C" w:rsidRDefault="00DD3EFA" w:rsidP="00B15ECB">
            <w:pPr>
              <w:rPr>
                <w:b/>
              </w:rPr>
            </w:pPr>
          </w:p>
        </w:tc>
      </w:tr>
      <w:tr w:rsidR="00DD3EFA" w:rsidRPr="00EC2A1C" w14:paraId="049DAC5C" w14:textId="77777777" w:rsidTr="00B15ECB">
        <w:trPr>
          <w:trHeight w:val="1202"/>
        </w:trPr>
        <w:tc>
          <w:tcPr>
            <w:tcW w:w="249" w:type="dxa"/>
            <w:tcBorders>
              <w:top w:val="nil"/>
              <w:bottom w:val="nil"/>
            </w:tcBorders>
            <w:shd w:val="clear" w:color="auto" w:fill="66CCFF"/>
          </w:tcPr>
          <w:p w14:paraId="1F4235A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A119DE3"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20E2F338"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3D997872" w14:textId="77777777" w:rsidR="00DD3EFA" w:rsidRPr="00EC2A1C" w:rsidRDefault="00DD3EFA" w:rsidP="00B15ECB">
            <w:pPr>
              <w:spacing w:before="60" w:after="60"/>
              <w:rPr>
                <w:rFonts w:eastAsiaTheme="majorEastAsia"/>
              </w:rPr>
            </w:pPr>
            <w:r w:rsidRPr="00EC2A1C">
              <w:rPr>
                <w:b/>
              </w:rPr>
              <w:t xml:space="preserve">Rostoucí mobilita </w:t>
            </w:r>
          </w:p>
          <w:p w14:paraId="43AE83BB" w14:textId="77777777" w:rsidR="00DD3EFA" w:rsidRPr="00EC2A1C" w:rsidRDefault="00DD3EFA" w:rsidP="00B15ECB">
            <w:pPr>
              <w:spacing w:before="40"/>
            </w:pPr>
            <w:r w:rsidRPr="00EC2A1C">
              <w:t>Dochází ke zvýšenému pohybu lidí, zboží, ale s tím také rostoucí environmentální zátěže.</w:t>
            </w:r>
          </w:p>
          <w:p w14:paraId="1900805E" w14:textId="77777777" w:rsidR="00DD3EFA" w:rsidRPr="00EC2A1C" w:rsidRDefault="00DD3EFA" w:rsidP="00B15ECB">
            <w:pPr>
              <w:spacing w:before="240" w:line="259" w:lineRule="auto"/>
              <w:rPr>
                <w:b/>
              </w:rPr>
            </w:pPr>
            <w:r w:rsidRPr="00EC2A1C">
              <w:rPr>
                <w:b/>
              </w:rPr>
              <w:t>Změna klimatu a její dopady</w:t>
            </w:r>
          </w:p>
          <w:p w14:paraId="43494B0C" w14:textId="77777777" w:rsidR="00DD3EFA" w:rsidRPr="00EC2A1C" w:rsidRDefault="00DD3EFA" w:rsidP="00B15ECB">
            <w:pPr>
              <w:spacing w:before="40"/>
            </w:pPr>
            <w:r w:rsidRPr="00EC2A1C">
              <w:t>Změna klimatu zásadně ovlivňuje nejen životní prostředí, ale i všechny hospodářské sektory a tím i kvalitu života celé společnosti.</w:t>
            </w:r>
          </w:p>
          <w:p w14:paraId="6DD0EE56" w14:textId="77777777" w:rsidR="00DD3EFA" w:rsidRPr="00EC2A1C" w:rsidRDefault="00DD3EFA" w:rsidP="00B15ECB">
            <w:pPr>
              <w:spacing w:before="240" w:line="259" w:lineRule="auto"/>
              <w:rPr>
                <w:b/>
              </w:rPr>
            </w:pPr>
            <w:r w:rsidRPr="00EC2A1C">
              <w:rPr>
                <w:b/>
              </w:rPr>
              <w:t>Rostoucí spotřeba energie</w:t>
            </w:r>
          </w:p>
          <w:p w14:paraId="0354576D" w14:textId="77777777" w:rsidR="00DD3EFA" w:rsidRPr="00EC2A1C" w:rsidRDefault="00DD3EFA" w:rsidP="00B15ECB">
            <w:pPr>
              <w:spacing w:before="40"/>
            </w:pPr>
            <w:r w:rsidRPr="00EC2A1C">
              <w:t>Energetická náročnost lidské činnosti narůstá v souvislosti s rostoucím bohatstvím a populační expanzí. Spotřeba energie v dopravě přitom stále roste a je toto třeba hledat cesty jak v tomto sektoru zvýšit energetickou účinnost.</w:t>
            </w:r>
          </w:p>
          <w:p w14:paraId="55AA9F94" w14:textId="77777777" w:rsidR="00DD3EFA" w:rsidRPr="00EC2A1C" w:rsidRDefault="00DD3EFA" w:rsidP="00B15ECB">
            <w:pPr>
              <w:spacing w:before="40"/>
              <w:rPr>
                <w:rFonts w:eastAsiaTheme="majorEastAsia"/>
              </w:rPr>
            </w:pPr>
          </w:p>
        </w:tc>
        <w:tc>
          <w:tcPr>
            <w:tcW w:w="377" w:type="dxa"/>
            <w:tcBorders>
              <w:top w:val="nil"/>
              <w:bottom w:val="nil"/>
            </w:tcBorders>
            <w:shd w:val="clear" w:color="auto" w:fill="66CCFF"/>
          </w:tcPr>
          <w:p w14:paraId="0DB8C657" w14:textId="77777777" w:rsidR="00DD3EFA" w:rsidRPr="00EC2A1C" w:rsidRDefault="00DD3EFA" w:rsidP="00B15ECB">
            <w:pPr>
              <w:rPr>
                <w:b/>
              </w:rPr>
            </w:pPr>
          </w:p>
        </w:tc>
      </w:tr>
      <w:tr w:rsidR="00DD3EFA" w:rsidRPr="00EC2A1C" w14:paraId="44EEEA03" w14:textId="77777777" w:rsidTr="00B15ECB">
        <w:trPr>
          <w:trHeight w:val="1202"/>
        </w:trPr>
        <w:tc>
          <w:tcPr>
            <w:tcW w:w="249" w:type="dxa"/>
            <w:tcBorders>
              <w:top w:val="nil"/>
              <w:bottom w:val="nil"/>
            </w:tcBorders>
            <w:shd w:val="clear" w:color="auto" w:fill="66CCFF"/>
          </w:tcPr>
          <w:p w14:paraId="2FE9F41A"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D466981"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850" w:type="dxa"/>
            <w:tcBorders>
              <w:bottom w:val="single" w:sz="4" w:space="0" w:color="auto"/>
            </w:tcBorders>
            <w:shd w:val="clear" w:color="auto" w:fill="FFFFFF" w:themeFill="background1"/>
          </w:tcPr>
          <w:p w14:paraId="514A4E75" w14:textId="77777777" w:rsidR="00DD3EFA" w:rsidRPr="00EC2A1C" w:rsidRDefault="00DD3EFA" w:rsidP="00B15ECB">
            <w:pPr>
              <w:spacing w:before="60" w:after="60"/>
              <w:rPr>
                <w:rFonts w:eastAsiaTheme="majorEastAsia"/>
                <w:b/>
              </w:rPr>
            </w:pPr>
            <w:r w:rsidRPr="00EC2A1C">
              <w:rPr>
                <w:rFonts w:eastAsiaTheme="majorEastAsia"/>
                <w:b/>
              </w:rPr>
              <w:t>Politický cíl ON:</w:t>
            </w:r>
          </w:p>
          <w:p w14:paraId="2AB0BB1E" w14:textId="77777777" w:rsidR="00DD3EFA" w:rsidRPr="00EC2A1C" w:rsidRDefault="00DD3EFA" w:rsidP="00B15ECB">
            <w:pPr>
              <w:spacing w:before="60" w:after="60"/>
              <w:rPr>
                <w:rFonts w:eastAsiaTheme="majorEastAsia"/>
              </w:rPr>
            </w:pPr>
            <w:r w:rsidRPr="00EC2A1C">
              <w:rPr>
                <w:rFonts w:eastAsiaTheme="majorEastAsia"/>
              </w:rPr>
              <w:t xml:space="preserve">Zelenější, nízkouhlíková Evropa díky podpoře přechodu na čistou a spravedlivou energii, zelených a modrých investic, oběhového hospodářství, přizpůsobení se změnám klimatu a prevence a řízení rizik </w:t>
            </w:r>
          </w:p>
          <w:p w14:paraId="590734DB" w14:textId="77777777" w:rsidR="00DD3EFA" w:rsidRPr="00EC2A1C" w:rsidRDefault="00DD3EFA" w:rsidP="00B15ECB">
            <w:pPr>
              <w:spacing w:before="60" w:after="60"/>
              <w:rPr>
                <w:rFonts w:eastAsiaTheme="majorEastAsia"/>
                <w:b/>
              </w:rPr>
            </w:pPr>
            <w:r w:rsidRPr="00EC2A1C">
              <w:rPr>
                <w:rFonts w:eastAsiaTheme="majorEastAsia"/>
                <w:b/>
              </w:rPr>
              <w:t>Specifické cíle EFRR/FS:</w:t>
            </w:r>
          </w:p>
          <w:p w14:paraId="04838FED" w14:textId="77777777" w:rsidR="00DD3EFA" w:rsidRPr="00EC2A1C" w:rsidRDefault="00DD3EFA" w:rsidP="00B15ECB">
            <w:pPr>
              <w:spacing w:before="60" w:after="60"/>
              <w:rPr>
                <w:rFonts w:eastAsiaTheme="majorEastAsia"/>
              </w:rPr>
            </w:pPr>
            <w:r w:rsidRPr="00EC2A1C">
              <w:rPr>
                <w:rFonts w:eastAsiaTheme="majorEastAsia"/>
              </w:rPr>
              <w:t>čl. 2 odst. 1 písm. b viii)</w:t>
            </w:r>
          </w:p>
          <w:p w14:paraId="46352CD2" w14:textId="77777777" w:rsidR="00DD3EFA" w:rsidRPr="00EC2A1C" w:rsidRDefault="00DD3EFA" w:rsidP="00B15ECB">
            <w:pPr>
              <w:spacing w:before="60" w:after="60"/>
              <w:rPr>
                <w:rFonts w:eastAsiaTheme="majorEastAsia"/>
                <w:i/>
              </w:rPr>
            </w:pPr>
            <w:r w:rsidRPr="00EC2A1C">
              <w:rPr>
                <w:rFonts w:eastAsiaTheme="majorEastAsia"/>
              </w:rPr>
              <w:t>podpora udržitelné multimodální městské mobility</w:t>
            </w:r>
          </w:p>
        </w:tc>
        <w:tc>
          <w:tcPr>
            <w:tcW w:w="377" w:type="dxa"/>
            <w:tcBorders>
              <w:top w:val="nil"/>
              <w:bottom w:val="nil"/>
            </w:tcBorders>
            <w:shd w:val="clear" w:color="auto" w:fill="66CCFF"/>
          </w:tcPr>
          <w:p w14:paraId="01055733" w14:textId="77777777" w:rsidR="00DD3EFA" w:rsidRPr="00EC2A1C" w:rsidRDefault="00DD3EFA" w:rsidP="00B15ECB">
            <w:pPr>
              <w:rPr>
                <w:b/>
              </w:rPr>
            </w:pPr>
          </w:p>
        </w:tc>
      </w:tr>
      <w:tr w:rsidR="00DD3EFA" w:rsidRPr="00EC2A1C" w14:paraId="1D6246AF" w14:textId="77777777" w:rsidTr="00B15ECB">
        <w:trPr>
          <w:trHeight w:val="1202"/>
        </w:trPr>
        <w:tc>
          <w:tcPr>
            <w:tcW w:w="249" w:type="dxa"/>
            <w:tcBorders>
              <w:top w:val="nil"/>
              <w:bottom w:val="nil"/>
            </w:tcBorders>
            <w:shd w:val="clear" w:color="auto" w:fill="66CCFF"/>
          </w:tcPr>
          <w:p w14:paraId="1C944E8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0967E3F"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850" w:type="dxa"/>
            <w:tcBorders>
              <w:bottom w:val="single" w:sz="4" w:space="0" w:color="auto"/>
            </w:tcBorders>
            <w:shd w:val="clear" w:color="auto" w:fill="FFFFFF" w:themeFill="background1"/>
          </w:tcPr>
          <w:p w14:paraId="2875F681" w14:textId="77777777" w:rsidR="00DD3EFA" w:rsidRPr="00EC2A1C" w:rsidRDefault="00DD3EFA" w:rsidP="00B15ECB">
            <w:pPr>
              <w:spacing w:before="60" w:after="60"/>
              <w:rPr>
                <w:rFonts w:eastAsiaTheme="majorEastAsia"/>
                <w:i/>
              </w:rPr>
            </w:pPr>
            <w:r w:rsidRPr="00EC2A1C">
              <w:rPr>
                <w:rFonts w:eastAsiaTheme="majorEastAsia"/>
              </w:rPr>
              <w:t xml:space="preserve">Vybraná specifická doporučení Rady </w:t>
            </w:r>
            <w:r w:rsidRPr="00EC2A1C">
              <w:rPr>
                <w:rFonts w:eastAsiaTheme="majorEastAsia"/>
                <w:i/>
              </w:rPr>
              <w:t>(Reduce the administrative burden on investment, including by speeding up permit procedures for infrastructure work. Address weaknesses in public procurement practices…)</w:t>
            </w:r>
            <w:r w:rsidRPr="00EC2A1C">
              <w:rPr>
                <w:rFonts w:eastAsiaTheme="majorEastAsia"/>
              </w:rPr>
              <w:t xml:space="preserve"> směřují k bariérám, které mohou mít vliv na implementaci specifického cíle NKR.</w:t>
            </w:r>
          </w:p>
        </w:tc>
        <w:tc>
          <w:tcPr>
            <w:tcW w:w="377" w:type="dxa"/>
            <w:tcBorders>
              <w:top w:val="nil"/>
              <w:bottom w:val="nil"/>
            </w:tcBorders>
            <w:shd w:val="clear" w:color="auto" w:fill="66CCFF"/>
          </w:tcPr>
          <w:p w14:paraId="507E6E82" w14:textId="77777777" w:rsidR="00DD3EFA" w:rsidRPr="00EC2A1C" w:rsidRDefault="00DD3EFA" w:rsidP="00B15ECB">
            <w:pPr>
              <w:rPr>
                <w:b/>
              </w:rPr>
            </w:pPr>
          </w:p>
        </w:tc>
      </w:tr>
      <w:tr w:rsidR="00DD3EFA" w:rsidRPr="00EC2A1C" w14:paraId="0EFC1167" w14:textId="77777777" w:rsidTr="00B15ECB">
        <w:trPr>
          <w:trHeight w:val="180"/>
        </w:trPr>
        <w:tc>
          <w:tcPr>
            <w:tcW w:w="249" w:type="dxa"/>
            <w:tcBorders>
              <w:top w:val="nil"/>
              <w:bottom w:val="nil"/>
              <w:right w:val="nil"/>
            </w:tcBorders>
            <w:shd w:val="clear" w:color="auto" w:fill="66CCFF"/>
          </w:tcPr>
          <w:p w14:paraId="5E3E7473" w14:textId="77777777" w:rsidR="00DD3EFA" w:rsidRPr="00EC2A1C" w:rsidRDefault="00DD3EFA" w:rsidP="00B15ECB">
            <w:pPr>
              <w:rPr>
                <w:b/>
              </w:rPr>
            </w:pPr>
          </w:p>
        </w:tc>
        <w:tc>
          <w:tcPr>
            <w:tcW w:w="2548" w:type="dxa"/>
            <w:tcBorders>
              <w:left w:val="nil"/>
              <w:right w:val="nil"/>
            </w:tcBorders>
            <w:shd w:val="clear" w:color="auto" w:fill="66CCFF"/>
          </w:tcPr>
          <w:p w14:paraId="1D06478E" w14:textId="77777777" w:rsidR="00DD3EFA" w:rsidRPr="00EC2A1C" w:rsidRDefault="00DD3EFA" w:rsidP="00B15ECB">
            <w:pPr>
              <w:rPr>
                <w:b/>
              </w:rPr>
            </w:pPr>
          </w:p>
        </w:tc>
        <w:tc>
          <w:tcPr>
            <w:tcW w:w="5850" w:type="dxa"/>
            <w:tcBorders>
              <w:left w:val="nil"/>
              <w:right w:val="nil"/>
            </w:tcBorders>
            <w:shd w:val="clear" w:color="auto" w:fill="66CCFF"/>
          </w:tcPr>
          <w:p w14:paraId="14F3DC05" w14:textId="77777777" w:rsidR="00DD3EFA" w:rsidRPr="00EC2A1C" w:rsidRDefault="00DD3EFA" w:rsidP="00B15ECB">
            <w:pPr>
              <w:rPr>
                <w:b/>
              </w:rPr>
            </w:pPr>
          </w:p>
        </w:tc>
        <w:tc>
          <w:tcPr>
            <w:tcW w:w="377" w:type="dxa"/>
            <w:tcBorders>
              <w:top w:val="nil"/>
              <w:left w:val="nil"/>
              <w:bottom w:val="nil"/>
            </w:tcBorders>
            <w:shd w:val="clear" w:color="auto" w:fill="66CCFF"/>
          </w:tcPr>
          <w:p w14:paraId="6A4C5F97" w14:textId="77777777" w:rsidR="00DD3EFA" w:rsidRPr="00EC2A1C" w:rsidRDefault="00DD3EFA" w:rsidP="00B15ECB">
            <w:pPr>
              <w:rPr>
                <w:b/>
              </w:rPr>
            </w:pPr>
          </w:p>
        </w:tc>
      </w:tr>
      <w:tr w:rsidR="00DD3EFA" w:rsidRPr="00EC2A1C" w14:paraId="1798CE37" w14:textId="77777777" w:rsidTr="00B15ECB">
        <w:trPr>
          <w:trHeight w:val="938"/>
        </w:trPr>
        <w:tc>
          <w:tcPr>
            <w:tcW w:w="249" w:type="dxa"/>
            <w:tcBorders>
              <w:top w:val="nil"/>
              <w:bottom w:val="nil"/>
            </w:tcBorders>
            <w:shd w:val="clear" w:color="auto" w:fill="66CCFF"/>
          </w:tcPr>
          <w:p w14:paraId="7734655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01FF0E1"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5468A567" w14:textId="77777777" w:rsidR="00DD3EFA" w:rsidRPr="00EC2A1C" w:rsidRDefault="00DD3EFA" w:rsidP="00B15ECB">
            <w:pPr>
              <w:pStyle w:val="Odstavecseseznamem"/>
              <w:spacing w:before="60" w:after="60"/>
              <w:ind w:left="360"/>
              <w:rPr>
                <w:rFonts w:eastAsiaTheme="majorEastAsia"/>
                <w:b/>
              </w:rPr>
            </w:pPr>
          </w:p>
        </w:tc>
        <w:tc>
          <w:tcPr>
            <w:tcW w:w="5850" w:type="dxa"/>
            <w:tcBorders>
              <w:bottom w:val="single" w:sz="4" w:space="0" w:color="auto"/>
            </w:tcBorders>
            <w:shd w:val="clear" w:color="auto" w:fill="FFFFFF" w:themeFill="background1"/>
          </w:tcPr>
          <w:p w14:paraId="4D9E4D10"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Hlavní strategický dokument pro období 2020+:</w:t>
            </w:r>
          </w:p>
          <w:p w14:paraId="4CFF4730" w14:textId="77777777" w:rsidR="00DD3EFA" w:rsidRPr="00EC2A1C" w:rsidRDefault="00DD3EFA" w:rsidP="00B15ECB">
            <w:r w:rsidRPr="00EC2A1C">
              <w:t>Národní akční plán čisté mobility. (NPA CM) byl přijat vládou ČR již v roce 2015. V současnosti se připravuje jeho aktualizace, která by měla být zpracována do konce letošního roku. Dokument by měl především upřesnit cíle ČR pro jednotlivé typy alternativních paliv (elektromobilita, zemní plyn, vodík) pro období do roku 2030, včetně specifických cílů pro oblast infrastruktury dobíjecích a plnících stanic.</w:t>
            </w:r>
          </w:p>
          <w:p w14:paraId="785AD73F" w14:textId="77777777" w:rsidR="00DD3EFA" w:rsidRPr="00EC2A1C" w:rsidRDefault="00DD3EFA" w:rsidP="00B15ECB">
            <w:r w:rsidRPr="00EC2A1C">
              <w:t>Klimaticko energetický plán</w:t>
            </w:r>
          </w:p>
          <w:p w14:paraId="500091C8" w14:textId="77777777" w:rsidR="00DD3EFA" w:rsidRPr="00EC2A1C" w:rsidRDefault="00DD3EFA" w:rsidP="00B15ECB">
            <w:pPr>
              <w:rPr>
                <w:i/>
              </w:rPr>
            </w:pPr>
          </w:p>
          <w:p w14:paraId="40E59646"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Ostatní strategické dokumenty:</w:t>
            </w:r>
          </w:p>
          <w:p w14:paraId="42C2D57E" w14:textId="77777777" w:rsidR="00DD3EFA" w:rsidRPr="00EC2A1C" w:rsidRDefault="00DD3EFA" w:rsidP="00B15ECB">
            <w:r w:rsidRPr="00EC2A1C">
              <w:t>Národní program snižování emisí ČR</w:t>
            </w:r>
          </w:p>
          <w:p w14:paraId="4785295A" w14:textId="77777777" w:rsidR="00DD3EFA" w:rsidRPr="00EC2A1C" w:rsidRDefault="00DD3EFA" w:rsidP="00B15ECB">
            <w:r w:rsidRPr="00EC2A1C">
              <w:t>Programy zlepšování kvality ovzduší</w:t>
            </w:r>
          </w:p>
          <w:p w14:paraId="5A902EB8" w14:textId="77777777" w:rsidR="00DD3EFA" w:rsidRPr="00EC2A1C" w:rsidRDefault="00DD3EFA" w:rsidP="00B15ECB">
            <w:r w:rsidRPr="00EC2A1C">
              <w:t>Střednědobá strategie zlepšení kvality ovzduší v ČR</w:t>
            </w:r>
          </w:p>
          <w:p w14:paraId="685D3E8E" w14:textId="77777777" w:rsidR="00DD3EFA" w:rsidRPr="00EC2A1C" w:rsidRDefault="00DD3EFA" w:rsidP="00B15ECB">
            <w:r w:rsidRPr="00EC2A1C">
              <w:t xml:space="preserve">Dopravní politika ČR </w:t>
            </w:r>
          </w:p>
          <w:p w14:paraId="5C35B523" w14:textId="77777777" w:rsidR="00DD3EFA" w:rsidRPr="00EC2A1C" w:rsidRDefault="00DD3EFA" w:rsidP="00B15ECB">
            <w:r w:rsidRPr="00EC2A1C">
              <w:t xml:space="preserve">Státní politika životního prostředí </w:t>
            </w:r>
          </w:p>
          <w:p w14:paraId="1372DA9B" w14:textId="77777777" w:rsidR="00DD3EFA" w:rsidRPr="00EC2A1C" w:rsidRDefault="00DD3EFA" w:rsidP="00B15ECB">
            <w:r w:rsidRPr="00EC2A1C">
              <w:t>Návrh vnitrostátního plánu v oblasti energetiky a klimatu</w:t>
            </w:r>
          </w:p>
          <w:p w14:paraId="38392C73" w14:textId="77777777" w:rsidR="00DD3EFA" w:rsidRPr="00EC2A1C" w:rsidRDefault="00DD3EFA" w:rsidP="00B15ECB">
            <w:r w:rsidRPr="00EC2A1C">
              <w:t>Akční plán o budoucnosti automobilového průmyslu v ČR</w:t>
            </w:r>
          </w:p>
        </w:tc>
        <w:tc>
          <w:tcPr>
            <w:tcW w:w="377" w:type="dxa"/>
            <w:tcBorders>
              <w:top w:val="nil"/>
              <w:bottom w:val="nil"/>
            </w:tcBorders>
            <w:shd w:val="clear" w:color="auto" w:fill="66CCFF"/>
          </w:tcPr>
          <w:p w14:paraId="046AFDD7" w14:textId="77777777" w:rsidR="00DD3EFA" w:rsidRPr="00EC2A1C" w:rsidRDefault="00DD3EFA" w:rsidP="00B15ECB">
            <w:pPr>
              <w:rPr>
                <w:b/>
              </w:rPr>
            </w:pPr>
          </w:p>
        </w:tc>
      </w:tr>
      <w:tr w:rsidR="00DD3EFA" w:rsidRPr="00EC2A1C" w14:paraId="2E5F2E2B" w14:textId="77777777" w:rsidTr="00B15ECB">
        <w:trPr>
          <w:trHeight w:val="938"/>
        </w:trPr>
        <w:tc>
          <w:tcPr>
            <w:tcW w:w="249" w:type="dxa"/>
            <w:tcBorders>
              <w:top w:val="nil"/>
              <w:bottom w:val="nil"/>
            </w:tcBorders>
            <w:shd w:val="clear" w:color="auto" w:fill="66CCFF"/>
          </w:tcPr>
          <w:p w14:paraId="5C2BD4C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88F4E29"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4CB62946"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035A4CFB"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rámci analýzy hlavních překážek rozvoje alternativních paliv v dopravě NAP CM konstatuje, že mezi ty nejpalčivější překážky patří nedostatečně rozvinutá infrastruktura dobíjecích a plnících stanic. Z diskuzí na úrovni pracovních skupin, které se zabývají aktualizací NAP CM, však vyplývá, že samotný rozvoj v této oblasti nemusí být dostačujícím předpokladem pro dosažení cílů NAP CM. Svědčí o tom zejména fakt, že se zejména v oblasti elektromobility nedaří naplňovat predikce počtu elektrických vozidel na českých silnicích. Rovněž je třeba upozornit na skutečnost, že současná podpora z fondů EU (např. podpora nákupu elektromobilů pro podnikatele) byla jednou z hlavních hnacích sil v této oblasti. Je proto žádoucí, aby prostřednictvím podpory z fondů EU byl i v příštím programovém období řešen problém, kdy pořizovací cena vozidel na alternativní paliva (zejména těch elektrických a vodíkových ale do určité míry i nákladních vozidel na LNG) je výrazně vyšší než cena vozidla na konvenční pohon.</w:t>
            </w:r>
          </w:p>
          <w:p w14:paraId="3A47F7E6"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Národní akční plán čisté mobility (NAP CM) vychází z požadavku směrnice Evropského parlamentu a Rady č. 2014/94/EU o zavádění infrastruktury pro alternativní paliva, která ukládá každému členskému státu přijmout vnitrostátní rámec politiky pro rozvoj trhu, pokud jde o alternativní paliva v odvětví dopravy a zavádění příslušné infrastruktury. Návrh vnitrostátního plánu v oblasti energetiky a klimatu predikuje vývoj vozidel na alternativní pohon, spotřebu alternativních paliv do roku 2040. V České republice není zdanění vozidel a tak nemohou být poskytovány daňové úlevy jako v jiných členských státech. Česká republika má závazky v oblasti snižování emisí v dopravě a zvyšování podílu vozidel na alternativní pohon je jednou z možností naplnění těchto závazků. </w:t>
            </w:r>
          </w:p>
        </w:tc>
        <w:tc>
          <w:tcPr>
            <w:tcW w:w="377" w:type="dxa"/>
            <w:tcBorders>
              <w:top w:val="nil"/>
              <w:bottom w:val="nil"/>
            </w:tcBorders>
            <w:shd w:val="clear" w:color="auto" w:fill="66CCFF"/>
          </w:tcPr>
          <w:p w14:paraId="75FE0DAA" w14:textId="77777777" w:rsidR="00DD3EFA" w:rsidRPr="00EC2A1C" w:rsidRDefault="00DD3EFA" w:rsidP="00B15ECB">
            <w:pPr>
              <w:rPr>
                <w:b/>
              </w:rPr>
            </w:pPr>
          </w:p>
        </w:tc>
      </w:tr>
      <w:tr w:rsidR="00DD3EFA" w:rsidRPr="00EC2A1C" w14:paraId="6DD339B4" w14:textId="77777777" w:rsidTr="00B15ECB">
        <w:trPr>
          <w:trHeight w:val="938"/>
        </w:trPr>
        <w:tc>
          <w:tcPr>
            <w:tcW w:w="249" w:type="dxa"/>
            <w:tcBorders>
              <w:top w:val="nil"/>
              <w:bottom w:val="nil"/>
            </w:tcBorders>
            <w:shd w:val="clear" w:color="auto" w:fill="66CCFF"/>
          </w:tcPr>
          <w:p w14:paraId="147AE16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92594E4"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41CDC752"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0E645C20"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Globálním cílem NAP CM je  vytvoření dostatečně příznivého prostředí pro širší uplatnění vybraných alternativních paliv a pohonů v sektoru dopravy v podmínkách ČR a dosažení podmínek srovnatelných v této oblasti s jinými vyspělými státy Evropské unie</w:t>
            </w:r>
          </w:p>
          <w:p w14:paraId="3B2EE81B"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Pro jednotlivé oblasti (elektromobilita/zemní plyn/vodík) stanoví jednak určité strategické cíle ve vztahu rozvoji trhu vozidel a dále specifické cíle pokud jde o počty dobíjecích/plnících stanic. Tyto cíle budou předmětem aktualizace NAP CM. Stejně tak provedena aktualizace jednotlivých zde obsažených opatření. Rozhodně však nelze očekávat, že by byla přehodnocena opatření, která se týkají podpory nákupu vozidel a podpory rozvoje výstavby dobíjecích a plnících stanic.</w:t>
            </w:r>
          </w:p>
          <w:p w14:paraId="118B1B4B"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p>
          <w:p w14:paraId="20A2CAAA"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V rámci Národního akčního plánu čisté mobility byly navrženy tyto cíle pro rok 2020:</w:t>
            </w:r>
          </w:p>
          <w:p w14:paraId="20459B00"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elektromobilů</w:t>
            </w:r>
            <w:r w:rsidRPr="00EC2A1C">
              <w:rPr>
                <w:rFonts w:ascii="Times New Roman" w:hAnsi="Times New Roman"/>
              </w:rPr>
              <w:tab/>
              <w:t xml:space="preserve"> 6 000</w:t>
            </w:r>
          </w:p>
          <w:p w14:paraId="29580E2B"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hybridů</w:t>
            </w:r>
            <w:r w:rsidRPr="00EC2A1C">
              <w:rPr>
                <w:rFonts w:ascii="Times New Roman" w:hAnsi="Times New Roman"/>
              </w:rPr>
              <w:tab/>
              <w:t xml:space="preserve"> 11 000</w:t>
            </w:r>
          </w:p>
          <w:p w14:paraId="32243FD2"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vozidel na CNG</w:t>
            </w:r>
            <w:r w:rsidRPr="00EC2A1C">
              <w:rPr>
                <w:rFonts w:ascii="Times New Roman" w:hAnsi="Times New Roman"/>
              </w:rPr>
              <w:tab/>
              <w:t xml:space="preserve"> 50 000</w:t>
            </w:r>
          </w:p>
          <w:p w14:paraId="33B1179B"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vozidel na LNG</w:t>
            </w:r>
            <w:r w:rsidRPr="00EC2A1C">
              <w:rPr>
                <w:rFonts w:ascii="Times New Roman" w:hAnsi="Times New Roman"/>
              </w:rPr>
              <w:tab/>
              <w:t xml:space="preserve">180 </w:t>
            </w:r>
          </w:p>
          <w:p w14:paraId="2BE3779E"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nabíjecích bodů</w:t>
            </w:r>
            <w:r w:rsidRPr="00EC2A1C">
              <w:rPr>
                <w:rFonts w:ascii="Times New Roman" w:hAnsi="Times New Roman"/>
              </w:rPr>
              <w:tab/>
              <w:t xml:space="preserve"> 1 300 (500+800)</w:t>
            </w:r>
          </w:p>
          <w:p w14:paraId="5070A7DD"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plniček CNG*</w:t>
            </w:r>
            <w:r w:rsidRPr="00EC2A1C">
              <w:rPr>
                <w:rFonts w:ascii="Times New Roman" w:hAnsi="Times New Roman"/>
              </w:rPr>
              <w:tab/>
              <w:t xml:space="preserve"> 210/100/400</w:t>
            </w:r>
          </w:p>
          <w:p w14:paraId="0CE49D5C"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plniček LNG</w:t>
            </w:r>
            <w:r w:rsidRPr="00EC2A1C">
              <w:rPr>
                <w:rFonts w:ascii="Times New Roman" w:hAnsi="Times New Roman"/>
              </w:rPr>
              <w:tab/>
              <w:t xml:space="preserve"> 2</w:t>
            </w:r>
          </w:p>
          <w:p w14:paraId="39757E41"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plniček na vodík</w:t>
            </w:r>
            <w:r w:rsidRPr="00EC2A1C">
              <w:rPr>
                <w:rFonts w:ascii="Times New Roman" w:hAnsi="Times New Roman"/>
              </w:rPr>
              <w:tab/>
              <w:t xml:space="preserve"> ?</w:t>
            </w:r>
          </w:p>
          <w:p w14:paraId="6B79676A"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Počet vozidel na vodík</w:t>
            </w:r>
            <w:r w:rsidRPr="00EC2A1C">
              <w:rPr>
                <w:rFonts w:ascii="Times New Roman" w:hAnsi="Times New Roman"/>
              </w:rPr>
              <w:tab/>
              <w:t xml:space="preserve"> ?</w:t>
            </w:r>
          </w:p>
          <w:p w14:paraId="2B814B9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 xml:space="preserve">V rámci aktualizace NAP CM budou tyto odhady aktualizovány v návaznosti na současný vývoj zejména evropské legislativy. Zároveň budou vycházet z predikcí Návrhu vnitrostátního plánu v oblasti energetiky a klimatu. </w:t>
            </w:r>
          </w:p>
        </w:tc>
        <w:tc>
          <w:tcPr>
            <w:tcW w:w="377" w:type="dxa"/>
            <w:tcBorders>
              <w:top w:val="nil"/>
              <w:bottom w:val="nil"/>
            </w:tcBorders>
            <w:shd w:val="clear" w:color="auto" w:fill="66CCFF"/>
          </w:tcPr>
          <w:p w14:paraId="1A3E947D" w14:textId="77777777" w:rsidR="00DD3EFA" w:rsidRPr="00EC2A1C" w:rsidRDefault="00DD3EFA" w:rsidP="00B15ECB">
            <w:pPr>
              <w:rPr>
                <w:b/>
              </w:rPr>
            </w:pPr>
          </w:p>
        </w:tc>
      </w:tr>
      <w:tr w:rsidR="00DD3EFA" w:rsidRPr="00EC2A1C" w14:paraId="19BB95D7" w14:textId="77777777" w:rsidTr="00B15ECB">
        <w:trPr>
          <w:trHeight w:val="938"/>
        </w:trPr>
        <w:tc>
          <w:tcPr>
            <w:tcW w:w="249" w:type="dxa"/>
            <w:tcBorders>
              <w:top w:val="nil"/>
              <w:bottom w:val="nil"/>
            </w:tcBorders>
            <w:shd w:val="clear" w:color="auto" w:fill="66CCFF"/>
          </w:tcPr>
          <w:p w14:paraId="5B59945E"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69DBC3C"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3C4AF45B" w14:textId="77777777" w:rsidR="00DD3EFA" w:rsidRPr="00EC2A1C" w:rsidRDefault="00DD3EFA" w:rsidP="00B15ECB">
            <w:pPr>
              <w:spacing w:before="60" w:after="60"/>
              <w:rPr>
                <w:rFonts w:eastAsiaTheme="majorEastAsia"/>
                <w:b/>
              </w:rPr>
            </w:pPr>
          </w:p>
        </w:tc>
        <w:tc>
          <w:tcPr>
            <w:tcW w:w="5850" w:type="dxa"/>
            <w:tcBorders>
              <w:bottom w:val="single" w:sz="4" w:space="0" w:color="auto"/>
            </w:tcBorders>
            <w:shd w:val="clear" w:color="auto" w:fill="FFFFFF" w:themeFill="background1"/>
          </w:tcPr>
          <w:p w14:paraId="228D277E"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Opatření v NAP ČM mají různých charakter a tedy i odlišný implementační mechanismus. Pokud jde o opatření finančního rázu, předpokládáme implementaci v rámci OPD a dalších relevantních Operačních programů (OP PIK, OP ŽP, IROP)</w:t>
            </w:r>
          </w:p>
        </w:tc>
        <w:tc>
          <w:tcPr>
            <w:tcW w:w="377" w:type="dxa"/>
            <w:tcBorders>
              <w:top w:val="nil"/>
              <w:bottom w:val="nil"/>
            </w:tcBorders>
            <w:shd w:val="clear" w:color="auto" w:fill="66CCFF"/>
          </w:tcPr>
          <w:p w14:paraId="1C30DDD9" w14:textId="77777777" w:rsidR="00DD3EFA" w:rsidRPr="00EC2A1C" w:rsidRDefault="00DD3EFA" w:rsidP="00B15ECB">
            <w:pPr>
              <w:rPr>
                <w:b/>
              </w:rPr>
            </w:pPr>
          </w:p>
        </w:tc>
      </w:tr>
      <w:tr w:rsidR="00DD3EFA" w:rsidRPr="00EC2A1C" w14:paraId="66738348" w14:textId="77777777" w:rsidTr="00B15ECB">
        <w:trPr>
          <w:trHeight w:val="938"/>
        </w:trPr>
        <w:tc>
          <w:tcPr>
            <w:tcW w:w="249" w:type="dxa"/>
            <w:tcBorders>
              <w:top w:val="nil"/>
              <w:bottom w:val="nil"/>
            </w:tcBorders>
            <w:shd w:val="clear" w:color="auto" w:fill="66CCFF"/>
          </w:tcPr>
          <w:p w14:paraId="4C7021E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4D2BCF2"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850" w:type="dxa"/>
            <w:tcBorders>
              <w:bottom w:val="single" w:sz="4" w:space="0" w:color="auto"/>
            </w:tcBorders>
            <w:shd w:val="clear" w:color="auto" w:fill="FFFFFF" w:themeFill="background1"/>
          </w:tcPr>
          <w:p w14:paraId="23A751B4"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Národní akční plán čisté mobility (2015) ve sdílené gesci MMR, MPO, MD, MŽP, a MF. Připravuje se jeho aktualizace s predikcí do 2030 až 2050 navazující na závěry Vnitrostátní plán ČR v oblasti energetiky a klimatu. Součástí NAP ČM je soubor opatření a strategických cílů pro urychlení rozvoje alternativních pohonů  zejména v silniční dopravě v ČR. Součástí Akčního plánu je i dlouhodobější predikce vývoje alternativních pohonů a alternativních biopaliv např. obnovitelný biometan (bioCNG/bioLNG) a syntetický metan. </w:t>
            </w:r>
          </w:p>
          <w:p w14:paraId="64F62C4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Monitoring implementace NAP ČM probíhá průběžně na úrovni Koordinační skupiny NAP ČM, která se schází cca 3krát až 4krát do roka.  Jednou za rok je do vlády předkládána zpráva o aktuálním plnění NA ČM. Minimálně v polovině období (2024-25) lze očekávat evaluaci a následnou novou aktualizaci NAP ČM.</w:t>
            </w:r>
          </w:p>
        </w:tc>
        <w:tc>
          <w:tcPr>
            <w:tcW w:w="377" w:type="dxa"/>
            <w:tcBorders>
              <w:top w:val="nil"/>
              <w:bottom w:val="nil"/>
            </w:tcBorders>
            <w:shd w:val="clear" w:color="auto" w:fill="66CCFF"/>
          </w:tcPr>
          <w:p w14:paraId="530E4B81" w14:textId="77777777" w:rsidR="00DD3EFA" w:rsidRPr="00EC2A1C" w:rsidRDefault="00DD3EFA" w:rsidP="00B15ECB">
            <w:pPr>
              <w:rPr>
                <w:b/>
              </w:rPr>
            </w:pPr>
          </w:p>
        </w:tc>
      </w:tr>
      <w:tr w:rsidR="00DD3EFA" w:rsidRPr="00EC2A1C" w14:paraId="20754377" w14:textId="77777777" w:rsidTr="00B15ECB">
        <w:trPr>
          <w:trHeight w:val="130"/>
        </w:trPr>
        <w:tc>
          <w:tcPr>
            <w:tcW w:w="249" w:type="dxa"/>
            <w:tcBorders>
              <w:top w:val="nil"/>
              <w:bottom w:val="nil"/>
              <w:right w:val="nil"/>
            </w:tcBorders>
            <w:shd w:val="clear" w:color="auto" w:fill="66CCFF"/>
          </w:tcPr>
          <w:p w14:paraId="78803ED0" w14:textId="77777777" w:rsidR="00DD3EFA" w:rsidRPr="00EC2A1C" w:rsidRDefault="00DD3EFA" w:rsidP="00B15ECB">
            <w:pPr>
              <w:rPr>
                <w:b/>
              </w:rPr>
            </w:pPr>
          </w:p>
        </w:tc>
        <w:tc>
          <w:tcPr>
            <w:tcW w:w="2548" w:type="dxa"/>
            <w:tcBorders>
              <w:left w:val="nil"/>
              <w:right w:val="nil"/>
            </w:tcBorders>
            <w:shd w:val="clear" w:color="auto" w:fill="66CCFF"/>
          </w:tcPr>
          <w:p w14:paraId="6AF6B3B6" w14:textId="77777777" w:rsidR="00DD3EFA" w:rsidRPr="00EC2A1C" w:rsidRDefault="00DD3EFA" w:rsidP="00B15ECB">
            <w:pPr>
              <w:rPr>
                <w:b/>
              </w:rPr>
            </w:pPr>
          </w:p>
        </w:tc>
        <w:tc>
          <w:tcPr>
            <w:tcW w:w="5850" w:type="dxa"/>
            <w:tcBorders>
              <w:left w:val="nil"/>
              <w:right w:val="nil"/>
            </w:tcBorders>
            <w:shd w:val="clear" w:color="auto" w:fill="66CCFF"/>
          </w:tcPr>
          <w:p w14:paraId="15593A9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377" w:type="dxa"/>
            <w:tcBorders>
              <w:top w:val="nil"/>
              <w:left w:val="nil"/>
              <w:bottom w:val="nil"/>
            </w:tcBorders>
            <w:shd w:val="clear" w:color="auto" w:fill="66CCFF"/>
          </w:tcPr>
          <w:p w14:paraId="1B2974DF" w14:textId="77777777" w:rsidR="00DD3EFA" w:rsidRPr="00EC2A1C" w:rsidRDefault="00DD3EFA" w:rsidP="00B15ECB">
            <w:pPr>
              <w:rPr>
                <w:b/>
              </w:rPr>
            </w:pPr>
          </w:p>
        </w:tc>
      </w:tr>
      <w:tr w:rsidR="00DD3EFA" w:rsidRPr="00EC2A1C" w14:paraId="73249D7A" w14:textId="77777777" w:rsidTr="00B15ECB">
        <w:trPr>
          <w:trHeight w:val="1258"/>
        </w:trPr>
        <w:tc>
          <w:tcPr>
            <w:tcW w:w="249" w:type="dxa"/>
            <w:tcBorders>
              <w:top w:val="nil"/>
              <w:bottom w:val="nil"/>
              <w:right w:val="nil"/>
            </w:tcBorders>
            <w:shd w:val="clear" w:color="auto" w:fill="66CCFF"/>
          </w:tcPr>
          <w:p w14:paraId="4DA9E566" w14:textId="77777777" w:rsidR="00DD3EFA" w:rsidRPr="00EC2A1C" w:rsidRDefault="00DD3EFA" w:rsidP="00B15ECB">
            <w:pPr>
              <w:rPr>
                <w:b/>
              </w:rPr>
            </w:pPr>
          </w:p>
        </w:tc>
        <w:tc>
          <w:tcPr>
            <w:tcW w:w="2548" w:type="dxa"/>
            <w:shd w:val="clear" w:color="auto" w:fill="FFFFFF" w:themeFill="background1"/>
          </w:tcPr>
          <w:p w14:paraId="09D26A9A" w14:textId="77777777" w:rsidR="00DD3EFA" w:rsidRPr="00EC2A1C" w:rsidRDefault="00DD3EFA" w:rsidP="00B15ECB">
            <w:pPr>
              <w:rPr>
                <w:b/>
              </w:rPr>
            </w:pPr>
            <w:r w:rsidRPr="00EC2A1C">
              <w:rPr>
                <w:rFonts w:eastAsiaTheme="majorEastAsia"/>
                <w:b/>
              </w:rPr>
              <w:t xml:space="preserve">Zhodnocení dosavadního využití podpory tematické oblasti z ESIF (tj. v období 2014 – 2020, příp. 2007 – 2013). </w:t>
            </w:r>
          </w:p>
        </w:tc>
        <w:tc>
          <w:tcPr>
            <w:tcW w:w="5850" w:type="dxa"/>
            <w:shd w:val="clear" w:color="auto" w:fill="FFFFFF" w:themeFill="background1"/>
          </w:tcPr>
          <w:p w14:paraId="685042AD" w14:textId="77777777" w:rsidR="00DD3EFA" w:rsidRPr="00EC2A1C" w:rsidRDefault="00DD3EFA" w:rsidP="00B15ECB">
            <w:pPr>
              <w:spacing w:before="60" w:after="60"/>
            </w:pPr>
            <w:r w:rsidRPr="00EC2A1C">
              <w:t xml:space="preserve">Část těchto aktivit byla nepatrně podpořena z fondů EU již v programovém období 2007–2013 a v plné šíři v současném období 2014–2020. </w:t>
            </w:r>
            <w:r w:rsidRPr="00EC2A1C">
              <w:rPr>
                <w:color w:val="000000"/>
                <w:shd w:val="clear" w:color="auto" w:fill="FFFFFF"/>
              </w:rPr>
              <w:t>V každém případě se jedná o nastolený trend silně dynamicky se vyvíjející. Je přitom třeba zde vnímat potřebu naplňovat závazky ČR vyplývající z Pařížské klimatické dohody o změně klimatu a ze současné i nově vznikající legislativy EU (zejména směrnice 2014/94 o zavádění infrastruktury pro altzernativních paliv a nová směrnice o čistých vozidlech).</w:t>
            </w:r>
            <w:r w:rsidRPr="00EC2A1C">
              <w:t xml:space="preserve"> </w:t>
            </w:r>
            <w:r w:rsidRPr="00EC2A1C">
              <w:rPr>
                <w:color w:val="000000"/>
                <w:shd w:val="clear" w:color="auto" w:fill="FFFFFF"/>
              </w:rPr>
              <w:t>Je proto nezbytné v průběhu přípravy nastavení podpory z fondů EU po roce 2020 toto téma bedlivě sledovat a hledat cesty, jak prostřednictvím fondů EU vývoj v této oblasti dále co nejvíce stimulovat.</w:t>
            </w:r>
            <w:r w:rsidRPr="00EC2A1C">
              <w:t xml:space="preserve"> Značná absorpční kapacita je v oblasti veřejné hromadné dopravy s alternativním pohonem, další nepokrytou oblastí je podpora bezemisní city-logistiky s využitím plánů čisté mobility. S ohledem na zcela novou legislativu EU v oblasti emisí CO2 po roce 2020 pro nová nákladní vozidla by bylo žádoucí podpořit též segment nákladní dopravy a to zvláště s ohledem na vysoké pořizovací náklady bezemisních a nízkoemisních nákladnícch vozidel.</w:t>
            </w:r>
          </w:p>
          <w:p w14:paraId="6A1AD18B" w14:textId="77777777" w:rsidR="00DD3EFA" w:rsidRPr="00EC2A1C" w:rsidRDefault="00DD3EFA" w:rsidP="00B15ECB">
            <w:pPr>
              <w:spacing w:before="60" w:after="60"/>
            </w:pPr>
            <w:r w:rsidRPr="00EC2A1C">
              <w:t xml:space="preserve">V OP D řešeno v rámci </w:t>
            </w:r>
            <w:r w:rsidRPr="00EC2A1C">
              <w:rPr>
                <w:i/>
              </w:rPr>
              <w:t>PO 2 Silniční infrastruktura na síti TEN-T SC 2.2 Vytvoření podmínek pro širší využití vozidel na alternativní pohon na silniční síti</w:t>
            </w:r>
            <w:r w:rsidRPr="00EC2A1C">
              <w:t>, a to zejména podporou budování infrastruktury napájecích a dobíjecích stanic pro elektřinu, zemní plyn (CNG a LNG) a vodík. I když s ohledem na zdlouhavý proces notifikace veřejné podpory ze strany Evropské komise, byl příslušný dotační program zahájen se značným zpožděním, absorpční kapacita se momentáně jeví jako poměrně uspokojivá. Rozhodně lze předpokládat značný potenciál ve střednědobém a především dlouhodobém horizontu, kdy již zmiňovaná nová legislativa EU výrazně podnítí rozvoj trhu bezemisních a nízkoemisních vozidel.  Jedná se o zcela nový segment, který může zcela změnit svět automobilové přepravy směrem k ekologicky méně zatěžující a udržitelné dopravě. Technologie jsou v tomto ohledu již dnes na velmi dobré úrovni, chybí však jejich masové rozšíření, pro které je klíčové vybudování příslušné infrastruktury.</w:t>
            </w:r>
          </w:p>
          <w:p w14:paraId="21E5B483" w14:textId="77777777" w:rsidR="00DD3EFA" w:rsidRPr="00EC2A1C" w:rsidRDefault="00DD3EFA" w:rsidP="00B15ECB">
            <w:pPr>
              <w:spacing w:before="60" w:after="60"/>
            </w:pPr>
            <w:r w:rsidRPr="00EC2A1C">
              <w:t xml:space="preserve"> V rámci IROP mohou subjekty, které zajišťují dopravní obslužnost v závazku veřejné služby žádat o nákup nízkoemisních a bezemisních vozidel pro veřejnou přepravu osob.  Podpora sěmřuje zejména do oblasti elektrických a CNG autobusů.</w:t>
            </w:r>
          </w:p>
          <w:p w14:paraId="044AD877" w14:textId="77777777" w:rsidR="00DD3EFA" w:rsidRPr="00EC2A1C" w:rsidRDefault="00DD3EFA" w:rsidP="00B15ECB">
            <w:pPr>
              <w:spacing w:before="60" w:after="60"/>
            </w:pPr>
            <w:r w:rsidRPr="00EC2A1C">
              <w:t xml:space="preserve">V rámci OP PPR vznikl nový specifický cíl, který podporuje rozvoj nízko-emisní mobility v oblasti městské dopravy v uličním provozu. Mezi podporované aktivity bude patřit nákup plně bezemisních elektro-busů se statickým i dynamickým dobíjením, budování trolejových úseků pro dynamické dobíjení elektro-busů, budování infrastruktury pro dobíjení elektro-busů a další. Výzva bude vyhlášena v polovině roku 2018, kdy se očekává bezproblémové čerpání z důvodu dostatečné absorpční kapacity na území hl. m. Prahy. </w:t>
            </w:r>
          </w:p>
          <w:p w14:paraId="465EFCA9" w14:textId="77777777" w:rsidR="00DD3EFA" w:rsidRPr="00EC2A1C" w:rsidRDefault="00DD3EFA" w:rsidP="00B15ECB">
            <w:pPr>
              <w:spacing w:before="60" w:after="60"/>
            </w:pPr>
          </w:p>
          <w:p w14:paraId="450FB869" w14:textId="77777777" w:rsidR="00DD3EFA" w:rsidRPr="00EC2A1C" w:rsidRDefault="00DD3EFA" w:rsidP="00B15ECB">
            <w:pPr>
              <w:rPr>
                <w:color w:val="000000"/>
                <w:lang w:eastAsia="cs-CZ"/>
              </w:rPr>
            </w:pPr>
            <w:r w:rsidRPr="00EC2A1C">
              <w:rPr>
                <w:bCs/>
                <w:color w:val="000000"/>
                <w:lang w:eastAsia="cs-CZ"/>
              </w:rPr>
              <w:t>V rámci OP PIK je podporováno v rámci SC 3.4 z</w:t>
            </w:r>
            <w:r w:rsidRPr="00EC2A1C">
              <w:rPr>
                <w:color w:val="000000"/>
                <w:lang w:eastAsia="cs-CZ"/>
              </w:rPr>
              <w:t xml:space="preserve">avádění inovativních technologií v oblasti nízkouhlíkové dopravy (elektro-mobilita silničních vozidel). Typovým projektem v oblasti zavádění nízkouhlíkových technologií v dopravě jsou pilotní projekty zaměřené na zavádění elektro-mobility u podnikatelských subjektů tak, aby došlo k žádoucím synergiím s OP Doprava a IROP. Způsobilé výdaje jsou vynakládány na pořízení souvisejících technologií, dobíjecích stanic případně na možnost úhrady/příspěvku části kupní ceny elektromobilu, která přesahuje průměrnou cenu automobilů se spalovacím motorem. Výstupem projektu je rozšiřování nabíjecí infrastruktury a počtu elektromobilů v ČR (podporovány jsou typy BEV – battery electric vehicle a EREV – extended-range electric vehicle s kapacitou baterie min. 20 kWh). V rámci vyhlášených výzev byl projeven značný zájem a došlo k překročení vyhlášené alokace, přičemž v současnosti byla EK odeslána revize, která re-alokuje další prostředky do této oblasti. </w:t>
            </w:r>
          </w:p>
          <w:p w14:paraId="072265E5" w14:textId="77777777" w:rsidR="00DD3EFA" w:rsidRPr="00EC2A1C" w:rsidRDefault="00DD3EFA" w:rsidP="00B15ECB">
            <w:pPr>
              <w:rPr>
                <w:color w:val="000000"/>
                <w:lang w:eastAsia="cs-CZ"/>
              </w:rPr>
            </w:pPr>
            <w:r w:rsidRPr="00EC2A1C">
              <w:rPr>
                <w:color w:val="000000"/>
                <w:lang w:eastAsia="cs-CZ"/>
              </w:rPr>
              <w:t xml:space="preserve">Pro další programové období kromě stávávající podpory nákupu elektromobilů, bude potřebné podpořit nákladní silniční dopravu využívající LNG/bioLNG (na rozdíl od nás v okolních státech poskytují daňovou úlevu či dotaci při pořízení těchto vozidel). V současné době je 100% podpora nákupu elektromobilů ze strany ESIF. Do budoucna předpokládáme, že hlavním zdrojem financování elektromobility (bateriové a vodíkové) budou strukturální fondy. Proto i do budoucna předpokládáme minimálně 95% využití zdrojů z ESIF na podporu elektromobility a vozidel na LNG. </w:t>
            </w:r>
          </w:p>
          <w:p w14:paraId="4DABBC2F" w14:textId="77777777" w:rsidR="00DD3EFA" w:rsidRPr="00EC2A1C" w:rsidRDefault="00DD3EFA" w:rsidP="00B15ECB">
            <w:pPr>
              <w:rPr>
                <w:color w:val="000000"/>
                <w:lang w:eastAsia="cs-CZ"/>
              </w:rPr>
            </w:pPr>
          </w:p>
          <w:p w14:paraId="505F478A" w14:textId="77777777" w:rsidR="00DD3EFA" w:rsidRPr="00EC2A1C" w:rsidRDefault="00DD3EFA" w:rsidP="00B15ECB">
            <w:pPr>
              <w:rPr>
                <w:color w:val="000000"/>
                <w:lang w:eastAsia="cs-CZ"/>
              </w:rPr>
            </w:pPr>
            <w:r w:rsidRPr="00EC2A1C">
              <w:rPr>
                <w:color w:val="000000"/>
                <w:lang w:eastAsia="cs-CZ"/>
              </w:rPr>
              <w:t xml:space="preserve">U OPD je podporována výstavba dobíjecích a plnících stanic. Předpokládáme nadále podporu CNG (i když okrajově). Dominantní bude podpora výstavby dobíjecích, zejména rychlodobíjecích stanic (současné nastavení podpory nepočítá s vyššími příkony, které budou potřebovat plánované rychlodobíjecí stanice). V této souvislosti je nutné podpořit i oblast akumulace energie, baterií. </w:t>
            </w:r>
          </w:p>
          <w:p w14:paraId="72486B9F" w14:textId="77777777" w:rsidR="00DD3EFA" w:rsidRPr="00EC2A1C" w:rsidRDefault="00DD3EFA" w:rsidP="00B15ECB">
            <w:pPr>
              <w:rPr>
                <w:b/>
              </w:rPr>
            </w:pPr>
            <w:r w:rsidRPr="00EC2A1C">
              <w:rPr>
                <w:color w:val="000000"/>
                <w:lang w:eastAsia="cs-CZ"/>
              </w:rPr>
              <w:t>Také je nutné podpořit rozvoj vodíkové infrastruktury a částečně také plnících stanic na LNG. Kromě toho by mohla být podpořena rekonstrukce stávající případně rozšíření trolejové trakce ať už tramvajové či trolejbusové.</w:t>
            </w:r>
          </w:p>
        </w:tc>
        <w:tc>
          <w:tcPr>
            <w:tcW w:w="377" w:type="dxa"/>
            <w:tcBorders>
              <w:top w:val="nil"/>
              <w:left w:val="nil"/>
              <w:bottom w:val="nil"/>
            </w:tcBorders>
            <w:shd w:val="clear" w:color="auto" w:fill="66CCFF"/>
          </w:tcPr>
          <w:p w14:paraId="5F55A194" w14:textId="77777777" w:rsidR="00DD3EFA" w:rsidRPr="00EC2A1C" w:rsidRDefault="00DD3EFA" w:rsidP="00B15ECB">
            <w:pPr>
              <w:rPr>
                <w:b/>
              </w:rPr>
            </w:pPr>
          </w:p>
        </w:tc>
      </w:tr>
      <w:tr w:rsidR="00DD3EFA" w:rsidRPr="00EC2A1C" w14:paraId="18AD3A91" w14:textId="77777777" w:rsidTr="00B15ECB">
        <w:trPr>
          <w:trHeight w:val="1258"/>
        </w:trPr>
        <w:tc>
          <w:tcPr>
            <w:tcW w:w="249" w:type="dxa"/>
            <w:tcBorders>
              <w:top w:val="nil"/>
              <w:bottom w:val="nil"/>
              <w:right w:val="nil"/>
            </w:tcBorders>
            <w:shd w:val="clear" w:color="auto" w:fill="66CCFF"/>
          </w:tcPr>
          <w:p w14:paraId="5EBA550B" w14:textId="77777777" w:rsidR="00DD3EFA" w:rsidRPr="00EC2A1C" w:rsidRDefault="00DD3EFA" w:rsidP="00B15ECB">
            <w:pPr>
              <w:rPr>
                <w:b/>
              </w:rPr>
            </w:pPr>
          </w:p>
        </w:tc>
        <w:tc>
          <w:tcPr>
            <w:tcW w:w="2548" w:type="dxa"/>
            <w:shd w:val="clear" w:color="auto" w:fill="FFFFFF" w:themeFill="background1"/>
          </w:tcPr>
          <w:p w14:paraId="2D5D6D6D" w14:textId="77777777" w:rsidR="00DD3EFA" w:rsidRPr="00EC2A1C" w:rsidRDefault="00DD3EFA" w:rsidP="00B15ECB">
            <w:pPr>
              <w:rPr>
                <w:rFonts w:eastAsiaTheme="majorEastAsia"/>
                <w:b/>
              </w:rPr>
            </w:pPr>
            <w:r w:rsidRPr="00EC2A1C">
              <w:rPr>
                <w:rFonts w:eastAsiaTheme="majorEastAsia"/>
                <w:b/>
              </w:rPr>
              <w:t>Věcný posun oblasti</w:t>
            </w:r>
          </w:p>
          <w:p w14:paraId="743BADAF"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850" w:type="dxa"/>
            <w:shd w:val="clear" w:color="auto" w:fill="FFFFFF" w:themeFill="background1"/>
          </w:tcPr>
          <w:p w14:paraId="3083108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V oblasti zavádění alternativních paliv byl největší pokrok zaznamenán v oblasti CNG. Zatímco v roce 2013 bylo v ČR provozováno 6300 CNG vozidel (z toho 400 NG autobusů), které obsluhovalo 50 CNG plnících stanic, v současnosti se počet vozidel i plnících stanic víc jak ztrojnásobil (22 600 vozidel z toho 1 200 CNG autobusů a 185 CNG plnících stanic). </w:t>
            </w:r>
          </w:p>
          <w:p w14:paraId="2F1DF1EC"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 dalších oblastech je pokrok výrazně pomalejší (elektromobilita) či téměř nulový (LNG/vodík), což je však do velké míry dáno nezaviněným zpoždění v implementaci dotačního programu rámci OPD na podporu výstavby dobíjecích a plnících stanic. Trh zde totiž čeká až na okamžik, kdy bude vybudována alespoň základní infrastruktura vodíkových a LNG plnících stanic.     </w:t>
            </w:r>
          </w:p>
          <w:p w14:paraId="2AD6AD46" w14:textId="77777777" w:rsidR="00DD3EFA" w:rsidRPr="00EC2A1C" w:rsidRDefault="00DD3EFA" w:rsidP="00B15ECB">
            <w:pPr>
              <w:spacing w:before="60"/>
              <w:rPr>
                <w:rFonts w:eastAsiaTheme="majorEastAsia"/>
              </w:rPr>
            </w:pPr>
            <w:r w:rsidRPr="00EC2A1C">
              <w:t>Zásadní bariérou, jak už bylo zmíněno, je však i vysoká cena dotčených vozidel.</w:t>
            </w:r>
          </w:p>
          <w:p w14:paraId="08C2154C" w14:textId="77777777" w:rsidR="00DD3EFA" w:rsidRPr="00EC2A1C" w:rsidRDefault="00DD3EFA" w:rsidP="00B15ECB">
            <w:pPr>
              <w:spacing w:before="60"/>
              <w:rPr>
                <w:rFonts w:eastAsiaTheme="majorEastAsia"/>
              </w:rPr>
            </w:pPr>
            <w:r w:rsidRPr="00EC2A1C">
              <w:rPr>
                <w:rFonts w:eastAsiaTheme="majorEastAsia"/>
              </w:rPr>
              <w:t>V období 2007–2013 nebyly tyto aktivity předmětem podpory z ESIF (OPPI).</w:t>
            </w:r>
          </w:p>
          <w:p w14:paraId="18B7C74C" w14:textId="77777777" w:rsidR="00DD3EFA" w:rsidRPr="00EC2A1C" w:rsidRDefault="00DD3EFA" w:rsidP="00B15ECB">
            <w:pPr>
              <w:rPr>
                <w:rFonts w:eastAsiaTheme="majorEastAsia"/>
              </w:rPr>
            </w:pPr>
          </w:p>
          <w:p w14:paraId="5D657B69" w14:textId="77777777" w:rsidR="00DD3EFA" w:rsidRPr="00EC2A1C" w:rsidRDefault="00DD3EFA" w:rsidP="00B15ECB">
            <w:pPr>
              <w:rPr>
                <w:rFonts w:eastAsiaTheme="majorEastAsia"/>
              </w:rPr>
            </w:pPr>
            <w:r w:rsidRPr="00EC2A1C">
              <w:rPr>
                <w:rFonts w:eastAsiaTheme="majorEastAsia"/>
              </w:rPr>
              <w:t>Za období 2014–2020 vyhodnocení probíhá v těchto dnech. Jde o Výsledkovou evaluaci SC 3.4 OP PIK</w:t>
            </w:r>
            <w:r w:rsidRPr="00EC2A1C">
              <w:t>.</w:t>
            </w:r>
            <w:r w:rsidRPr="00EC2A1C">
              <w:rPr>
                <w:rFonts w:eastAsiaTheme="majorEastAsia"/>
              </w:rPr>
              <w:t xml:space="preserve"> Dne 1. 2. 2019 byla předána Vstupní zpráva, Závěrečná zpráva se předpokládá v červnu 2019.</w:t>
            </w:r>
          </w:p>
          <w:p w14:paraId="193C4BF4"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Podařilo se nakoupit: přes 600 elektromobilů a 300 dobíjecích stanic pro podnikatele, </w:t>
            </w:r>
          </w:p>
        </w:tc>
        <w:tc>
          <w:tcPr>
            <w:tcW w:w="377" w:type="dxa"/>
            <w:tcBorders>
              <w:top w:val="nil"/>
              <w:left w:val="nil"/>
              <w:bottom w:val="nil"/>
            </w:tcBorders>
            <w:shd w:val="clear" w:color="auto" w:fill="66CCFF"/>
          </w:tcPr>
          <w:p w14:paraId="393A9D31" w14:textId="77777777" w:rsidR="00DD3EFA" w:rsidRPr="00EC2A1C" w:rsidRDefault="00DD3EFA" w:rsidP="00B15ECB">
            <w:pPr>
              <w:rPr>
                <w:b/>
              </w:rPr>
            </w:pPr>
          </w:p>
        </w:tc>
      </w:tr>
      <w:tr w:rsidR="00DD3EFA" w:rsidRPr="00EC2A1C" w14:paraId="2031CBCF" w14:textId="77777777" w:rsidTr="00B15ECB">
        <w:trPr>
          <w:trHeight w:val="1258"/>
        </w:trPr>
        <w:tc>
          <w:tcPr>
            <w:tcW w:w="249" w:type="dxa"/>
            <w:tcBorders>
              <w:top w:val="nil"/>
              <w:bottom w:val="nil"/>
              <w:right w:val="nil"/>
            </w:tcBorders>
            <w:shd w:val="clear" w:color="auto" w:fill="66CCFF"/>
          </w:tcPr>
          <w:p w14:paraId="48AC9761" w14:textId="77777777" w:rsidR="00DD3EFA" w:rsidRPr="00EC2A1C" w:rsidRDefault="00DD3EFA" w:rsidP="00B15ECB">
            <w:pPr>
              <w:rPr>
                <w:b/>
              </w:rPr>
            </w:pPr>
          </w:p>
        </w:tc>
        <w:tc>
          <w:tcPr>
            <w:tcW w:w="2548" w:type="dxa"/>
            <w:shd w:val="clear" w:color="auto" w:fill="FFFFFF" w:themeFill="background1"/>
          </w:tcPr>
          <w:p w14:paraId="203841C0" w14:textId="77777777" w:rsidR="00DD3EFA" w:rsidRPr="00EC2A1C" w:rsidRDefault="00DD3EFA" w:rsidP="00B15ECB">
            <w:pPr>
              <w:rPr>
                <w:rFonts w:eastAsiaTheme="majorEastAsia"/>
                <w:b/>
              </w:rPr>
            </w:pPr>
            <w:r w:rsidRPr="00EC2A1C">
              <w:rPr>
                <w:rFonts w:eastAsiaTheme="majorEastAsia"/>
                <w:b/>
              </w:rPr>
              <w:t>Synergické a multiplikační efekty</w:t>
            </w:r>
          </w:p>
          <w:p w14:paraId="293F309A"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850" w:type="dxa"/>
            <w:shd w:val="clear" w:color="auto" w:fill="FFFFFF" w:themeFill="background1"/>
          </w:tcPr>
          <w:p w14:paraId="7838533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Určité synergické efekty lze spatřovat zejména v pozitivních přínosech, které má zavádění alternativních paliv v dopravě pro oblast energetiky. Specificky se jedná o problematiku energetické účinnost, kdy lze vyjít ze skutečnosti, že náhrada konvenčního automobilu za elektromobil představuje pokles spotřeby energie na 40%. </w:t>
            </w:r>
          </w:p>
          <w:p w14:paraId="23DD6BEE"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O multiplikačním efektu lze hovořit např. ve vztahu k zavádění inovací v silniční dopravě. Za zmínku především stojí oblast ITS ať už v souvislosti s využíváním těchto systémů při informování uživatelů elektrických vozidel nebo v souvislosti s postupným vývojem v oblasti autonomního řízení. Zde lze vycházet z předpokladu, že tyto systému řízení budou v budoucnosti zaváděny primárně do elektrických případně vodíkových vozidel</w:t>
            </w:r>
            <w:r w:rsidRPr="00EC2A1C">
              <w:rPr>
                <w:rFonts w:ascii="Times New Roman" w:hAnsi="Times New Roman"/>
                <w:i/>
              </w:rPr>
              <w:t>.</w:t>
            </w:r>
          </w:p>
        </w:tc>
        <w:tc>
          <w:tcPr>
            <w:tcW w:w="377" w:type="dxa"/>
            <w:tcBorders>
              <w:top w:val="nil"/>
              <w:left w:val="nil"/>
              <w:bottom w:val="nil"/>
            </w:tcBorders>
            <w:shd w:val="clear" w:color="auto" w:fill="66CCFF"/>
          </w:tcPr>
          <w:p w14:paraId="00824230" w14:textId="77777777" w:rsidR="00DD3EFA" w:rsidRPr="00EC2A1C" w:rsidRDefault="00DD3EFA" w:rsidP="00B15ECB">
            <w:pPr>
              <w:rPr>
                <w:b/>
              </w:rPr>
            </w:pPr>
          </w:p>
        </w:tc>
      </w:tr>
      <w:tr w:rsidR="00DD3EFA" w:rsidRPr="00EC2A1C" w14:paraId="54B0ED6D" w14:textId="77777777" w:rsidTr="00B15ECB">
        <w:trPr>
          <w:trHeight w:val="180"/>
        </w:trPr>
        <w:tc>
          <w:tcPr>
            <w:tcW w:w="249" w:type="dxa"/>
            <w:tcBorders>
              <w:top w:val="nil"/>
              <w:bottom w:val="nil"/>
              <w:right w:val="nil"/>
            </w:tcBorders>
            <w:shd w:val="clear" w:color="auto" w:fill="66CCFF"/>
          </w:tcPr>
          <w:p w14:paraId="316489A9"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7901E5FB" w14:textId="77777777" w:rsidR="00DD3EFA" w:rsidRPr="00EC2A1C" w:rsidRDefault="00DD3EFA" w:rsidP="00B15ECB">
            <w:pPr>
              <w:rPr>
                <w:b/>
              </w:rPr>
            </w:pPr>
          </w:p>
        </w:tc>
        <w:tc>
          <w:tcPr>
            <w:tcW w:w="5850" w:type="dxa"/>
            <w:tcBorders>
              <w:left w:val="nil"/>
              <w:bottom w:val="single" w:sz="4" w:space="0" w:color="auto"/>
              <w:right w:val="nil"/>
            </w:tcBorders>
            <w:shd w:val="clear" w:color="auto" w:fill="66CCFF"/>
          </w:tcPr>
          <w:p w14:paraId="58E0BE9D" w14:textId="77777777" w:rsidR="00DD3EFA" w:rsidRPr="00EC2A1C" w:rsidRDefault="00DD3EFA" w:rsidP="00B15ECB">
            <w:pPr>
              <w:rPr>
                <w:b/>
              </w:rPr>
            </w:pPr>
          </w:p>
        </w:tc>
        <w:tc>
          <w:tcPr>
            <w:tcW w:w="377" w:type="dxa"/>
            <w:tcBorders>
              <w:top w:val="nil"/>
              <w:left w:val="nil"/>
              <w:bottom w:val="nil"/>
            </w:tcBorders>
            <w:shd w:val="clear" w:color="auto" w:fill="66CCFF"/>
          </w:tcPr>
          <w:p w14:paraId="40FD68F9" w14:textId="77777777" w:rsidR="00DD3EFA" w:rsidRPr="00EC2A1C" w:rsidRDefault="00DD3EFA" w:rsidP="00B15ECB">
            <w:pPr>
              <w:rPr>
                <w:b/>
              </w:rPr>
            </w:pPr>
          </w:p>
        </w:tc>
      </w:tr>
      <w:tr w:rsidR="00DD3EFA" w:rsidRPr="00EC2A1C" w14:paraId="50CD1872" w14:textId="77777777" w:rsidTr="00B15ECB">
        <w:trPr>
          <w:trHeight w:val="990"/>
        </w:trPr>
        <w:tc>
          <w:tcPr>
            <w:tcW w:w="249" w:type="dxa"/>
            <w:tcBorders>
              <w:top w:val="nil"/>
              <w:bottom w:val="nil"/>
            </w:tcBorders>
            <w:shd w:val="clear" w:color="auto" w:fill="66CCFF"/>
          </w:tcPr>
          <w:p w14:paraId="229147B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A7803A7" w14:textId="77777777" w:rsidR="00DD3EFA" w:rsidRPr="00EC2A1C" w:rsidRDefault="00DD3EFA" w:rsidP="00B15ECB">
            <w:pPr>
              <w:spacing w:before="60" w:after="60"/>
              <w:rPr>
                <w:rFonts w:eastAsiaTheme="majorEastAsia"/>
                <w:b/>
              </w:rPr>
            </w:pPr>
            <w:r w:rsidRPr="00EC2A1C">
              <w:rPr>
                <w:rFonts w:eastAsiaTheme="majorEastAsia"/>
                <w:b/>
              </w:rPr>
              <w:t>Absorpční kapacita</w:t>
            </w:r>
          </w:p>
        </w:tc>
        <w:tc>
          <w:tcPr>
            <w:tcW w:w="5850" w:type="dxa"/>
            <w:tcBorders>
              <w:bottom w:val="single" w:sz="4" w:space="0" w:color="auto"/>
            </w:tcBorders>
            <w:shd w:val="clear" w:color="auto" w:fill="FFFFFF" w:themeFill="background1"/>
          </w:tcPr>
          <w:p w14:paraId="2930F9E8" w14:textId="77777777" w:rsidR="00DD3EFA" w:rsidRPr="00EC2A1C" w:rsidRDefault="00DD3EFA" w:rsidP="00B15ECB">
            <w:pPr>
              <w:spacing w:before="60" w:after="60"/>
              <w:rPr>
                <w:rFonts w:eastAsiaTheme="majorEastAsia"/>
              </w:rPr>
            </w:pPr>
          </w:p>
        </w:tc>
        <w:tc>
          <w:tcPr>
            <w:tcW w:w="377" w:type="dxa"/>
            <w:tcBorders>
              <w:top w:val="nil"/>
              <w:bottom w:val="nil"/>
            </w:tcBorders>
            <w:shd w:val="clear" w:color="auto" w:fill="66CCFF"/>
          </w:tcPr>
          <w:p w14:paraId="56F003C2" w14:textId="77777777" w:rsidR="00DD3EFA" w:rsidRPr="00EC2A1C" w:rsidRDefault="00DD3EFA" w:rsidP="00B15ECB">
            <w:pPr>
              <w:rPr>
                <w:b/>
              </w:rPr>
            </w:pPr>
          </w:p>
        </w:tc>
      </w:tr>
      <w:tr w:rsidR="00DD3EFA" w:rsidRPr="00EC2A1C" w14:paraId="0691090A" w14:textId="77777777" w:rsidTr="00B15ECB">
        <w:trPr>
          <w:trHeight w:val="1260"/>
        </w:trPr>
        <w:tc>
          <w:tcPr>
            <w:tcW w:w="249" w:type="dxa"/>
            <w:tcBorders>
              <w:top w:val="nil"/>
              <w:bottom w:val="nil"/>
            </w:tcBorders>
            <w:shd w:val="clear" w:color="auto" w:fill="66CCFF"/>
          </w:tcPr>
          <w:p w14:paraId="672FA7A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A3E99A4"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850" w:type="dxa"/>
            <w:tcBorders>
              <w:bottom w:val="single" w:sz="4" w:space="0" w:color="auto"/>
            </w:tcBorders>
            <w:shd w:val="clear" w:color="auto" w:fill="FFFFFF" w:themeFill="background1"/>
          </w:tcPr>
          <w:p w14:paraId="3E98ED5D" w14:textId="77777777" w:rsidR="00DD3EFA" w:rsidRPr="00EC2A1C" w:rsidRDefault="00DD3EFA" w:rsidP="00B15ECB">
            <w:pPr>
              <w:rPr>
                <w:rFonts w:eastAsiaTheme="majorEastAsia"/>
              </w:rPr>
            </w:pPr>
            <w:r w:rsidRPr="00EC2A1C">
              <w:rPr>
                <w:rFonts w:eastAsiaTheme="majorEastAsia"/>
              </w:rPr>
              <w:t xml:space="preserve">V oblasti infrastruktury pro alternativní paliva je těžké činit jakékoliv jasné závěry, neboť nebyly dosud realizovány všechny výzvy. Zatím lze konstatovat, že zatímco u podporgramů týkajících se podpory dobíjecích stanic nedochází k vyčerpání všech alokovaných prostředků, u podprogramů zaměřených na vodíkové a LNG stanice byla absopční kapacita i vyšší než kolik bylo prostředků na příslušné výzvy. Předpokládá se proto, že bude vyhlášena buď dodateečná (neplánovnaná) výzva případně dojde k navýšení plánované alokace a to s využitém prostředků, které zbydou u zmiňovaných podprogramů zaměřených na elektromobilu. </w:t>
            </w:r>
          </w:p>
          <w:p w14:paraId="0BD6D8E3" w14:textId="77777777" w:rsidR="00DD3EFA" w:rsidRPr="00EC2A1C" w:rsidRDefault="00DD3EFA" w:rsidP="00B15ECB">
            <w:pPr>
              <w:rPr>
                <w:rFonts w:eastAsiaTheme="majorEastAsia"/>
              </w:rPr>
            </w:pPr>
          </w:p>
          <w:p w14:paraId="4C4B369C" w14:textId="77777777" w:rsidR="00DD3EFA" w:rsidRPr="00EC2A1C" w:rsidRDefault="00DD3EFA" w:rsidP="00B15ECB">
            <w:pPr>
              <w:spacing w:before="60" w:after="60"/>
              <w:rPr>
                <w:rFonts w:eastAsiaTheme="majorEastAsia"/>
                <w:i/>
              </w:rPr>
            </w:pPr>
            <w:r w:rsidRPr="00EC2A1C">
              <w:rPr>
                <w:rFonts w:eastAsiaTheme="majorEastAsia"/>
              </w:rPr>
              <w:t>V případě dotačních programů v rámci IROP i OP PIK došlo k rozhodnutí navýšit objem finančních prostředků určených na jejich realizci, což svědčí o tom, že absorpční kapacita v této oblasti je velmi vysoká.</w:t>
            </w:r>
          </w:p>
          <w:p w14:paraId="7C7AD6B6" w14:textId="77777777" w:rsidR="00DD3EFA" w:rsidRPr="00EC2A1C" w:rsidRDefault="00DD3EFA" w:rsidP="00B15ECB">
            <w:pPr>
              <w:spacing w:before="60" w:after="60"/>
              <w:rPr>
                <w:rFonts w:eastAsiaTheme="majorEastAsia"/>
              </w:rPr>
            </w:pPr>
            <w:r w:rsidRPr="00EC2A1C">
              <w:rPr>
                <w:rFonts w:eastAsiaTheme="majorEastAsia"/>
              </w:rPr>
              <w:t>Oblast je podporována z OP PIK v rámci PO 3, IP 4 „Podpora výzkumu a inovací a zavádění nízkouhlíkových technologií“ SC 3.4 „Uplatnit inovativní nízkouhlíkové technologie v oblasti nakládání energií a při využívání druhotných surovin“ Obecně je v rámci elektromobility identifikována vysoká poptávka přesahující vyhlašovanou alokaci.</w:t>
            </w:r>
          </w:p>
          <w:p w14:paraId="0F8BEE5E" w14:textId="77777777" w:rsidR="00DD3EFA" w:rsidRPr="00EC2A1C" w:rsidRDefault="00DD3EFA" w:rsidP="00B15ECB">
            <w:pPr>
              <w:spacing w:before="40" w:after="40"/>
            </w:pPr>
            <w:r w:rsidRPr="00EC2A1C">
              <w:t>Celková alokace na investiční dotace SC 3.4  byla z původní výše alokace 37,549 mil. EUR navýšena na 78,850 mil. EUR podle programového dokumentu OP PIK. K 29.1.2019 bylo celkem schváleno celkem 322 žádosti s celkovou investiční dotací ve výši 812,817 mil. Kč. U celkem 73 projektů byla vyplacená investiční dotace ve výši 104,837 mil. Kč. Z toho na elektromobilitu připadá 217  schválených žádostí, CZV projektů je 289,914 mil Kč, příspěvek EU je 206,233 mil. Kč. Vyplacena byla dotace ve výši 21,377 mil Kč</w:t>
            </w:r>
          </w:p>
        </w:tc>
        <w:tc>
          <w:tcPr>
            <w:tcW w:w="377" w:type="dxa"/>
            <w:tcBorders>
              <w:top w:val="nil"/>
              <w:bottom w:val="nil"/>
            </w:tcBorders>
            <w:shd w:val="clear" w:color="auto" w:fill="66CCFF"/>
          </w:tcPr>
          <w:p w14:paraId="06445582" w14:textId="77777777" w:rsidR="00DD3EFA" w:rsidRPr="00EC2A1C" w:rsidRDefault="00DD3EFA" w:rsidP="00B15ECB">
            <w:pPr>
              <w:rPr>
                <w:b/>
              </w:rPr>
            </w:pPr>
          </w:p>
        </w:tc>
      </w:tr>
      <w:tr w:rsidR="00DD3EFA" w:rsidRPr="00EC2A1C" w14:paraId="19256646" w14:textId="77777777" w:rsidTr="00B15ECB">
        <w:trPr>
          <w:trHeight w:val="850"/>
        </w:trPr>
        <w:tc>
          <w:tcPr>
            <w:tcW w:w="249" w:type="dxa"/>
            <w:tcBorders>
              <w:top w:val="nil"/>
              <w:bottom w:val="nil"/>
            </w:tcBorders>
            <w:shd w:val="clear" w:color="auto" w:fill="66CCFF"/>
          </w:tcPr>
          <w:p w14:paraId="0514699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B22F4EE"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850" w:type="dxa"/>
            <w:tcBorders>
              <w:bottom w:val="single" w:sz="4" w:space="0" w:color="auto"/>
            </w:tcBorders>
            <w:shd w:val="clear" w:color="auto" w:fill="FFFFFF" w:themeFill="background1"/>
          </w:tcPr>
          <w:p w14:paraId="071B4813" w14:textId="77777777" w:rsidR="00DD3EFA" w:rsidRPr="00EC2A1C" w:rsidRDefault="00DD3EFA" w:rsidP="00B15ECB">
            <w:r w:rsidRPr="00EC2A1C">
              <w:rPr>
                <w:rFonts w:eastAsiaTheme="majorEastAsia"/>
              </w:rPr>
              <w:t>Na základě komunikace se zainteresovanými subjekty lze konstatovat, že zájem na straně potenciálních příjemců podpory je vysoký. Týká se to jak oblasti rozvoje infrastruktury dobjecích a plnících stanic (provozovatelé dobíjecích a plnících stanic), tak i rozvoje trhu bezemisních a nízkoemisních vozidel. Zde svůj zájem projevili mj. podnikatelské subjekty v oblasti nákladní dopravy, kteří upozorňují na to, že bez dotace na nákup těchto vozidel, nebude v jejich silách si tato vozidla nakoupit a o z důvodu vysokých pořizovacích nákladů. Zájem byl zaznamenán též v oblasti veřejné autobusové dopravy. Ten bude v budoucnosti do značné míry determinován povinnostmi vyplývajícími  pro objednavagtele veřejné autobusové dopravy z novely směrnice o čistých vozidlech.</w:t>
            </w:r>
          </w:p>
          <w:p w14:paraId="3CA8ACE3" w14:textId="77777777" w:rsidR="00DD3EFA" w:rsidRPr="00EC2A1C" w:rsidRDefault="00DD3EFA" w:rsidP="00B15ECB"/>
          <w:p w14:paraId="2DFD4BD8" w14:textId="77777777" w:rsidR="00DD3EFA" w:rsidRPr="00EC2A1C" w:rsidRDefault="00DD3EFA" w:rsidP="00B15ECB">
            <w:r w:rsidRPr="00EC2A1C">
              <w:t>Do budoucna lze i nadále očekávat vysokou poptávku po podpoře pořízení vozidel na alternativní pohon, a to prostřednicvím globálního grantu, nebo jiných plošných instrumentů, i když u měřítka jednotlivých velmi malých projektů nepřesahujících řád desítek vozidel se jedná o značně neefektivní náklady na administrativu.</w:t>
            </w:r>
          </w:p>
          <w:p w14:paraId="69536CF7" w14:textId="77777777" w:rsidR="00DD3EFA" w:rsidRPr="00EC2A1C" w:rsidRDefault="00DD3EFA" w:rsidP="00B15ECB"/>
          <w:p w14:paraId="40883538" w14:textId="77777777" w:rsidR="00DD3EFA" w:rsidRPr="00EC2A1C" w:rsidRDefault="00DD3EFA" w:rsidP="00B15ECB">
            <w:r w:rsidRPr="00EC2A1C">
              <w:rPr>
                <w:rFonts w:eastAsiaTheme="majorEastAsia"/>
              </w:rPr>
              <w:t xml:space="preserve">MPO v současnosti řeší/soutěží </w:t>
            </w:r>
            <w:r w:rsidRPr="00EC2A1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446E77FD" w14:textId="77777777" w:rsidR="00DD3EFA" w:rsidRPr="00EC2A1C" w:rsidRDefault="00DD3EFA" w:rsidP="00B15ECB">
            <w:r w:rsidRPr="00EC2A1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tc>
        <w:tc>
          <w:tcPr>
            <w:tcW w:w="377" w:type="dxa"/>
            <w:tcBorders>
              <w:top w:val="nil"/>
              <w:bottom w:val="nil"/>
            </w:tcBorders>
            <w:shd w:val="clear" w:color="auto" w:fill="66CCFF"/>
          </w:tcPr>
          <w:p w14:paraId="5CFE0C29" w14:textId="77777777" w:rsidR="00DD3EFA" w:rsidRPr="00EC2A1C" w:rsidRDefault="00DD3EFA" w:rsidP="00B15ECB">
            <w:pPr>
              <w:rPr>
                <w:b/>
              </w:rPr>
            </w:pPr>
          </w:p>
        </w:tc>
      </w:tr>
      <w:tr w:rsidR="00DD3EFA" w:rsidRPr="00EC2A1C" w14:paraId="126EB47D" w14:textId="77777777" w:rsidTr="00B15ECB">
        <w:trPr>
          <w:trHeight w:val="925"/>
        </w:trPr>
        <w:tc>
          <w:tcPr>
            <w:tcW w:w="249" w:type="dxa"/>
            <w:tcBorders>
              <w:top w:val="nil"/>
              <w:bottom w:val="nil"/>
            </w:tcBorders>
            <w:shd w:val="clear" w:color="auto" w:fill="66CCFF"/>
          </w:tcPr>
          <w:p w14:paraId="4AD15C0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CC549A5"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850" w:type="dxa"/>
            <w:tcBorders>
              <w:bottom w:val="single" w:sz="4" w:space="0" w:color="auto"/>
            </w:tcBorders>
            <w:shd w:val="clear" w:color="auto" w:fill="FFFFFF" w:themeFill="background1"/>
          </w:tcPr>
          <w:p w14:paraId="17A72080" w14:textId="77777777" w:rsidR="00DD3EFA" w:rsidRPr="00EC2A1C" w:rsidRDefault="00DD3EFA" w:rsidP="00B15ECB">
            <w:pPr>
              <w:spacing w:before="60" w:after="60"/>
              <w:rPr>
                <w:rFonts w:eastAsiaTheme="majorEastAsia"/>
              </w:rPr>
            </w:pPr>
            <w:r w:rsidRPr="00EC2A1C">
              <w:rPr>
                <w:rFonts w:eastAsiaTheme="majorEastAsia"/>
              </w:rPr>
              <w:t xml:space="preserve">Pokud jde o oblast rozvoje dobíjecích a plnících stanic zde zatím probíhá hodnocení zkušeností s implementace současného dotačního programu. Na základě tohoto hodnocení bude třeba zahájit v roce 2020 jednání s EK ohledně nové notifikace veřejné podpory.   </w:t>
            </w:r>
          </w:p>
          <w:p w14:paraId="01969503" w14:textId="77777777" w:rsidR="00DD3EFA" w:rsidRPr="00EC2A1C" w:rsidRDefault="00DD3EFA" w:rsidP="00B15ECB">
            <w:pPr>
              <w:spacing w:before="60" w:after="60"/>
              <w:rPr>
                <w:rFonts w:eastAsiaTheme="majorEastAsia"/>
              </w:rPr>
            </w:pPr>
            <w:r w:rsidRPr="00EC2A1C">
              <w:rPr>
                <w:rFonts w:eastAsiaTheme="majorEastAsia"/>
              </w:rPr>
              <w:t>Informace o přípravách na jiných resortech nejsou MD k dispozici.</w:t>
            </w:r>
          </w:p>
          <w:p w14:paraId="08DF44A6" w14:textId="77777777" w:rsidR="00DD3EFA" w:rsidRPr="00EC2A1C" w:rsidRDefault="00DD3EFA" w:rsidP="00B15ECB">
            <w:pPr>
              <w:spacing w:before="60" w:after="60"/>
              <w:rPr>
                <w:rFonts w:eastAsiaTheme="majorEastAsia"/>
              </w:rPr>
            </w:pPr>
            <w:r w:rsidRPr="00EC2A1C">
              <w:rPr>
                <w:rFonts w:eastAsiaTheme="majorEastAsia"/>
              </w:rPr>
              <w:t>V rámci aktualizace Národního akčního plánu čisté mobility předpokládáme nadále využívání ESIF v dalším programovacím období 2021+ na podporu čisté mobilility ve stejné, případně vyšší alokaci.</w:t>
            </w:r>
          </w:p>
        </w:tc>
        <w:tc>
          <w:tcPr>
            <w:tcW w:w="377" w:type="dxa"/>
            <w:tcBorders>
              <w:top w:val="nil"/>
              <w:bottom w:val="nil"/>
            </w:tcBorders>
            <w:shd w:val="clear" w:color="auto" w:fill="66CCFF"/>
          </w:tcPr>
          <w:p w14:paraId="78593C64" w14:textId="77777777" w:rsidR="00DD3EFA" w:rsidRPr="00EC2A1C" w:rsidRDefault="00DD3EFA" w:rsidP="00B15ECB">
            <w:pPr>
              <w:rPr>
                <w:b/>
              </w:rPr>
            </w:pPr>
          </w:p>
        </w:tc>
      </w:tr>
      <w:tr w:rsidR="00DD3EFA" w:rsidRPr="00EC2A1C" w14:paraId="12453568" w14:textId="77777777" w:rsidTr="00B15ECB">
        <w:trPr>
          <w:trHeight w:val="1001"/>
        </w:trPr>
        <w:tc>
          <w:tcPr>
            <w:tcW w:w="249" w:type="dxa"/>
            <w:tcBorders>
              <w:top w:val="nil"/>
              <w:bottom w:val="nil"/>
            </w:tcBorders>
            <w:shd w:val="clear" w:color="auto" w:fill="66CCFF"/>
          </w:tcPr>
          <w:p w14:paraId="3C0EEDB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3C231D7"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850" w:type="dxa"/>
            <w:tcBorders>
              <w:bottom w:val="single" w:sz="4" w:space="0" w:color="auto"/>
            </w:tcBorders>
            <w:shd w:val="clear" w:color="auto" w:fill="FFFFFF" w:themeFill="background1"/>
          </w:tcPr>
          <w:p w14:paraId="6BFECCF6" w14:textId="77777777" w:rsidR="00DD3EFA" w:rsidRPr="00EC2A1C" w:rsidRDefault="00DD3EFA" w:rsidP="00B15ECB">
            <w:pPr>
              <w:spacing w:before="60" w:after="60"/>
              <w:rPr>
                <w:rFonts w:eastAsiaTheme="majorEastAsia"/>
              </w:rPr>
            </w:pPr>
            <w:r w:rsidRPr="00EC2A1C">
              <w:rPr>
                <w:rFonts w:eastAsiaTheme="majorEastAsia"/>
              </w:rPr>
              <w:t xml:space="preserve">Pokud jde o oblast infrastruktury za největší  bariéru lze označit náročný proces notifikace veřejné podpory ve vztahu k Evropské komisi, který může vést k jistému zpoždění při realizaci daného dotačního programu. Toto případné zpoždění by však nemělo jakkolik ohrozit realizaci daného dotačního programu a jeho úspěšné čerpání.  </w:t>
            </w:r>
          </w:p>
          <w:p w14:paraId="2909DAA0" w14:textId="77777777" w:rsidR="00DD3EFA" w:rsidRPr="00EC2A1C" w:rsidRDefault="00DD3EFA" w:rsidP="00B15ECB">
            <w:pPr>
              <w:spacing w:before="60" w:after="60"/>
              <w:rPr>
                <w:rFonts w:eastAsiaTheme="majorEastAsia"/>
              </w:rPr>
            </w:pPr>
            <w:r w:rsidRPr="00EC2A1C">
              <w:rPr>
                <w:rFonts w:eastAsiaTheme="majorEastAsia"/>
              </w:rPr>
              <w:t>V oblasti podpory nákupu může být jistou bariérou nedostatek požadovaných čistých vozidel na trhu nebo zpoždění při jejich dodávce na český trh.</w:t>
            </w:r>
          </w:p>
        </w:tc>
        <w:tc>
          <w:tcPr>
            <w:tcW w:w="377" w:type="dxa"/>
            <w:tcBorders>
              <w:top w:val="nil"/>
              <w:bottom w:val="nil"/>
            </w:tcBorders>
            <w:shd w:val="clear" w:color="auto" w:fill="66CCFF"/>
          </w:tcPr>
          <w:p w14:paraId="7A14FD45" w14:textId="77777777" w:rsidR="00DD3EFA" w:rsidRPr="00EC2A1C" w:rsidRDefault="00DD3EFA" w:rsidP="00B15ECB">
            <w:pPr>
              <w:rPr>
                <w:b/>
              </w:rPr>
            </w:pPr>
          </w:p>
        </w:tc>
      </w:tr>
      <w:tr w:rsidR="00DD3EFA" w:rsidRPr="00EC2A1C" w14:paraId="61E6EA30"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041E9BA5"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545B9A6" w14:textId="77777777" w:rsidR="00DD3EFA" w:rsidRPr="00EC2A1C" w:rsidRDefault="00DD3EFA" w:rsidP="00B15ECB">
            <w:pPr>
              <w:spacing w:before="60" w:after="60"/>
              <w:rPr>
                <w:rFonts w:eastAsiaTheme="majorEastAsia"/>
                <w:b/>
              </w:rPr>
            </w:pPr>
          </w:p>
        </w:tc>
        <w:tc>
          <w:tcPr>
            <w:tcW w:w="5850" w:type="dxa"/>
            <w:tcBorders>
              <w:top w:val="single" w:sz="4" w:space="0" w:color="auto"/>
              <w:left w:val="nil"/>
              <w:bottom w:val="single" w:sz="4" w:space="0" w:color="auto"/>
              <w:right w:val="nil"/>
            </w:tcBorders>
            <w:shd w:val="clear" w:color="auto" w:fill="66CCFF"/>
          </w:tcPr>
          <w:p w14:paraId="7EEFCB53" w14:textId="77777777" w:rsidR="00DD3EFA" w:rsidRPr="00EC2A1C" w:rsidRDefault="00DD3EFA" w:rsidP="00B15ECB">
            <w:pPr>
              <w:spacing w:before="60" w:after="60"/>
              <w:rPr>
                <w:rFonts w:eastAsiaTheme="majorEastAsia"/>
                <w:i/>
              </w:rPr>
            </w:pPr>
          </w:p>
        </w:tc>
        <w:tc>
          <w:tcPr>
            <w:tcW w:w="377" w:type="dxa"/>
            <w:tcBorders>
              <w:top w:val="nil"/>
              <w:left w:val="nil"/>
              <w:bottom w:val="single" w:sz="4" w:space="0" w:color="auto"/>
              <w:right w:val="single" w:sz="4" w:space="0" w:color="auto"/>
            </w:tcBorders>
            <w:shd w:val="clear" w:color="auto" w:fill="66CCFF"/>
          </w:tcPr>
          <w:p w14:paraId="50582DEE" w14:textId="77777777" w:rsidR="00DD3EFA" w:rsidRPr="00EC2A1C" w:rsidRDefault="00DD3EFA" w:rsidP="00B15ECB">
            <w:pPr>
              <w:rPr>
                <w:b/>
              </w:rPr>
            </w:pPr>
          </w:p>
        </w:tc>
      </w:tr>
      <w:tr w:rsidR="00DD3EFA" w:rsidRPr="00EC2A1C" w14:paraId="14ECBF17" w14:textId="77777777" w:rsidTr="00B15ECB">
        <w:trPr>
          <w:trHeight w:val="1968"/>
        </w:trPr>
        <w:tc>
          <w:tcPr>
            <w:tcW w:w="249" w:type="dxa"/>
            <w:tcBorders>
              <w:top w:val="single" w:sz="4" w:space="0" w:color="auto"/>
              <w:bottom w:val="nil"/>
            </w:tcBorders>
            <w:shd w:val="clear" w:color="auto" w:fill="66CCFF"/>
          </w:tcPr>
          <w:p w14:paraId="72B30E66" w14:textId="77777777" w:rsidR="00DD3EFA" w:rsidRPr="00EC2A1C" w:rsidRDefault="00DD3EFA" w:rsidP="00B15ECB">
            <w:pPr>
              <w:rPr>
                <w:b/>
              </w:rPr>
            </w:pPr>
          </w:p>
        </w:tc>
        <w:tc>
          <w:tcPr>
            <w:tcW w:w="2548" w:type="dxa"/>
            <w:tcBorders>
              <w:top w:val="single" w:sz="4" w:space="0" w:color="auto"/>
            </w:tcBorders>
            <w:shd w:val="clear" w:color="auto" w:fill="FFFFFF" w:themeFill="background1"/>
          </w:tcPr>
          <w:p w14:paraId="5A3C4C86" w14:textId="77777777" w:rsidR="00DD3EFA" w:rsidRPr="00EC2A1C" w:rsidRDefault="00DD3EFA" w:rsidP="00B15ECB">
            <w:pPr>
              <w:spacing w:before="60" w:after="60"/>
              <w:rPr>
                <w:rFonts w:eastAsiaTheme="majorEastAsia"/>
                <w:b/>
              </w:rPr>
            </w:pPr>
            <w:r w:rsidRPr="00EC2A1C">
              <w:rPr>
                <w:rFonts w:eastAsiaTheme="majorEastAsia"/>
                <w:b/>
              </w:rPr>
              <w:t>Alternativní zdroje</w:t>
            </w:r>
          </w:p>
        </w:tc>
        <w:tc>
          <w:tcPr>
            <w:tcW w:w="5850" w:type="dxa"/>
            <w:tcBorders>
              <w:top w:val="single" w:sz="4" w:space="0" w:color="auto"/>
            </w:tcBorders>
            <w:shd w:val="clear" w:color="auto" w:fill="FFFFFF" w:themeFill="background1"/>
          </w:tcPr>
          <w:p w14:paraId="5650990E" w14:textId="77777777" w:rsidR="00DD3EFA" w:rsidRPr="00EC2A1C" w:rsidRDefault="00DD3EFA" w:rsidP="00B15ECB">
            <w:pPr>
              <w:spacing w:before="60" w:after="60"/>
              <w:rPr>
                <w:rFonts w:eastAsiaTheme="majorEastAsia"/>
                <w:u w:val="single"/>
              </w:rPr>
            </w:pPr>
          </w:p>
        </w:tc>
        <w:tc>
          <w:tcPr>
            <w:tcW w:w="377" w:type="dxa"/>
            <w:tcBorders>
              <w:top w:val="single" w:sz="4" w:space="0" w:color="auto"/>
              <w:bottom w:val="nil"/>
            </w:tcBorders>
            <w:shd w:val="clear" w:color="auto" w:fill="66CCFF"/>
          </w:tcPr>
          <w:p w14:paraId="6D0C88E6" w14:textId="77777777" w:rsidR="00DD3EFA" w:rsidRPr="00EC2A1C" w:rsidRDefault="00DD3EFA" w:rsidP="00B15ECB">
            <w:pPr>
              <w:rPr>
                <w:b/>
              </w:rPr>
            </w:pPr>
          </w:p>
        </w:tc>
      </w:tr>
      <w:tr w:rsidR="00DD3EFA" w:rsidRPr="00EC2A1C" w14:paraId="414C77C4" w14:textId="77777777" w:rsidTr="00B15ECB">
        <w:trPr>
          <w:trHeight w:val="1968"/>
        </w:trPr>
        <w:tc>
          <w:tcPr>
            <w:tcW w:w="249" w:type="dxa"/>
            <w:tcBorders>
              <w:top w:val="nil"/>
              <w:bottom w:val="nil"/>
            </w:tcBorders>
            <w:shd w:val="clear" w:color="auto" w:fill="66CCFF"/>
          </w:tcPr>
          <w:p w14:paraId="596B9F9C" w14:textId="77777777" w:rsidR="00DD3EFA" w:rsidRPr="00EC2A1C" w:rsidRDefault="00DD3EFA" w:rsidP="00B15ECB">
            <w:pPr>
              <w:rPr>
                <w:b/>
              </w:rPr>
            </w:pPr>
          </w:p>
        </w:tc>
        <w:tc>
          <w:tcPr>
            <w:tcW w:w="2548" w:type="dxa"/>
            <w:tcBorders>
              <w:top w:val="nil"/>
            </w:tcBorders>
            <w:shd w:val="clear" w:color="auto" w:fill="FFFFFF" w:themeFill="background1"/>
          </w:tcPr>
          <w:p w14:paraId="10D6FDBD" w14:textId="77777777" w:rsidR="00DD3EFA" w:rsidRPr="00EC2A1C" w:rsidRDefault="00DD3EFA" w:rsidP="00391907">
            <w:pPr>
              <w:pStyle w:val="Odstavecseseznamem"/>
              <w:numPr>
                <w:ilvl w:val="0"/>
                <w:numId w:val="62"/>
              </w:numPr>
              <w:tabs>
                <w:tab w:val="left" w:pos="301"/>
              </w:tabs>
              <w:spacing w:before="60" w:after="60"/>
              <w:ind w:left="0" w:firstLine="0"/>
              <w:rPr>
                <w:rFonts w:eastAsiaTheme="majorEastAsia"/>
                <w:b/>
              </w:rPr>
            </w:pPr>
            <w:r w:rsidRPr="00EC2A1C">
              <w:rPr>
                <w:rFonts w:eastAsiaTheme="majorEastAsia"/>
                <w:b/>
              </w:rPr>
              <w:t>Unijní programy</w:t>
            </w:r>
          </w:p>
        </w:tc>
        <w:tc>
          <w:tcPr>
            <w:tcW w:w="5850" w:type="dxa"/>
            <w:tcBorders>
              <w:top w:val="nil"/>
            </w:tcBorders>
            <w:shd w:val="clear" w:color="auto" w:fill="FFFFFF" w:themeFill="background1"/>
          </w:tcPr>
          <w:p w14:paraId="22D0FBE0" w14:textId="77777777" w:rsidR="00DD3EFA" w:rsidRPr="00EC2A1C" w:rsidRDefault="00DD3EFA" w:rsidP="00B15ECB">
            <w:pPr>
              <w:spacing w:before="60" w:after="60"/>
              <w:rPr>
                <w:rFonts w:eastAsiaTheme="majorEastAsia"/>
              </w:rPr>
            </w:pPr>
            <w:r w:rsidRPr="00EC2A1C">
              <w:rPr>
                <w:rFonts w:eastAsiaTheme="majorEastAsia"/>
              </w:rPr>
              <w:t>Určitou možnost nabízí fond CEF (Nástroj pro propojení Evropy), kde v rámci horizontálních priorit se předpokládá podpora rozvoje infrastruktury pro alternativní paliva. Objem prostředků, které by měly být použity na realizaci předpokládaných cílů NAP ČM pro období 2021-2030 však zdaleka přesahuje možnosti čerpání ČR z tohoto fondu. Kromě toho je zde vysoké riziko, že  ne všechny projekty v této oblasti budou způsobilé pro CEF, neboť ten klade důraz především na rozvoj infrastruktury dobíjecích a plnících stanic na TEN-T.</w:t>
            </w:r>
          </w:p>
        </w:tc>
        <w:tc>
          <w:tcPr>
            <w:tcW w:w="377" w:type="dxa"/>
            <w:tcBorders>
              <w:top w:val="nil"/>
              <w:bottom w:val="nil"/>
            </w:tcBorders>
            <w:shd w:val="clear" w:color="auto" w:fill="66CCFF"/>
          </w:tcPr>
          <w:p w14:paraId="465B8D67" w14:textId="77777777" w:rsidR="00DD3EFA" w:rsidRPr="00EC2A1C" w:rsidRDefault="00DD3EFA" w:rsidP="00B15ECB">
            <w:pPr>
              <w:rPr>
                <w:b/>
              </w:rPr>
            </w:pPr>
          </w:p>
        </w:tc>
      </w:tr>
      <w:tr w:rsidR="00DD3EFA" w:rsidRPr="00EC2A1C" w14:paraId="2B124B12" w14:textId="77777777" w:rsidTr="00B15ECB">
        <w:trPr>
          <w:trHeight w:val="1968"/>
        </w:trPr>
        <w:tc>
          <w:tcPr>
            <w:tcW w:w="249" w:type="dxa"/>
            <w:tcBorders>
              <w:top w:val="nil"/>
              <w:bottom w:val="nil"/>
            </w:tcBorders>
            <w:shd w:val="clear" w:color="auto" w:fill="66CCFF"/>
          </w:tcPr>
          <w:p w14:paraId="2D9B81C1" w14:textId="77777777" w:rsidR="00DD3EFA" w:rsidRPr="00EC2A1C" w:rsidRDefault="00DD3EFA" w:rsidP="00B15ECB">
            <w:pPr>
              <w:rPr>
                <w:b/>
              </w:rPr>
            </w:pPr>
          </w:p>
        </w:tc>
        <w:tc>
          <w:tcPr>
            <w:tcW w:w="2548" w:type="dxa"/>
            <w:tcBorders>
              <w:top w:val="nil"/>
            </w:tcBorders>
            <w:shd w:val="clear" w:color="auto" w:fill="FFFFFF" w:themeFill="background1"/>
          </w:tcPr>
          <w:p w14:paraId="41CDA400" w14:textId="77777777" w:rsidR="00DD3EFA" w:rsidRPr="00EC2A1C" w:rsidRDefault="00DD3EFA" w:rsidP="00391907">
            <w:pPr>
              <w:pStyle w:val="Odstavecseseznamem"/>
              <w:numPr>
                <w:ilvl w:val="0"/>
                <w:numId w:val="62"/>
              </w:numPr>
              <w:tabs>
                <w:tab w:val="left" w:pos="326"/>
              </w:tabs>
              <w:spacing w:before="60" w:after="60"/>
              <w:ind w:left="0" w:firstLine="0"/>
              <w:rPr>
                <w:rFonts w:eastAsiaTheme="majorEastAsia"/>
                <w:b/>
              </w:rPr>
            </w:pPr>
            <w:r w:rsidRPr="00EC2A1C">
              <w:rPr>
                <w:rFonts w:eastAsiaTheme="majorEastAsia"/>
                <w:b/>
              </w:rPr>
              <w:t>Státní rozpočet a další národní zdroje</w:t>
            </w:r>
          </w:p>
        </w:tc>
        <w:tc>
          <w:tcPr>
            <w:tcW w:w="5850" w:type="dxa"/>
            <w:tcBorders>
              <w:top w:val="nil"/>
            </w:tcBorders>
            <w:shd w:val="clear" w:color="auto" w:fill="FFFFFF" w:themeFill="background1"/>
          </w:tcPr>
          <w:p w14:paraId="09197A81" w14:textId="77777777" w:rsidR="00DD3EFA" w:rsidRPr="00EC2A1C" w:rsidRDefault="00DD3EFA" w:rsidP="00B15ECB">
            <w:pPr>
              <w:spacing w:before="60" w:after="60"/>
              <w:rPr>
                <w:rFonts w:eastAsiaTheme="majorEastAsia"/>
              </w:rPr>
            </w:pPr>
            <w:r w:rsidRPr="00EC2A1C">
              <w:rPr>
                <w:rFonts w:eastAsiaTheme="majorEastAsia"/>
              </w:rPr>
              <w:t xml:space="preserve">S ohledem na dosavadní zkušenosti nelze v této oblasti přříliš spoléhat na financování podpory čisté mobility ze státního rozpočtu. </w:t>
            </w:r>
          </w:p>
          <w:p w14:paraId="317D6CEC" w14:textId="77777777" w:rsidR="00DD3EFA" w:rsidRPr="00EC2A1C" w:rsidRDefault="00DD3EFA" w:rsidP="00B15ECB">
            <w:pPr>
              <w:spacing w:before="60" w:after="60"/>
              <w:rPr>
                <w:rFonts w:eastAsiaTheme="majorEastAsia"/>
              </w:rPr>
            </w:pPr>
            <w:r w:rsidRPr="00EC2A1C">
              <w:rPr>
                <w:rFonts w:eastAsiaTheme="majorEastAsia"/>
              </w:rPr>
              <w:t xml:space="preserve">Pokud jde o autobusovou dopravu, výpadek poteciálních zdrojů z EU fondů budou muset do velké míry vykrýt veřejné rozpočty (rozpočty krajů a velkých měst) a to především  tam, kde budou veřejní zadavatelé nuceni plnit požadavky již zmiňované novely směrnice o čistých vozidlech, což se následně promítne do výše prokazatelné ztráty, kterou budou jim budou muset objednavatelé této veřejné dopravy (kraje, města) uhradit.   </w:t>
            </w:r>
          </w:p>
        </w:tc>
        <w:tc>
          <w:tcPr>
            <w:tcW w:w="377" w:type="dxa"/>
            <w:tcBorders>
              <w:top w:val="nil"/>
              <w:bottom w:val="nil"/>
            </w:tcBorders>
            <w:shd w:val="clear" w:color="auto" w:fill="66CCFF"/>
          </w:tcPr>
          <w:p w14:paraId="33C86D35" w14:textId="77777777" w:rsidR="00DD3EFA" w:rsidRPr="00EC2A1C" w:rsidRDefault="00DD3EFA" w:rsidP="00B15ECB">
            <w:pPr>
              <w:rPr>
                <w:b/>
              </w:rPr>
            </w:pPr>
          </w:p>
        </w:tc>
      </w:tr>
      <w:tr w:rsidR="00DD3EFA" w:rsidRPr="00EC2A1C" w14:paraId="580F69D3" w14:textId="77777777" w:rsidTr="00B15ECB">
        <w:trPr>
          <w:trHeight w:val="1968"/>
        </w:trPr>
        <w:tc>
          <w:tcPr>
            <w:tcW w:w="249" w:type="dxa"/>
            <w:tcBorders>
              <w:top w:val="nil"/>
              <w:bottom w:val="nil"/>
            </w:tcBorders>
            <w:shd w:val="clear" w:color="auto" w:fill="66CCFF"/>
          </w:tcPr>
          <w:p w14:paraId="77D6A995" w14:textId="77777777" w:rsidR="00DD3EFA" w:rsidRPr="00EC2A1C" w:rsidRDefault="00DD3EFA" w:rsidP="00B15ECB">
            <w:pPr>
              <w:rPr>
                <w:b/>
              </w:rPr>
            </w:pPr>
          </w:p>
        </w:tc>
        <w:tc>
          <w:tcPr>
            <w:tcW w:w="2548" w:type="dxa"/>
            <w:tcBorders>
              <w:top w:val="nil"/>
            </w:tcBorders>
            <w:shd w:val="clear" w:color="auto" w:fill="FFFFFF" w:themeFill="background1"/>
          </w:tcPr>
          <w:p w14:paraId="0134B43E"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Další zdroje mimo veřejné rozpočty</w:t>
            </w:r>
          </w:p>
        </w:tc>
        <w:tc>
          <w:tcPr>
            <w:tcW w:w="5850" w:type="dxa"/>
            <w:tcBorders>
              <w:top w:val="nil"/>
            </w:tcBorders>
            <w:shd w:val="clear" w:color="auto" w:fill="FFFFFF" w:themeFill="background1"/>
          </w:tcPr>
          <w:p w14:paraId="5DF34C6B" w14:textId="77777777" w:rsidR="00DD3EFA" w:rsidRPr="00EC2A1C" w:rsidRDefault="00DD3EFA" w:rsidP="00B15ECB">
            <w:pPr>
              <w:spacing w:before="60" w:after="60"/>
              <w:rPr>
                <w:rFonts w:eastAsiaTheme="majorEastAsia"/>
              </w:rPr>
            </w:pPr>
            <w:r w:rsidRPr="00EC2A1C">
              <w:rPr>
                <w:rFonts w:eastAsiaTheme="majorEastAsia"/>
              </w:rPr>
              <w:t>Část nákladů spojených s rozvojem čisté mobility tak jako tak ponesou příslušní žadatelé. Obecně je velké riziko, že čím nižší bude podpora čisté mobility z fondů EU, tím menší bude ochota zainteresovaných subjektů invetovat do této oblasti své vlastní zdroje.</w:t>
            </w:r>
          </w:p>
        </w:tc>
        <w:tc>
          <w:tcPr>
            <w:tcW w:w="377" w:type="dxa"/>
            <w:tcBorders>
              <w:top w:val="nil"/>
              <w:bottom w:val="nil"/>
            </w:tcBorders>
            <w:shd w:val="clear" w:color="auto" w:fill="66CCFF"/>
          </w:tcPr>
          <w:p w14:paraId="59C790EB" w14:textId="77777777" w:rsidR="00DD3EFA" w:rsidRPr="00EC2A1C" w:rsidRDefault="00DD3EFA" w:rsidP="00B15ECB">
            <w:pPr>
              <w:rPr>
                <w:b/>
              </w:rPr>
            </w:pPr>
          </w:p>
        </w:tc>
      </w:tr>
      <w:tr w:rsidR="00DD3EFA" w:rsidRPr="00EC2A1C" w14:paraId="4E89DACF" w14:textId="77777777" w:rsidTr="00B15ECB">
        <w:trPr>
          <w:trHeight w:val="1968"/>
        </w:trPr>
        <w:tc>
          <w:tcPr>
            <w:tcW w:w="249" w:type="dxa"/>
            <w:tcBorders>
              <w:top w:val="nil"/>
              <w:bottom w:val="nil"/>
            </w:tcBorders>
            <w:shd w:val="clear" w:color="auto" w:fill="66CCFF"/>
          </w:tcPr>
          <w:p w14:paraId="625BB76A" w14:textId="77777777" w:rsidR="00DD3EFA" w:rsidRPr="00EC2A1C" w:rsidRDefault="00DD3EFA" w:rsidP="00B15ECB">
            <w:pPr>
              <w:rPr>
                <w:b/>
              </w:rPr>
            </w:pPr>
          </w:p>
        </w:tc>
        <w:tc>
          <w:tcPr>
            <w:tcW w:w="2548" w:type="dxa"/>
            <w:tcBorders>
              <w:top w:val="nil"/>
            </w:tcBorders>
            <w:shd w:val="clear" w:color="auto" w:fill="FFFFFF" w:themeFill="background1"/>
          </w:tcPr>
          <w:p w14:paraId="73984FB2"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Možnost využití FN</w:t>
            </w:r>
          </w:p>
        </w:tc>
        <w:tc>
          <w:tcPr>
            <w:tcW w:w="5850" w:type="dxa"/>
            <w:tcBorders>
              <w:top w:val="nil"/>
            </w:tcBorders>
            <w:shd w:val="clear" w:color="auto" w:fill="FFFFFF" w:themeFill="background1"/>
          </w:tcPr>
          <w:p w14:paraId="353658F9" w14:textId="77777777" w:rsidR="00DD3EFA" w:rsidRPr="00EC2A1C" w:rsidRDefault="00DD3EFA" w:rsidP="00B15ECB">
            <w:pPr>
              <w:spacing w:before="60" w:after="60"/>
              <w:rPr>
                <w:rFonts w:eastAsiaTheme="majorEastAsia"/>
              </w:rPr>
            </w:pPr>
            <w:r w:rsidRPr="00EC2A1C">
              <w:rPr>
                <w:rFonts w:eastAsiaTheme="majorEastAsia"/>
              </w:rPr>
              <w:t>Použití finačních nástrojů v této oblasti má své značné limity. Jak vyplývá z konzultace se zaintersovnými subjekty, jejich zájem o tuto alternativní formu financování je velmi omezený. Lze se proto obávat, že řada potenciálních zájemců o dotaci, by na případnou realizaci podpory formou FN vůbec  nereflektovala.</w:t>
            </w:r>
          </w:p>
          <w:p w14:paraId="0100254C" w14:textId="77777777" w:rsidR="00DD3EFA" w:rsidRPr="00EC2A1C" w:rsidRDefault="00DD3EFA" w:rsidP="00B15ECB">
            <w:pPr>
              <w:spacing w:before="60" w:after="60"/>
              <w:rPr>
                <w:rFonts w:eastAsiaTheme="majorEastAsia"/>
              </w:rPr>
            </w:pPr>
            <w:r w:rsidRPr="00EC2A1C">
              <w:rPr>
                <w:rFonts w:eastAsiaTheme="majorEastAsia"/>
              </w:rPr>
              <w:t>Možnost využití FN bude záviset na výstupu nového Předběžného posouzení FN pro programovací období 2021-2027.</w:t>
            </w:r>
          </w:p>
          <w:p w14:paraId="7DA38A1B" w14:textId="77777777" w:rsidR="00DD3EFA" w:rsidRPr="00EC2A1C" w:rsidRDefault="00DD3EFA" w:rsidP="00B15ECB">
            <w:pPr>
              <w:spacing w:before="60" w:after="60"/>
              <w:rPr>
                <w:rFonts w:eastAsiaTheme="majorEastAsia"/>
              </w:rPr>
            </w:pPr>
            <w:r w:rsidRPr="00EC2A1C">
              <w:rPr>
                <w:rFonts w:eastAsiaTheme="majorEastAsia"/>
              </w:rPr>
              <w:t>Využití FN je možné zvážit u projektů generujících výnosy či úspory. Možné oblasti mohou být např. PPP projekty budování infrastruktury či investice do dopravních prostředků na alternativní pohon. Příkladem využití u infrastrukturních PPP projektů může být financování projektu dálničního obchvatu Bratislavy na Slovensku.</w:t>
            </w:r>
          </w:p>
        </w:tc>
        <w:tc>
          <w:tcPr>
            <w:tcW w:w="377" w:type="dxa"/>
            <w:tcBorders>
              <w:top w:val="nil"/>
              <w:bottom w:val="nil"/>
            </w:tcBorders>
            <w:shd w:val="clear" w:color="auto" w:fill="66CCFF"/>
          </w:tcPr>
          <w:p w14:paraId="05F6222D" w14:textId="77777777" w:rsidR="00DD3EFA" w:rsidRPr="00EC2A1C" w:rsidRDefault="00DD3EFA" w:rsidP="00B15ECB">
            <w:pPr>
              <w:rPr>
                <w:b/>
              </w:rPr>
            </w:pPr>
          </w:p>
        </w:tc>
      </w:tr>
      <w:tr w:rsidR="00DD3EFA" w:rsidRPr="00EC2A1C" w14:paraId="70EAE0B4" w14:textId="77777777" w:rsidTr="00B15ECB">
        <w:trPr>
          <w:trHeight w:val="150"/>
        </w:trPr>
        <w:tc>
          <w:tcPr>
            <w:tcW w:w="249" w:type="dxa"/>
            <w:tcBorders>
              <w:top w:val="nil"/>
              <w:right w:val="nil"/>
            </w:tcBorders>
            <w:shd w:val="clear" w:color="auto" w:fill="66CCFF"/>
          </w:tcPr>
          <w:p w14:paraId="199C1576" w14:textId="77777777" w:rsidR="00DD3EFA" w:rsidRPr="00EC2A1C" w:rsidRDefault="00DD3EFA" w:rsidP="00B15ECB">
            <w:pPr>
              <w:rPr>
                <w:b/>
              </w:rPr>
            </w:pPr>
          </w:p>
        </w:tc>
        <w:tc>
          <w:tcPr>
            <w:tcW w:w="2548" w:type="dxa"/>
            <w:tcBorders>
              <w:left w:val="nil"/>
              <w:right w:val="nil"/>
            </w:tcBorders>
            <w:shd w:val="clear" w:color="auto" w:fill="66CCFF"/>
          </w:tcPr>
          <w:p w14:paraId="13F016AD" w14:textId="77777777" w:rsidR="00DD3EFA" w:rsidRPr="00EC2A1C" w:rsidRDefault="00DD3EFA" w:rsidP="00B15ECB">
            <w:pPr>
              <w:rPr>
                <w:b/>
              </w:rPr>
            </w:pPr>
          </w:p>
        </w:tc>
        <w:tc>
          <w:tcPr>
            <w:tcW w:w="5850" w:type="dxa"/>
            <w:tcBorders>
              <w:left w:val="nil"/>
              <w:right w:val="nil"/>
            </w:tcBorders>
            <w:shd w:val="clear" w:color="auto" w:fill="66CCFF"/>
          </w:tcPr>
          <w:p w14:paraId="7CA2B745" w14:textId="77777777" w:rsidR="00DD3EFA" w:rsidRPr="00EC2A1C" w:rsidRDefault="00DD3EFA" w:rsidP="00B15ECB">
            <w:pPr>
              <w:rPr>
                <w:b/>
              </w:rPr>
            </w:pPr>
          </w:p>
        </w:tc>
        <w:tc>
          <w:tcPr>
            <w:tcW w:w="377" w:type="dxa"/>
            <w:tcBorders>
              <w:top w:val="nil"/>
              <w:left w:val="nil"/>
            </w:tcBorders>
            <w:shd w:val="clear" w:color="auto" w:fill="66CCFF"/>
          </w:tcPr>
          <w:p w14:paraId="095DDCC3" w14:textId="77777777" w:rsidR="00DD3EFA" w:rsidRPr="00EC2A1C" w:rsidRDefault="00DD3EFA" w:rsidP="00B15ECB">
            <w:pPr>
              <w:rPr>
                <w:b/>
              </w:rPr>
            </w:pPr>
          </w:p>
        </w:tc>
      </w:tr>
    </w:tbl>
    <w:p w14:paraId="7DBB5E9C" w14:textId="77777777" w:rsidR="00DD3EFA" w:rsidRPr="00EC2A1C" w:rsidRDefault="00DD3EFA" w:rsidP="00B15ECB">
      <w:pPr>
        <w:rPr>
          <w:rFonts w:ascii="Times New Roman" w:hAnsi="Times New Roman" w:cs="Times New Roman"/>
          <w:sz w:val="20"/>
          <w:szCs w:val="20"/>
        </w:rPr>
      </w:pPr>
    </w:p>
    <w:p w14:paraId="18298561" w14:textId="77777777" w:rsidR="00DD3EFA" w:rsidRPr="00EC2A1C" w:rsidRDefault="00DD3EFA">
      <w:pPr>
        <w:rPr>
          <w:rFonts w:ascii="Times New Roman" w:hAnsi="Times New Roman" w:cs="Times New Roman"/>
          <w:sz w:val="20"/>
          <w:szCs w:val="20"/>
        </w:rPr>
      </w:pPr>
      <w:r w:rsidRPr="00EC2A1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25BDEF9F" w14:textId="77777777" w:rsidTr="00B15ECB">
        <w:trPr>
          <w:trHeight w:val="180"/>
        </w:trPr>
        <w:tc>
          <w:tcPr>
            <w:tcW w:w="249" w:type="dxa"/>
            <w:tcBorders>
              <w:bottom w:val="nil"/>
              <w:right w:val="nil"/>
            </w:tcBorders>
            <w:shd w:val="clear" w:color="auto" w:fill="66CCFF"/>
          </w:tcPr>
          <w:p w14:paraId="0BEE93B6" w14:textId="77777777" w:rsidR="00DD3EFA" w:rsidRPr="00EC2A1C" w:rsidRDefault="00DD3EFA" w:rsidP="00B15ECB">
            <w:pPr>
              <w:rPr>
                <w:b/>
              </w:rPr>
            </w:pPr>
          </w:p>
        </w:tc>
        <w:tc>
          <w:tcPr>
            <w:tcW w:w="2548" w:type="dxa"/>
            <w:tcBorders>
              <w:left w:val="nil"/>
              <w:right w:val="nil"/>
            </w:tcBorders>
            <w:shd w:val="clear" w:color="auto" w:fill="66CCFF"/>
          </w:tcPr>
          <w:p w14:paraId="5AA56CCE" w14:textId="77777777" w:rsidR="00DD3EFA" w:rsidRPr="00EC2A1C" w:rsidRDefault="00DD3EFA" w:rsidP="00B15ECB">
            <w:pPr>
              <w:rPr>
                <w:b/>
              </w:rPr>
            </w:pPr>
          </w:p>
        </w:tc>
        <w:tc>
          <w:tcPr>
            <w:tcW w:w="5978" w:type="dxa"/>
            <w:tcBorders>
              <w:left w:val="nil"/>
              <w:right w:val="nil"/>
            </w:tcBorders>
            <w:shd w:val="clear" w:color="auto" w:fill="66CCFF"/>
          </w:tcPr>
          <w:p w14:paraId="174C03D0" w14:textId="77777777" w:rsidR="00DD3EFA" w:rsidRPr="00EC2A1C" w:rsidRDefault="00DD3EFA" w:rsidP="00B15ECB">
            <w:pPr>
              <w:rPr>
                <w:b/>
              </w:rPr>
            </w:pPr>
          </w:p>
        </w:tc>
        <w:tc>
          <w:tcPr>
            <w:tcW w:w="249" w:type="dxa"/>
            <w:tcBorders>
              <w:left w:val="nil"/>
              <w:bottom w:val="nil"/>
            </w:tcBorders>
            <w:shd w:val="clear" w:color="auto" w:fill="66CCFF"/>
          </w:tcPr>
          <w:p w14:paraId="5A3B0865" w14:textId="77777777" w:rsidR="00DD3EFA" w:rsidRPr="00EC2A1C" w:rsidRDefault="00DD3EFA" w:rsidP="00B15ECB">
            <w:pPr>
              <w:rPr>
                <w:b/>
              </w:rPr>
            </w:pPr>
          </w:p>
        </w:tc>
      </w:tr>
      <w:tr w:rsidR="00DD3EFA" w:rsidRPr="00EC2A1C" w14:paraId="2624ECD2" w14:textId="77777777" w:rsidTr="00B15ECB">
        <w:trPr>
          <w:trHeight w:val="561"/>
        </w:trPr>
        <w:tc>
          <w:tcPr>
            <w:tcW w:w="249" w:type="dxa"/>
            <w:tcBorders>
              <w:top w:val="nil"/>
              <w:bottom w:val="nil"/>
            </w:tcBorders>
            <w:shd w:val="clear" w:color="auto" w:fill="66CCFF"/>
          </w:tcPr>
          <w:p w14:paraId="029E73F1" w14:textId="77777777" w:rsidR="00DD3EFA" w:rsidRPr="00EC2A1C" w:rsidRDefault="00DD3EFA" w:rsidP="00B15ECB">
            <w:pPr>
              <w:rPr>
                <w:b/>
              </w:rPr>
            </w:pPr>
          </w:p>
        </w:tc>
        <w:tc>
          <w:tcPr>
            <w:tcW w:w="2548" w:type="dxa"/>
            <w:shd w:val="clear" w:color="auto" w:fill="0070C0"/>
          </w:tcPr>
          <w:p w14:paraId="13D29B7A"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u w:val="single"/>
              </w:rPr>
              <w:t>Strategický cíl NKR:</w:t>
            </w:r>
            <w:r w:rsidRPr="00EC2A1C">
              <w:rPr>
                <w:rFonts w:eastAsiaTheme="majorEastAsia"/>
                <w:b/>
                <w:color w:val="FFFFFF" w:themeColor="background1"/>
              </w:rPr>
              <w:t xml:space="preserve"> Efektivní, dostupná a k životnímu prostředí šetrná DOPRAVA</w:t>
            </w:r>
          </w:p>
        </w:tc>
        <w:tc>
          <w:tcPr>
            <w:tcW w:w="5978" w:type="dxa"/>
            <w:shd w:val="clear" w:color="auto" w:fill="0070C0"/>
          </w:tcPr>
          <w:p w14:paraId="11A35045"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t>1</w:t>
            </w:r>
            <w:r w:rsidRPr="00EC2A1C">
              <w:rPr>
                <w:rFonts w:eastAsiaTheme="majorEastAsia"/>
                <w:b/>
                <w:color w:val="FFFFFF" w:themeColor="background1"/>
                <w:u w:val="single"/>
              </w:rPr>
              <w:t xml:space="preserve">: </w:t>
            </w:r>
          </w:p>
          <w:p w14:paraId="414B3358"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VYUŽÍVÁNÍ VOZIDEL S ALTERNATIVNÍM POHONEM VE VEŘEJNÉ DOPRAVĚ</w:t>
            </w:r>
          </w:p>
        </w:tc>
        <w:tc>
          <w:tcPr>
            <w:tcW w:w="249" w:type="dxa"/>
            <w:tcBorders>
              <w:top w:val="nil"/>
              <w:bottom w:val="nil"/>
            </w:tcBorders>
            <w:shd w:val="clear" w:color="auto" w:fill="66CCFF"/>
          </w:tcPr>
          <w:p w14:paraId="7CFD8D5C" w14:textId="77777777" w:rsidR="00DD3EFA" w:rsidRPr="00EC2A1C" w:rsidRDefault="00DD3EFA" w:rsidP="00B15ECB">
            <w:pPr>
              <w:rPr>
                <w:b/>
              </w:rPr>
            </w:pPr>
          </w:p>
        </w:tc>
      </w:tr>
      <w:tr w:rsidR="00DD3EFA" w:rsidRPr="00EC2A1C" w14:paraId="549BA923" w14:textId="77777777" w:rsidTr="00B15ECB">
        <w:trPr>
          <w:trHeight w:val="180"/>
        </w:trPr>
        <w:tc>
          <w:tcPr>
            <w:tcW w:w="249" w:type="dxa"/>
            <w:tcBorders>
              <w:top w:val="nil"/>
              <w:bottom w:val="nil"/>
              <w:right w:val="nil"/>
            </w:tcBorders>
            <w:shd w:val="clear" w:color="auto" w:fill="66CCFF"/>
          </w:tcPr>
          <w:p w14:paraId="719E0B6E" w14:textId="77777777" w:rsidR="00DD3EFA" w:rsidRPr="00EC2A1C" w:rsidRDefault="00DD3EFA" w:rsidP="00B15ECB">
            <w:pPr>
              <w:rPr>
                <w:b/>
              </w:rPr>
            </w:pPr>
          </w:p>
        </w:tc>
        <w:tc>
          <w:tcPr>
            <w:tcW w:w="2548" w:type="dxa"/>
            <w:tcBorders>
              <w:left w:val="nil"/>
              <w:right w:val="nil"/>
            </w:tcBorders>
            <w:shd w:val="clear" w:color="auto" w:fill="66CCFF"/>
          </w:tcPr>
          <w:p w14:paraId="57295E51" w14:textId="77777777" w:rsidR="00DD3EFA" w:rsidRPr="00EC2A1C" w:rsidRDefault="00DD3EFA" w:rsidP="00B15ECB">
            <w:pPr>
              <w:rPr>
                <w:b/>
              </w:rPr>
            </w:pPr>
          </w:p>
        </w:tc>
        <w:tc>
          <w:tcPr>
            <w:tcW w:w="5978" w:type="dxa"/>
            <w:tcBorders>
              <w:left w:val="nil"/>
              <w:right w:val="nil"/>
            </w:tcBorders>
            <w:shd w:val="clear" w:color="auto" w:fill="66CCFF"/>
          </w:tcPr>
          <w:p w14:paraId="69141DDE" w14:textId="77777777" w:rsidR="00DD3EFA" w:rsidRPr="00EC2A1C" w:rsidRDefault="00DD3EFA" w:rsidP="00B15ECB">
            <w:pPr>
              <w:rPr>
                <w:b/>
              </w:rPr>
            </w:pPr>
          </w:p>
        </w:tc>
        <w:tc>
          <w:tcPr>
            <w:tcW w:w="249" w:type="dxa"/>
            <w:tcBorders>
              <w:top w:val="nil"/>
              <w:left w:val="nil"/>
              <w:bottom w:val="nil"/>
            </w:tcBorders>
            <w:shd w:val="clear" w:color="auto" w:fill="66CCFF"/>
          </w:tcPr>
          <w:p w14:paraId="43CAC2B0" w14:textId="77777777" w:rsidR="00DD3EFA" w:rsidRPr="00EC2A1C" w:rsidRDefault="00DD3EFA" w:rsidP="00B15ECB">
            <w:pPr>
              <w:rPr>
                <w:b/>
              </w:rPr>
            </w:pPr>
          </w:p>
        </w:tc>
      </w:tr>
      <w:tr w:rsidR="00DD3EFA" w:rsidRPr="00EC2A1C" w14:paraId="061BA1D6" w14:textId="77777777" w:rsidTr="00B15ECB">
        <w:trPr>
          <w:trHeight w:val="892"/>
        </w:trPr>
        <w:tc>
          <w:tcPr>
            <w:tcW w:w="249" w:type="dxa"/>
            <w:tcBorders>
              <w:top w:val="nil"/>
              <w:bottom w:val="nil"/>
            </w:tcBorders>
            <w:shd w:val="clear" w:color="auto" w:fill="66CCFF"/>
          </w:tcPr>
          <w:p w14:paraId="72B47D54" w14:textId="77777777" w:rsidR="00DD3EFA" w:rsidRPr="00EC2A1C" w:rsidRDefault="00DD3EFA" w:rsidP="00B15ECB">
            <w:pPr>
              <w:rPr>
                <w:b/>
              </w:rPr>
            </w:pPr>
          </w:p>
        </w:tc>
        <w:tc>
          <w:tcPr>
            <w:tcW w:w="2548" w:type="dxa"/>
            <w:shd w:val="clear" w:color="auto" w:fill="FFFFFF" w:themeFill="background1"/>
          </w:tcPr>
          <w:p w14:paraId="1138E2A6"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shd w:val="clear" w:color="auto" w:fill="FFFFFF" w:themeFill="background1"/>
          </w:tcPr>
          <w:p w14:paraId="4E5BB9C5" w14:textId="77777777" w:rsidR="00DD3EFA" w:rsidRPr="00EC2A1C" w:rsidRDefault="00DD3EFA" w:rsidP="00B15ECB">
            <w:r w:rsidRPr="00EC2A1C">
              <w:t>Jedná se o problematiku těchto konkrétních prvků:</w:t>
            </w:r>
          </w:p>
          <w:p w14:paraId="2FF28EA3" w14:textId="77777777" w:rsidR="00DD3EFA" w:rsidRPr="00EC2A1C" w:rsidRDefault="00DD3EFA" w:rsidP="00B15ECB"/>
          <w:p w14:paraId="0756D56A" w14:textId="77777777" w:rsidR="00DD3EFA" w:rsidRPr="00EC2A1C" w:rsidRDefault="00DD3EFA" w:rsidP="00B15ECB">
            <w:r w:rsidRPr="00EC2A1C">
              <w:t xml:space="preserve">- podpora pořízení železničních vozidel pro dálkovou a </w:t>
            </w:r>
          </w:p>
          <w:p w14:paraId="294600F3" w14:textId="77777777" w:rsidR="00DD3EFA" w:rsidRPr="00EC2A1C" w:rsidRDefault="00DD3EFA" w:rsidP="00B15ECB">
            <w:r w:rsidRPr="00EC2A1C">
              <w:t xml:space="preserve">  regionální dopravu (přednostně na elektrický pohon)</w:t>
            </w:r>
          </w:p>
          <w:p w14:paraId="7D9F4204" w14:textId="77777777" w:rsidR="00DD3EFA" w:rsidRPr="00EC2A1C" w:rsidRDefault="00DD3EFA" w:rsidP="00B15ECB">
            <w:r w:rsidRPr="00EC2A1C">
              <w:t xml:space="preserve">- podpora pořízení vozidel pro městskou a příměstskou </w:t>
            </w:r>
          </w:p>
          <w:p w14:paraId="61B48831" w14:textId="77777777" w:rsidR="00DD3EFA" w:rsidRPr="00EC2A1C" w:rsidRDefault="00DD3EFA" w:rsidP="00B15ECB">
            <w:r w:rsidRPr="00EC2A1C">
              <w:t xml:space="preserve">  dopravu v elektrické trakci (vč. kombinace s provozem na baterie)</w:t>
            </w:r>
          </w:p>
          <w:p w14:paraId="65D999A3" w14:textId="77777777" w:rsidR="00DD3EFA" w:rsidRPr="00EC2A1C" w:rsidRDefault="00DD3EFA" w:rsidP="00B15ECB">
            <w:pPr>
              <w:spacing w:before="60" w:after="60"/>
            </w:pPr>
            <w:r w:rsidRPr="00EC2A1C">
              <w:t xml:space="preserve">- podpora pořízení autobusů na alternativní paliva včetně zázemí pro tyto provozy </w:t>
            </w:r>
          </w:p>
          <w:p w14:paraId="67E7FA3F" w14:textId="77777777" w:rsidR="00DD3EFA" w:rsidRPr="00EC2A1C" w:rsidRDefault="00DD3EFA" w:rsidP="00B15ECB">
            <w:pPr>
              <w:spacing w:before="60" w:after="60"/>
            </w:pPr>
            <w:r w:rsidRPr="00EC2A1C">
              <w:t>- podpora pořízení vozidel na alternativní pohon (např. dodávky)</w:t>
            </w:r>
          </w:p>
          <w:p w14:paraId="497842A4" w14:textId="77777777" w:rsidR="00DD3EFA" w:rsidRPr="00EC2A1C" w:rsidRDefault="00DD3EFA" w:rsidP="00B15ECB">
            <w:r w:rsidRPr="00EC2A1C">
              <w:t>- plnící a dobíjecí stanice pro podniky veřejné hromadné dopravy</w:t>
            </w:r>
          </w:p>
          <w:p w14:paraId="25A15BCE" w14:textId="77777777" w:rsidR="00DD3EFA" w:rsidRPr="00EC2A1C" w:rsidRDefault="00DD3EFA" w:rsidP="00B15ECB">
            <w:pPr>
              <w:spacing w:before="60" w:after="60"/>
              <w:rPr>
                <w:u w:val="single"/>
              </w:rPr>
            </w:pPr>
          </w:p>
        </w:tc>
        <w:tc>
          <w:tcPr>
            <w:tcW w:w="249" w:type="dxa"/>
            <w:tcBorders>
              <w:top w:val="nil"/>
              <w:bottom w:val="nil"/>
            </w:tcBorders>
            <w:shd w:val="clear" w:color="auto" w:fill="66CCFF"/>
          </w:tcPr>
          <w:p w14:paraId="3A4BB997" w14:textId="77777777" w:rsidR="00DD3EFA" w:rsidRPr="00EC2A1C" w:rsidRDefault="00DD3EFA" w:rsidP="00B15ECB">
            <w:pPr>
              <w:rPr>
                <w:b/>
              </w:rPr>
            </w:pPr>
          </w:p>
        </w:tc>
      </w:tr>
      <w:tr w:rsidR="00DD3EFA" w:rsidRPr="00EC2A1C" w14:paraId="251CDAFA" w14:textId="77777777" w:rsidTr="00B15ECB">
        <w:trPr>
          <w:trHeight w:val="46"/>
        </w:trPr>
        <w:tc>
          <w:tcPr>
            <w:tcW w:w="249" w:type="dxa"/>
            <w:tcBorders>
              <w:top w:val="nil"/>
              <w:bottom w:val="nil"/>
              <w:right w:val="nil"/>
            </w:tcBorders>
            <w:shd w:val="clear" w:color="auto" w:fill="66CCFF"/>
          </w:tcPr>
          <w:p w14:paraId="6D1C4942" w14:textId="77777777" w:rsidR="00DD3EFA" w:rsidRPr="00EC2A1C" w:rsidRDefault="00DD3EFA" w:rsidP="00B15ECB">
            <w:pPr>
              <w:rPr>
                <w:b/>
              </w:rPr>
            </w:pPr>
            <w:r w:rsidRPr="00EC2A1C">
              <w:rPr>
                <w:b/>
              </w:rPr>
              <w:t xml:space="preserve"> </w:t>
            </w:r>
          </w:p>
        </w:tc>
        <w:tc>
          <w:tcPr>
            <w:tcW w:w="2548" w:type="dxa"/>
            <w:tcBorders>
              <w:left w:val="nil"/>
              <w:bottom w:val="single" w:sz="4" w:space="0" w:color="auto"/>
              <w:right w:val="nil"/>
            </w:tcBorders>
            <w:shd w:val="clear" w:color="auto" w:fill="66CCFF"/>
          </w:tcPr>
          <w:p w14:paraId="713363DB"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5B8AC490" w14:textId="77777777" w:rsidR="00DD3EFA" w:rsidRPr="00EC2A1C" w:rsidRDefault="00DD3EFA" w:rsidP="00B15ECB">
            <w:pPr>
              <w:rPr>
                <w:b/>
              </w:rPr>
            </w:pPr>
          </w:p>
        </w:tc>
        <w:tc>
          <w:tcPr>
            <w:tcW w:w="249" w:type="dxa"/>
            <w:tcBorders>
              <w:top w:val="nil"/>
              <w:left w:val="nil"/>
              <w:bottom w:val="nil"/>
            </w:tcBorders>
            <w:shd w:val="clear" w:color="auto" w:fill="66CCFF"/>
          </w:tcPr>
          <w:p w14:paraId="75A3B9D3" w14:textId="77777777" w:rsidR="00DD3EFA" w:rsidRPr="00EC2A1C" w:rsidRDefault="00DD3EFA" w:rsidP="00B15ECB">
            <w:pPr>
              <w:rPr>
                <w:b/>
              </w:rPr>
            </w:pPr>
          </w:p>
        </w:tc>
      </w:tr>
      <w:tr w:rsidR="00DD3EFA" w:rsidRPr="00EC2A1C" w14:paraId="1C2BAF3F" w14:textId="77777777" w:rsidTr="00B15ECB">
        <w:trPr>
          <w:trHeight w:val="1274"/>
        </w:trPr>
        <w:tc>
          <w:tcPr>
            <w:tcW w:w="249" w:type="dxa"/>
            <w:tcBorders>
              <w:top w:val="nil"/>
              <w:bottom w:val="nil"/>
            </w:tcBorders>
            <w:shd w:val="clear" w:color="auto" w:fill="66CCFF"/>
          </w:tcPr>
          <w:p w14:paraId="5F095E1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56B9E2E"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0CA00DED" w14:textId="77777777" w:rsidR="00DD3EFA" w:rsidRPr="00EC2A1C" w:rsidRDefault="00DD3EFA" w:rsidP="00B15ECB">
            <w:r w:rsidRPr="00EC2A1C">
              <w:t>Znečištěné ovzduší má vliv na zdraví obyvatelstva. Představuje zvýšené riziko respiračních onemocnění v důsledku snížení obranyschopnosti organizmu a zvýšené náchylnosti k infekcím. Doprava je významným zdrojem znečištění ovzduší, a proto je nutno snižovat emise znečišťujících látek pocházejících z dopravy. S ohledem na nižší až nulovou produkci emisí znečišťujících látek, CO</w:t>
            </w:r>
            <w:r w:rsidRPr="00EC2A1C">
              <w:rPr>
                <w:vertAlign w:val="subscript"/>
              </w:rPr>
              <w:t>2</w:t>
            </w:r>
            <w:r w:rsidRPr="00EC2A1C">
              <w:t xml:space="preserve"> i hluku v místě provozu vozidla s alternativním pohonem, je podpora využívání těchto vozidel důležitá. Největší překážkou k rozvoji využívání těchto vozidel je krom nedostatečné infrastruktury pro plnění či dobíjení těchto vozidel jejich vyšší pořizovací cena v porovnání s klasickými vozidly. Z tohoto důvodu je nutné se zaměřit na podporu nástrojů, které dokáží eliminovat tuto překážku.</w:t>
            </w:r>
          </w:p>
          <w:p w14:paraId="7342EDF3" w14:textId="77777777" w:rsidR="00DD3EFA" w:rsidRPr="00EC2A1C" w:rsidRDefault="00DD3EFA" w:rsidP="00B15ECB">
            <w:r w:rsidRPr="00EC2A1C">
              <w:t>K zvyšování atraktivity VHD rovněž přispívá také zvyšující se úroveň kvality cestování v důsledku nasazování nových či modernizovaných vlaků, tramvají, trolejbusů nebo autobusů na alternativní zdroje energie.</w:t>
            </w:r>
          </w:p>
          <w:p w14:paraId="69AF6D99" w14:textId="77777777" w:rsidR="00DD3EFA" w:rsidRPr="00EC2A1C" w:rsidRDefault="00DD3EFA" w:rsidP="00B15ECB">
            <w:pPr>
              <w:spacing w:before="60" w:after="60"/>
              <w:rPr>
                <w:rFonts w:eastAsiaTheme="majorEastAsia"/>
              </w:rPr>
            </w:pPr>
            <w:r w:rsidRPr="00EC2A1C">
              <w:t>Zároveň modernizace vozového parku - železničních kolejových vozidel, vozidel MHD v elektrické trakci a autobusů městské a příměstské obslužnosti včetně pohonu CNG/bioCNG má nezanedbatelný potenciál k udržení stávajících a přilákání nových cestujících.</w:t>
            </w:r>
          </w:p>
        </w:tc>
        <w:tc>
          <w:tcPr>
            <w:tcW w:w="249" w:type="dxa"/>
            <w:tcBorders>
              <w:top w:val="nil"/>
              <w:bottom w:val="nil"/>
            </w:tcBorders>
            <w:shd w:val="clear" w:color="auto" w:fill="66CCFF"/>
          </w:tcPr>
          <w:p w14:paraId="0A0C7D32" w14:textId="77777777" w:rsidR="00DD3EFA" w:rsidRPr="00EC2A1C" w:rsidRDefault="00DD3EFA" w:rsidP="00B15ECB">
            <w:pPr>
              <w:rPr>
                <w:b/>
              </w:rPr>
            </w:pPr>
          </w:p>
        </w:tc>
      </w:tr>
      <w:tr w:rsidR="00DD3EFA" w:rsidRPr="00EC2A1C" w14:paraId="3AC03FF8" w14:textId="77777777" w:rsidTr="00B15ECB">
        <w:trPr>
          <w:trHeight w:val="1274"/>
        </w:trPr>
        <w:tc>
          <w:tcPr>
            <w:tcW w:w="249" w:type="dxa"/>
            <w:tcBorders>
              <w:top w:val="nil"/>
              <w:bottom w:val="nil"/>
            </w:tcBorders>
            <w:shd w:val="clear" w:color="auto" w:fill="66CCFF"/>
          </w:tcPr>
          <w:p w14:paraId="52EED3A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F3BCB93"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23FD8891" w14:textId="77777777" w:rsidR="00DD3EFA" w:rsidRPr="00EC2A1C" w:rsidRDefault="00DD3EFA" w:rsidP="00B15ECB">
            <w:pPr>
              <w:spacing w:before="60" w:after="60"/>
            </w:pPr>
            <w:r w:rsidRPr="00EC2A1C">
              <w:t>Vedle nevyhovujícího stavu infrastruktury je problémem také zastaralý vozový park železničních vozidel, a to jak v dopravě regionální, tak v rostoucí míře v dopravě dálkové. S ohledem na specifika dálkové železniční dopravy v ČR, pro niž nejsou optimální vozidla, vyráběná sériově renomovanými výrobci, je pořízení vhodných vozidel poměrně nákladné a proto mohou dopravci a objednatelé veřejné dopravy obnovovat vozidla v tomto segmentu železniční dopravy jen ve velmi omezené míře. Rovněž je problémem morální a fyzická zastaralost části vozidel MHD v elektrické trakci a autobusů, která nejsou schopna plnit nároky kladené na moderní způsob dopravy.</w:t>
            </w:r>
          </w:p>
          <w:p w14:paraId="506CE510" w14:textId="77777777" w:rsidR="00DD3EFA" w:rsidRPr="00EC2A1C" w:rsidRDefault="00DD3EFA" w:rsidP="00B15ECB">
            <w:pPr>
              <w:spacing w:before="60" w:after="60"/>
            </w:pPr>
            <w:r w:rsidRPr="00EC2A1C">
              <w:t>Rovněž autobusový park je nutné přizpůsobit novým trendům spočívajícím ve využívání alternativních energií. To souvisí rovněž s vybavením těchto provozů zařízeními umožňujícími zavádění těchto technologií. V městských provozech je nutná podpora zavádění elektro-busů a parciálních trolejbusů.</w:t>
            </w:r>
          </w:p>
          <w:p w14:paraId="7C9C6E1A" w14:textId="77777777" w:rsidR="00DD3EFA" w:rsidRPr="00EC2A1C" w:rsidRDefault="00DD3EFA" w:rsidP="00B15ECB">
            <w:pPr>
              <w:spacing w:before="60" w:after="60"/>
            </w:pPr>
            <w:r w:rsidRPr="00EC2A1C">
              <w:t>Podpora využívání alternativních pohonů bude řešit rovněž problematiku znečištění ovzduší, která bezprostředně souvisí s oblastí dopravy (rozvoj bezemisní a nízko-emisní hromadné dopravy, alternativní pohony, podpora dobíjecích stanic na alternativní pohony). Úroveň znečištění ovzduší má přímé dopady na lidské zdraví.</w:t>
            </w:r>
          </w:p>
          <w:p w14:paraId="1838CCBD" w14:textId="77777777" w:rsidR="00DD3EFA" w:rsidRPr="00EC2A1C" w:rsidRDefault="00DD3EFA" w:rsidP="00B15ECB">
            <w:pPr>
              <w:spacing w:before="60" w:after="60"/>
            </w:pPr>
            <w:r w:rsidRPr="00EC2A1C">
              <w:t>Důležité rovněž bude podpořit obnovu plavidel vnitrozemské vodní dopravy s využitím alternativních energií, neboť plavidla v ČR jsou zastaralá a emise z lodních motorů významně přispívají ke znečištění ovzduší.</w:t>
            </w:r>
          </w:p>
        </w:tc>
        <w:tc>
          <w:tcPr>
            <w:tcW w:w="249" w:type="dxa"/>
            <w:tcBorders>
              <w:top w:val="nil"/>
              <w:bottom w:val="nil"/>
            </w:tcBorders>
            <w:shd w:val="clear" w:color="auto" w:fill="66CCFF"/>
          </w:tcPr>
          <w:p w14:paraId="56133AB6" w14:textId="77777777" w:rsidR="00DD3EFA" w:rsidRPr="00EC2A1C" w:rsidRDefault="00DD3EFA" w:rsidP="00B15ECB">
            <w:pPr>
              <w:rPr>
                <w:b/>
              </w:rPr>
            </w:pPr>
          </w:p>
        </w:tc>
      </w:tr>
      <w:tr w:rsidR="00DD3EFA" w:rsidRPr="00EC2A1C" w14:paraId="0A644225" w14:textId="77777777" w:rsidTr="00B15ECB">
        <w:trPr>
          <w:trHeight w:val="1274"/>
        </w:trPr>
        <w:tc>
          <w:tcPr>
            <w:tcW w:w="249" w:type="dxa"/>
            <w:tcBorders>
              <w:top w:val="nil"/>
              <w:bottom w:val="nil"/>
            </w:tcBorders>
            <w:shd w:val="clear" w:color="auto" w:fill="66CCFF"/>
          </w:tcPr>
          <w:p w14:paraId="7C62DD7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7D800CA"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Definice cíle – změny, které chceme dosáhnout</w:t>
            </w:r>
          </w:p>
          <w:p w14:paraId="34A3334E"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3F3FCCB" w14:textId="77777777" w:rsidR="00DD3EFA" w:rsidRPr="00EC2A1C" w:rsidRDefault="00DD3EFA" w:rsidP="00B15ECB">
            <w:pPr>
              <w:spacing w:before="60" w:after="60"/>
            </w:pPr>
            <w:r w:rsidRPr="00EC2A1C">
              <w:t>Zatraktivnění městské a příměstské veřejné dopravy snížením průměrného stáří provozovaných vozidel.</w:t>
            </w:r>
          </w:p>
          <w:p w14:paraId="7235E032" w14:textId="77777777" w:rsidR="00DD3EFA" w:rsidRPr="00EC2A1C" w:rsidRDefault="00DD3EFA" w:rsidP="00B15ECB">
            <w:pPr>
              <w:spacing w:before="60" w:after="60"/>
            </w:pPr>
            <w:r w:rsidRPr="00EC2A1C">
              <w:t>Zlepšení životního prostředí obyvatel navýšením podílu vozidel bezemisní a nízkoemisní veřejné dopravy.</w:t>
            </w:r>
          </w:p>
        </w:tc>
        <w:tc>
          <w:tcPr>
            <w:tcW w:w="249" w:type="dxa"/>
            <w:tcBorders>
              <w:top w:val="nil"/>
              <w:bottom w:val="nil"/>
            </w:tcBorders>
            <w:shd w:val="clear" w:color="auto" w:fill="66CCFF"/>
          </w:tcPr>
          <w:p w14:paraId="17E6C019" w14:textId="77777777" w:rsidR="00DD3EFA" w:rsidRPr="00EC2A1C" w:rsidRDefault="00DD3EFA" w:rsidP="00B15ECB">
            <w:pPr>
              <w:rPr>
                <w:b/>
              </w:rPr>
            </w:pPr>
          </w:p>
        </w:tc>
      </w:tr>
      <w:tr w:rsidR="00DD3EFA" w:rsidRPr="00EC2A1C" w14:paraId="51D74856" w14:textId="77777777" w:rsidTr="00B15ECB">
        <w:trPr>
          <w:trHeight w:val="1274"/>
        </w:trPr>
        <w:tc>
          <w:tcPr>
            <w:tcW w:w="249" w:type="dxa"/>
            <w:tcBorders>
              <w:top w:val="nil"/>
              <w:bottom w:val="nil"/>
            </w:tcBorders>
            <w:shd w:val="clear" w:color="auto" w:fill="66CCFF"/>
          </w:tcPr>
          <w:p w14:paraId="434A4EB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4BADB69"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5F801A91" w14:textId="77777777" w:rsidR="00DD3EFA" w:rsidRPr="00EC2A1C" w:rsidRDefault="00DD3EFA" w:rsidP="00B15ECB">
            <w:pPr>
              <w:spacing w:before="60" w:after="60"/>
            </w:pPr>
            <w:r w:rsidRPr="00EC2A1C">
              <w:t>Snížení průměrného stáří vozidel typu trakce/dopravy (roky)</w:t>
            </w:r>
          </w:p>
          <w:p w14:paraId="50881B32" w14:textId="77777777" w:rsidR="00DD3EFA" w:rsidRPr="00EC2A1C" w:rsidRDefault="00DD3EFA" w:rsidP="00B15ECB">
            <w:pPr>
              <w:spacing w:before="60" w:after="60"/>
            </w:pPr>
            <w:r w:rsidRPr="00EC2A1C">
              <w:t>Navýšení výkonů bezemisní dopravy.</w:t>
            </w:r>
          </w:p>
        </w:tc>
        <w:tc>
          <w:tcPr>
            <w:tcW w:w="249" w:type="dxa"/>
            <w:tcBorders>
              <w:top w:val="nil"/>
              <w:bottom w:val="nil"/>
            </w:tcBorders>
            <w:shd w:val="clear" w:color="auto" w:fill="66CCFF"/>
          </w:tcPr>
          <w:p w14:paraId="108823EF" w14:textId="77777777" w:rsidR="00DD3EFA" w:rsidRPr="00EC2A1C" w:rsidRDefault="00DD3EFA" w:rsidP="00B15ECB">
            <w:pPr>
              <w:rPr>
                <w:b/>
              </w:rPr>
            </w:pPr>
          </w:p>
        </w:tc>
      </w:tr>
      <w:tr w:rsidR="00DD3EFA" w:rsidRPr="00EC2A1C" w14:paraId="4201E103" w14:textId="77777777" w:rsidTr="00B15ECB">
        <w:trPr>
          <w:trHeight w:val="1274"/>
        </w:trPr>
        <w:tc>
          <w:tcPr>
            <w:tcW w:w="249" w:type="dxa"/>
            <w:tcBorders>
              <w:top w:val="nil"/>
              <w:bottom w:val="nil"/>
            </w:tcBorders>
            <w:shd w:val="clear" w:color="auto" w:fill="66CCFF"/>
          </w:tcPr>
          <w:p w14:paraId="4AFEF42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1E8EE4F"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500B0F62" w14:textId="77777777" w:rsidR="00DD3EFA" w:rsidRPr="00EC2A1C" w:rsidRDefault="00DD3EFA" w:rsidP="00B15ECB">
            <w:pPr>
              <w:spacing w:before="60" w:after="60"/>
              <w:rPr>
                <w:rFonts w:eastAsiaTheme="majorEastAsia"/>
              </w:rPr>
            </w:pPr>
            <w:r w:rsidRPr="00EC2A1C">
              <w:rPr>
                <w:rFonts w:eastAsiaTheme="majorEastAsia"/>
              </w:rPr>
              <w:t>80%</w:t>
            </w:r>
          </w:p>
        </w:tc>
        <w:tc>
          <w:tcPr>
            <w:tcW w:w="249" w:type="dxa"/>
            <w:tcBorders>
              <w:top w:val="nil"/>
              <w:bottom w:val="nil"/>
            </w:tcBorders>
            <w:shd w:val="clear" w:color="auto" w:fill="66CCFF"/>
          </w:tcPr>
          <w:p w14:paraId="535A15C4" w14:textId="77777777" w:rsidR="00DD3EFA" w:rsidRPr="00EC2A1C" w:rsidRDefault="00DD3EFA" w:rsidP="00B15ECB">
            <w:pPr>
              <w:rPr>
                <w:b/>
              </w:rPr>
            </w:pPr>
          </w:p>
        </w:tc>
      </w:tr>
      <w:tr w:rsidR="00DD3EFA" w:rsidRPr="00EC2A1C" w14:paraId="20D6135D" w14:textId="77777777" w:rsidTr="00B15ECB">
        <w:trPr>
          <w:trHeight w:val="1274"/>
        </w:trPr>
        <w:tc>
          <w:tcPr>
            <w:tcW w:w="249" w:type="dxa"/>
            <w:tcBorders>
              <w:top w:val="nil"/>
              <w:bottom w:val="nil"/>
            </w:tcBorders>
            <w:shd w:val="clear" w:color="auto" w:fill="66CCFF"/>
          </w:tcPr>
          <w:p w14:paraId="5D21FDA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C0C5657"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005938A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Řešený vozový park je tak rozsáhlý, že v rámci programového období, i přes vynaložení relativně velké částky z ESIF, dojde k modernizaci pouze jeho části. Posun je především představován ve zvyšování podílu vozidel, které jsou bezbariérové, bezemisní, používají alternativní pohony, jsou klimatizované a využívají moderní technologie (ITS, informační systémy, různá smart řešení), jsou designově a případně funkčně na vyšší kvalitativní úrovni.</w:t>
            </w:r>
          </w:p>
        </w:tc>
        <w:tc>
          <w:tcPr>
            <w:tcW w:w="249" w:type="dxa"/>
            <w:tcBorders>
              <w:top w:val="nil"/>
              <w:bottom w:val="nil"/>
            </w:tcBorders>
            <w:shd w:val="clear" w:color="auto" w:fill="66CCFF"/>
          </w:tcPr>
          <w:p w14:paraId="79DFFC11" w14:textId="77777777" w:rsidR="00DD3EFA" w:rsidRPr="00EC2A1C" w:rsidRDefault="00DD3EFA" w:rsidP="00B15ECB">
            <w:pPr>
              <w:rPr>
                <w:b/>
              </w:rPr>
            </w:pPr>
          </w:p>
        </w:tc>
      </w:tr>
      <w:tr w:rsidR="00DD3EFA" w:rsidRPr="00EC2A1C" w14:paraId="3643C6EC" w14:textId="77777777" w:rsidTr="00B15ECB">
        <w:trPr>
          <w:trHeight w:val="272"/>
        </w:trPr>
        <w:tc>
          <w:tcPr>
            <w:tcW w:w="249" w:type="dxa"/>
            <w:tcBorders>
              <w:top w:val="nil"/>
              <w:bottom w:val="nil"/>
              <w:right w:val="nil"/>
            </w:tcBorders>
            <w:shd w:val="clear" w:color="auto" w:fill="66CCFF"/>
          </w:tcPr>
          <w:p w14:paraId="4FB189F6"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9067E87"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930EAEB"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24B1061A" w14:textId="77777777" w:rsidR="00DD3EFA" w:rsidRPr="00EC2A1C" w:rsidRDefault="00DD3EFA" w:rsidP="00B15ECB">
            <w:pPr>
              <w:rPr>
                <w:b/>
              </w:rPr>
            </w:pPr>
          </w:p>
        </w:tc>
      </w:tr>
      <w:tr w:rsidR="00DD3EFA" w:rsidRPr="00EC2A1C" w14:paraId="097CAE3B" w14:textId="77777777" w:rsidTr="00B15ECB">
        <w:trPr>
          <w:trHeight w:val="835"/>
        </w:trPr>
        <w:tc>
          <w:tcPr>
            <w:tcW w:w="249" w:type="dxa"/>
            <w:tcBorders>
              <w:top w:val="nil"/>
              <w:bottom w:val="nil"/>
            </w:tcBorders>
            <w:shd w:val="clear" w:color="auto" w:fill="66CCFF"/>
          </w:tcPr>
          <w:p w14:paraId="61331D68"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00FBF82D"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5D6C7E35" w14:textId="77777777" w:rsidR="00DD3EFA" w:rsidRPr="00EC2A1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2632A95F" w14:textId="77777777" w:rsidR="00DD3EFA" w:rsidRPr="00EC2A1C" w:rsidRDefault="00DD3EFA" w:rsidP="00B15ECB">
            <w:r w:rsidRPr="00EC2A1C">
              <w:t xml:space="preserve">- podpora pořízení železničních vozidel pro dálkovou a </w:t>
            </w:r>
          </w:p>
          <w:p w14:paraId="009878F5" w14:textId="77777777" w:rsidR="00DD3EFA" w:rsidRPr="00EC2A1C" w:rsidRDefault="00DD3EFA" w:rsidP="00B15ECB">
            <w:r w:rsidRPr="00EC2A1C">
              <w:t xml:space="preserve">  regionální dopravu (přednostně na elektrický pohon)</w:t>
            </w:r>
          </w:p>
          <w:p w14:paraId="74650181" w14:textId="77777777" w:rsidR="00DD3EFA" w:rsidRPr="00EC2A1C" w:rsidRDefault="00DD3EFA" w:rsidP="00B15ECB">
            <w:r w:rsidRPr="00EC2A1C">
              <w:t xml:space="preserve">- podpora pořízení vozidel pro městskou a příměstskou </w:t>
            </w:r>
          </w:p>
          <w:p w14:paraId="61F79C09" w14:textId="77777777" w:rsidR="00DD3EFA" w:rsidRPr="00EC2A1C" w:rsidRDefault="00DD3EFA" w:rsidP="00B15ECB">
            <w:r w:rsidRPr="00EC2A1C">
              <w:t xml:space="preserve">  dopravu v elektrické trakci (vč. kombinace s provozem na baterie)</w:t>
            </w:r>
          </w:p>
          <w:p w14:paraId="7329F97B" w14:textId="77777777" w:rsidR="00DD3EFA" w:rsidRPr="00EC2A1C" w:rsidRDefault="00DD3EFA" w:rsidP="00B15ECB">
            <w:pPr>
              <w:spacing w:before="60" w:after="60"/>
            </w:pPr>
            <w:r w:rsidRPr="00EC2A1C">
              <w:t xml:space="preserve">- podpora pořízení autobusů na alternativní paliva včetně zázemí pro tyto provozy </w:t>
            </w:r>
          </w:p>
          <w:p w14:paraId="2C54D953" w14:textId="77777777" w:rsidR="00DD3EFA" w:rsidRPr="00EC2A1C" w:rsidRDefault="00DD3EFA" w:rsidP="00B15ECB">
            <w:pPr>
              <w:spacing w:before="60" w:after="60"/>
            </w:pPr>
            <w:r w:rsidRPr="00EC2A1C">
              <w:t>- podpora pořízení vozidel na alternativní pohon (např. dodávky)</w:t>
            </w:r>
          </w:p>
          <w:p w14:paraId="4E21FF85" w14:textId="77777777" w:rsidR="00DD3EFA" w:rsidRPr="00EC2A1C" w:rsidRDefault="00DD3EFA" w:rsidP="00B15ECB">
            <w:r w:rsidRPr="00EC2A1C">
              <w:t>- plnící a dobíjecí stanice pro podniky veřejné hromadné dopravy</w:t>
            </w:r>
          </w:p>
        </w:tc>
        <w:tc>
          <w:tcPr>
            <w:tcW w:w="249" w:type="dxa"/>
            <w:tcBorders>
              <w:top w:val="nil"/>
              <w:bottom w:val="nil"/>
            </w:tcBorders>
            <w:shd w:val="clear" w:color="auto" w:fill="66CCFF"/>
          </w:tcPr>
          <w:p w14:paraId="09547E44" w14:textId="77777777" w:rsidR="00DD3EFA" w:rsidRPr="00EC2A1C" w:rsidRDefault="00DD3EFA" w:rsidP="00B15ECB">
            <w:pPr>
              <w:rPr>
                <w:b/>
              </w:rPr>
            </w:pPr>
          </w:p>
        </w:tc>
      </w:tr>
      <w:tr w:rsidR="00DD3EFA" w:rsidRPr="00EC2A1C" w14:paraId="519B2647" w14:textId="77777777" w:rsidTr="00B15ECB">
        <w:trPr>
          <w:trHeight w:val="377"/>
        </w:trPr>
        <w:tc>
          <w:tcPr>
            <w:tcW w:w="249" w:type="dxa"/>
            <w:tcBorders>
              <w:top w:val="nil"/>
              <w:bottom w:val="nil"/>
              <w:right w:val="nil"/>
            </w:tcBorders>
            <w:shd w:val="clear" w:color="auto" w:fill="66CCFF"/>
          </w:tcPr>
          <w:p w14:paraId="0F34B167"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3867716"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8936974"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1A412E55" w14:textId="77777777" w:rsidR="00DD3EFA" w:rsidRPr="00EC2A1C" w:rsidRDefault="00DD3EFA" w:rsidP="00B15ECB">
            <w:pPr>
              <w:rPr>
                <w:b/>
              </w:rPr>
            </w:pPr>
          </w:p>
        </w:tc>
      </w:tr>
      <w:tr w:rsidR="00DD3EFA" w:rsidRPr="00EC2A1C" w14:paraId="3E9D0859" w14:textId="77777777" w:rsidTr="00B15ECB">
        <w:trPr>
          <w:trHeight w:val="607"/>
        </w:trPr>
        <w:tc>
          <w:tcPr>
            <w:tcW w:w="249" w:type="dxa"/>
            <w:tcBorders>
              <w:top w:val="nil"/>
              <w:bottom w:val="nil"/>
            </w:tcBorders>
            <w:shd w:val="clear" w:color="auto" w:fill="66CCFF"/>
          </w:tcPr>
          <w:p w14:paraId="481862DC"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6A956F6E"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01E0C32E"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26AC64A0" w14:textId="77777777" w:rsidR="00DD3EFA" w:rsidRPr="00EC2A1C" w:rsidRDefault="00DD3EFA" w:rsidP="00B15ECB">
            <w:pPr>
              <w:rPr>
                <w:b/>
              </w:rPr>
            </w:pPr>
          </w:p>
        </w:tc>
      </w:tr>
      <w:tr w:rsidR="00DD3EFA" w:rsidRPr="00EC2A1C" w14:paraId="7F651A76" w14:textId="77777777" w:rsidTr="00B15ECB">
        <w:trPr>
          <w:trHeight w:val="1202"/>
        </w:trPr>
        <w:tc>
          <w:tcPr>
            <w:tcW w:w="249" w:type="dxa"/>
            <w:tcBorders>
              <w:top w:val="nil"/>
              <w:bottom w:val="nil"/>
            </w:tcBorders>
            <w:shd w:val="clear" w:color="auto" w:fill="66CCFF"/>
          </w:tcPr>
          <w:p w14:paraId="29560DF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563333E"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29B1C24B"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37778E3" w14:textId="77777777" w:rsidR="00DD3EFA" w:rsidRPr="00EC2A1C" w:rsidRDefault="00DD3EFA">
            <w:r w:rsidRPr="00EC2A1C">
              <w:t>Na základě dostupných informací a analýz není zřejmá silná územní dimenze v tomto tématu. Přesto jsou oblasti, zejména městské, které jsou exhalacemi z dopravy zatížené nejvíce a kterým podpora ve smyslu provozu veřejné dopravy na alternativní pohon pomůže nejvíce. Zlepšování kvality ovzduší ohrožené právě externalitami zejména silniční dopravy je však do jisté míry plošné a týká se např. i odlehlých venkovských oblastí.  Přesto, hlavním ohniskem zájmu o ozdravení veřejné dopravy mají být systémy městské a příměstské dopravy, které navíc svým provozem a emisemi ovlivňují většinu obyvatelstva ČR přímo v místě jejich bydliště a ekonomické aktivity</w:t>
            </w:r>
          </w:p>
        </w:tc>
        <w:tc>
          <w:tcPr>
            <w:tcW w:w="249" w:type="dxa"/>
            <w:tcBorders>
              <w:top w:val="nil"/>
              <w:bottom w:val="nil"/>
            </w:tcBorders>
            <w:shd w:val="clear" w:color="auto" w:fill="66CCFF"/>
          </w:tcPr>
          <w:p w14:paraId="39655470" w14:textId="77777777" w:rsidR="00DD3EFA" w:rsidRPr="00EC2A1C" w:rsidRDefault="00DD3EFA" w:rsidP="00B15ECB">
            <w:pPr>
              <w:rPr>
                <w:b/>
              </w:rPr>
            </w:pPr>
          </w:p>
        </w:tc>
      </w:tr>
      <w:tr w:rsidR="00DD3EFA" w:rsidRPr="00EC2A1C" w14:paraId="7A2A81C3" w14:textId="77777777" w:rsidTr="00B15ECB">
        <w:trPr>
          <w:trHeight w:val="1202"/>
        </w:trPr>
        <w:tc>
          <w:tcPr>
            <w:tcW w:w="249" w:type="dxa"/>
            <w:tcBorders>
              <w:top w:val="nil"/>
              <w:bottom w:val="nil"/>
            </w:tcBorders>
            <w:shd w:val="clear" w:color="auto" w:fill="66CCFF"/>
          </w:tcPr>
          <w:p w14:paraId="64B50F8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121DF8D"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5B89E376"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3E80B65"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Jde o podporu vozidel těch módů dopravy, které jsou energeticky účinnější a jsou provozována na bázi čistých energií.</w:t>
            </w:r>
          </w:p>
          <w:p w14:paraId="080A0041"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Sektor dopravy se výraznou měrou podílí na znečistění ovzduší.  V současné době je vozový park převážně závislý na motorové naftě a motorovém benzínu, což je spojené s vysokou produkcí emisí znečisťujících látek. Pro snížení negativního vlivu dopravy na kvalitu ovzduší je nutné podporovat využívání elektrické energie, která má vysokou účinnost a nulové lokální emise, a dále alternativních paliv, která mají nižší či nulovou produkci emisí znečisťujících látek.</w:t>
            </w:r>
          </w:p>
        </w:tc>
        <w:tc>
          <w:tcPr>
            <w:tcW w:w="249" w:type="dxa"/>
            <w:tcBorders>
              <w:top w:val="nil"/>
              <w:bottom w:val="nil"/>
            </w:tcBorders>
            <w:shd w:val="clear" w:color="auto" w:fill="66CCFF"/>
          </w:tcPr>
          <w:p w14:paraId="02B879EF" w14:textId="77777777" w:rsidR="00DD3EFA" w:rsidRPr="00EC2A1C" w:rsidRDefault="00DD3EFA" w:rsidP="00B15ECB">
            <w:pPr>
              <w:rPr>
                <w:b/>
              </w:rPr>
            </w:pPr>
          </w:p>
        </w:tc>
      </w:tr>
      <w:tr w:rsidR="00DD3EFA" w:rsidRPr="00EC2A1C" w14:paraId="592EDE33" w14:textId="77777777" w:rsidTr="00B15ECB">
        <w:trPr>
          <w:trHeight w:val="1202"/>
        </w:trPr>
        <w:tc>
          <w:tcPr>
            <w:tcW w:w="249" w:type="dxa"/>
            <w:tcBorders>
              <w:top w:val="nil"/>
              <w:bottom w:val="nil"/>
            </w:tcBorders>
            <w:shd w:val="clear" w:color="auto" w:fill="66CCFF"/>
          </w:tcPr>
          <w:p w14:paraId="4BC1220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B4377FA"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p w14:paraId="765EA150"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75F5EB1"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Jednoznačným příspěvkem ke Společnosti 4.0 v oblasti modernizovaného vozového parku jsou chytrá vozidla, která jsou jednak uzpůsobená vyhodnocovat data ze svého provozu pro sebe samé (úspora energie) nebo dodávat data do sítě, která řídí celý dopravní systém. Předpokladem pro zapojení vozů do chytré sítě je dostupný navigační a monitorovací systém, a stabilní a dostupná síť pro elektronickou komunikaci.</w:t>
            </w:r>
          </w:p>
          <w:p w14:paraId="10C0840C"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 xml:space="preserve">Součástí rozvoje vozů na elektrický pohon je nutná vybudovaná dostatečná síť dobíjecích stanic a úseků pro dynamické dobíjení. Příprava na větší užití chytrých vozů v dopravě bude také znamenat vyšší nároky na znalosti a dovednosti k obsluze a servisu vozů. </w:t>
            </w:r>
          </w:p>
        </w:tc>
        <w:tc>
          <w:tcPr>
            <w:tcW w:w="249" w:type="dxa"/>
            <w:tcBorders>
              <w:top w:val="nil"/>
              <w:bottom w:val="nil"/>
            </w:tcBorders>
            <w:shd w:val="clear" w:color="auto" w:fill="66CCFF"/>
          </w:tcPr>
          <w:p w14:paraId="4496685F" w14:textId="77777777" w:rsidR="00DD3EFA" w:rsidRPr="00EC2A1C" w:rsidRDefault="00DD3EFA" w:rsidP="00B15ECB">
            <w:pPr>
              <w:rPr>
                <w:b/>
              </w:rPr>
            </w:pPr>
          </w:p>
        </w:tc>
      </w:tr>
      <w:tr w:rsidR="00DD3EFA" w:rsidRPr="00EC2A1C" w14:paraId="56202942" w14:textId="77777777" w:rsidTr="00B15ECB">
        <w:trPr>
          <w:trHeight w:val="1202"/>
        </w:trPr>
        <w:tc>
          <w:tcPr>
            <w:tcW w:w="249" w:type="dxa"/>
            <w:tcBorders>
              <w:top w:val="nil"/>
              <w:bottom w:val="nil"/>
            </w:tcBorders>
            <w:shd w:val="clear" w:color="auto" w:fill="66CCFF"/>
          </w:tcPr>
          <w:p w14:paraId="760F349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062BFC2"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27634307"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60F3D4F" w14:textId="77777777" w:rsidR="00DD3EFA" w:rsidRPr="00EC2A1C" w:rsidRDefault="00DD3EFA" w:rsidP="00B15ECB">
            <w:pPr>
              <w:spacing w:before="60" w:after="60"/>
              <w:rPr>
                <w:rFonts w:eastAsiaTheme="majorEastAsia"/>
              </w:rPr>
            </w:pPr>
            <w:r w:rsidRPr="00EC2A1C">
              <w:rPr>
                <w:b/>
              </w:rPr>
              <w:t xml:space="preserve">Rostoucí mobilita </w:t>
            </w:r>
          </w:p>
          <w:p w14:paraId="31AFCA67" w14:textId="77777777" w:rsidR="00DD3EFA" w:rsidRPr="00EC2A1C" w:rsidRDefault="00DD3EFA" w:rsidP="00B15ECB">
            <w:pPr>
              <w:spacing w:before="40"/>
            </w:pPr>
            <w:r w:rsidRPr="00EC2A1C">
              <w:t>Dochází ke zvýšenému pohybu lidí, zboží, ale s tím také rostoucí environmentální zátěže.</w:t>
            </w:r>
          </w:p>
          <w:p w14:paraId="3FF4AEEE" w14:textId="77777777" w:rsidR="00DD3EFA" w:rsidRPr="00EC2A1C" w:rsidRDefault="00DD3EFA" w:rsidP="00B15ECB">
            <w:pPr>
              <w:spacing w:before="240" w:line="259" w:lineRule="auto"/>
              <w:rPr>
                <w:b/>
              </w:rPr>
            </w:pPr>
            <w:r w:rsidRPr="00EC2A1C">
              <w:rPr>
                <w:b/>
              </w:rPr>
              <w:t>Změna klimatu a její dopady</w:t>
            </w:r>
          </w:p>
          <w:p w14:paraId="28E7AE50" w14:textId="77777777" w:rsidR="00DD3EFA" w:rsidRPr="00EC2A1C" w:rsidRDefault="00DD3EFA" w:rsidP="00B15ECB">
            <w:pPr>
              <w:spacing w:before="40"/>
            </w:pPr>
            <w:r w:rsidRPr="00EC2A1C">
              <w:t>Změna klimatu zásadně ovlivňuje nejen životní prostředí, ale i všechny hospodářské sektory a tím i kvalitu života celé společnosti.</w:t>
            </w:r>
          </w:p>
          <w:p w14:paraId="5B170256" w14:textId="77777777" w:rsidR="00DD3EFA" w:rsidRPr="00EC2A1C" w:rsidRDefault="00DD3EFA" w:rsidP="00B15ECB">
            <w:pPr>
              <w:spacing w:before="240" w:line="259" w:lineRule="auto"/>
              <w:rPr>
                <w:b/>
              </w:rPr>
            </w:pPr>
            <w:r w:rsidRPr="00EC2A1C">
              <w:rPr>
                <w:b/>
              </w:rPr>
              <w:t>Rostoucí spotřeba energie</w:t>
            </w:r>
          </w:p>
          <w:p w14:paraId="1CC17DD4" w14:textId="77777777" w:rsidR="00DD3EFA" w:rsidRPr="00EC2A1C" w:rsidRDefault="00DD3EFA" w:rsidP="00B15ECB">
            <w:pPr>
              <w:spacing w:before="40"/>
            </w:pPr>
            <w:r w:rsidRPr="00EC2A1C">
              <w:t>Energetická náročnost lidské činnosti narůstá v souvislosti s rostoucím bohatstvím a populační expanzí.</w:t>
            </w:r>
          </w:p>
          <w:p w14:paraId="4604E6A9" w14:textId="77777777" w:rsidR="00DD3EFA" w:rsidRPr="00EC2A1C" w:rsidRDefault="00DD3EFA" w:rsidP="00B15ECB">
            <w:pPr>
              <w:spacing w:before="40"/>
              <w:rPr>
                <w:rFonts w:eastAsiaTheme="majorEastAsia"/>
              </w:rPr>
            </w:pPr>
          </w:p>
        </w:tc>
        <w:tc>
          <w:tcPr>
            <w:tcW w:w="249" w:type="dxa"/>
            <w:tcBorders>
              <w:top w:val="nil"/>
              <w:bottom w:val="nil"/>
            </w:tcBorders>
            <w:shd w:val="clear" w:color="auto" w:fill="66CCFF"/>
          </w:tcPr>
          <w:p w14:paraId="4511C786" w14:textId="77777777" w:rsidR="00DD3EFA" w:rsidRPr="00EC2A1C" w:rsidRDefault="00DD3EFA" w:rsidP="00B15ECB">
            <w:pPr>
              <w:rPr>
                <w:b/>
              </w:rPr>
            </w:pPr>
          </w:p>
        </w:tc>
      </w:tr>
      <w:tr w:rsidR="00DD3EFA" w:rsidRPr="00EC2A1C" w14:paraId="317F8A49" w14:textId="77777777" w:rsidTr="00B15ECB">
        <w:trPr>
          <w:trHeight w:val="1202"/>
        </w:trPr>
        <w:tc>
          <w:tcPr>
            <w:tcW w:w="249" w:type="dxa"/>
            <w:tcBorders>
              <w:top w:val="nil"/>
              <w:bottom w:val="nil"/>
            </w:tcBorders>
            <w:shd w:val="clear" w:color="auto" w:fill="66CCFF"/>
          </w:tcPr>
          <w:p w14:paraId="2ADBB10E"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9242507"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0AAD4733" w14:textId="77777777" w:rsidR="00DD3EFA" w:rsidRPr="00EC2A1C" w:rsidRDefault="00DD3EFA" w:rsidP="00B15ECB">
            <w:pPr>
              <w:spacing w:before="60" w:after="60"/>
              <w:rPr>
                <w:rFonts w:eastAsiaTheme="majorEastAsia"/>
                <w:b/>
              </w:rPr>
            </w:pPr>
            <w:r w:rsidRPr="00EC2A1C">
              <w:rPr>
                <w:rFonts w:eastAsiaTheme="majorEastAsia"/>
              </w:rPr>
              <w:t xml:space="preserve"> </w:t>
            </w:r>
            <w:r w:rsidRPr="00EC2A1C">
              <w:rPr>
                <w:rFonts w:eastAsiaTheme="majorEastAsia"/>
                <w:b/>
              </w:rPr>
              <w:t>Politický cíl ON:</w:t>
            </w:r>
          </w:p>
          <w:p w14:paraId="34913835" w14:textId="77777777" w:rsidR="00DD3EFA" w:rsidRPr="00EC2A1C" w:rsidRDefault="00DD3EFA" w:rsidP="00B15ECB">
            <w:pPr>
              <w:spacing w:before="60" w:after="60"/>
              <w:rPr>
                <w:rFonts w:eastAsiaTheme="majorEastAsia"/>
              </w:rPr>
            </w:pPr>
            <w:r w:rsidRPr="00EC2A1C">
              <w:rPr>
                <w:rFonts w:eastAsiaTheme="majorEastAsia"/>
              </w:rPr>
              <w:t xml:space="preserve">Zelenější, nízkouhlíková Evropa díky podpoře přechodu na čistou a spravedlivou energii, zelených a modrých investic, oběhového hospodářství, přizpůsobení se změnám klimatu a prevence a řízení rizik </w:t>
            </w:r>
          </w:p>
          <w:p w14:paraId="42262A70" w14:textId="77777777" w:rsidR="00DD3EFA" w:rsidRPr="00EC2A1C" w:rsidRDefault="00DD3EFA" w:rsidP="00B15ECB">
            <w:pPr>
              <w:spacing w:before="60" w:after="60"/>
              <w:rPr>
                <w:rFonts w:eastAsiaTheme="majorEastAsia"/>
                <w:b/>
              </w:rPr>
            </w:pPr>
            <w:r w:rsidRPr="00EC2A1C">
              <w:rPr>
                <w:rFonts w:eastAsiaTheme="majorEastAsia"/>
                <w:b/>
              </w:rPr>
              <w:t>Specifické cíle EFRR/FS:</w:t>
            </w:r>
          </w:p>
          <w:p w14:paraId="4D36D4B7" w14:textId="77777777" w:rsidR="00DD3EFA" w:rsidRPr="00EC2A1C" w:rsidRDefault="00DD3EFA" w:rsidP="00B15ECB">
            <w:pPr>
              <w:spacing w:before="60" w:after="60"/>
              <w:rPr>
                <w:rFonts w:eastAsiaTheme="majorEastAsia"/>
              </w:rPr>
            </w:pPr>
            <w:r w:rsidRPr="00EC2A1C">
              <w:rPr>
                <w:rFonts w:eastAsiaTheme="majorEastAsia"/>
              </w:rPr>
              <w:t>čl. 2 odst. 1 písm. b viii)</w:t>
            </w:r>
          </w:p>
          <w:p w14:paraId="4B8B5C01" w14:textId="77777777" w:rsidR="00DD3EFA" w:rsidRPr="00EC2A1C" w:rsidRDefault="00DD3EFA" w:rsidP="00B15ECB">
            <w:pPr>
              <w:spacing w:before="60" w:after="60"/>
              <w:rPr>
                <w:rFonts w:eastAsiaTheme="majorEastAsia"/>
              </w:rPr>
            </w:pPr>
            <w:r w:rsidRPr="00EC2A1C">
              <w:rPr>
                <w:rFonts w:eastAsiaTheme="majorEastAsia"/>
              </w:rPr>
              <w:t>podpora udržitelné multimodální městské mobility</w:t>
            </w:r>
          </w:p>
          <w:p w14:paraId="3C555EF1" w14:textId="77777777" w:rsidR="00DD3EFA" w:rsidRPr="00EC2A1C" w:rsidRDefault="00DD3EFA" w:rsidP="00B15ECB">
            <w:pPr>
              <w:rPr>
                <w:color w:val="000000"/>
              </w:rPr>
            </w:pPr>
            <w:r w:rsidRPr="00EC2A1C">
              <w:rPr>
                <w:color w:val="000000"/>
              </w:rPr>
              <w:t>CP</w:t>
            </w:r>
          </w:p>
          <w:p w14:paraId="32280F74" w14:textId="77777777" w:rsidR="00DD3EFA" w:rsidRPr="00EC2A1C" w:rsidRDefault="00DD3EFA" w:rsidP="00B15ECB">
            <w:pPr>
              <w:rPr>
                <w:color w:val="000000"/>
              </w:rPr>
            </w:pPr>
            <w:r w:rsidRPr="00EC2A1C">
              <w:rPr>
                <w:color w:val="000000"/>
              </w:rPr>
              <w:t>2. A greener, low-carbon and resilient Europe by promoting clean and fair energy transition, green and blue investment, the circular economy, climate adaptation and risk prevention and management</w:t>
            </w:r>
          </w:p>
          <w:p w14:paraId="45E5AF0E" w14:textId="77777777" w:rsidR="00DD3EFA" w:rsidRPr="00EC2A1C" w:rsidRDefault="00DD3EFA" w:rsidP="00B15ECB">
            <w:pPr>
              <w:rPr>
                <w:color w:val="000000"/>
                <w:lang w:eastAsia="en-GB"/>
              </w:rPr>
            </w:pPr>
            <w:r w:rsidRPr="00EC2A1C">
              <w:rPr>
                <w:color w:val="000000"/>
                <w:lang w:eastAsia="en-GB"/>
              </w:rPr>
              <w:t>SC</w:t>
            </w:r>
          </w:p>
          <w:p w14:paraId="177984BB" w14:textId="77777777" w:rsidR="00DD3EFA" w:rsidRPr="00EC2A1C" w:rsidRDefault="00DD3EFA" w:rsidP="00B15ECB">
            <w:pPr>
              <w:rPr>
                <w:color w:val="000000"/>
              </w:rPr>
            </w:pPr>
            <w:r w:rsidRPr="00EC2A1C">
              <w:rPr>
                <w:color w:val="000000"/>
                <w:lang w:eastAsia="en-GB"/>
              </w:rPr>
              <w:t>(ii) Promoting renewable energy</w:t>
            </w:r>
          </w:p>
          <w:p w14:paraId="2BE5A8D7" w14:textId="77777777" w:rsidR="00DD3EFA" w:rsidRPr="00EC2A1C" w:rsidRDefault="00DD3EFA" w:rsidP="00B15ECB">
            <w:pPr>
              <w:rPr>
                <w:color w:val="000000"/>
              </w:rPr>
            </w:pPr>
            <w:r w:rsidRPr="00EC2A1C">
              <w:rPr>
                <w:color w:val="000000"/>
              </w:rPr>
              <w:t>(viii) Promoting sustainable multimodal urban mobility</w:t>
            </w:r>
          </w:p>
          <w:p w14:paraId="248B0EB5" w14:textId="77777777" w:rsidR="00DD3EFA" w:rsidRPr="00EC2A1C" w:rsidRDefault="00DD3EFA" w:rsidP="00B15ECB">
            <w:pPr>
              <w:spacing w:before="60" w:after="60"/>
              <w:rPr>
                <w:rFonts w:eastAsiaTheme="majorEastAsia"/>
                <w:i/>
              </w:rPr>
            </w:pPr>
            <w:r w:rsidRPr="00EC2A1C">
              <w:rPr>
                <w:color w:val="000000"/>
                <w:lang w:eastAsia="en-GB"/>
              </w:rPr>
              <w:t>(vii) enhancing environmental protection and biodiversity, green infrastructure in particular in the urban environment, and reducing emissions and pollution;</w:t>
            </w:r>
          </w:p>
        </w:tc>
        <w:tc>
          <w:tcPr>
            <w:tcW w:w="249" w:type="dxa"/>
            <w:tcBorders>
              <w:top w:val="nil"/>
              <w:bottom w:val="nil"/>
            </w:tcBorders>
            <w:shd w:val="clear" w:color="auto" w:fill="66CCFF"/>
          </w:tcPr>
          <w:p w14:paraId="05BFFDFD" w14:textId="77777777" w:rsidR="00DD3EFA" w:rsidRPr="00EC2A1C" w:rsidRDefault="00DD3EFA" w:rsidP="00B15ECB">
            <w:pPr>
              <w:rPr>
                <w:b/>
              </w:rPr>
            </w:pPr>
          </w:p>
        </w:tc>
      </w:tr>
      <w:tr w:rsidR="00DD3EFA" w:rsidRPr="00EC2A1C" w14:paraId="062BA9CC" w14:textId="77777777" w:rsidTr="00B15ECB">
        <w:trPr>
          <w:trHeight w:val="1202"/>
        </w:trPr>
        <w:tc>
          <w:tcPr>
            <w:tcW w:w="249" w:type="dxa"/>
            <w:tcBorders>
              <w:top w:val="nil"/>
              <w:bottom w:val="nil"/>
            </w:tcBorders>
            <w:shd w:val="clear" w:color="auto" w:fill="66CCFF"/>
          </w:tcPr>
          <w:p w14:paraId="04E8CEEA"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256A9EB"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bottom w:val="single" w:sz="4" w:space="0" w:color="auto"/>
            </w:tcBorders>
            <w:shd w:val="clear" w:color="auto" w:fill="FFFFFF" w:themeFill="background1"/>
          </w:tcPr>
          <w:p w14:paraId="01C17E15" w14:textId="77777777" w:rsidR="00DD3EFA" w:rsidRPr="00EC2A1C" w:rsidRDefault="00DD3EFA" w:rsidP="00B15ECB">
            <w:pPr>
              <w:spacing w:before="60" w:after="60"/>
              <w:rPr>
                <w:rFonts w:eastAsiaTheme="majorEastAsia"/>
                <w:i/>
              </w:rPr>
            </w:pPr>
            <w:r w:rsidRPr="00EC2A1C">
              <w:rPr>
                <w:rFonts w:eastAsiaTheme="majorEastAsia"/>
              </w:rPr>
              <w:t xml:space="preserve">Vybraná specifická doporučení Rady </w:t>
            </w:r>
            <w:r w:rsidRPr="00EC2A1C">
              <w:rPr>
                <w:rFonts w:eastAsiaTheme="majorEastAsia"/>
                <w:i/>
              </w:rPr>
              <w:t>(Reduce the administrative burden on investment, including by speeding up permit procedures for infrastructure work. Address weaknesses in public procurement practices…)</w:t>
            </w:r>
            <w:r w:rsidRPr="00EC2A1C">
              <w:rPr>
                <w:rFonts w:eastAsiaTheme="majorEastAsia"/>
              </w:rPr>
              <w:t xml:space="preserve"> směřují k bariérám, které mohou mít vliv na implementaci specifického cíle NKR.</w:t>
            </w:r>
          </w:p>
        </w:tc>
        <w:tc>
          <w:tcPr>
            <w:tcW w:w="249" w:type="dxa"/>
            <w:tcBorders>
              <w:top w:val="nil"/>
              <w:bottom w:val="nil"/>
            </w:tcBorders>
            <w:shd w:val="clear" w:color="auto" w:fill="66CCFF"/>
          </w:tcPr>
          <w:p w14:paraId="770E99B5" w14:textId="77777777" w:rsidR="00DD3EFA" w:rsidRPr="00EC2A1C" w:rsidRDefault="00DD3EFA" w:rsidP="00B15ECB">
            <w:pPr>
              <w:rPr>
                <w:b/>
              </w:rPr>
            </w:pPr>
          </w:p>
        </w:tc>
      </w:tr>
      <w:tr w:rsidR="00DD3EFA" w:rsidRPr="00EC2A1C" w14:paraId="363A9490" w14:textId="77777777" w:rsidTr="00B15ECB">
        <w:trPr>
          <w:trHeight w:val="180"/>
        </w:trPr>
        <w:tc>
          <w:tcPr>
            <w:tcW w:w="249" w:type="dxa"/>
            <w:tcBorders>
              <w:top w:val="nil"/>
              <w:bottom w:val="nil"/>
              <w:right w:val="nil"/>
            </w:tcBorders>
            <w:shd w:val="clear" w:color="auto" w:fill="66CCFF"/>
          </w:tcPr>
          <w:p w14:paraId="541DB706" w14:textId="77777777" w:rsidR="00DD3EFA" w:rsidRPr="00EC2A1C" w:rsidRDefault="00DD3EFA" w:rsidP="00B15ECB">
            <w:pPr>
              <w:rPr>
                <w:b/>
              </w:rPr>
            </w:pPr>
          </w:p>
        </w:tc>
        <w:tc>
          <w:tcPr>
            <w:tcW w:w="2548" w:type="dxa"/>
            <w:tcBorders>
              <w:left w:val="nil"/>
              <w:right w:val="nil"/>
            </w:tcBorders>
            <w:shd w:val="clear" w:color="auto" w:fill="66CCFF"/>
          </w:tcPr>
          <w:p w14:paraId="130338B3" w14:textId="77777777" w:rsidR="00DD3EFA" w:rsidRPr="00EC2A1C" w:rsidRDefault="00DD3EFA" w:rsidP="00B15ECB">
            <w:pPr>
              <w:rPr>
                <w:b/>
              </w:rPr>
            </w:pPr>
          </w:p>
        </w:tc>
        <w:tc>
          <w:tcPr>
            <w:tcW w:w="5978" w:type="dxa"/>
            <w:tcBorders>
              <w:left w:val="nil"/>
              <w:right w:val="nil"/>
            </w:tcBorders>
            <w:shd w:val="clear" w:color="auto" w:fill="66CCFF"/>
          </w:tcPr>
          <w:p w14:paraId="7DA2E47E" w14:textId="77777777" w:rsidR="00DD3EFA" w:rsidRPr="00EC2A1C" w:rsidRDefault="00DD3EFA" w:rsidP="00B15ECB">
            <w:pPr>
              <w:rPr>
                <w:b/>
              </w:rPr>
            </w:pPr>
          </w:p>
        </w:tc>
        <w:tc>
          <w:tcPr>
            <w:tcW w:w="249" w:type="dxa"/>
            <w:tcBorders>
              <w:top w:val="nil"/>
              <w:left w:val="nil"/>
              <w:bottom w:val="nil"/>
            </w:tcBorders>
            <w:shd w:val="clear" w:color="auto" w:fill="66CCFF"/>
          </w:tcPr>
          <w:p w14:paraId="6D24C230" w14:textId="77777777" w:rsidR="00DD3EFA" w:rsidRPr="00EC2A1C" w:rsidRDefault="00DD3EFA" w:rsidP="00B15ECB">
            <w:pPr>
              <w:rPr>
                <w:b/>
              </w:rPr>
            </w:pPr>
          </w:p>
        </w:tc>
      </w:tr>
      <w:tr w:rsidR="00DD3EFA" w:rsidRPr="00EC2A1C" w14:paraId="5DCF77CA" w14:textId="77777777" w:rsidTr="00B15ECB">
        <w:trPr>
          <w:trHeight w:val="938"/>
        </w:trPr>
        <w:tc>
          <w:tcPr>
            <w:tcW w:w="249" w:type="dxa"/>
            <w:tcBorders>
              <w:top w:val="nil"/>
              <w:bottom w:val="nil"/>
            </w:tcBorders>
            <w:shd w:val="clear" w:color="auto" w:fill="66CCFF"/>
          </w:tcPr>
          <w:p w14:paraId="00622C2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144DE2F"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5A0CA13E" w14:textId="77777777" w:rsidR="00DD3EFA" w:rsidRPr="00EC2A1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3192AC8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Hlavní strategický dokument pro období 2020+:</w:t>
            </w:r>
          </w:p>
          <w:p w14:paraId="62F18B30" w14:textId="77777777" w:rsidR="00DD3EFA" w:rsidRPr="00EC2A1C" w:rsidRDefault="00DD3EFA" w:rsidP="00B15ECB">
            <w:r w:rsidRPr="00EC2A1C">
              <w:t>Národní akční plán čisté mobility a Bílá kniha – Koncepce veřejné dopravy.</w:t>
            </w:r>
          </w:p>
          <w:p w14:paraId="6775899A" w14:textId="77777777" w:rsidR="00DD3EFA" w:rsidRPr="00EC2A1C" w:rsidRDefault="00DD3EFA" w:rsidP="00B15ECB"/>
          <w:p w14:paraId="232CB8A1"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Ostatní strategické dokumenty:</w:t>
            </w:r>
          </w:p>
          <w:p w14:paraId="05B3D09C" w14:textId="77777777" w:rsidR="00DD3EFA" w:rsidRPr="00EC2A1C" w:rsidRDefault="00DD3EFA" w:rsidP="00B15ECB">
            <w:r w:rsidRPr="00EC2A1C">
              <w:t>Národní program snižování emisí ČR</w:t>
            </w:r>
          </w:p>
          <w:p w14:paraId="5E569529" w14:textId="77777777" w:rsidR="00DD3EFA" w:rsidRPr="00EC2A1C" w:rsidRDefault="00DD3EFA" w:rsidP="00B15ECB">
            <w:r w:rsidRPr="00EC2A1C">
              <w:t>Programy zlepšování kvality ovzduší</w:t>
            </w:r>
          </w:p>
          <w:p w14:paraId="3AA53158" w14:textId="77777777" w:rsidR="00DD3EFA" w:rsidRPr="00EC2A1C" w:rsidRDefault="00DD3EFA" w:rsidP="00B15ECB">
            <w:r w:rsidRPr="00EC2A1C">
              <w:t>Střednědobá strategie zlepšení kvality ovzduší v ČR</w:t>
            </w:r>
          </w:p>
        </w:tc>
        <w:tc>
          <w:tcPr>
            <w:tcW w:w="249" w:type="dxa"/>
            <w:tcBorders>
              <w:top w:val="nil"/>
              <w:bottom w:val="nil"/>
            </w:tcBorders>
            <w:shd w:val="clear" w:color="auto" w:fill="66CCFF"/>
          </w:tcPr>
          <w:p w14:paraId="6E62C293" w14:textId="77777777" w:rsidR="00DD3EFA" w:rsidRPr="00EC2A1C" w:rsidRDefault="00DD3EFA" w:rsidP="00B15ECB">
            <w:pPr>
              <w:rPr>
                <w:b/>
              </w:rPr>
            </w:pPr>
          </w:p>
        </w:tc>
      </w:tr>
      <w:tr w:rsidR="00DD3EFA" w:rsidRPr="00EC2A1C" w14:paraId="412C5672" w14:textId="77777777" w:rsidTr="00B15ECB">
        <w:trPr>
          <w:trHeight w:val="938"/>
        </w:trPr>
        <w:tc>
          <w:tcPr>
            <w:tcW w:w="249" w:type="dxa"/>
            <w:tcBorders>
              <w:top w:val="nil"/>
              <w:bottom w:val="nil"/>
            </w:tcBorders>
            <w:shd w:val="clear" w:color="auto" w:fill="66CCFF"/>
          </w:tcPr>
          <w:p w14:paraId="7B3359E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C0D8EE5"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2F2FD137"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87A05B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Vedle nevyhovujícího stavu infrastruktury je problémem také zastaralý vozový park železničních vozidel, a to jak v dopravě regionální, tak v rostoucí míře v dopravě dálkové. S ohledem na specifika dálkové železniční dopravy v ČR, pro niž nejsou optimální vozidla, vyráběná sériově renomovanými výrobci, je pořízení vhodných vozidel poměrně nákladné a proto mohou dopravci a objednatelé veřejné dopravy obnovovat vozidla v tomto segmentu železniční dopravy jen ve velmi omezené míře.</w:t>
            </w:r>
          </w:p>
        </w:tc>
        <w:tc>
          <w:tcPr>
            <w:tcW w:w="249" w:type="dxa"/>
            <w:tcBorders>
              <w:top w:val="nil"/>
              <w:bottom w:val="nil"/>
            </w:tcBorders>
            <w:shd w:val="clear" w:color="auto" w:fill="66CCFF"/>
          </w:tcPr>
          <w:p w14:paraId="5C3A3C68" w14:textId="77777777" w:rsidR="00DD3EFA" w:rsidRPr="00EC2A1C" w:rsidRDefault="00DD3EFA" w:rsidP="00B15ECB">
            <w:pPr>
              <w:rPr>
                <w:b/>
              </w:rPr>
            </w:pPr>
          </w:p>
        </w:tc>
      </w:tr>
      <w:tr w:rsidR="00DD3EFA" w:rsidRPr="00EC2A1C" w14:paraId="579C75C8" w14:textId="77777777" w:rsidTr="00B15ECB">
        <w:trPr>
          <w:trHeight w:val="938"/>
        </w:trPr>
        <w:tc>
          <w:tcPr>
            <w:tcW w:w="249" w:type="dxa"/>
            <w:tcBorders>
              <w:top w:val="nil"/>
              <w:bottom w:val="nil"/>
            </w:tcBorders>
            <w:shd w:val="clear" w:color="auto" w:fill="66CCFF"/>
          </w:tcPr>
          <w:p w14:paraId="5CFD262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6ACD491"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5F63C64B"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1BB22C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Kritéria (dle krajských objednatelů veřejné dopravy) například: </w:t>
            </w:r>
          </w:p>
          <w:p w14:paraId="53313B7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Počet nově pořízených vozidel příměstské železnice / vozů elektrických trakcí MHD / autobusů s alternativním pohonem</w:t>
            </w:r>
          </w:p>
          <w:p w14:paraId="22C295DA"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Snížení průměrného stáří vozidel příměstské železnice / elektrické trakce MHD</w:t>
            </w:r>
          </w:p>
        </w:tc>
        <w:tc>
          <w:tcPr>
            <w:tcW w:w="249" w:type="dxa"/>
            <w:tcBorders>
              <w:top w:val="nil"/>
              <w:bottom w:val="nil"/>
            </w:tcBorders>
            <w:shd w:val="clear" w:color="auto" w:fill="66CCFF"/>
          </w:tcPr>
          <w:p w14:paraId="1DFB9554" w14:textId="77777777" w:rsidR="00DD3EFA" w:rsidRPr="00EC2A1C" w:rsidRDefault="00DD3EFA" w:rsidP="00B15ECB">
            <w:pPr>
              <w:rPr>
                <w:b/>
              </w:rPr>
            </w:pPr>
          </w:p>
        </w:tc>
      </w:tr>
      <w:tr w:rsidR="00DD3EFA" w:rsidRPr="00EC2A1C" w14:paraId="34A05AE9" w14:textId="77777777" w:rsidTr="00B15ECB">
        <w:trPr>
          <w:trHeight w:val="938"/>
        </w:trPr>
        <w:tc>
          <w:tcPr>
            <w:tcW w:w="249" w:type="dxa"/>
            <w:tcBorders>
              <w:top w:val="nil"/>
              <w:bottom w:val="nil"/>
            </w:tcBorders>
            <w:shd w:val="clear" w:color="auto" w:fill="66CCFF"/>
          </w:tcPr>
          <w:p w14:paraId="285F515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BBFA48F"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3218DFC3"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F4CFF3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i/>
              </w:rPr>
              <w:t>Prosíme, doplnit základní údaje z hlavní, případně ostatních strategických dokumentů daných pro tento specifický cíl.</w:t>
            </w:r>
          </w:p>
          <w:p w14:paraId="47E72CAE"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Implementační mechanismus vychází ze zpracovaných Plánů dopravní obslužnosti krajů</w:t>
            </w:r>
          </w:p>
        </w:tc>
        <w:tc>
          <w:tcPr>
            <w:tcW w:w="249" w:type="dxa"/>
            <w:tcBorders>
              <w:top w:val="nil"/>
              <w:bottom w:val="nil"/>
            </w:tcBorders>
            <w:shd w:val="clear" w:color="auto" w:fill="66CCFF"/>
          </w:tcPr>
          <w:p w14:paraId="0AA9F172" w14:textId="77777777" w:rsidR="00DD3EFA" w:rsidRPr="00EC2A1C" w:rsidRDefault="00DD3EFA" w:rsidP="00B15ECB">
            <w:pPr>
              <w:rPr>
                <w:b/>
              </w:rPr>
            </w:pPr>
          </w:p>
        </w:tc>
      </w:tr>
      <w:tr w:rsidR="00DD3EFA" w:rsidRPr="00EC2A1C" w14:paraId="09703FA0" w14:textId="77777777" w:rsidTr="00B15ECB">
        <w:trPr>
          <w:trHeight w:val="938"/>
        </w:trPr>
        <w:tc>
          <w:tcPr>
            <w:tcW w:w="249" w:type="dxa"/>
            <w:tcBorders>
              <w:top w:val="nil"/>
              <w:bottom w:val="nil"/>
            </w:tcBorders>
            <w:shd w:val="clear" w:color="auto" w:fill="66CCFF"/>
          </w:tcPr>
          <w:p w14:paraId="06CC74D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CAB0790"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tcBorders>
              <w:bottom w:val="single" w:sz="4" w:space="0" w:color="auto"/>
            </w:tcBorders>
            <w:shd w:val="clear" w:color="auto" w:fill="FFFFFF" w:themeFill="background1"/>
          </w:tcPr>
          <w:p w14:paraId="784E06A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i/>
              </w:rPr>
              <w:t>Prosíme, doplnit základní údaje z hlavní, případně ostatních strategických dokumentů daných pro tento specifický cíl.</w:t>
            </w:r>
          </w:p>
          <w:p w14:paraId="646187A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Vychází z Plánů dopravní obslužnosti krajů.</w:t>
            </w:r>
          </w:p>
        </w:tc>
        <w:tc>
          <w:tcPr>
            <w:tcW w:w="249" w:type="dxa"/>
            <w:tcBorders>
              <w:top w:val="nil"/>
              <w:bottom w:val="nil"/>
            </w:tcBorders>
            <w:shd w:val="clear" w:color="auto" w:fill="66CCFF"/>
          </w:tcPr>
          <w:p w14:paraId="0C9D4BC3" w14:textId="77777777" w:rsidR="00DD3EFA" w:rsidRPr="00EC2A1C" w:rsidRDefault="00DD3EFA" w:rsidP="00B15ECB">
            <w:pPr>
              <w:rPr>
                <w:b/>
              </w:rPr>
            </w:pPr>
          </w:p>
        </w:tc>
      </w:tr>
      <w:tr w:rsidR="00DD3EFA" w:rsidRPr="00EC2A1C" w14:paraId="20525EA4" w14:textId="77777777" w:rsidTr="00B15ECB">
        <w:trPr>
          <w:trHeight w:val="130"/>
        </w:trPr>
        <w:tc>
          <w:tcPr>
            <w:tcW w:w="249" w:type="dxa"/>
            <w:tcBorders>
              <w:top w:val="nil"/>
              <w:bottom w:val="nil"/>
              <w:right w:val="nil"/>
            </w:tcBorders>
            <w:shd w:val="clear" w:color="auto" w:fill="66CCFF"/>
          </w:tcPr>
          <w:p w14:paraId="3245910D" w14:textId="77777777" w:rsidR="00DD3EFA" w:rsidRPr="00EC2A1C" w:rsidRDefault="00DD3EFA" w:rsidP="00B15ECB">
            <w:pPr>
              <w:rPr>
                <w:b/>
              </w:rPr>
            </w:pPr>
          </w:p>
        </w:tc>
        <w:tc>
          <w:tcPr>
            <w:tcW w:w="2548" w:type="dxa"/>
            <w:tcBorders>
              <w:left w:val="nil"/>
              <w:right w:val="nil"/>
            </w:tcBorders>
            <w:shd w:val="clear" w:color="auto" w:fill="66CCFF"/>
          </w:tcPr>
          <w:p w14:paraId="31DA74D8" w14:textId="77777777" w:rsidR="00DD3EFA" w:rsidRPr="00EC2A1C" w:rsidRDefault="00DD3EFA" w:rsidP="00B15ECB">
            <w:pPr>
              <w:rPr>
                <w:b/>
              </w:rPr>
            </w:pPr>
          </w:p>
        </w:tc>
        <w:tc>
          <w:tcPr>
            <w:tcW w:w="5978" w:type="dxa"/>
            <w:tcBorders>
              <w:left w:val="nil"/>
              <w:right w:val="nil"/>
            </w:tcBorders>
            <w:shd w:val="clear" w:color="auto" w:fill="66CCFF"/>
          </w:tcPr>
          <w:p w14:paraId="24C1432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25393FD4" w14:textId="77777777" w:rsidR="00DD3EFA" w:rsidRPr="00EC2A1C" w:rsidRDefault="00DD3EFA" w:rsidP="00B15ECB">
            <w:pPr>
              <w:rPr>
                <w:b/>
              </w:rPr>
            </w:pPr>
          </w:p>
        </w:tc>
      </w:tr>
      <w:tr w:rsidR="00DD3EFA" w:rsidRPr="00EC2A1C" w14:paraId="1E8005C7" w14:textId="77777777" w:rsidTr="00B15ECB">
        <w:trPr>
          <w:trHeight w:val="1258"/>
        </w:trPr>
        <w:tc>
          <w:tcPr>
            <w:tcW w:w="249" w:type="dxa"/>
            <w:tcBorders>
              <w:top w:val="nil"/>
              <w:bottom w:val="nil"/>
              <w:right w:val="nil"/>
            </w:tcBorders>
            <w:shd w:val="clear" w:color="auto" w:fill="66CCFF"/>
          </w:tcPr>
          <w:p w14:paraId="13057D04" w14:textId="77777777" w:rsidR="00DD3EFA" w:rsidRPr="00EC2A1C" w:rsidRDefault="00DD3EFA" w:rsidP="00B15ECB">
            <w:pPr>
              <w:rPr>
                <w:b/>
              </w:rPr>
            </w:pPr>
          </w:p>
        </w:tc>
        <w:tc>
          <w:tcPr>
            <w:tcW w:w="2548" w:type="dxa"/>
            <w:shd w:val="clear" w:color="auto" w:fill="FFFFFF" w:themeFill="background1"/>
          </w:tcPr>
          <w:p w14:paraId="5499C836" w14:textId="77777777" w:rsidR="00DD3EFA" w:rsidRPr="00EC2A1C" w:rsidRDefault="00DD3EFA" w:rsidP="00B15ECB">
            <w:pPr>
              <w:rPr>
                <w:b/>
              </w:rPr>
            </w:pPr>
            <w:r w:rsidRPr="00EC2A1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2AA29D94" w14:textId="77777777" w:rsidR="00DD3EFA" w:rsidRPr="00EC2A1C" w:rsidRDefault="00DD3EFA" w:rsidP="00B15ECB">
            <w:r w:rsidRPr="00EC2A1C">
              <w:t>I přes významnou podporu VHD z fondů EU v programových obdobích 2007–2013 a 2014–2020 bude s ohledem na velkou dynamiku rozvoje měst a jejich zázemí nezbytné v této podpoře pokračovat i po roce 2020. A to i s ohledem na fakt, že neřešení nárůstu dopravy a mobility obyvatel bude představovat jednu s hlavních překážek rozvoje měst a jejich zázemí a jedním z hlavních determinantů kvality života v těchto územích.</w:t>
            </w:r>
          </w:p>
          <w:p w14:paraId="3B840810" w14:textId="77777777" w:rsidR="00DD3EFA" w:rsidRPr="00EC2A1C" w:rsidRDefault="00DD3EFA" w:rsidP="00B15ECB">
            <w:r w:rsidRPr="00EC2A1C">
              <w:t xml:space="preserve">V OP D řešeno v rámci </w:t>
            </w:r>
            <w:r w:rsidRPr="00EC2A1C">
              <w:rPr>
                <w:i/>
              </w:rPr>
              <w:t>PO 1 Infrastruktura pro železniční a další udržitelnou dopravu SC 1.5 Vytvoření podmínek pro širší využití železniční a vodní dopravy prostřednictvím modernizace dopravního parku</w:t>
            </w:r>
            <w:r w:rsidRPr="00EC2A1C">
              <w:t>. V rámci tohoto specifického cíle dochází k modernizaci ŽKV na bázi jednotlivých krajů. Absorpční kapacita i čerpání je potenciálně na velmi dobré úrovni. Výzva č. 28 je už nyní v podstatě naplněná (nikoli vyhodnocená - ukončení příjmu žádostí do 29. 6. 2018) a tím by byla v podstatě vyčerpána i celá alokace. ŘO plánuje na další nákup ŽKV půjčku od EIB (cca 30 mld. Kč).</w:t>
            </w:r>
          </w:p>
          <w:p w14:paraId="53362AB9" w14:textId="77777777" w:rsidR="00DD3EFA" w:rsidRPr="00EC2A1C" w:rsidRDefault="00DD3EFA" w:rsidP="00B15ECB">
            <w:r w:rsidRPr="00EC2A1C">
              <w:t xml:space="preserve">V IROP v rámci SC 1.2 </w:t>
            </w:r>
            <w:r w:rsidRPr="00EC2A1C">
              <w:rPr>
                <w:i/>
              </w:rPr>
              <w:t>Zvýšení podílu udržitelných forem dopravy</w:t>
            </w:r>
            <w:r w:rsidRPr="00EC2A1C">
              <w:t xml:space="preserve"> je možné žádat o dotace na nákup nízkoemisních a bezemisních vozidel. O tyto výzvy byl velký zájem a alokace nemohla uspokojit všechny žadatele.</w:t>
            </w:r>
          </w:p>
          <w:p w14:paraId="6011DE09" w14:textId="77777777" w:rsidR="00DD3EFA" w:rsidRPr="00EC2A1C" w:rsidRDefault="00DD3EFA" w:rsidP="00B15ECB"/>
          <w:p w14:paraId="287FEF84" w14:textId="77777777" w:rsidR="00DD3EFA" w:rsidRPr="00EC2A1C" w:rsidRDefault="00DD3EFA" w:rsidP="00B15ECB">
            <w:r w:rsidRPr="00EC2A1C">
              <w:t>Pořízení nových či modernizace stávajících vozidel je velmi finančně náročná a zcela nad finanční možnosti krajů a obcí, pokud by je měly hradit v plné výši či z výrazné většiny. Stávající relativně významný rozsah obměny je umožněn pouze díky výrazné finanční podpoře ve formě dotací z ESIF, případně z národních zdrojů.</w:t>
            </w:r>
          </w:p>
          <w:p w14:paraId="4F14522D" w14:textId="77777777" w:rsidR="00DD3EFA" w:rsidRPr="00EC2A1C" w:rsidRDefault="00DD3EFA" w:rsidP="00B15ECB">
            <w:pPr>
              <w:rPr>
                <w:b/>
              </w:rPr>
            </w:pPr>
          </w:p>
        </w:tc>
        <w:tc>
          <w:tcPr>
            <w:tcW w:w="249" w:type="dxa"/>
            <w:tcBorders>
              <w:top w:val="nil"/>
              <w:left w:val="nil"/>
              <w:bottom w:val="nil"/>
            </w:tcBorders>
            <w:shd w:val="clear" w:color="auto" w:fill="66CCFF"/>
          </w:tcPr>
          <w:p w14:paraId="59A15D2A" w14:textId="77777777" w:rsidR="00DD3EFA" w:rsidRPr="00EC2A1C" w:rsidRDefault="00DD3EFA" w:rsidP="00B15ECB">
            <w:pPr>
              <w:rPr>
                <w:b/>
              </w:rPr>
            </w:pPr>
          </w:p>
        </w:tc>
      </w:tr>
      <w:tr w:rsidR="00DD3EFA" w:rsidRPr="00EC2A1C" w14:paraId="09C1E029" w14:textId="77777777" w:rsidTr="00B15ECB">
        <w:trPr>
          <w:trHeight w:val="1258"/>
        </w:trPr>
        <w:tc>
          <w:tcPr>
            <w:tcW w:w="249" w:type="dxa"/>
            <w:tcBorders>
              <w:top w:val="nil"/>
              <w:bottom w:val="nil"/>
              <w:right w:val="nil"/>
            </w:tcBorders>
            <w:shd w:val="clear" w:color="auto" w:fill="66CCFF"/>
          </w:tcPr>
          <w:p w14:paraId="306A5DE3" w14:textId="77777777" w:rsidR="00DD3EFA" w:rsidRPr="00EC2A1C" w:rsidRDefault="00DD3EFA" w:rsidP="00B15ECB">
            <w:pPr>
              <w:rPr>
                <w:b/>
              </w:rPr>
            </w:pPr>
          </w:p>
        </w:tc>
        <w:tc>
          <w:tcPr>
            <w:tcW w:w="2548" w:type="dxa"/>
            <w:shd w:val="clear" w:color="auto" w:fill="FFFFFF" w:themeFill="background1"/>
          </w:tcPr>
          <w:p w14:paraId="7BA0A8F3" w14:textId="77777777" w:rsidR="00DD3EFA" w:rsidRPr="00EC2A1C" w:rsidRDefault="00DD3EFA" w:rsidP="00B15ECB">
            <w:pPr>
              <w:rPr>
                <w:rFonts w:eastAsiaTheme="majorEastAsia"/>
                <w:b/>
              </w:rPr>
            </w:pPr>
            <w:r w:rsidRPr="00EC2A1C">
              <w:rPr>
                <w:rFonts w:eastAsiaTheme="majorEastAsia"/>
                <w:b/>
              </w:rPr>
              <w:t>Věcný posun oblasti</w:t>
            </w:r>
          </w:p>
          <w:p w14:paraId="5D7E6A29"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55BB98B6" w14:textId="77777777" w:rsidR="00DD3EFA" w:rsidRPr="00EC2A1C" w:rsidRDefault="00DD3EFA" w:rsidP="00B15ECB">
            <w:r w:rsidRPr="00EC2A1C">
              <w:t>Specifický cíl 1.2 IROP v oblasti obměny vozového parku veřejné dopravy vozidly s alternativním pohonem do konce roku 2018 podpořil celkem 54 projektů za 4,85 mld. Kč, z toho 13 projektů bylo k 31. 12. v realizaci, 41 projektů bylo dokončeno.</w:t>
            </w:r>
          </w:p>
          <w:p w14:paraId="18DE5496"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K rozvoji systémů s nízkou hlučností a nízkouhlíkových dopravních systémů šetrných k životnímu prostředí podstatně přispělo pořízení 438 vozidel pro veřejnou dopravu (elektrobusů, CNG autobusů, trolejbusů a tramvají) z IROP napříč celým územím České republiky (s výjimkou hl. m. Prahy), nejvíce v Moravskoslezském kraji. Ročně by tak mělo dojít ke snížení množství emisí primárních částic a prekurzorů sekundárních částic min. o 400 tun.</w:t>
            </w:r>
          </w:p>
        </w:tc>
        <w:tc>
          <w:tcPr>
            <w:tcW w:w="249" w:type="dxa"/>
            <w:tcBorders>
              <w:top w:val="nil"/>
              <w:left w:val="nil"/>
              <w:bottom w:val="nil"/>
            </w:tcBorders>
            <w:shd w:val="clear" w:color="auto" w:fill="66CCFF"/>
          </w:tcPr>
          <w:p w14:paraId="245FC97F" w14:textId="77777777" w:rsidR="00DD3EFA" w:rsidRPr="00EC2A1C" w:rsidRDefault="00DD3EFA" w:rsidP="00B15ECB">
            <w:pPr>
              <w:rPr>
                <w:b/>
              </w:rPr>
            </w:pPr>
          </w:p>
        </w:tc>
      </w:tr>
      <w:tr w:rsidR="00DD3EFA" w:rsidRPr="00EC2A1C" w14:paraId="298DC8C1" w14:textId="77777777" w:rsidTr="00B15ECB">
        <w:trPr>
          <w:trHeight w:val="1258"/>
        </w:trPr>
        <w:tc>
          <w:tcPr>
            <w:tcW w:w="249" w:type="dxa"/>
            <w:tcBorders>
              <w:top w:val="nil"/>
              <w:bottom w:val="nil"/>
              <w:right w:val="nil"/>
            </w:tcBorders>
            <w:shd w:val="clear" w:color="auto" w:fill="66CCFF"/>
          </w:tcPr>
          <w:p w14:paraId="6DC14242" w14:textId="77777777" w:rsidR="00DD3EFA" w:rsidRPr="00EC2A1C" w:rsidRDefault="00DD3EFA" w:rsidP="00B15ECB">
            <w:pPr>
              <w:rPr>
                <w:b/>
              </w:rPr>
            </w:pPr>
          </w:p>
        </w:tc>
        <w:tc>
          <w:tcPr>
            <w:tcW w:w="2548" w:type="dxa"/>
            <w:shd w:val="clear" w:color="auto" w:fill="FFFFFF" w:themeFill="background1"/>
          </w:tcPr>
          <w:p w14:paraId="2A17D51D" w14:textId="77777777" w:rsidR="00DD3EFA" w:rsidRPr="00EC2A1C" w:rsidRDefault="00DD3EFA" w:rsidP="00B15ECB">
            <w:pPr>
              <w:rPr>
                <w:rFonts w:eastAsiaTheme="majorEastAsia"/>
                <w:b/>
              </w:rPr>
            </w:pPr>
            <w:r w:rsidRPr="00EC2A1C">
              <w:rPr>
                <w:rFonts w:eastAsiaTheme="majorEastAsia"/>
                <w:b/>
              </w:rPr>
              <w:t>Synergické a multiplikační efekty</w:t>
            </w:r>
          </w:p>
          <w:p w14:paraId="6F578C2E"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0CA9A7F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Kvalitní vozidla jsou vedle modernizace dopravní infrastruktury významným faktorem konkurenceschopnosti veřejné dopravy a je jednou z možností řešení kapacitních problémů veřejné dopravy zejména v hustě osídlených oblastech. Vyšší atraktivita vede v konečném důsledku k výrazným energetickým úsporám s pozitivním dopadem na veřejné zdraví, životní prostředí a změny klimatu.</w:t>
            </w:r>
          </w:p>
        </w:tc>
        <w:tc>
          <w:tcPr>
            <w:tcW w:w="249" w:type="dxa"/>
            <w:tcBorders>
              <w:top w:val="nil"/>
              <w:left w:val="nil"/>
              <w:bottom w:val="nil"/>
            </w:tcBorders>
            <w:shd w:val="clear" w:color="auto" w:fill="66CCFF"/>
          </w:tcPr>
          <w:p w14:paraId="639D6DE5" w14:textId="77777777" w:rsidR="00DD3EFA" w:rsidRPr="00EC2A1C" w:rsidRDefault="00DD3EFA" w:rsidP="00B15ECB">
            <w:pPr>
              <w:rPr>
                <w:b/>
              </w:rPr>
            </w:pPr>
          </w:p>
        </w:tc>
      </w:tr>
      <w:tr w:rsidR="00DD3EFA" w:rsidRPr="00EC2A1C" w14:paraId="082AC785" w14:textId="77777777" w:rsidTr="00B15ECB">
        <w:trPr>
          <w:trHeight w:val="180"/>
        </w:trPr>
        <w:tc>
          <w:tcPr>
            <w:tcW w:w="249" w:type="dxa"/>
            <w:tcBorders>
              <w:top w:val="nil"/>
              <w:bottom w:val="nil"/>
              <w:right w:val="nil"/>
            </w:tcBorders>
            <w:shd w:val="clear" w:color="auto" w:fill="66CCFF"/>
          </w:tcPr>
          <w:p w14:paraId="3F5B506E"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2D296E45"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29780C88" w14:textId="77777777" w:rsidR="00DD3EFA" w:rsidRPr="00EC2A1C" w:rsidRDefault="00DD3EFA" w:rsidP="00B15ECB">
            <w:pPr>
              <w:rPr>
                <w:b/>
              </w:rPr>
            </w:pPr>
          </w:p>
        </w:tc>
        <w:tc>
          <w:tcPr>
            <w:tcW w:w="249" w:type="dxa"/>
            <w:tcBorders>
              <w:top w:val="nil"/>
              <w:left w:val="nil"/>
              <w:bottom w:val="nil"/>
            </w:tcBorders>
            <w:shd w:val="clear" w:color="auto" w:fill="66CCFF"/>
          </w:tcPr>
          <w:p w14:paraId="7D859179" w14:textId="77777777" w:rsidR="00DD3EFA" w:rsidRPr="00EC2A1C" w:rsidRDefault="00DD3EFA" w:rsidP="00B15ECB">
            <w:pPr>
              <w:rPr>
                <w:b/>
              </w:rPr>
            </w:pPr>
          </w:p>
        </w:tc>
      </w:tr>
      <w:tr w:rsidR="00DD3EFA" w:rsidRPr="00EC2A1C" w14:paraId="41E008E0" w14:textId="77777777" w:rsidTr="00B15ECB">
        <w:trPr>
          <w:trHeight w:val="990"/>
        </w:trPr>
        <w:tc>
          <w:tcPr>
            <w:tcW w:w="249" w:type="dxa"/>
            <w:tcBorders>
              <w:top w:val="nil"/>
              <w:bottom w:val="nil"/>
            </w:tcBorders>
            <w:shd w:val="clear" w:color="auto" w:fill="66CCFF"/>
          </w:tcPr>
          <w:p w14:paraId="6C34F6D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6EE2817" w14:textId="77777777" w:rsidR="00DD3EFA" w:rsidRPr="00EC2A1C" w:rsidRDefault="00DD3EFA" w:rsidP="00B15ECB">
            <w:pPr>
              <w:spacing w:before="60" w:after="60"/>
              <w:rPr>
                <w:rFonts w:eastAsiaTheme="majorEastAsia"/>
                <w:b/>
              </w:rPr>
            </w:pPr>
            <w:r w:rsidRPr="00EC2A1C">
              <w:rPr>
                <w:rFonts w:eastAsiaTheme="majorEastAsia"/>
                <w:b/>
              </w:rPr>
              <w:t>Absorpční kapacita</w:t>
            </w:r>
          </w:p>
        </w:tc>
        <w:tc>
          <w:tcPr>
            <w:tcW w:w="5978" w:type="dxa"/>
            <w:tcBorders>
              <w:bottom w:val="single" w:sz="4" w:space="0" w:color="auto"/>
            </w:tcBorders>
            <w:shd w:val="clear" w:color="auto" w:fill="FFFFFF" w:themeFill="background1"/>
          </w:tcPr>
          <w:p w14:paraId="3984C49C" w14:textId="77777777" w:rsidR="00DD3EFA" w:rsidRPr="00EC2A1C" w:rsidRDefault="00DD3EFA" w:rsidP="00B15ECB">
            <w:pPr>
              <w:spacing w:before="60" w:after="60"/>
              <w:rPr>
                <w:rFonts w:eastAsiaTheme="majorEastAsia"/>
              </w:rPr>
            </w:pPr>
          </w:p>
        </w:tc>
        <w:tc>
          <w:tcPr>
            <w:tcW w:w="249" w:type="dxa"/>
            <w:tcBorders>
              <w:top w:val="nil"/>
              <w:bottom w:val="nil"/>
            </w:tcBorders>
            <w:shd w:val="clear" w:color="auto" w:fill="66CCFF"/>
          </w:tcPr>
          <w:p w14:paraId="35776EBD" w14:textId="77777777" w:rsidR="00DD3EFA" w:rsidRPr="00EC2A1C" w:rsidRDefault="00DD3EFA" w:rsidP="00B15ECB">
            <w:pPr>
              <w:rPr>
                <w:b/>
              </w:rPr>
            </w:pPr>
          </w:p>
        </w:tc>
      </w:tr>
      <w:tr w:rsidR="00DD3EFA" w:rsidRPr="00EC2A1C" w14:paraId="2D9A433F" w14:textId="77777777" w:rsidTr="00B15ECB">
        <w:trPr>
          <w:trHeight w:val="1260"/>
        </w:trPr>
        <w:tc>
          <w:tcPr>
            <w:tcW w:w="249" w:type="dxa"/>
            <w:tcBorders>
              <w:top w:val="nil"/>
              <w:bottom w:val="nil"/>
            </w:tcBorders>
            <w:shd w:val="clear" w:color="auto" w:fill="66CCFF"/>
          </w:tcPr>
          <w:p w14:paraId="4AC1466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3B6ACC4"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420EC2C1" w14:textId="77777777" w:rsidR="00DD3EFA" w:rsidRPr="00EC2A1C" w:rsidRDefault="00DD3EFA" w:rsidP="00B15ECB">
            <w:pPr>
              <w:spacing w:before="60" w:after="60"/>
            </w:pPr>
            <w:r w:rsidRPr="00EC2A1C">
              <w:t>V IROP byly vyhlášeny celkem 3 výzvy na pořízení nízkoemisních a bezemisních vozidel pro veřejnou dopravu. Jediná celostátní výzva (s výjimkou hl. m. Prahy) byla původně o více než 100 %, tj asi 1,75 mld. Kč, přeplněna a 22 projektů bylo zařazeno na seznam náhradních projektů. Díky realokaci finančních prostředků v rámci IROP mohlo být v druhé polovině roku 2017 podpořeno 13 náhradníků, nyní zbývá 9 nepodpořených náhradních projektů za 640 mil. Kč  Pro dvě výzvy určené pro metropolitní oblasti a aglomerace je charakteristický o něco nižší zájem žadatelů z řad dopravců ve veřejné dopravě. Absorpční kapacita je celkově výrazně nadprůměrná, i do budoucna lze očekávat nedostatek finančních prostředků.</w:t>
            </w:r>
          </w:p>
        </w:tc>
        <w:tc>
          <w:tcPr>
            <w:tcW w:w="249" w:type="dxa"/>
            <w:tcBorders>
              <w:top w:val="nil"/>
              <w:bottom w:val="nil"/>
            </w:tcBorders>
            <w:shd w:val="clear" w:color="auto" w:fill="66CCFF"/>
          </w:tcPr>
          <w:p w14:paraId="4B524127" w14:textId="77777777" w:rsidR="00DD3EFA" w:rsidRPr="00EC2A1C" w:rsidRDefault="00DD3EFA" w:rsidP="00B15ECB">
            <w:pPr>
              <w:rPr>
                <w:b/>
              </w:rPr>
            </w:pPr>
          </w:p>
        </w:tc>
      </w:tr>
      <w:tr w:rsidR="00DD3EFA" w:rsidRPr="00EC2A1C" w14:paraId="7E7D1C90" w14:textId="77777777" w:rsidTr="00B15ECB">
        <w:trPr>
          <w:trHeight w:val="850"/>
        </w:trPr>
        <w:tc>
          <w:tcPr>
            <w:tcW w:w="249" w:type="dxa"/>
            <w:tcBorders>
              <w:top w:val="nil"/>
              <w:bottom w:val="nil"/>
            </w:tcBorders>
            <w:shd w:val="clear" w:color="auto" w:fill="66CCFF"/>
          </w:tcPr>
          <w:p w14:paraId="121285B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BA01E9C"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978" w:type="dxa"/>
            <w:tcBorders>
              <w:bottom w:val="single" w:sz="4" w:space="0" w:color="auto"/>
            </w:tcBorders>
            <w:shd w:val="clear" w:color="auto" w:fill="FFFFFF" w:themeFill="background1"/>
          </w:tcPr>
          <w:p w14:paraId="78C326CD" w14:textId="77777777" w:rsidR="00DD3EFA" w:rsidRPr="00EC2A1C" w:rsidRDefault="00DD3EFA" w:rsidP="00B15ECB">
            <w:pPr>
              <w:spacing w:before="60" w:after="60"/>
              <w:rPr>
                <w:rFonts w:eastAsiaTheme="majorEastAsia"/>
              </w:rPr>
            </w:pPr>
            <w:r w:rsidRPr="00EC2A1C">
              <w:rPr>
                <w:rFonts w:eastAsiaTheme="majorEastAsia"/>
              </w:rPr>
              <w:t>Poptávka příjemců je vysoká, vzhledem k rozvinutosti veřejné dopravy v ČR a kvalitě a zastaralosti vozového parku, který mnohdy nevyhovuje emisním nárokům.</w:t>
            </w:r>
          </w:p>
          <w:p w14:paraId="71B48878" w14:textId="77777777" w:rsidR="00DD3EFA" w:rsidRPr="00EC2A1C" w:rsidRDefault="00DD3EFA" w:rsidP="00B15ECB">
            <w:pPr>
              <w:spacing w:before="60" w:after="60"/>
              <w:rPr>
                <w:rFonts w:eastAsiaTheme="majorEastAsia"/>
              </w:rPr>
            </w:pPr>
            <w:r w:rsidRPr="00EC2A1C">
              <w:rPr>
                <w:rFonts w:eastAsiaTheme="majorEastAsia"/>
              </w:rPr>
              <w:t>Předpokládaný rozvoj infrastruktury v oblasti LNG a vodíku k r. 2027 s uvedením absopční kapacity:</w:t>
            </w:r>
          </w:p>
          <w:p w14:paraId="35E4697E" w14:textId="77777777" w:rsidR="00DD3EFA" w:rsidRPr="00EC2A1C" w:rsidRDefault="00DD3EFA" w:rsidP="00391907">
            <w:pPr>
              <w:pStyle w:val="Odstavecseseznamem"/>
              <w:numPr>
                <w:ilvl w:val="0"/>
                <w:numId w:val="95"/>
              </w:numPr>
              <w:spacing w:before="60" w:after="60"/>
              <w:rPr>
                <w:rFonts w:eastAsiaTheme="majorEastAsia"/>
              </w:rPr>
            </w:pPr>
            <w:r w:rsidRPr="00EC2A1C">
              <w:rPr>
                <w:rFonts w:eastAsiaTheme="majorEastAsia"/>
              </w:rPr>
              <w:t>Zkapalňovací stanice LNG – 500 mil. Kč. (3 ks.)</w:t>
            </w:r>
          </w:p>
          <w:p w14:paraId="16AFD108" w14:textId="77777777" w:rsidR="00DD3EFA" w:rsidRPr="00EC2A1C" w:rsidRDefault="00DD3EFA" w:rsidP="00391907">
            <w:pPr>
              <w:pStyle w:val="Odstavecseseznamem"/>
              <w:numPr>
                <w:ilvl w:val="0"/>
                <w:numId w:val="95"/>
              </w:numPr>
              <w:spacing w:before="60" w:after="60"/>
              <w:rPr>
                <w:rFonts w:eastAsiaTheme="majorEastAsia"/>
              </w:rPr>
            </w:pPr>
            <w:r w:rsidRPr="00EC2A1C">
              <w:rPr>
                <w:rFonts w:eastAsiaTheme="majorEastAsia"/>
              </w:rPr>
              <w:t>LNG plnící stanice - 300 mil. Kč (20 ks)</w:t>
            </w:r>
          </w:p>
          <w:p w14:paraId="71F2D39B" w14:textId="77777777" w:rsidR="00DD3EFA" w:rsidRPr="00EC2A1C" w:rsidRDefault="00DD3EFA" w:rsidP="00B15ECB">
            <w:pPr>
              <w:spacing w:before="60" w:after="60"/>
              <w:rPr>
                <w:rFonts w:eastAsiaTheme="majorEastAsia"/>
              </w:rPr>
            </w:pPr>
            <w:r w:rsidRPr="00EC2A1C">
              <w:rPr>
                <w:rFonts w:eastAsiaTheme="majorEastAsia"/>
              </w:rPr>
              <w:t>Výrobní/Plnící vodíkové stanice 750 mil. Kč. (20 ks.)</w:t>
            </w:r>
          </w:p>
        </w:tc>
        <w:tc>
          <w:tcPr>
            <w:tcW w:w="249" w:type="dxa"/>
            <w:tcBorders>
              <w:top w:val="nil"/>
              <w:bottom w:val="nil"/>
            </w:tcBorders>
            <w:shd w:val="clear" w:color="auto" w:fill="66CCFF"/>
          </w:tcPr>
          <w:p w14:paraId="0BACC7E4" w14:textId="77777777" w:rsidR="00DD3EFA" w:rsidRPr="00EC2A1C" w:rsidRDefault="00DD3EFA" w:rsidP="00B15ECB">
            <w:pPr>
              <w:rPr>
                <w:b/>
              </w:rPr>
            </w:pPr>
          </w:p>
        </w:tc>
      </w:tr>
      <w:tr w:rsidR="00DD3EFA" w:rsidRPr="00EC2A1C" w14:paraId="2EAC0C1F" w14:textId="77777777" w:rsidTr="00B15ECB">
        <w:trPr>
          <w:trHeight w:val="925"/>
        </w:trPr>
        <w:tc>
          <w:tcPr>
            <w:tcW w:w="249" w:type="dxa"/>
            <w:tcBorders>
              <w:top w:val="nil"/>
              <w:bottom w:val="nil"/>
            </w:tcBorders>
            <w:shd w:val="clear" w:color="auto" w:fill="66CCFF"/>
          </w:tcPr>
          <w:p w14:paraId="20BDBCF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A083FB4"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978" w:type="dxa"/>
            <w:tcBorders>
              <w:bottom w:val="single" w:sz="4" w:space="0" w:color="auto"/>
            </w:tcBorders>
            <w:shd w:val="clear" w:color="auto" w:fill="FFFFFF" w:themeFill="background1"/>
          </w:tcPr>
          <w:p w14:paraId="1980B7A8" w14:textId="77777777" w:rsidR="00DD3EFA" w:rsidRPr="00EC2A1C" w:rsidRDefault="00DD3EFA" w:rsidP="00B15ECB">
            <w:pPr>
              <w:spacing w:before="60" w:after="60"/>
              <w:rPr>
                <w:rFonts w:eastAsiaTheme="majorEastAsia"/>
              </w:rPr>
            </w:pPr>
            <w:r w:rsidRPr="00EC2A1C">
              <w:rPr>
                <w:rFonts w:eastAsiaTheme="majorEastAsia"/>
              </w:rPr>
              <w:t>Projektové záměry jsou na úrovni měst a obcí, případně krajů, jako objednatelů veřejné dopravy.</w:t>
            </w:r>
          </w:p>
        </w:tc>
        <w:tc>
          <w:tcPr>
            <w:tcW w:w="249" w:type="dxa"/>
            <w:tcBorders>
              <w:top w:val="nil"/>
              <w:bottom w:val="nil"/>
            </w:tcBorders>
            <w:shd w:val="clear" w:color="auto" w:fill="66CCFF"/>
          </w:tcPr>
          <w:p w14:paraId="7A1264A5" w14:textId="77777777" w:rsidR="00DD3EFA" w:rsidRPr="00EC2A1C" w:rsidRDefault="00DD3EFA" w:rsidP="00B15ECB">
            <w:pPr>
              <w:rPr>
                <w:b/>
              </w:rPr>
            </w:pPr>
          </w:p>
        </w:tc>
      </w:tr>
      <w:tr w:rsidR="00DD3EFA" w:rsidRPr="00EC2A1C" w14:paraId="483FA527" w14:textId="77777777" w:rsidTr="00B15ECB">
        <w:trPr>
          <w:trHeight w:val="1001"/>
        </w:trPr>
        <w:tc>
          <w:tcPr>
            <w:tcW w:w="249" w:type="dxa"/>
            <w:tcBorders>
              <w:top w:val="nil"/>
              <w:bottom w:val="nil"/>
            </w:tcBorders>
            <w:shd w:val="clear" w:color="auto" w:fill="66CCFF"/>
          </w:tcPr>
          <w:p w14:paraId="1959D69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68ACDE1"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tcBorders>
              <w:bottom w:val="single" w:sz="4" w:space="0" w:color="auto"/>
            </w:tcBorders>
            <w:shd w:val="clear" w:color="auto" w:fill="FFFFFF" w:themeFill="background1"/>
          </w:tcPr>
          <w:p w14:paraId="3608F4D9" w14:textId="77777777" w:rsidR="00DD3EFA" w:rsidRPr="00EC2A1C" w:rsidRDefault="00DD3EFA" w:rsidP="00B15ECB">
            <w:pPr>
              <w:spacing w:before="60" w:after="60"/>
              <w:rPr>
                <w:rFonts w:eastAsiaTheme="majorEastAsia"/>
                <w:i/>
              </w:rPr>
            </w:pPr>
            <w:r w:rsidRPr="00EC2A1C">
              <w:rPr>
                <w:rFonts w:eastAsiaTheme="majorEastAsia"/>
                <w:i/>
              </w:rPr>
              <w:t>Popsat stávající a budoucí bariéry dosažení cílů. Případně popsat, jak jsou tyto bariéry řešeny.</w:t>
            </w:r>
          </w:p>
          <w:p w14:paraId="10A606F2" w14:textId="77777777" w:rsidR="00DD3EFA" w:rsidRPr="00EC2A1C" w:rsidRDefault="00DD3EFA" w:rsidP="00B15ECB">
            <w:pPr>
              <w:spacing w:before="60" w:after="60"/>
              <w:rPr>
                <w:rFonts w:eastAsiaTheme="majorEastAsia"/>
              </w:rPr>
            </w:pPr>
            <w:r w:rsidRPr="00EC2A1C">
              <w:rPr>
                <w:rFonts w:eastAsiaTheme="majorEastAsia"/>
              </w:rPr>
              <w:t>Velmi složité a příliš náročné legislativní podmínky pro provoz vozidel elektrických trakcí městské dopravy (např. požadavky na drážní vozidla, řízení dopravy, personální zajištění, organizaci výluk atd.) i rychlejší implementaci technických inovací (např. legislativní komplikace pro provoz vozidel s dynamickým dobíjením).</w:t>
            </w:r>
          </w:p>
          <w:p w14:paraId="4C652AC9" w14:textId="77777777" w:rsidR="00DD3EFA" w:rsidRPr="00EC2A1C" w:rsidRDefault="00DD3EFA" w:rsidP="00B15ECB">
            <w:pPr>
              <w:spacing w:before="60" w:after="60"/>
              <w:rPr>
                <w:rFonts w:eastAsiaTheme="majorEastAsia"/>
              </w:rPr>
            </w:pPr>
            <w:r w:rsidRPr="00EC2A1C">
              <w:rPr>
                <w:rFonts w:eastAsiaTheme="majorEastAsia"/>
              </w:rPr>
              <w:t xml:space="preserve">   - řešení: zjednodušení legislativy pro drážní MHD</w:t>
            </w:r>
          </w:p>
          <w:p w14:paraId="602735B0"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5B438484" w14:textId="77777777" w:rsidR="00DD3EFA" w:rsidRPr="00EC2A1C" w:rsidRDefault="00DD3EFA" w:rsidP="00B15ECB">
            <w:pPr>
              <w:rPr>
                <w:b/>
              </w:rPr>
            </w:pPr>
          </w:p>
        </w:tc>
      </w:tr>
      <w:tr w:rsidR="00DD3EFA" w:rsidRPr="00EC2A1C" w14:paraId="471849C2"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4CAFA3E8"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92FD3DA"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ADEFA23"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272EBD13" w14:textId="77777777" w:rsidR="00DD3EFA" w:rsidRPr="00EC2A1C" w:rsidRDefault="00DD3EFA" w:rsidP="00B15ECB">
            <w:pPr>
              <w:rPr>
                <w:b/>
              </w:rPr>
            </w:pPr>
          </w:p>
        </w:tc>
      </w:tr>
      <w:tr w:rsidR="00DD3EFA" w:rsidRPr="00EC2A1C" w14:paraId="160038BC" w14:textId="77777777" w:rsidTr="00B15ECB">
        <w:trPr>
          <w:trHeight w:val="1968"/>
        </w:trPr>
        <w:tc>
          <w:tcPr>
            <w:tcW w:w="249" w:type="dxa"/>
            <w:tcBorders>
              <w:top w:val="single" w:sz="4" w:space="0" w:color="auto"/>
              <w:bottom w:val="nil"/>
            </w:tcBorders>
            <w:shd w:val="clear" w:color="auto" w:fill="66CCFF"/>
          </w:tcPr>
          <w:p w14:paraId="09D278BD" w14:textId="77777777" w:rsidR="00DD3EFA" w:rsidRPr="00EC2A1C" w:rsidRDefault="00DD3EFA" w:rsidP="00B15ECB">
            <w:pPr>
              <w:rPr>
                <w:b/>
              </w:rPr>
            </w:pPr>
          </w:p>
        </w:tc>
        <w:tc>
          <w:tcPr>
            <w:tcW w:w="2548" w:type="dxa"/>
            <w:tcBorders>
              <w:top w:val="single" w:sz="4" w:space="0" w:color="auto"/>
            </w:tcBorders>
            <w:shd w:val="clear" w:color="auto" w:fill="FFFFFF" w:themeFill="background1"/>
          </w:tcPr>
          <w:p w14:paraId="6A6E954B" w14:textId="77777777" w:rsidR="00DD3EFA" w:rsidRPr="00EC2A1C" w:rsidRDefault="00DD3EFA" w:rsidP="00B15ECB">
            <w:pPr>
              <w:spacing w:before="60" w:after="60"/>
              <w:rPr>
                <w:rFonts w:eastAsiaTheme="majorEastAsia"/>
                <w:b/>
              </w:rPr>
            </w:pPr>
            <w:r w:rsidRPr="00EC2A1C">
              <w:rPr>
                <w:rFonts w:eastAsiaTheme="majorEastAsia"/>
                <w:b/>
              </w:rPr>
              <w:t>Alternativní zdroje</w:t>
            </w:r>
          </w:p>
        </w:tc>
        <w:tc>
          <w:tcPr>
            <w:tcW w:w="5978" w:type="dxa"/>
            <w:tcBorders>
              <w:top w:val="single" w:sz="4" w:space="0" w:color="auto"/>
            </w:tcBorders>
            <w:shd w:val="clear" w:color="auto" w:fill="FFFFFF" w:themeFill="background1"/>
          </w:tcPr>
          <w:p w14:paraId="2F6245A6" w14:textId="77777777" w:rsidR="00DD3EFA" w:rsidRPr="00EC2A1C" w:rsidRDefault="00DD3EFA" w:rsidP="00B15ECB">
            <w:pPr>
              <w:spacing w:before="60" w:after="60"/>
              <w:rPr>
                <w:rFonts w:eastAsiaTheme="majorEastAsia"/>
              </w:rPr>
            </w:pPr>
            <w:r w:rsidRPr="00EC2A1C">
              <w:rPr>
                <w:rFonts w:eastAsiaTheme="majorEastAsia"/>
              </w:rPr>
              <w:t>Alternativní zdroje pro tento SC NKR nejsou známy.</w:t>
            </w:r>
          </w:p>
          <w:p w14:paraId="6816BE41" w14:textId="77777777" w:rsidR="00DD3EFA" w:rsidRPr="00EC2A1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4B8DB25B" w14:textId="77777777" w:rsidR="00DD3EFA" w:rsidRPr="00EC2A1C" w:rsidRDefault="00DD3EFA" w:rsidP="00B15ECB">
            <w:pPr>
              <w:rPr>
                <w:b/>
              </w:rPr>
            </w:pPr>
          </w:p>
        </w:tc>
      </w:tr>
      <w:tr w:rsidR="00DD3EFA" w:rsidRPr="00EC2A1C" w14:paraId="7D7713AA" w14:textId="77777777" w:rsidTr="00B15ECB">
        <w:trPr>
          <w:trHeight w:val="1968"/>
        </w:trPr>
        <w:tc>
          <w:tcPr>
            <w:tcW w:w="249" w:type="dxa"/>
            <w:tcBorders>
              <w:top w:val="nil"/>
              <w:bottom w:val="nil"/>
            </w:tcBorders>
            <w:shd w:val="clear" w:color="auto" w:fill="66CCFF"/>
          </w:tcPr>
          <w:p w14:paraId="218D3873" w14:textId="77777777" w:rsidR="00DD3EFA" w:rsidRPr="00EC2A1C" w:rsidRDefault="00DD3EFA" w:rsidP="00B15ECB">
            <w:pPr>
              <w:rPr>
                <w:b/>
              </w:rPr>
            </w:pPr>
          </w:p>
        </w:tc>
        <w:tc>
          <w:tcPr>
            <w:tcW w:w="2548" w:type="dxa"/>
            <w:tcBorders>
              <w:top w:val="nil"/>
            </w:tcBorders>
            <w:shd w:val="clear" w:color="auto" w:fill="FFFFFF" w:themeFill="background1"/>
          </w:tcPr>
          <w:p w14:paraId="41BB5770" w14:textId="77777777" w:rsidR="00DD3EFA" w:rsidRPr="00EC2A1C" w:rsidRDefault="00DD3EFA" w:rsidP="00391907">
            <w:pPr>
              <w:pStyle w:val="Odstavecseseznamem"/>
              <w:numPr>
                <w:ilvl w:val="0"/>
                <w:numId w:val="62"/>
              </w:numPr>
              <w:tabs>
                <w:tab w:val="left" w:pos="301"/>
              </w:tabs>
              <w:spacing w:before="60" w:after="60"/>
              <w:ind w:left="0" w:firstLine="0"/>
              <w:rPr>
                <w:rFonts w:eastAsiaTheme="majorEastAsia"/>
                <w:b/>
              </w:rPr>
            </w:pPr>
            <w:r w:rsidRPr="00EC2A1C">
              <w:rPr>
                <w:rFonts w:eastAsiaTheme="majorEastAsia"/>
                <w:b/>
              </w:rPr>
              <w:t>Unijní programy</w:t>
            </w:r>
          </w:p>
        </w:tc>
        <w:tc>
          <w:tcPr>
            <w:tcW w:w="5978" w:type="dxa"/>
            <w:tcBorders>
              <w:top w:val="nil"/>
            </w:tcBorders>
            <w:shd w:val="clear" w:color="auto" w:fill="FFFFFF" w:themeFill="background1"/>
          </w:tcPr>
          <w:p w14:paraId="4B163E5A" w14:textId="77777777" w:rsidR="00DD3EFA" w:rsidRPr="00EC2A1C" w:rsidRDefault="00DD3EFA" w:rsidP="00B15ECB">
            <w:pPr>
              <w:spacing w:before="60" w:after="60"/>
              <w:rPr>
                <w:rFonts w:eastAsiaTheme="majorEastAsia"/>
              </w:rPr>
            </w:pPr>
            <w:r w:rsidRPr="00EC2A1C">
              <w:rPr>
                <w:rFonts w:eastAsiaTheme="majorEastAsia"/>
              </w:rPr>
              <w:t>Nejsou k dispozici žádné možnosti z Unijních programů pro tento SC.</w:t>
            </w:r>
          </w:p>
        </w:tc>
        <w:tc>
          <w:tcPr>
            <w:tcW w:w="249" w:type="dxa"/>
            <w:tcBorders>
              <w:top w:val="nil"/>
              <w:bottom w:val="nil"/>
            </w:tcBorders>
            <w:shd w:val="clear" w:color="auto" w:fill="66CCFF"/>
          </w:tcPr>
          <w:p w14:paraId="2F62D44B" w14:textId="77777777" w:rsidR="00DD3EFA" w:rsidRPr="00EC2A1C" w:rsidRDefault="00DD3EFA" w:rsidP="00B15ECB">
            <w:pPr>
              <w:rPr>
                <w:b/>
              </w:rPr>
            </w:pPr>
          </w:p>
        </w:tc>
      </w:tr>
      <w:tr w:rsidR="00DD3EFA" w:rsidRPr="00EC2A1C" w14:paraId="7F38A0E9" w14:textId="77777777" w:rsidTr="00B15ECB">
        <w:trPr>
          <w:trHeight w:val="1968"/>
        </w:trPr>
        <w:tc>
          <w:tcPr>
            <w:tcW w:w="249" w:type="dxa"/>
            <w:tcBorders>
              <w:top w:val="nil"/>
              <w:bottom w:val="nil"/>
            </w:tcBorders>
            <w:shd w:val="clear" w:color="auto" w:fill="66CCFF"/>
          </w:tcPr>
          <w:p w14:paraId="5C3A5977" w14:textId="77777777" w:rsidR="00DD3EFA" w:rsidRPr="00EC2A1C" w:rsidRDefault="00DD3EFA" w:rsidP="00B15ECB">
            <w:pPr>
              <w:rPr>
                <w:b/>
              </w:rPr>
            </w:pPr>
          </w:p>
        </w:tc>
        <w:tc>
          <w:tcPr>
            <w:tcW w:w="2548" w:type="dxa"/>
            <w:tcBorders>
              <w:top w:val="nil"/>
            </w:tcBorders>
            <w:shd w:val="clear" w:color="auto" w:fill="FFFFFF" w:themeFill="background1"/>
          </w:tcPr>
          <w:p w14:paraId="45871C0C" w14:textId="77777777" w:rsidR="00DD3EFA" w:rsidRPr="00EC2A1C" w:rsidRDefault="00DD3EFA" w:rsidP="00391907">
            <w:pPr>
              <w:pStyle w:val="Odstavecseseznamem"/>
              <w:numPr>
                <w:ilvl w:val="0"/>
                <w:numId w:val="62"/>
              </w:numPr>
              <w:tabs>
                <w:tab w:val="left" w:pos="326"/>
              </w:tabs>
              <w:spacing w:before="60" w:after="60"/>
              <w:ind w:left="0" w:firstLine="0"/>
              <w:rPr>
                <w:rFonts w:eastAsiaTheme="majorEastAsia"/>
                <w:b/>
              </w:rPr>
            </w:pPr>
            <w:r w:rsidRPr="00EC2A1C">
              <w:rPr>
                <w:rFonts w:eastAsiaTheme="majorEastAsia"/>
                <w:b/>
              </w:rPr>
              <w:t>Státní rozpočet a další národní zdroje</w:t>
            </w:r>
          </w:p>
        </w:tc>
        <w:tc>
          <w:tcPr>
            <w:tcW w:w="5978" w:type="dxa"/>
            <w:tcBorders>
              <w:top w:val="nil"/>
            </w:tcBorders>
            <w:shd w:val="clear" w:color="auto" w:fill="FFFFFF" w:themeFill="background1"/>
          </w:tcPr>
          <w:p w14:paraId="6B4BCED3" w14:textId="77777777" w:rsidR="00DD3EFA" w:rsidRPr="00EC2A1C" w:rsidRDefault="00DD3EFA" w:rsidP="00B15ECB">
            <w:pPr>
              <w:spacing w:before="60" w:after="60"/>
              <w:rPr>
                <w:rFonts w:eastAsiaTheme="majorEastAsia"/>
              </w:rPr>
            </w:pPr>
            <w:r w:rsidRPr="00EC2A1C">
              <w:rPr>
                <w:rFonts w:eastAsiaTheme="majorEastAsia"/>
              </w:rPr>
              <w:t>V rámci objednávky veřejných služeb ze státního rozpočtu a rozpočtu krajů.</w:t>
            </w:r>
          </w:p>
        </w:tc>
        <w:tc>
          <w:tcPr>
            <w:tcW w:w="249" w:type="dxa"/>
            <w:tcBorders>
              <w:top w:val="nil"/>
              <w:bottom w:val="nil"/>
            </w:tcBorders>
            <w:shd w:val="clear" w:color="auto" w:fill="66CCFF"/>
          </w:tcPr>
          <w:p w14:paraId="564A6605" w14:textId="77777777" w:rsidR="00DD3EFA" w:rsidRPr="00EC2A1C" w:rsidRDefault="00DD3EFA" w:rsidP="00B15ECB">
            <w:pPr>
              <w:rPr>
                <w:b/>
              </w:rPr>
            </w:pPr>
          </w:p>
        </w:tc>
      </w:tr>
      <w:tr w:rsidR="00DD3EFA" w:rsidRPr="00EC2A1C" w14:paraId="682B0607" w14:textId="77777777" w:rsidTr="00B15ECB">
        <w:trPr>
          <w:trHeight w:val="1968"/>
        </w:trPr>
        <w:tc>
          <w:tcPr>
            <w:tcW w:w="249" w:type="dxa"/>
            <w:tcBorders>
              <w:top w:val="nil"/>
              <w:bottom w:val="nil"/>
            </w:tcBorders>
            <w:shd w:val="clear" w:color="auto" w:fill="66CCFF"/>
          </w:tcPr>
          <w:p w14:paraId="3A81F558" w14:textId="77777777" w:rsidR="00DD3EFA" w:rsidRPr="00EC2A1C" w:rsidRDefault="00DD3EFA" w:rsidP="00B15ECB">
            <w:pPr>
              <w:rPr>
                <w:b/>
              </w:rPr>
            </w:pPr>
          </w:p>
        </w:tc>
        <w:tc>
          <w:tcPr>
            <w:tcW w:w="2548" w:type="dxa"/>
            <w:tcBorders>
              <w:top w:val="nil"/>
            </w:tcBorders>
            <w:shd w:val="clear" w:color="auto" w:fill="FFFFFF" w:themeFill="background1"/>
          </w:tcPr>
          <w:p w14:paraId="26ADFD9F"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Další zdroje mimo veřejné rozpočty</w:t>
            </w:r>
          </w:p>
        </w:tc>
        <w:tc>
          <w:tcPr>
            <w:tcW w:w="5978" w:type="dxa"/>
            <w:tcBorders>
              <w:top w:val="nil"/>
            </w:tcBorders>
            <w:shd w:val="clear" w:color="auto" w:fill="FFFFFF" w:themeFill="background1"/>
          </w:tcPr>
          <w:p w14:paraId="7BE78FA1" w14:textId="77777777" w:rsidR="00DD3EFA" w:rsidRPr="00EC2A1C" w:rsidRDefault="00DD3EFA" w:rsidP="00B15ECB">
            <w:pPr>
              <w:spacing w:before="60" w:after="60"/>
              <w:rPr>
                <w:rFonts w:eastAsiaTheme="majorEastAsia"/>
              </w:rPr>
            </w:pPr>
            <w:r w:rsidRPr="00EC2A1C">
              <w:rPr>
                <w:rFonts w:eastAsiaTheme="majorEastAsia"/>
              </w:rPr>
              <w:t>Další zdroje mimo veřejné rozpočty nejsou známy.</w:t>
            </w:r>
          </w:p>
        </w:tc>
        <w:tc>
          <w:tcPr>
            <w:tcW w:w="249" w:type="dxa"/>
            <w:tcBorders>
              <w:top w:val="nil"/>
              <w:bottom w:val="nil"/>
            </w:tcBorders>
            <w:shd w:val="clear" w:color="auto" w:fill="66CCFF"/>
          </w:tcPr>
          <w:p w14:paraId="7D7E0FA4" w14:textId="77777777" w:rsidR="00DD3EFA" w:rsidRPr="00EC2A1C" w:rsidRDefault="00DD3EFA" w:rsidP="00B15ECB">
            <w:pPr>
              <w:rPr>
                <w:b/>
              </w:rPr>
            </w:pPr>
          </w:p>
        </w:tc>
      </w:tr>
      <w:tr w:rsidR="00DD3EFA" w:rsidRPr="00EC2A1C" w14:paraId="7CBE5676" w14:textId="77777777" w:rsidTr="00B15ECB">
        <w:trPr>
          <w:trHeight w:val="1968"/>
        </w:trPr>
        <w:tc>
          <w:tcPr>
            <w:tcW w:w="249" w:type="dxa"/>
            <w:tcBorders>
              <w:top w:val="nil"/>
              <w:bottom w:val="nil"/>
            </w:tcBorders>
            <w:shd w:val="clear" w:color="auto" w:fill="66CCFF"/>
          </w:tcPr>
          <w:p w14:paraId="559339B2" w14:textId="77777777" w:rsidR="00DD3EFA" w:rsidRPr="00EC2A1C" w:rsidRDefault="00DD3EFA" w:rsidP="00B15ECB">
            <w:pPr>
              <w:rPr>
                <w:b/>
              </w:rPr>
            </w:pPr>
          </w:p>
        </w:tc>
        <w:tc>
          <w:tcPr>
            <w:tcW w:w="2548" w:type="dxa"/>
            <w:tcBorders>
              <w:top w:val="nil"/>
            </w:tcBorders>
            <w:shd w:val="clear" w:color="auto" w:fill="FFFFFF" w:themeFill="background1"/>
          </w:tcPr>
          <w:p w14:paraId="0C1944DF"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Možnost využití FN</w:t>
            </w:r>
          </w:p>
        </w:tc>
        <w:tc>
          <w:tcPr>
            <w:tcW w:w="5978" w:type="dxa"/>
            <w:tcBorders>
              <w:top w:val="nil"/>
            </w:tcBorders>
            <w:shd w:val="clear" w:color="auto" w:fill="FFFFFF" w:themeFill="background1"/>
          </w:tcPr>
          <w:p w14:paraId="4073E55F" w14:textId="77777777" w:rsidR="00DD3EFA" w:rsidRPr="00EC2A1C" w:rsidRDefault="00DD3EFA" w:rsidP="00B15ECB">
            <w:pPr>
              <w:spacing w:before="60" w:after="60"/>
              <w:rPr>
                <w:rFonts w:eastAsiaTheme="majorEastAsia"/>
              </w:rPr>
            </w:pPr>
            <w:r w:rsidRPr="00EC2A1C">
              <w:rPr>
                <w:rFonts w:eastAsiaTheme="majorEastAsia"/>
              </w:rPr>
              <w:t>Pro tento SC není vhodné využití FN, jedná se o objednávku veřejné dopravy.</w:t>
            </w:r>
          </w:p>
        </w:tc>
        <w:tc>
          <w:tcPr>
            <w:tcW w:w="249" w:type="dxa"/>
            <w:tcBorders>
              <w:top w:val="nil"/>
              <w:bottom w:val="nil"/>
            </w:tcBorders>
            <w:shd w:val="clear" w:color="auto" w:fill="66CCFF"/>
          </w:tcPr>
          <w:p w14:paraId="3933367E" w14:textId="77777777" w:rsidR="00DD3EFA" w:rsidRPr="00EC2A1C" w:rsidRDefault="00DD3EFA" w:rsidP="00B15ECB">
            <w:pPr>
              <w:rPr>
                <w:b/>
              </w:rPr>
            </w:pPr>
          </w:p>
        </w:tc>
      </w:tr>
      <w:tr w:rsidR="00DD3EFA" w:rsidRPr="00EC2A1C" w14:paraId="08533D49" w14:textId="77777777" w:rsidTr="00B15ECB">
        <w:trPr>
          <w:trHeight w:val="150"/>
        </w:trPr>
        <w:tc>
          <w:tcPr>
            <w:tcW w:w="249" w:type="dxa"/>
            <w:tcBorders>
              <w:top w:val="nil"/>
              <w:right w:val="nil"/>
            </w:tcBorders>
            <w:shd w:val="clear" w:color="auto" w:fill="66CCFF"/>
          </w:tcPr>
          <w:p w14:paraId="2D07F324" w14:textId="77777777" w:rsidR="00DD3EFA" w:rsidRPr="00EC2A1C" w:rsidRDefault="00DD3EFA" w:rsidP="00B15ECB">
            <w:pPr>
              <w:rPr>
                <w:b/>
              </w:rPr>
            </w:pPr>
          </w:p>
        </w:tc>
        <w:tc>
          <w:tcPr>
            <w:tcW w:w="2548" w:type="dxa"/>
            <w:tcBorders>
              <w:left w:val="nil"/>
              <w:right w:val="nil"/>
            </w:tcBorders>
            <w:shd w:val="clear" w:color="auto" w:fill="66CCFF"/>
          </w:tcPr>
          <w:p w14:paraId="250772BD" w14:textId="77777777" w:rsidR="00DD3EFA" w:rsidRPr="00EC2A1C" w:rsidRDefault="00DD3EFA" w:rsidP="00B15ECB">
            <w:pPr>
              <w:rPr>
                <w:b/>
              </w:rPr>
            </w:pPr>
          </w:p>
        </w:tc>
        <w:tc>
          <w:tcPr>
            <w:tcW w:w="5978" w:type="dxa"/>
            <w:tcBorders>
              <w:left w:val="nil"/>
              <w:right w:val="nil"/>
            </w:tcBorders>
            <w:shd w:val="clear" w:color="auto" w:fill="66CCFF"/>
          </w:tcPr>
          <w:p w14:paraId="29C97B27" w14:textId="77777777" w:rsidR="00DD3EFA" w:rsidRPr="00EC2A1C" w:rsidRDefault="00DD3EFA" w:rsidP="00B15ECB">
            <w:pPr>
              <w:rPr>
                <w:b/>
              </w:rPr>
            </w:pPr>
          </w:p>
        </w:tc>
        <w:tc>
          <w:tcPr>
            <w:tcW w:w="249" w:type="dxa"/>
            <w:tcBorders>
              <w:top w:val="nil"/>
              <w:left w:val="nil"/>
            </w:tcBorders>
            <w:shd w:val="clear" w:color="auto" w:fill="66CCFF"/>
          </w:tcPr>
          <w:p w14:paraId="31864D61" w14:textId="77777777" w:rsidR="00DD3EFA" w:rsidRPr="00EC2A1C" w:rsidRDefault="00DD3EFA" w:rsidP="00B15ECB">
            <w:pPr>
              <w:rPr>
                <w:b/>
              </w:rPr>
            </w:pPr>
          </w:p>
        </w:tc>
      </w:tr>
    </w:tbl>
    <w:p w14:paraId="7C62D216" w14:textId="77777777" w:rsidR="00DD3EFA" w:rsidRPr="00EC2A1C" w:rsidRDefault="00DD3EFA" w:rsidP="00B15ECB">
      <w:pPr>
        <w:rPr>
          <w:rFonts w:ascii="Times New Roman" w:hAnsi="Times New Roman" w:cs="Times New Roman"/>
          <w:sz w:val="20"/>
          <w:szCs w:val="20"/>
        </w:rPr>
      </w:pPr>
    </w:p>
    <w:p w14:paraId="76229B83" w14:textId="77777777" w:rsidR="00DD3EFA" w:rsidRPr="00EC2A1C" w:rsidRDefault="00DD3EFA">
      <w:pPr>
        <w:rPr>
          <w:rFonts w:ascii="Times New Roman" w:hAnsi="Times New Roman" w:cs="Times New Roman"/>
          <w:sz w:val="20"/>
          <w:szCs w:val="20"/>
        </w:rPr>
      </w:pPr>
      <w:r w:rsidRPr="00EC2A1C">
        <w:rPr>
          <w:rFonts w:ascii="Times New Roman" w:hAnsi="Times New Roman" w:cs="Times New Roman"/>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0E944698" w14:textId="77777777" w:rsidTr="00B15ECB">
        <w:trPr>
          <w:trHeight w:val="180"/>
        </w:trPr>
        <w:tc>
          <w:tcPr>
            <w:tcW w:w="249" w:type="dxa"/>
            <w:tcBorders>
              <w:bottom w:val="nil"/>
              <w:right w:val="nil"/>
            </w:tcBorders>
            <w:shd w:val="clear" w:color="auto" w:fill="66CCFF"/>
          </w:tcPr>
          <w:p w14:paraId="28B4E4CE" w14:textId="77777777" w:rsidR="00DD3EFA" w:rsidRPr="00EC2A1C" w:rsidRDefault="00DD3EFA" w:rsidP="00B15ECB">
            <w:pPr>
              <w:rPr>
                <w:b/>
              </w:rPr>
            </w:pPr>
          </w:p>
        </w:tc>
        <w:tc>
          <w:tcPr>
            <w:tcW w:w="2548" w:type="dxa"/>
            <w:tcBorders>
              <w:left w:val="nil"/>
              <w:right w:val="nil"/>
            </w:tcBorders>
            <w:shd w:val="clear" w:color="auto" w:fill="66CCFF"/>
          </w:tcPr>
          <w:p w14:paraId="3EBA822F" w14:textId="77777777" w:rsidR="00DD3EFA" w:rsidRPr="00EC2A1C" w:rsidRDefault="00DD3EFA" w:rsidP="00B15ECB">
            <w:pPr>
              <w:rPr>
                <w:b/>
              </w:rPr>
            </w:pPr>
          </w:p>
        </w:tc>
        <w:tc>
          <w:tcPr>
            <w:tcW w:w="5978" w:type="dxa"/>
            <w:tcBorders>
              <w:left w:val="nil"/>
              <w:right w:val="nil"/>
            </w:tcBorders>
            <w:shd w:val="clear" w:color="auto" w:fill="66CCFF"/>
          </w:tcPr>
          <w:p w14:paraId="14212CA1" w14:textId="77777777" w:rsidR="00DD3EFA" w:rsidRPr="00EC2A1C" w:rsidRDefault="00DD3EFA" w:rsidP="00B15ECB">
            <w:pPr>
              <w:rPr>
                <w:b/>
              </w:rPr>
            </w:pPr>
          </w:p>
        </w:tc>
        <w:tc>
          <w:tcPr>
            <w:tcW w:w="249" w:type="dxa"/>
            <w:tcBorders>
              <w:left w:val="nil"/>
              <w:bottom w:val="nil"/>
            </w:tcBorders>
            <w:shd w:val="clear" w:color="auto" w:fill="66CCFF"/>
          </w:tcPr>
          <w:p w14:paraId="57B9D103" w14:textId="77777777" w:rsidR="00DD3EFA" w:rsidRPr="00EC2A1C" w:rsidRDefault="00DD3EFA" w:rsidP="00B15ECB">
            <w:pPr>
              <w:rPr>
                <w:b/>
              </w:rPr>
            </w:pPr>
          </w:p>
        </w:tc>
      </w:tr>
      <w:tr w:rsidR="00DD3EFA" w:rsidRPr="00EC2A1C" w14:paraId="546CC538" w14:textId="77777777" w:rsidTr="00B15ECB">
        <w:trPr>
          <w:trHeight w:val="561"/>
        </w:trPr>
        <w:tc>
          <w:tcPr>
            <w:tcW w:w="249" w:type="dxa"/>
            <w:tcBorders>
              <w:top w:val="nil"/>
              <w:bottom w:val="nil"/>
            </w:tcBorders>
            <w:shd w:val="clear" w:color="auto" w:fill="66CCFF"/>
          </w:tcPr>
          <w:p w14:paraId="6964FB46" w14:textId="77777777" w:rsidR="00DD3EFA" w:rsidRPr="00EC2A1C" w:rsidRDefault="00DD3EFA" w:rsidP="00B15ECB">
            <w:pPr>
              <w:rPr>
                <w:b/>
              </w:rPr>
            </w:pPr>
          </w:p>
        </w:tc>
        <w:tc>
          <w:tcPr>
            <w:tcW w:w="2548" w:type="dxa"/>
            <w:shd w:val="clear" w:color="auto" w:fill="0070C0"/>
          </w:tcPr>
          <w:p w14:paraId="6208A643"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u w:val="single"/>
              </w:rPr>
              <w:t>Strategický cíl NKR:</w:t>
            </w:r>
            <w:r w:rsidRPr="00EC2A1C">
              <w:rPr>
                <w:rFonts w:eastAsiaTheme="majorEastAsia"/>
                <w:b/>
                <w:color w:val="FFFFFF" w:themeColor="background1"/>
              </w:rPr>
              <w:t xml:space="preserve"> </w:t>
            </w:r>
            <w:r w:rsidRPr="00EC2A1C">
              <w:rPr>
                <w:b/>
                <w:color w:val="FFFFFF" w:themeColor="background1"/>
              </w:rPr>
              <w:t>Udržitelný a integrovaný rozvoj MĚSTSKÝCH A VENKOVSKÝCH OBLASTÍ</w:t>
            </w:r>
          </w:p>
        </w:tc>
        <w:tc>
          <w:tcPr>
            <w:tcW w:w="5978" w:type="dxa"/>
            <w:shd w:val="clear" w:color="auto" w:fill="0070C0"/>
          </w:tcPr>
          <w:p w14:paraId="00DF3F85"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45"/>
            </w:r>
            <w:r w:rsidRPr="00EC2A1C">
              <w:rPr>
                <w:rFonts w:eastAsiaTheme="majorEastAsia"/>
                <w:b/>
                <w:color w:val="FFFFFF" w:themeColor="background1"/>
                <w:u w:val="single"/>
              </w:rPr>
              <w:t xml:space="preserve">: </w:t>
            </w:r>
          </w:p>
          <w:p w14:paraId="50668988" w14:textId="77777777" w:rsidR="00DD3EFA" w:rsidRPr="00EC2A1C" w:rsidRDefault="00DD3EFA" w:rsidP="00B15ECB">
            <w:pPr>
              <w:spacing w:after="60"/>
              <w:rPr>
                <w:b/>
                <w:color w:val="FFFFFF" w:themeColor="background1"/>
              </w:rPr>
            </w:pPr>
            <w:r w:rsidRPr="00EC2A1C">
              <w:rPr>
                <w:b/>
                <w:color w:val="FFFFFF" w:themeColor="background1"/>
              </w:rPr>
              <w:t>ROZVOJ BEZMOTOROVÉ DOPRAVY</w:t>
            </w:r>
          </w:p>
          <w:p w14:paraId="08B6F619" w14:textId="77777777" w:rsidR="00DD3EFA" w:rsidRPr="00EC2A1C" w:rsidRDefault="00DD3EFA" w:rsidP="00B15ECB">
            <w:pPr>
              <w:spacing w:before="60" w:after="60"/>
              <w:rPr>
                <w:rFonts w:eastAsiaTheme="majorEastAsia"/>
                <w:b/>
                <w:color w:val="FFFFFF" w:themeColor="background1"/>
              </w:rPr>
            </w:pPr>
          </w:p>
        </w:tc>
        <w:tc>
          <w:tcPr>
            <w:tcW w:w="249" w:type="dxa"/>
            <w:tcBorders>
              <w:top w:val="nil"/>
              <w:bottom w:val="nil"/>
            </w:tcBorders>
            <w:shd w:val="clear" w:color="auto" w:fill="66CCFF"/>
          </w:tcPr>
          <w:p w14:paraId="6E0BC40B" w14:textId="77777777" w:rsidR="00DD3EFA" w:rsidRPr="00EC2A1C" w:rsidRDefault="00DD3EFA" w:rsidP="00B15ECB">
            <w:pPr>
              <w:rPr>
                <w:b/>
              </w:rPr>
            </w:pPr>
          </w:p>
        </w:tc>
      </w:tr>
      <w:tr w:rsidR="00DD3EFA" w:rsidRPr="00EC2A1C" w14:paraId="6B5DE790" w14:textId="77777777" w:rsidTr="00B15ECB">
        <w:trPr>
          <w:trHeight w:val="180"/>
        </w:trPr>
        <w:tc>
          <w:tcPr>
            <w:tcW w:w="249" w:type="dxa"/>
            <w:tcBorders>
              <w:top w:val="nil"/>
              <w:bottom w:val="nil"/>
              <w:right w:val="nil"/>
            </w:tcBorders>
            <w:shd w:val="clear" w:color="auto" w:fill="66CCFF"/>
          </w:tcPr>
          <w:p w14:paraId="6BD6CC7C" w14:textId="77777777" w:rsidR="00DD3EFA" w:rsidRPr="00EC2A1C" w:rsidRDefault="00DD3EFA" w:rsidP="00B15ECB">
            <w:pPr>
              <w:rPr>
                <w:b/>
              </w:rPr>
            </w:pPr>
          </w:p>
        </w:tc>
        <w:tc>
          <w:tcPr>
            <w:tcW w:w="2548" w:type="dxa"/>
            <w:tcBorders>
              <w:left w:val="nil"/>
              <w:right w:val="nil"/>
            </w:tcBorders>
            <w:shd w:val="clear" w:color="auto" w:fill="66CCFF"/>
          </w:tcPr>
          <w:p w14:paraId="2A6F9467" w14:textId="77777777" w:rsidR="00DD3EFA" w:rsidRPr="00EC2A1C" w:rsidRDefault="00DD3EFA" w:rsidP="00B15ECB">
            <w:pPr>
              <w:rPr>
                <w:b/>
              </w:rPr>
            </w:pPr>
          </w:p>
        </w:tc>
        <w:tc>
          <w:tcPr>
            <w:tcW w:w="5978" w:type="dxa"/>
            <w:tcBorders>
              <w:left w:val="nil"/>
              <w:right w:val="nil"/>
            </w:tcBorders>
            <w:shd w:val="clear" w:color="auto" w:fill="66CCFF"/>
          </w:tcPr>
          <w:p w14:paraId="159D07DD" w14:textId="77777777" w:rsidR="00DD3EFA" w:rsidRPr="00EC2A1C" w:rsidRDefault="00DD3EFA" w:rsidP="00B15ECB">
            <w:pPr>
              <w:rPr>
                <w:b/>
              </w:rPr>
            </w:pPr>
          </w:p>
        </w:tc>
        <w:tc>
          <w:tcPr>
            <w:tcW w:w="249" w:type="dxa"/>
            <w:tcBorders>
              <w:top w:val="nil"/>
              <w:left w:val="nil"/>
              <w:bottom w:val="nil"/>
            </w:tcBorders>
            <w:shd w:val="clear" w:color="auto" w:fill="66CCFF"/>
          </w:tcPr>
          <w:p w14:paraId="444377F6" w14:textId="77777777" w:rsidR="00DD3EFA" w:rsidRPr="00EC2A1C" w:rsidRDefault="00DD3EFA" w:rsidP="00B15ECB">
            <w:pPr>
              <w:rPr>
                <w:b/>
              </w:rPr>
            </w:pPr>
          </w:p>
        </w:tc>
      </w:tr>
      <w:tr w:rsidR="00DD3EFA" w:rsidRPr="00EC2A1C" w14:paraId="54625877" w14:textId="77777777" w:rsidTr="00B15ECB">
        <w:trPr>
          <w:trHeight w:val="892"/>
        </w:trPr>
        <w:tc>
          <w:tcPr>
            <w:tcW w:w="249" w:type="dxa"/>
            <w:tcBorders>
              <w:top w:val="nil"/>
              <w:bottom w:val="nil"/>
            </w:tcBorders>
            <w:shd w:val="clear" w:color="auto" w:fill="66CCFF"/>
          </w:tcPr>
          <w:p w14:paraId="0C897F4B" w14:textId="77777777" w:rsidR="00DD3EFA" w:rsidRPr="00EC2A1C" w:rsidRDefault="00DD3EFA" w:rsidP="00B15ECB">
            <w:pPr>
              <w:rPr>
                <w:b/>
              </w:rPr>
            </w:pPr>
          </w:p>
        </w:tc>
        <w:tc>
          <w:tcPr>
            <w:tcW w:w="2548" w:type="dxa"/>
            <w:shd w:val="clear" w:color="auto" w:fill="FFFFFF" w:themeFill="background1"/>
          </w:tcPr>
          <w:p w14:paraId="11E51D04"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shd w:val="clear" w:color="auto" w:fill="FFFFFF" w:themeFill="background1"/>
          </w:tcPr>
          <w:p w14:paraId="1D96E1D8" w14:textId="77777777" w:rsidR="00DD3EFA" w:rsidRPr="00EC2A1C" w:rsidRDefault="00DD3EFA" w:rsidP="00B15ECB">
            <w:r w:rsidRPr="00EC2A1C">
              <w:t>Jedná se o následující prvky rozvoje nemotorové dopravy v rámci dopravní obslužnosti:</w:t>
            </w:r>
          </w:p>
          <w:p w14:paraId="4062E892" w14:textId="77777777" w:rsidR="00DD3EFA" w:rsidRPr="00EC2A1C" w:rsidRDefault="00DD3EFA" w:rsidP="00B15ECB"/>
          <w:p w14:paraId="2D80FF5C" w14:textId="77777777" w:rsidR="00DD3EFA" w:rsidRPr="00EC2A1C" w:rsidRDefault="00DD3EFA" w:rsidP="00B15ECB">
            <w:r w:rsidRPr="00EC2A1C">
              <w:t>Vytváření podmínek pro aktivní mobilitu (pěší, cyklodoprava) v rámci zejména městské mobility a mobility na kratší vzdáleností, a to u všech kategorií obcí. Aktivní mobilita musí hrát významnou roli vedle veřejné hromadné dopravy jako alternativa k dopravě individuální automobilové. Jedná se rovněž o nezbytnou součást plánů udržitelné městské mobility.</w:t>
            </w:r>
          </w:p>
          <w:p w14:paraId="48D1297D" w14:textId="77777777" w:rsidR="00DD3EFA" w:rsidRPr="00EC2A1C" w:rsidRDefault="00DD3EFA" w:rsidP="00B15ECB">
            <w:pPr>
              <w:rPr>
                <w:lang w:eastAsia="cs-CZ"/>
              </w:rPr>
            </w:pPr>
          </w:p>
        </w:tc>
        <w:tc>
          <w:tcPr>
            <w:tcW w:w="249" w:type="dxa"/>
            <w:tcBorders>
              <w:top w:val="nil"/>
              <w:bottom w:val="nil"/>
            </w:tcBorders>
            <w:shd w:val="clear" w:color="auto" w:fill="66CCFF"/>
          </w:tcPr>
          <w:p w14:paraId="1B317BAD" w14:textId="77777777" w:rsidR="00DD3EFA" w:rsidRPr="00EC2A1C" w:rsidRDefault="00DD3EFA" w:rsidP="00B15ECB">
            <w:pPr>
              <w:rPr>
                <w:b/>
              </w:rPr>
            </w:pPr>
          </w:p>
        </w:tc>
      </w:tr>
      <w:tr w:rsidR="00DD3EFA" w:rsidRPr="00EC2A1C" w14:paraId="2CC63B6F" w14:textId="77777777" w:rsidTr="00B15ECB">
        <w:trPr>
          <w:trHeight w:val="46"/>
        </w:trPr>
        <w:tc>
          <w:tcPr>
            <w:tcW w:w="249" w:type="dxa"/>
            <w:tcBorders>
              <w:top w:val="nil"/>
              <w:bottom w:val="nil"/>
              <w:right w:val="nil"/>
            </w:tcBorders>
            <w:shd w:val="clear" w:color="auto" w:fill="66CCFF"/>
          </w:tcPr>
          <w:p w14:paraId="5BE8A50C"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071092B5"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21D8D8F6" w14:textId="77777777" w:rsidR="00DD3EFA" w:rsidRPr="00EC2A1C" w:rsidRDefault="00DD3EFA" w:rsidP="00B15ECB">
            <w:pPr>
              <w:rPr>
                <w:b/>
              </w:rPr>
            </w:pPr>
          </w:p>
        </w:tc>
        <w:tc>
          <w:tcPr>
            <w:tcW w:w="249" w:type="dxa"/>
            <w:tcBorders>
              <w:top w:val="nil"/>
              <w:left w:val="nil"/>
              <w:bottom w:val="nil"/>
            </w:tcBorders>
            <w:shd w:val="clear" w:color="auto" w:fill="66CCFF"/>
          </w:tcPr>
          <w:p w14:paraId="1708197B" w14:textId="77777777" w:rsidR="00DD3EFA" w:rsidRPr="00EC2A1C" w:rsidRDefault="00DD3EFA" w:rsidP="00B15ECB">
            <w:pPr>
              <w:rPr>
                <w:b/>
              </w:rPr>
            </w:pPr>
          </w:p>
        </w:tc>
      </w:tr>
      <w:tr w:rsidR="00DD3EFA" w:rsidRPr="00EC2A1C" w14:paraId="670207A0" w14:textId="77777777" w:rsidTr="00B15ECB">
        <w:trPr>
          <w:trHeight w:val="1274"/>
        </w:trPr>
        <w:tc>
          <w:tcPr>
            <w:tcW w:w="249" w:type="dxa"/>
            <w:tcBorders>
              <w:top w:val="nil"/>
              <w:bottom w:val="nil"/>
            </w:tcBorders>
            <w:shd w:val="clear" w:color="auto" w:fill="66CCFF"/>
          </w:tcPr>
          <w:p w14:paraId="4BE2CA3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673B4D5"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FED32F6" w14:textId="77777777" w:rsidR="00DD3EFA" w:rsidRPr="00EC2A1C" w:rsidRDefault="00DD3EFA" w:rsidP="00B15ECB">
            <w:r w:rsidRPr="00EC2A1C">
              <w:t>Aktivní mobilita musí hrát významnou roli vedle veřejné hromadné dopravy jako alternativa k dopravě individuální automobilové. Jedná se rovněž o nezbytnou součást plánů udržitelné městské mobility.</w:t>
            </w:r>
          </w:p>
        </w:tc>
        <w:tc>
          <w:tcPr>
            <w:tcW w:w="249" w:type="dxa"/>
            <w:tcBorders>
              <w:top w:val="nil"/>
              <w:bottom w:val="nil"/>
            </w:tcBorders>
            <w:shd w:val="clear" w:color="auto" w:fill="66CCFF"/>
          </w:tcPr>
          <w:p w14:paraId="39C8CA34" w14:textId="77777777" w:rsidR="00DD3EFA" w:rsidRPr="00EC2A1C" w:rsidRDefault="00DD3EFA" w:rsidP="00B15ECB">
            <w:pPr>
              <w:rPr>
                <w:b/>
              </w:rPr>
            </w:pPr>
          </w:p>
        </w:tc>
      </w:tr>
      <w:tr w:rsidR="00DD3EFA" w:rsidRPr="00EC2A1C" w14:paraId="426A8AD3" w14:textId="77777777" w:rsidTr="00B15ECB">
        <w:trPr>
          <w:trHeight w:val="1274"/>
        </w:trPr>
        <w:tc>
          <w:tcPr>
            <w:tcW w:w="249" w:type="dxa"/>
            <w:tcBorders>
              <w:top w:val="nil"/>
              <w:bottom w:val="nil"/>
            </w:tcBorders>
            <w:shd w:val="clear" w:color="auto" w:fill="66CCFF"/>
          </w:tcPr>
          <w:p w14:paraId="53EB840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D35DB64"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662E37AF" w14:textId="77777777" w:rsidR="00DD3EFA" w:rsidRPr="00EC2A1C" w:rsidRDefault="00DD3EFA" w:rsidP="00B15ECB">
            <w:pPr>
              <w:spacing w:before="60" w:after="60"/>
              <w:rPr>
                <w:lang w:eastAsia="cs-CZ"/>
              </w:rPr>
            </w:pPr>
            <w:r w:rsidRPr="00EC2A1C">
              <w:rPr>
                <w:lang w:eastAsia="cs-CZ"/>
              </w:rPr>
              <w:t>Tento specifický cíl bude řešit zejména tyto problémy:</w:t>
            </w:r>
          </w:p>
          <w:p w14:paraId="161B22CC" w14:textId="77777777" w:rsidR="00DD3EFA" w:rsidRPr="00EC2A1C" w:rsidRDefault="00DD3EFA" w:rsidP="00B15ECB">
            <w:pPr>
              <w:spacing w:before="60" w:after="60"/>
              <w:rPr>
                <w:lang w:eastAsia="cs-CZ"/>
              </w:rPr>
            </w:pPr>
            <w:r w:rsidRPr="00EC2A1C">
              <w:rPr>
                <w:lang w:eastAsia="cs-CZ"/>
              </w:rPr>
              <w:t>Infrastruktura pro cyklistickou dopravu se začala systematicky ve městech rozvíjet až v průběhu 90. let. Pokud má splňovat síťový charakter a splňovat požadavky na bezpečnou dopravu, je nutné síť cyklotras dokončit. Dosud jsou ve většině obcí dokončeny pouze fragmenty sítě, které v mnoha případech na sebe nenavazují, což odrazuje potenciální uživatele této infrastruktury a jedná se rovněž o problém v bezpečnosti silničního provozu. V případě infrastruktury pro pěší dopravu je situace lepší, nicméně i zde přetrvává řada nedostatků. Obě oblasti rovněž úzce souvisí se zvyšováním atraktivity měst formou úprav veřejného prostoru pro veřejný život (tzv. humanizace prostoru).</w:t>
            </w:r>
          </w:p>
          <w:p w14:paraId="2A12A701" w14:textId="77777777" w:rsidR="00DD3EFA" w:rsidRPr="00EC2A1C" w:rsidRDefault="00DD3EFA" w:rsidP="00B15ECB">
            <w:pPr>
              <w:spacing w:before="60" w:after="60"/>
              <w:rPr>
                <w:lang w:eastAsia="cs-CZ"/>
              </w:rPr>
            </w:pPr>
            <w:r w:rsidRPr="00EC2A1C">
              <w:rPr>
                <w:lang w:eastAsia="cs-CZ"/>
              </w:rPr>
              <w:t>Problém cyklistické dopravy spočívá též v nedostatečné či zcela absentující infrastruktuře pro multimodální přepravu, např. automatické uzamykatelné boxy na kola nebo jinak zabezpečených odstavů pro kola na důležitých zastávkách městské dopravy a příměstské železnice a  v blízkosti významných dopravních cílů, parkovací domy pro kola, vymezení místa pro bezpečné parkování kol v parkovacích domech, servisní a hygienické zázemí pro cyklisty atd.</w:t>
            </w:r>
          </w:p>
        </w:tc>
        <w:tc>
          <w:tcPr>
            <w:tcW w:w="249" w:type="dxa"/>
            <w:tcBorders>
              <w:top w:val="nil"/>
              <w:bottom w:val="nil"/>
            </w:tcBorders>
            <w:shd w:val="clear" w:color="auto" w:fill="66CCFF"/>
          </w:tcPr>
          <w:p w14:paraId="289DA25D" w14:textId="77777777" w:rsidR="00DD3EFA" w:rsidRPr="00EC2A1C" w:rsidRDefault="00DD3EFA" w:rsidP="00B15ECB">
            <w:pPr>
              <w:rPr>
                <w:b/>
              </w:rPr>
            </w:pPr>
          </w:p>
        </w:tc>
      </w:tr>
      <w:tr w:rsidR="00DD3EFA" w:rsidRPr="00EC2A1C" w14:paraId="2B7A8FD2" w14:textId="77777777" w:rsidTr="00B15ECB">
        <w:trPr>
          <w:trHeight w:val="1274"/>
        </w:trPr>
        <w:tc>
          <w:tcPr>
            <w:tcW w:w="249" w:type="dxa"/>
            <w:tcBorders>
              <w:top w:val="nil"/>
              <w:bottom w:val="nil"/>
            </w:tcBorders>
            <w:shd w:val="clear" w:color="auto" w:fill="66CCFF"/>
          </w:tcPr>
          <w:p w14:paraId="0C5C8D9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5B13BB0"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Definice cíle – změny, které chceme dosáhnout</w:t>
            </w:r>
          </w:p>
          <w:p w14:paraId="0B4BBA9D"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342CD2F" w14:textId="77777777" w:rsidR="00DD3EFA" w:rsidRPr="00EC2A1C" w:rsidRDefault="00DD3EFA" w:rsidP="00B15ECB">
            <w:pPr>
              <w:spacing w:before="60" w:after="60"/>
              <w:rPr>
                <w:rFonts w:eastAsiaTheme="majorEastAsia"/>
                <w:u w:val="single"/>
              </w:rPr>
            </w:pPr>
            <w:r w:rsidRPr="00EC2A1C">
              <w:t>Dokončení sítě cyklotras a infrastruktury pro pěší, zkvalitnění veřejného prosotru v obcích.</w:t>
            </w:r>
          </w:p>
        </w:tc>
        <w:tc>
          <w:tcPr>
            <w:tcW w:w="249" w:type="dxa"/>
            <w:tcBorders>
              <w:top w:val="nil"/>
              <w:bottom w:val="nil"/>
            </w:tcBorders>
            <w:shd w:val="clear" w:color="auto" w:fill="66CCFF"/>
          </w:tcPr>
          <w:p w14:paraId="64C66E19" w14:textId="77777777" w:rsidR="00DD3EFA" w:rsidRPr="00EC2A1C" w:rsidRDefault="00DD3EFA" w:rsidP="00B15ECB">
            <w:pPr>
              <w:rPr>
                <w:b/>
              </w:rPr>
            </w:pPr>
          </w:p>
        </w:tc>
      </w:tr>
      <w:tr w:rsidR="00DD3EFA" w:rsidRPr="00EC2A1C" w14:paraId="2CD8B3A6" w14:textId="77777777" w:rsidTr="00B15ECB">
        <w:trPr>
          <w:trHeight w:val="1274"/>
        </w:trPr>
        <w:tc>
          <w:tcPr>
            <w:tcW w:w="249" w:type="dxa"/>
            <w:tcBorders>
              <w:top w:val="nil"/>
              <w:bottom w:val="nil"/>
            </w:tcBorders>
            <w:shd w:val="clear" w:color="auto" w:fill="66CCFF"/>
          </w:tcPr>
          <w:p w14:paraId="17EC43D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DF3F6DB"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Defininice předpokládaných výstupů/výsledků/dopadů</w:t>
            </w:r>
          </w:p>
        </w:tc>
        <w:tc>
          <w:tcPr>
            <w:tcW w:w="5978" w:type="dxa"/>
            <w:tcBorders>
              <w:bottom w:val="single" w:sz="4" w:space="0" w:color="auto"/>
            </w:tcBorders>
            <w:shd w:val="clear" w:color="auto" w:fill="FFFFFF" w:themeFill="background1"/>
          </w:tcPr>
          <w:p w14:paraId="735228A4" w14:textId="77777777" w:rsidR="00DD3EFA" w:rsidRPr="00EC2A1C" w:rsidRDefault="00DD3EFA" w:rsidP="00B15ECB">
            <w:pPr>
              <w:spacing w:before="60" w:after="60"/>
            </w:pPr>
            <w:r w:rsidRPr="00EC2A1C">
              <w:t>Kilometry dokončených nových nebo modernizovaných cyklotras a infrastruktury pro pěší dopravu.</w:t>
            </w:r>
          </w:p>
          <w:p w14:paraId="31EE09CD" w14:textId="77777777" w:rsidR="00DD3EFA" w:rsidRPr="00EC2A1C" w:rsidRDefault="00DD3EFA" w:rsidP="00B15ECB">
            <w:pPr>
              <w:spacing w:before="60" w:after="60"/>
            </w:pPr>
          </w:p>
          <w:p w14:paraId="13FAB872" w14:textId="77777777" w:rsidR="00DD3EFA" w:rsidRPr="00EC2A1C" w:rsidRDefault="00DD3EFA" w:rsidP="00B15ECB">
            <w:pPr>
              <w:spacing w:before="60" w:after="60"/>
            </w:pPr>
            <w:r w:rsidRPr="00EC2A1C">
              <w:t>Počet zřízených bezpečných boxů a odstavů pro kola.</w:t>
            </w:r>
          </w:p>
          <w:p w14:paraId="14829F05" w14:textId="77777777" w:rsidR="00DD3EFA" w:rsidRPr="00EC2A1C" w:rsidRDefault="00DD3EFA" w:rsidP="00B15ECB">
            <w:pPr>
              <w:spacing w:before="60" w:after="60"/>
            </w:pPr>
            <w:r w:rsidRPr="00EC2A1C">
              <w:t>Počet vybudovaných parkovacích domů či jiných objektů pro bezpečné parkování kol.</w:t>
            </w:r>
          </w:p>
          <w:p w14:paraId="721B3FBB" w14:textId="77777777" w:rsidR="00DD3EFA" w:rsidRPr="00EC2A1C" w:rsidRDefault="00DD3EFA" w:rsidP="00B15ECB">
            <w:pPr>
              <w:spacing w:before="60" w:after="60"/>
              <w:rPr>
                <w:rFonts w:eastAsiaTheme="majorEastAsia"/>
                <w:u w:val="single"/>
              </w:rPr>
            </w:pPr>
            <w:r w:rsidRPr="00EC2A1C">
              <w:rPr>
                <w:rFonts w:eastAsiaTheme="majorEastAsia"/>
                <w:u w:val="single"/>
              </w:rPr>
              <w:t>Kilometry významných městských ulic transformovaných do zón vyhrazených jen pro udržitelné formy dopravy.</w:t>
            </w:r>
          </w:p>
          <w:p w14:paraId="1A68DCA0" w14:textId="77777777" w:rsidR="00DD3EFA" w:rsidRPr="00EC2A1C" w:rsidRDefault="00DD3EFA" w:rsidP="00B15ECB">
            <w:pPr>
              <w:spacing w:before="60" w:after="60"/>
              <w:rPr>
                <w:rFonts w:eastAsiaTheme="majorEastAsia"/>
                <w:u w:val="single"/>
              </w:rPr>
            </w:pPr>
          </w:p>
          <w:p w14:paraId="43E4AAFC" w14:textId="77777777" w:rsidR="00DD3EFA" w:rsidRPr="00EC2A1C" w:rsidRDefault="00DD3EFA" w:rsidP="00B15ECB">
            <w:pPr>
              <w:spacing w:before="60" w:after="60"/>
            </w:pPr>
            <w:r w:rsidRPr="00EC2A1C">
              <w:t xml:space="preserve">V návaznosti na kapitolu Doprava - </w:t>
            </w:r>
            <w:r w:rsidRPr="00EC2A1C">
              <w:rPr>
                <w:rFonts w:eastAsiaTheme="majorEastAsia"/>
              </w:rPr>
              <w:t>ROZVOJ A ZKVALITNĚNÍ DOPRAVNÍ INFRASTRUKTURY mohou být výsledky charakterizovány následovně:</w:t>
            </w:r>
          </w:p>
          <w:p w14:paraId="36805C9D" w14:textId="77777777" w:rsidR="00DD3EFA" w:rsidRPr="00EC2A1C" w:rsidRDefault="00DD3EFA" w:rsidP="00391907">
            <w:pPr>
              <w:pStyle w:val="Odstavecseseznamem"/>
              <w:numPr>
                <w:ilvl w:val="0"/>
                <w:numId w:val="94"/>
              </w:numPr>
              <w:spacing w:before="60" w:after="60"/>
            </w:pPr>
            <w:r w:rsidRPr="00EC2A1C">
              <w:t xml:space="preserve">Počet kilometrů cyklistických pruhů v hlavním dopravním prostoru, </w:t>
            </w:r>
          </w:p>
          <w:p w14:paraId="756DCF6B" w14:textId="77777777" w:rsidR="00DD3EFA" w:rsidRPr="00EC2A1C" w:rsidRDefault="00DD3EFA" w:rsidP="00391907">
            <w:pPr>
              <w:pStyle w:val="Odstavecseseznamem"/>
              <w:numPr>
                <w:ilvl w:val="0"/>
                <w:numId w:val="94"/>
              </w:numPr>
              <w:spacing w:before="60" w:after="60"/>
            </w:pPr>
            <w:r w:rsidRPr="00EC2A1C">
              <w:t xml:space="preserve">Počet kilometrů samostatných cyklistických stezek, obvykle společných s chodci, dále </w:t>
            </w:r>
          </w:p>
          <w:p w14:paraId="10BB3AA7" w14:textId="77777777" w:rsidR="00DD3EFA" w:rsidRPr="00EC2A1C" w:rsidRDefault="00DD3EFA" w:rsidP="00391907">
            <w:pPr>
              <w:pStyle w:val="Odstavecseseznamem"/>
              <w:numPr>
                <w:ilvl w:val="0"/>
                <w:numId w:val="94"/>
              </w:numPr>
              <w:spacing w:before="60" w:after="60"/>
            </w:pPr>
            <w:r w:rsidRPr="00EC2A1C">
              <w:t xml:space="preserve">počet killometrů využití polních a lesních cest, či obslužných a přístupových komunikací,  ať již podél vodních toků, či podél nově budovaných železnicčních koridorů, atd., které plní i dopravně obslužnou roli pro cyklisty, případně pro cykloturisty  </w:t>
            </w:r>
          </w:p>
          <w:p w14:paraId="79C5D907" w14:textId="77777777" w:rsidR="00DD3EFA" w:rsidRPr="00EC2A1C" w:rsidRDefault="00DD3EFA" w:rsidP="00391907">
            <w:pPr>
              <w:pStyle w:val="Odstavecseseznamem"/>
              <w:numPr>
                <w:ilvl w:val="0"/>
                <w:numId w:val="94"/>
              </w:numPr>
              <w:spacing w:before="60" w:after="60"/>
            </w:pPr>
            <w:r w:rsidRPr="00EC2A1C">
              <w:t>počet kilometrů vybudovaných cyklistických komunikací (viz. váše, ležící na síti dálkových cyklotras ČR:</w:t>
            </w:r>
          </w:p>
          <w:p w14:paraId="3623E2DF" w14:textId="77777777" w:rsidR="00DD3EFA" w:rsidRPr="00EC2A1C" w:rsidRDefault="00DD3EFA" w:rsidP="00391907">
            <w:pPr>
              <w:pStyle w:val="Odstavecseseznamem"/>
              <w:numPr>
                <w:ilvl w:val="0"/>
                <w:numId w:val="94"/>
              </w:numPr>
              <w:spacing w:before="60" w:after="60"/>
            </w:pPr>
            <w:r w:rsidRPr="00EC2A1C">
              <w:t xml:space="preserve">počet vyznačených cyklotras a úprava cyklotras v rámci cestovního ruchu. </w:t>
            </w:r>
          </w:p>
          <w:p w14:paraId="19C34C45" w14:textId="77777777" w:rsidR="00DD3EFA" w:rsidRPr="00EC2A1C" w:rsidRDefault="00DD3EFA" w:rsidP="00B15ECB">
            <w:pPr>
              <w:spacing w:before="60" w:after="60"/>
            </w:pPr>
            <w:r w:rsidRPr="00EC2A1C">
              <w:t>Všechny tyto navzájem provázané pilíře motivují veřejnost k přestupu z osobní automobilové dopravy na dopravu cyklistickou, případně pěší. Města v ČR potřebují v nastoleném trendu pokračovat a učinit samy sebe pro své obyvatele přívětivějšími a to na úkor preference automobilové dopravy.</w:t>
            </w:r>
          </w:p>
          <w:p w14:paraId="7451C2F0" w14:textId="77777777" w:rsidR="00DD3EFA" w:rsidRPr="00EC2A1C" w:rsidRDefault="00DD3EFA" w:rsidP="00B15ECB">
            <w:pPr>
              <w:spacing w:before="60" w:after="60"/>
              <w:rPr>
                <w:rFonts w:eastAsiaTheme="majorEastAsia"/>
                <w:u w:val="single"/>
              </w:rPr>
            </w:pPr>
          </w:p>
        </w:tc>
        <w:tc>
          <w:tcPr>
            <w:tcW w:w="249" w:type="dxa"/>
            <w:tcBorders>
              <w:top w:val="nil"/>
              <w:bottom w:val="nil"/>
            </w:tcBorders>
            <w:shd w:val="clear" w:color="auto" w:fill="66CCFF"/>
          </w:tcPr>
          <w:p w14:paraId="7FB06326" w14:textId="77777777" w:rsidR="00DD3EFA" w:rsidRPr="00EC2A1C" w:rsidRDefault="00DD3EFA" w:rsidP="00B15ECB">
            <w:pPr>
              <w:rPr>
                <w:b/>
              </w:rPr>
            </w:pPr>
          </w:p>
        </w:tc>
      </w:tr>
      <w:tr w:rsidR="00DD3EFA" w:rsidRPr="00EC2A1C" w14:paraId="0EC3D7F1" w14:textId="77777777" w:rsidTr="00B15ECB">
        <w:trPr>
          <w:trHeight w:val="1274"/>
        </w:trPr>
        <w:tc>
          <w:tcPr>
            <w:tcW w:w="249" w:type="dxa"/>
            <w:tcBorders>
              <w:top w:val="nil"/>
              <w:bottom w:val="nil"/>
            </w:tcBorders>
            <w:shd w:val="clear" w:color="auto" w:fill="66CCFF"/>
          </w:tcPr>
          <w:p w14:paraId="1070B11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E4755CA"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21B2FF53" w14:textId="77777777" w:rsidR="00DD3EFA" w:rsidRPr="00EC2A1C" w:rsidRDefault="00DD3EFA" w:rsidP="00B15ECB">
            <w:pPr>
              <w:spacing w:before="60" w:after="60"/>
              <w:rPr>
                <w:rFonts w:eastAsiaTheme="majorEastAsia"/>
              </w:rPr>
            </w:pPr>
            <w:r w:rsidRPr="00EC2A1C">
              <w:rPr>
                <w:rFonts w:eastAsiaTheme="majorEastAsia"/>
              </w:rPr>
              <w:t xml:space="preserve">Vzhledem k velké roztříštěnosti obecní struktury ČR a z toho vyplývajícího nedostatku financí zejména v malých obcích bude </w:t>
            </w:r>
            <w:r w:rsidRPr="00EC2A1C">
              <w:t>bude nutný vyšší podíl ESIF na plnění tohoto specifického cíle, který je odhadován na úrovni 85 %.</w:t>
            </w:r>
            <w:r w:rsidRPr="00EC2A1C">
              <w:rPr>
                <w:rFonts w:eastAsiaTheme="majorEastAsia"/>
              </w:rPr>
              <w:t>.</w:t>
            </w:r>
          </w:p>
        </w:tc>
        <w:tc>
          <w:tcPr>
            <w:tcW w:w="249" w:type="dxa"/>
            <w:tcBorders>
              <w:top w:val="nil"/>
              <w:bottom w:val="nil"/>
            </w:tcBorders>
            <w:shd w:val="clear" w:color="auto" w:fill="66CCFF"/>
          </w:tcPr>
          <w:p w14:paraId="6AF9DDEE" w14:textId="77777777" w:rsidR="00DD3EFA" w:rsidRPr="00EC2A1C" w:rsidRDefault="00DD3EFA" w:rsidP="00B15ECB">
            <w:pPr>
              <w:rPr>
                <w:b/>
              </w:rPr>
            </w:pPr>
          </w:p>
        </w:tc>
      </w:tr>
      <w:tr w:rsidR="00DD3EFA" w:rsidRPr="00EC2A1C" w14:paraId="1A158560" w14:textId="77777777" w:rsidTr="00B15ECB">
        <w:trPr>
          <w:trHeight w:val="1274"/>
        </w:trPr>
        <w:tc>
          <w:tcPr>
            <w:tcW w:w="249" w:type="dxa"/>
            <w:tcBorders>
              <w:top w:val="nil"/>
              <w:bottom w:val="nil"/>
            </w:tcBorders>
            <w:shd w:val="clear" w:color="auto" w:fill="66CCFF"/>
          </w:tcPr>
          <w:p w14:paraId="0A40025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4A733AD"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2D764CCA" w14:textId="77777777" w:rsidR="00DD3EFA" w:rsidRPr="00EC2A1C" w:rsidRDefault="00DD3EFA" w:rsidP="00B15ECB">
            <w:pPr>
              <w:spacing w:before="60" w:after="60"/>
              <w:rPr>
                <w:rFonts w:eastAsiaTheme="majorEastAsia"/>
              </w:rPr>
            </w:pPr>
            <w:r w:rsidRPr="00EC2A1C">
              <w:rPr>
                <w:rFonts w:eastAsiaTheme="majorEastAsia"/>
              </w:rPr>
              <w:t>Jedná se o dlouhodobý úkol, neboť v případě cyklotras se jedná o vybudování sítě od samotného počátku. Další období by mělo proto přinést další posun v její realizaci. Novým stimulem jsou cíle vyplývající ze zpracování plánů udržitelné městské mobility (PUMM).</w:t>
            </w:r>
          </w:p>
        </w:tc>
        <w:tc>
          <w:tcPr>
            <w:tcW w:w="249" w:type="dxa"/>
            <w:tcBorders>
              <w:top w:val="nil"/>
              <w:bottom w:val="nil"/>
            </w:tcBorders>
            <w:shd w:val="clear" w:color="auto" w:fill="66CCFF"/>
          </w:tcPr>
          <w:p w14:paraId="2E6CAC2A" w14:textId="77777777" w:rsidR="00DD3EFA" w:rsidRPr="00EC2A1C" w:rsidRDefault="00DD3EFA" w:rsidP="00B15ECB">
            <w:pPr>
              <w:rPr>
                <w:b/>
              </w:rPr>
            </w:pPr>
          </w:p>
        </w:tc>
      </w:tr>
      <w:tr w:rsidR="00DD3EFA" w:rsidRPr="00EC2A1C" w14:paraId="19E1C1D8" w14:textId="77777777" w:rsidTr="00B15ECB">
        <w:trPr>
          <w:trHeight w:val="272"/>
        </w:trPr>
        <w:tc>
          <w:tcPr>
            <w:tcW w:w="249" w:type="dxa"/>
            <w:tcBorders>
              <w:top w:val="nil"/>
              <w:bottom w:val="nil"/>
              <w:right w:val="nil"/>
            </w:tcBorders>
            <w:shd w:val="clear" w:color="auto" w:fill="66CCFF"/>
          </w:tcPr>
          <w:p w14:paraId="46AA7D9B"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5A172F6"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DC3FE10"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12F69C95" w14:textId="77777777" w:rsidR="00DD3EFA" w:rsidRPr="00EC2A1C" w:rsidRDefault="00DD3EFA" w:rsidP="00B15ECB">
            <w:pPr>
              <w:rPr>
                <w:b/>
              </w:rPr>
            </w:pPr>
          </w:p>
        </w:tc>
      </w:tr>
      <w:tr w:rsidR="00DD3EFA" w:rsidRPr="00EC2A1C" w14:paraId="093C6890" w14:textId="77777777" w:rsidTr="00B15ECB">
        <w:trPr>
          <w:trHeight w:val="835"/>
        </w:trPr>
        <w:tc>
          <w:tcPr>
            <w:tcW w:w="249" w:type="dxa"/>
            <w:tcBorders>
              <w:top w:val="nil"/>
              <w:bottom w:val="nil"/>
            </w:tcBorders>
            <w:shd w:val="clear" w:color="auto" w:fill="66CCFF"/>
          </w:tcPr>
          <w:p w14:paraId="04D63A6A"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298B97CD"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6B4B5C27" w14:textId="77777777" w:rsidR="00DD3EFA" w:rsidRPr="00EC2A1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451B255A" w14:textId="77777777" w:rsidR="00DD3EFA" w:rsidRPr="00EC2A1C" w:rsidRDefault="00DD3EFA" w:rsidP="00391907">
            <w:pPr>
              <w:pStyle w:val="Odstavecseseznamem"/>
              <w:numPr>
                <w:ilvl w:val="0"/>
                <w:numId w:val="4"/>
              </w:numPr>
              <w:spacing w:before="60" w:after="60"/>
            </w:pPr>
            <w:r w:rsidRPr="00EC2A1C">
              <w:t>Rozvoj a modernizace cyklotras pro dopravní obslužnost na krátké vzdálenosti</w:t>
            </w:r>
          </w:p>
          <w:p w14:paraId="3D74B7CD" w14:textId="77777777" w:rsidR="00DD3EFA" w:rsidRPr="00EC2A1C" w:rsidRDefault="00DD3EFA" w:rsidP="00391907">
            <w:pPr>
              <w:pStyle w:val="Odstavecseseznamem"/>
              <w:numPr>
                <w:ilvl w:val="0"/>
                <w:numId w:val="4"/>
              </w:numPr>
              <w:spacing w:before="60" w:after="60"/>
            </w:pPr>
            <w:r w:rsidRPr="00EC2A1C">
              <w:t>Rozvoj a modernizace cyklotras pro cestovní ruch</w:t>
            </w:r>
          </w:p>
          <w:p w14:paraId="41BBFF9A" w14:textId="77777777" w:rsidR="00DD3EFA" w:rsidRPr="00EC2A1C" w:rsidRDefault="00DD3EFA" w:rsidP="00391907">
            <w:pPr>
              <w:pStyle w:val="Odstavecseseznamem"/>
              <w:numPr>
                <w:ilvl w:val="0"/>
                <w:numId w:val="4"/>
              </w:numPr>
              <w:spacing w:before="60" w:after="60"/>
            </w:pPr>
            <w:r w:rsidRPr="00EC2A1C">
              <w:t>Rozvoj a modernizace infrastruktury pro pěší v obcích</w:t>
            </w:r>
          </w:p>
          <w:p w14:paraId="64497F66" w14:textId="77777777" w:rsidR="00DD3EFA" w:rsidRPr="00EC2A1C" w:rsidRDefault="00DD3EFA" w:rsidP="00B15ECB">
            <w:pPr>
              <w:spacing w:before="60" w:after="60"/>
            </w:pPr>
          </w:p>
          <w:p w14:paraId="72A95EB1" w14:textId="77777777" w:rsidR="00DD3EFA" w:rsidRPr="00EC2A1C" w:rsidRDefault="00DD3EFA" w:rsidP="00B15ECB"/>
        </w:tc>
        <w:tc>
          <w:tcPr>
            <w:tcW w:w="249" w:type="dxa"/>
            <w:tcBorders>
              <w:top w:val="nil"/>
              <w:bottom w:val="nil"/>
            </w:tcBorders>
            <w:shd w:val="clear" w:color="auto" w:fill="66CCFF"/>
          </w:tcPr>
          <w:p w14:paraId="66A2A90E" w14:textId="77777777" w:rsidR="00DD3EFA" w:rsidRPr="00EC2A1C" w:rsidRDefault="00DD3EFA" w:rsidP="00B15ECB">
            <w:pPr>
              <w:rPr>
                <w:b/>
              </w:rPr>
            </w:pPr>
          </w:p>
        </w:tc>
      </w:tr>
      <w:tr w:rsidR="00DD3EFA" w:rsidRPr="00EC2A1C" w14:paraId="61D8B667" w14:textId="77777777" w:rsidTr="00B15ECB">
        <w:trPr>
          <w:trHeight w:val="377"/>
        </w:trPr>
        <w:tc>
          <w:tcPr>
            <w:tcW w:w="249" w:type="dxa"/>
            <w:tcBorders>
              <w:top w:val="nil"/>
              <w:bottom w:val="nil"/>
              <w:right w:val="nil"/>
            </w:tcBorders>
            <w:shd w:val="clear" w:color="auto" w:fill="66CCFF"/>
          </w:tcPr>
          <w:p w14:paraId="6D84140F"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7F0262AE"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990A852"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5D96160C" w14:textId="77777777" w:rsidR="00DD3EFA" w:rsidRPr="00EC2A1C" w:rsidRDefault="00DD3EFA" w:rsidP="00B15ECB">
            <w:pPr>
              <w:rPr>
                <w:b/>
              </w:rPr>
            </w:pPr>
          </w:p>
        </w:tc>
      </w:tr>
      <w:tr w:rsidR="00DD3EFA" w:rsidRPr="00EC2A1C" w14:paraId="523CEE7C" w14:textId="77777777" w:rsidTr="00B15ECB">
        <w:trPr>
          <w:trHeight w:val="607"/>
        </w:trPr>
        <w:tc>
          <w:tcPr>
            <w:tcW w:w="249" w:type="dxa"/>
            <w:tcBorders>
              <w:top w:val="nil"/>
              <w:bottom w:val="nil"/>
            </w:tcBorders>
            <w:shd w:val="clear" w:color="auto" w:fill="66CCFF"/>
          </w:tcPr>
          <w:p w14:paraId="51DA8AC6"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480AA359"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5B2969DE"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5ECF5000" w14:textId="77777777" w:rsidR="00DD3EFA" w:rsidRPr="00EC2A1C" w:rsidRDefault="00DD3EFA" w:rsidP="00B15ECB">
            <w:pPr>
              <w:rPr>
                <w:b/>
              </w:rPr>
            </w:pPr>
          </w:p>
        </w:tc>
      </w:tr>
      <w:tr w:rsidR="00DD3EFA" w:rsidRPr="00EC2A1C" w14:paraId="517E17D1" w14:textId="77777777" w:rsidTr="00B15ECB">
        <w:trPr>
          <w:trHeight w:val="1202"/>
        </w:trPr>
        <w:tc>
          <w:tcPr>
            <w:tcW w:w="249" w:type="dxa"/>
            <w:tcBorders>
              <w:top w:val="nil"/>
              <w:bottom w:val="nil"/>
            </w:tcBorders>
            <w:shd w:val="clear" w:color="auto" w:fill="66CCFF"/>
          </w:tcPr>
          <w:p w14:paraId="0695E6C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FC286E7"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24BE315F"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F78E11B"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Představuje územní dimenzi, týká se všech kategorií obcí, přístup k jednotlivým kategoriím obcí musí být specifický. V případě obcí nad 40 tis. ob. by měl vycházet z PUMM</w:t>
            </w:r>
          </w:p>
        </w:tc>
        <w:tc>
          <w:tcPr>
            <w:tcW w:w="249" w:type="dxa"/>
            <w:tcBorders>
              <w:top w:val="nil"/>
              <w:bottom w:val="nil"/>
            </w:tcBorders>
            <w:shd w:val="clear" w:color="auto" w:fill="66CCFF"/>
          </w:tcPr>
          <w:p w14:paraId="4B60893F" w14:textId="77777777" w:rsidR="00DD3EFA" w:rsidRPr="00EC2A1C" w:rsidRDefault="00DD3EFA" w:rsidP="00B15ECB">
            <w:pPr>
              <w:rPr>
                <w:b/>
              </w:rPr>
            </w:pPr>
          </w:p>
        </w:tc>
      </w:tr>
      <w:tr w:rsidR="00DD3EFA" w:rsidRPr="00EC2A1C" w14:paraId="6199125E" w14:textId="77777777" w:rsidTr="00B15ECB">
        <w:trPr>
          <w:trHeight w:val="1202"/>
        </w:trPr>
        <w:tc>
          <w:tcPr>
            <w:tcW w:w="249" w:type="dxa"/>
            <w:tcBorders>
              <w:top w:val="nil"/>
              <w:bottom w:val="nil"/>
            </w:tcBorders>
            <w:shd w:val="clear" w:color="auto" w:fill="66CCFF"/>
          </w:tcPr>
          <w:p w14:paraId="6D64964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6E5E41B"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7C6CB034"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0B0B745"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Adaptaci na změnu klimatu není nutné zásadně řešit. Opatření má význam v oblasti mitigace, neboť aktivní mobilita přispívá k energetickým úsporám, a tím i k úsporám emisí skleníkových plynů.</w:t>
            </w:r>
          </w:p>
        </w:tc>
        <w:tc>
          <w:tcPr>
            <w:tcW w:w="249" w:type="dxa"/>
            <w:tcBorders>
              <w:top w:val="nil"/>
              <w:bottom w:val="nil"/>
            </w:tcBorders>
            <w:shd w:val="clear" w:color="auto" w:fill="66CCFF"/>
          </w:tcPr>
          <w:p w14:paraId="4673BFFC" w14:textId="77777777" w:rsidR="00DD3EFA" w:rsidRPr="00EC2A1C" w:rsidRDefault="00DD3EFA" w:rsidP="00B15ECB">
            <w:pPr>
              <w:rPr>
                <w:b/>
              </w:rPr>
            </w:pPr>
          </w:p>
        </w:tc>
      </w:tr>
      <w:tr w:rsidR="00DD3EFA" w:rsidRPr="00EC2A1C" w14:paraId="7EF7A6FB" w14:textId="77777777" w:rsidTr="00B15ECB">
        <w:trPr>
          <w:trHeight w:val="1202"/>
        </w:trPr>
        <w:tc>
          <w:tcPr>
            <w:tcW w:w="249" w:type="dxa"/>
            <w:tcBorders>
              <w:top w:val="nil"/>
              <w:bottom w:val="nil"/>
            </w:tcBorders>
            <w:shd w:val="clear" w:color="auto" w:fill="66CCFF"/>
          </w:tcPr>
          <w:p w14:paraId="4862889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71F375E"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p w14:paraId="539BC632"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A0F5D15"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Tzv. chytrá řešení jsou aplikovatelná i v případě aktivní mobility, zejména v oblasti informačních systémů, ale i v oblasti městské telematiky.</w:t>
            </w:r>
          </w:p>
        </w:tc>
        <w:tc>
          <w:tcPr>
            <w:tcW w:w="249" w:type="dxa"/>
            <w:tcBorders>
              <w:top w:val="nil"/>
              <w:bottom w:val="nil"/>
            </w:tcBorders>
            <w:shd w:val="clear" w:color="auto" w:fill="66CCFF"/>
          </w:tcPr>
          <w:p w14:paraId="5A72BE34" w14:textId="77777777" w:rsidR="00DD3EFA" w:rsidRPr="00EC2A1C" w:rsidRDefault="00DD3EFA" w:rsidP="00B15ECB">
            <w:pPr>
              <w:rPr>
                <w:b/>
              </w:rPr>
            </w:pPr>
          </w:p>
        </w:tc>
      </w:tr>
      <w:tr w:rsidR="00DD3EFA" w:rsidRPr="00EC2A1C" w14:paraId="5AD3038C" w14:textId="77777777" w:rsidTr="00B15ECB">
        <w:trPr>
          <w:trHeight w:val="1202"/>
        </w:trPr>
        <w:tc>
          <w:tcPr>
            <w:tcW w:w="249" w:type="dxa"/>
            <w:tcBorders>
              <w:top w:val="nil"/>
              <w:bottom w:val="nil"/>
            </w:tcBorders>
            <w:shd w:val="clear" w:color="auto" w:fill="66CCFF"/>
          </w:tcPr>
          <w:p w14:paraId="7DCDE01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E19FA2A"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259EFF31"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FB0BDC9" w14:textId="77777777" w:rsidR="00DD3EFA" w:rsidRPr="00EC2A1C" w:rsidRDefault="00DD3EFA" w:rsidP="00B15ECB">
            <w:pPr>
              <w:spacing w:before="240" w:line="259" w:lineRule="auto"/>
              <w:rPr>
                <w:b/>
              </w:rPr>
            </w:pPr>
            <w:r w:rsidRPr="00EC2A1C">
              <w:rPr>
                <w:b/>
              </w:rPr>
              <w:t>Demografické stárnutí</w:t>
            </w:r>
          </w:p>
          <w:p w14:paraId="1A6DB0B2" w14:textId="77777777" w:rsidR="00DD3EFA" w:rsidRPr="00EC2A1C" w:rsidRDefault="00DD3EFA" w:rsidP="00B15ECB">
            <w:pPr>
              <w:spacing w:before="40"/>
            </w:pPr>
            <w:r w:rsidRPr="00EC2A1C">
              <w:t>Stárnoucí populace vytváří tlak na zdravotní a sociální systém, přičemž může přispívat k oslabování výkonnosti ekonomiky v důsledku poklesu počtu pracovní síly. Zároveň je příležitosti pro nové typy služeb a zaměstnání.</w:t>
            </w:r>
          </w:p>
          <w:p w14:paraId="7D206CFC" w14:textId="77777777" w:rsidR="00DD3EFA" w:rsidRPr="00EC2A1C" w:rsidRDefault="00DD3EFA" w:rsidP="00B15ECB">
            <w:pPr>
              <w:spacing w:before="40"/>
            </w:pPr>
            <w:r w:rsidRPr="00EC2A1C">
              <w:t>Aktivní mobilita má velmi pozitivní vliv na zdravotní stav obyvatelstva a přispívá k prodlužování věku dožitého ve zdraví.</w:t>
            </w:r>
          </w:p>
          <w:p w14:paraId="6001F4F5" w14:textId="77777777" w:rsidR="00DD3EFA" w:rsidRPr="00EC2A1C" w:rsidRDefault="00DD3EFA" w:rsidP="00B15ECB">
            <w:pPr>
              <w:spacing w:before="240" w:line="259" w:lineRule="auto"/>
              <w:rPr>
                <w:b/>
              </w:rPr>
            </w:pPr>
            <w:r w:rsidRPr="00EC2A1C">
              <w:rPr>
                <w:b/>
              </w:rPr>
              <w:t xml:space="preserve">Rostoucí mobilita </w:t>
            </w:r>
          </w:p>
          <w:p w14:paraId="461F4D1F" w14:textId="77777777" w:rsidR="00DD3EFA" w:rsidRPr="00EC2A1C" w:rsidRDefault="00DD3EFA" w:rsidP="00B15ECB">
            <w:pPr>
              <w:spacing w:before="40"/>
            </w:pPr>
            <w:r w:rsidRPr="00EC2A1C">
              <w:t>Dochází ke zvýšenému pohybu lidí, zboží, ale s tím také rostoucí environmentální zátěže.</w:t>
            </w:r>
          </w:p>
          <w:p w14:paraId="39DE6A3D" w14:textId="77777777" w:rsidR="00DD3EFA" w:rsidRPr="00EC2A1C" w:rsidRDefault="00DD3EFA" w:rsidP="00B15ECB">
            <w:pPr>
              <w:spacing w:before="40"/>
            </w:pPr>
            <w:r w:rsidRPr="00EC2A1C">
              <w:t>Aktivní mobilita je nejen energeticky úsporná, ale je rovněž úsporná z hlediska záboru veřejného prostoru ve městech, čímž výrazně pomáhá řešit dopravní problémy měst.</w:t>
            </w:r>
          </w:p>
          <w:p w14:paraId="249E870B" w14:textId="77777777" w:rsidR="00DD3EFA" w:rsidRPr="00EC2A1C" w:rsidRDefault="00DD3EFA" w:rsidP="00B15ECB">
            <w:pPr>
              <w:spacing w:before="240" w:line="259" w:lineRule="auto"/>
              <w:rPr>
                <w:b/>
              </w:rPr>
            </w:pPr>
            <w:r w:rsidRPr="00EC2A1C">
              <w:rPr>
                <w:b/>
              </w:rPr>
              <w:t xml:space="preserve">Urbanizace </w:t>
            </w:r>
          </w:p>
          <w:p w14:paraId="70AF8583" w14:textId="77777777" w:rsidR="00DD3EFA" w:rsidRPr="00EC2A1C" w:rsidRDefault="00DD3EFA" w:rsidP="00B15ECB">
            <w:pPr>
              <w:spacing w:before="40"/>
            </w:pPr>
            <w:r w:rsidRPr="00EC2A1C">
              <w:t xml:space="preserve">Stěhování lidí z venkova do měst a jejich zázemí pokračuje bez ohledu na rostoucí negativa, která s sebou přináší. </w:t>
            </w:r>
          </w:p>
          <w:p w14:paraId="18A1EE99" w14:textId="77777777" w:rsidR="00DD3EFA" w:rsidRPr="00EC2A1C" w:rsidRDefault="00DD3EFA" w:rsidP="00B15ECB">
            <w:pPr>
              <w:spacing w:before="40"/>
            </w:pPr>
            <w:r w:rsidRPr="00EC2A1C">
              <w:t>Suburbánní oblasti se vyznačují nedostatečně kapacitní silniční infrastrukturou. Systémy BaR proto pomůžou výrazně ulehčit dopravním problémům v těchto oblastech.</w:t>
            </w:r>
          </w:p>
          <w:p w14:paraId="174B2EBD" w14:textId="77777777" w:rsidR="00DD3EFA" w:rsidRPr="00EC2A1C" w:rsidRDefault="00DD3EFA" w:rsidP="00B15ECB">
            <w:pPr>
              <w:spacing w:before="240" w:line="259" w:lineRule="auto"/>
              <w:rPr>
                <w:b/>
              </w:rPr>
            </w:pPr>
            <w:r w:rsidRPr="00EC2A1C">
              <w:rPr>
                <w:b/>
              </w:rPr>
              <w:t>Změna klimatu a její dopady</w:t>
            </w:r>
          </w:p>
          <w:p w14:paraId="3A4CC341" w14:textId="77777777" w:rsidR="00DD3EFA" w:rsidRPr="00EC2A1C" w:rsidRDefault="00DD3EFA" w:rsidP="00B15ECB">
            <w:pPr>
              <w:spacing w:before="40"/>
            </w:pPr>
            <w:r w:rsidRPr="00EC2A1C">
              <w:t>Změna klimatu zásadně ovlivňuje nejen životní prostředí, ale i všechny hospodářské sektory a tím i kvalitu života celé společnosti.</w:t>
            </w:r>
          </w:p>
          <w:p w14:paraId="2DEB701A" w14:textId="77777777" w:rsidR="00DD3EFA" w:rsidRPr="00EC2A1C" w:rsidRDefault="00DD3EFA" w:rsidP="00B15ECB">
            <w:pPr>
              <w:spacing w:before="40"/>
            </w:pPr>
            <w:r w:rsidRPr="00EC2A1C">
              <w:t>Doprava je jedním z hlavních emitentů skleníkových plynů a optření na jejich zmírnění jsou obtížná, podpora aktivní mobility patří k takovým opatřením.</w:t>
            </w:r>
          </w:p>
        </w:tc>
        <w:tc>
          <w:tcPr>
            <w:tcW w:w="249" w:type="dxa"/>
            <w:tcBorders>
              <w:top w:val="nil"/>
              <w:bottom w:val="nil"/>
            </w:tcBorders>
            <w:shd w:val="clear" w:color="auto" w:fill="66CCFF"/>
          </w:tcPr>
          <w:p w14:paraId="3C3866F8" w14:textId="77777777" w:rsidR="00DD3EFA" w:rsidRPr="00EC2A1C" w:rsidRDefault="00DD3EFA" w:rsidP="00B15ECB">
            <w:pPr>
              <w:rPr>
                <w:b/>
              </w:rPr>
            </w:pPr>
          </w:p>
        </w:tc>
      </w:tr>
      <w:tr w:rsidR="00DD3EFA" w:rsidRPr="00EC2A1C" w14:paraId="3C214E09" w14:textId="77777777" w:rsidTr="00B15ECB">
        <w:trPr>
          <w:trHeight w:val="1202"/>
        </w:trPr>
        <w:tc>
          <w:tcPr>
            <w:tcW w:w="249" w:type="dxa"/>
            <w:tcBorders>
              <w:top w:val="nil"/>
              <w:bottom w:val="nil"/>
            </w:tcBorders>
            <w:shd w:val="clear" w:color="auto" w:fill="66CCFF"/>
          </w:tcPr>
          <w:p w14:paraId="6C3BE85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14CA985"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0510266A" w14:textId="77777777" w:rsidR="00DD3EFA" w:rsidRPr="00EC2A1C" w:rsidRDefault="00DD3EFA" w:rsidP="00B15ECB">
            <w:pPr>
              <w:spacing w:before="60" w:after="60"/>
              <w:rPr>
                <w:rFonts w:eastAsiaTheme="majorEastAsia"/>
                <w:b/>
              </w:rPr>
            </w:pPr>
            <w:r w:rsidRPr="00EC2A1C">
              <w:rPr>
                <w:rFonts w:eastAsiaTheme="majorEastAsia"/>
                <w:b/>
              </w:rPr>
              <w:t>Politický cíl ON:</w:t>
            </w:r>
          </w:p>
          <w:p w14:paraId="579E74D7" w14:textId="77777777" w:rsidR="00DD3EFA" w:rsidRPr="00EC2A1C" w:rsidRDefault="00DD3EFA" w:rsidP="00B15ECB">
            <w:pPr>
              <w:spacing w:before="60" w:after="60" w:line="259" w:lineRule="auto"/>
              <w:rPr>
                <w:rFonts w:eastAsiaTheme="majorEastAsia"/>
              </w:rPr>
            </w:pPr>
            <w:r w:rsidRPr="00EC2A1C">
              <w:rPr>
                <w:rFonts w:eastAsiaTheme="majorEastAsia"/>
              </w:rPr>
              <w:t xml:space="preserve">CP2 - Zelenější, nízkouhlíková Evropa díky podpoře přechodu na čistou a spravedlivou energii, zelených a modrých investic, oběhového hospodářství, přizpůsobení se změnám klimatu a prevence a řízení rizik </w:t>
            </w:r>
          </w:p>
          <w:p w14:paraId="74F54F1E" w14:textId="77777777" w:rsidR="00DD3EFA" w:rsidRPr="00EC2A1C" w:rsidRDefault="00DD3EFA" w:rsidP="00B15ECB">
            <w:pPr>
              <w:spacing w:before="60" w:after="60" w:line="259" w:lineRule="auto"/>
              <w:rPr>
                <w:rFonts w:eastAsiaTheme="majorEastAsia"/>
                <w:b/>
              </w:rPr>
            </w:pPr>
            <w:r w:rsidRPr="00EC2A1C">
              <w:rPr>
                <w:rFonts w:eastAsiaTheme="majorEastAsia"/>
                <w:b/>
              </w:rPr>
              <w:t>Specifické cíle EFRR/FS:</w:t>
            </w:r>
          </w:p>
          <w:p w14:paraId="01E92B23" w14:textId="77777777" w:rsidR="00DD3EFA" w:rsidRPr="00EC2A1C" w:rsidRDefault="00DD3EFA" w:rsidP="00B15ECB">
            <w:pPr>
              <w:spacing w:before="60" w:after="60" w:line="259" w:lineRule="auto"/>
              <w:rPr>
                <w:rFonts w:eastAsiaTheme="majorEastAsia"/>
              </w:rPr>
            </w:pPr>
            <w:r w:rsidRPr="00EC2A1C">
              <w:rPr>
                <w:rFonts w:eastAsiaTheme="majorEastAsia"/>
              </w:rPr>
              <w:t>čl. 2 odst. 1 písm. b viii)</w:t>
            </w:r>
          </w:p>
          <w:p w14:paraId="69288D4B" w14:textId="77777777" w:rsidR="00DD3EFA" w:rsidRPr="00EC2A1C" w:rsidRDefault="00DD3EFA" w:rsidP="00B15ECB">
            <w:pPr>
              <w:spacing w:before="60" w:after="60"/>
              <w:rPr>
                <w:rFonts w:eastAsiaTheme="majorEastAsia"/>
              </w:rPr>
            </w:pPr>
            <w:r w:rsidRPr="00EC2A1C">
              <w:rPr>
                <w:rFonts w:eastAsiaTheme="majorEastAsia"/>
              </w:rPr>
              <w:t>podpora udržitelné multimodální městské mobility</w:t>
            </w:r>
          </w:p>
        </w:tc>
        <w:tc>
          <w:tcPr>
            <w:tcW w:w="249" w:type="dxa"/>
            <w:tcBorders>
              <w:top w:val="nil"/>
              <w:bottom w:val="nil"/>
            </w:tcBorders>
            <w:shd w:val="clear" w:color="auto" w:fill="66CCFF"/>
          </w:tcPr>
          <w:p w14:paraId="53C15D33" w14:textId="77777777" w:rsidR="00DD3EFA" w:rsidRPr="00EC2A1C" w:rsidRDefault="00DD3EFA" w:rsidP="00B15ECB">
            <w:pPr>
              <w:rPr>
                <w:b/>
              </w:rPr>
            </w:pPr>
          </w:p>
        </w:tc>
      </w:tr>
      <w:tr w:rsidR="00DD3EFA" w:rsidRPr="00EC2A1C" w14:paraId="040551B5" w14:textId="77777777" w:rsidTr="00B15ECB">
        <w:trPr>
          <w:trHeight w:val="1202"/>
        </w:trPr>
        <w:tc>
          <w:tcPr>
            <w:tcW w:w="249" w:type="dxa"/>
            <w:tcBorders>
              <w:top w:val="nil"/>
              <w:bottom w:val="nil"/>
            </w:tcBorders>
            <w:shd w:val="clear" w:color="auto" w:fill="66CCFF"/>
          </w:tcPr>
          <w:p w14:paraId="64BB874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942CBF4"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bottom w:val="single" w:sz="4" w:space="0" w:color="auto"/>
            </w:tcBorders>
            <w:shd w:val="clear" w:color="auto" w:fill="FFFFFF" w:themeFill="background1"/>
          </w:tcPr>
          <w:p w14:paraId="6296F27B" w14:textId="77777777" w:rsidR="00DD3EFA" w:rsidRPr="00EC2A1C" w:rsidRDefault="00DD3EFA" w:rsidP="00B15ECB">
            <w:pPr>
              <w:spacing w:before="60" w:after="60"/>
              <w:rPr>
                <w:rFonts w:eastAsiaTheme="majorEastAsia"/>
              </w:rPr>
            </w:pPr>
            <w:r w:rsidRPr="00EC2A1C">
              <w:rPr>
                <w:rFonts w:eastAsiaTheme="majorEastAsia"/>
              </w:rPr>
              <w:t>Řeší se problematika urychlení přípravy dopravních staveb obecně.</w:t>
            </w:r>
          </w:p>
        </w:tc>
        <w:tc>
          <w:tcPr>
            <w:tcW w:w="249" w:type="dxa"/>
            <w:tcBorders>
              <w:top w:val="nil"/>
              <w:bottom w:val="nil"/>
            </w:tcBorders>
            <w:shd w:val="clear" w:color="auto" w:fill="66CCFF"/>
          </w:tcPr>
          <w:p w14:paraId="53E14448" w14:textId="77777777" w:rsidR="00DD3EFA" w:rsidRPr="00EC2A1C" w:rsidRDefault="00DD3EFA" w:rsidP="00B15ECB">
            <w:pPr>
              <w:rPr>
                <w:b/>
              </w:rPr>
            </w:pPr>
          </w:p>
        </w:tc>
      </w:tr>
      <w:tr w:rsidR="00DD3EFA" w:rsidRPr="00EC2A1C" w14:paraId="4FB1BC03" w14:textId="77777777" w:rsidTr="00B15ECB">
        <w:trPr>
          <w:trHeight w:val="180"/>
        </w:trPr>
        <w:tc>
          <w:tcPr>
            <w:tcW w:w="249" w:type="dxa"/>
            <w:tcBorders>
              <w:top w:val="nil"/>
              <w:bottom w:val="nil"/>
              <w:right w:val="nil"/>
            </w:tcBorders>
            <w:shd w:val="clear" w:color="auto" w:fill="66CCFF"/>
          </w:tcPr>
          <w:p w14:paraId="5B1C2E2C" w14:textId="77777777" w:rsidR="00DD3EFA" w:rsidRPr="00EC2A1C" w:rsidRDefault="00DD3EFA" w:rsidP="00B15ECB">
            <w:pPr>
              <w:rPr>
                <w:b/>
              </w:rPr>
            </w:pPr>
          </w:p>
        </w:tc>
        <w:tc>
          <w:tcPr>
            <w:tcW w:w="2548" w:type="dxa"/>
            <w:tcBorders>
              <w:left w:val="nil"/>
              <w:right w:val="nil"/>
            </w:tcBorders>
            <w:shd w:val="clear" w:color="auto" w:fill="66CCFF"/>
          </w:tcPr>
          <w:p w14:paraId="63242845" w14:textId="77777777" w:rsidR="00DD3EFA" w:rsidRPr="00EC2A1C" w:rsidRDefault="00DD3EFA" w:rsidP="00B15ECB">
            <w:pPr>
              <w:rPr>
                <w:b/>
              </w:rPr>
            </w:pPr>
          </w:p>
        </w:tc>
        <w:tc>
          <w:tcPr>
            <w:tcW w:w="5978" w:type="dxa"/>
            <w:tcBorders>
              <w:left w:val="nil"/>
              <w:right w:val="nil"/>
            </w:tcBorders>
            <w:shd w:val="clear" w:color="auto" w:fill="66CCFF"/>
          </w:tcPr>
          <w:p w14:paraId="7D29DA8B" w14:textId="77777777" w:rsidR="00DD3EFA" w:rsidRPr="00EC2A1C" w:rsidRDefault="00DD3EFA" w:rsidP="00B15ECB">
            <w:pPr>
              <w:rPr>
                <w:b/>
              </w:rPr>
            </w:pPr>
          </w:p>
        </w:tc>
        <w:tc>
          <w:tcPr>
            <w:tcW w:w="249" w:type="dxa"/>
            <w:tcBorders>
              <w:top w:val="nil"/>
              <w:left w:val="nil"/>
              <w:bottom w:val="nil"/>
            </w:tcBorders>
            <w:shd w:val="clear" w:color="auto" w:fill="66CCFF"/>
          </w:tcPr>
          <w:p w14:paraId="49B213E3" w14:textId="77777777" w:rsidR="00DD3EFA" w:rsidRPr="00EC2A1C" w:rsidRDefault="00DD3EFA" w:rsidP="00B15ECB">
            <w:pPr>
              <w:rPr>
                <w:b/>
              </w:rPr>
            </w:pPr>
          </w:p>
        </w:tc>
      </w:tr>
      <w:tr w:rsidR="00DD3EFA" w:rsidRPr="00EC2A1C" w14:paraId="6390CB3D" w14:textId="77777777" w:rsidTr="00B15ECB">
        <w:trPr>
          <w:trHeight w:val="938"/>
        </w:trPr>
        <w:tc>
          <w:tcPr>
            <w:tcW w:w="249" w:type="dxa"/>
            <w:tcBorders>
              <w:top w:val="nil"/>
              <w:bottom w:val="nil"/>
            </w:tcBorders>
            <w:shd w:val="clear" w:color="auto" w:fill="66CCFF"/>
          </w:tcPr>
          <w:p w14:paraId="7086A30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829C2AC"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751E2D0D" w14:textId="77777777" w:rsidR="00DD3EFA" w:rsidRPr="00EC2A1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21B3539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Hlavní strategický dokument pro období 2020+:</w:t>
            </w:r>
          </w:p>
          <w:p w14:paraId="7799C7A6"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b/>
              </w:rPr>
            </w:pPr>
            <w:r w:rsidRPr="00EC2A1C">
              <w:rPr>
                <w:rFonts w:ascii="Times New Roman" w:hAnsi="Times New Roman"/>
              </w:rPr>
              <w:t xml:space="preserve">Není schválen – v přípravě. Půjde o koncepci městské a aktivní mobility, která nahradí dosud platnou </w:t>
            </w:r>
            <w:r w:rsidRPr="00EC2A1C">
              <w:rPr>
                <w:rFonts w:ascii="Times New Roman" w:hAnsi="Times New Roman"/>
                <w:b/>
              </w:rPr>
              <w:t>Národní strategii rozvoje cyklistické dopravy ČR pro léta 2013 – 2020.</w:t>
            </w:r>
          </w:p>
          <w:p w14:paraId="618D33A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Ostatní strategické dokumenty:</w:t>
            </w:r>
          </w:p>
          <w:p w14:paraId="01043DCE" w14:textId="77777777" w:rsidR="00DD3EFA" w:rsidRPr="00EC2A1C" w:rsidRDefault="00DD3EFA" w:rsidP="00B15ECB">
            <w:r w:rsidRPr="00EC2A1C">
              <w:t xml:space="preserve">Nástupce </w:t>
            </w:r>
            <w:r w:rsidRPr="00EC2A1C">
              <w:rPr>
                <w:color w:val="333333"/>
              </w:rPr>
              <w:t>Národní strategie bezpečnosti silničního provozu 2011–2020.</w:t>
            </w:r>
          </w:p>
        </w:tc>
        <w:tc>
          <w:tcPr>
            <w:tcW w:w="249" w:type="dxa"/>
            <w:tcBorders>
              <w:top w:val="nil"/>
              <w:bottom w:val="nil"/>
            </w:tcBorders>
            <w:shd w:val="clear" w:color="auto" w:fill="66CCFF"/>
          </w:tcPr>
          <w:p w14:paraId="1AC3C607" w14:textId="77777777" w:rsidR="00DD3EFA" w:rsidRPr="00EC2A1C" w:rsidRDefault="00DD3EFA" w:rsidP="00B15ECB">
            <w:pPr>
              <w:rPr>
                <w:b/>
              </w:rPr>
            </w:pPr>
          </w:p>
        </w:tc>
      </w:tr>
      <w:tr w:rsidR="00DD3EFA" w:rsidRPr="00EC2A1C" w14:paraId="3E8E8580" w14:textId="77777777" w:rsidTr="00B15ECB">
        <w:trPr>
          <w:trHeight w:val="938"/>
        </w:trPr>
        <w:tc>
          <w:tcPr>
            <w:tcW w:w="249" w:type="dxa"/>
            <w:tcBorders>
              <w:top w:val="nil"/>
              <w:bottom w:val="nil"/>
            </w:tcBorders>
            <w:shd w:val="clear" w:color="auto" w:fill="66CCFF"/>
          </w:tcPr>
          <w:p w14:paraId="44D1E08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2A06D45"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1F8CC70F"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6BD5FD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Problematika rozvoje infrastruktury pro aktivní mobilitu patří do samostatné působnosti samosprávy. Databáze všech potřeb za celou republiku není k dispozici (6258 obcí). Stát pouze podporuje tyto aktivity financováním prostřednictvím SFDI a evropských fondů.</w:t>
            </w:r>
          </w:p>
        </w:tc>
        <w:tc>
          <w:tcPr>
            <w:tcW w:w="249" w:type="dxa"/>
            <w:tcBorders>
              <w:top w:val="nil"/>
              <w:bottom w:val="nil"/>
            </w:tcBorders>
            <w:shd w:val="clear" w:color="auto" w:fill="66CCFF"/>
          </w:tcPr>
          <w:p w14:paraId="5A13A42F" w14:textId="77777777" w:rsidR="00DD3EFA" w:rsidRPr="00EC2A1C" w:rsidRDefault="00DD3EFA" w:rsidP="00B15ECB">
            <w:pPr>
              <w:rPr>
                <w:b/>
              </w:rPr>
            </w:pPr>
          </w:p>
        </w:tc>
      </w:tr>
      <w:tr w:rsidR="00DD3EFA" w:rsidRPr="00EC2A1C" w14:paraId="1C776140" w14:textId="77777777" w:rsidTr="00B15ECB">
        <w:trPr>
          <w:trHeight w:val="938"/>
        </w:trPr>
        <w:tc>
          <w:tcPr>
            <w:tcW w:w="249" w:type="dxa"/>
            <w:tcBorders>
              <w:top w:val="nil"/>
              <w:bottom w:val="nil"/>
            </w:tcBorders>
            <w:shd w:val="clear" w:color="auto" w:fill="66CCFF"/>
          </w:tcPr>
          <w:p w14:paraId="7CA464F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9C1BC3B"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285F0A50"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11B619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Cíl: výstavba a údržba cyklistické infrastruktury. Konkrétní cíle jsou uvedeny v SUMP a SUMF jednotlivých měst.</w:t>
            </w:r>
          </w:p>
        </w:tc>
        <w:tc>
          <w:tcPr>
            <w:tcW w:w="249" w:type="dxa"/>
            <w:tcBorders>
              <w:top w:val="nil"/>
              <w:bottom w:val="nil"/>
            </w:tcBorders>
            <w:shd w:val="clear" w:color="auto" w:fill="66CCFF"/>
          </w:tcPr>
          <w:p w14:paraId="727C0FCF" w14:textId="77777777" w:rsidR="00DD3EFA" w:rsidRPr="00EC2A1C" w:rsidRDefault="00DD3EFA" w:rsidP="00B15ECB">
            <w:pPr>
              <w:rPr>
                <w:b/>
              </w:rPr>
            </w:pPr>
          </w:p>
        </w:tc>
      </w:tr>
      <w:tr w:rsidR="00DD3EFA" w:rsidRPr="00EC2A1C" w14:paraId="27951064" w14:textId="77777777" w:rsidTr="00B15ECB">
        <w:trPr>
          <w:trHeight w:val="938"/>
        </w:trPr>
        <w:tc>
          <w:tcPr>
            <w:tcW w:w="249" w:type="dxa"/>
            <w:tcBorders>
              <w:top w:val="nil"/>
              <w:bottom w:val="nil"/>
            </w:tcBorders>
            <w:shd w:val="clear" w:color="auto" w:fill="66CCFF"/>
          </w:tcPr>
          <w:p w14:paraId="2ADAA13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0671046"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2CE812BD"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E23B72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Jde o samostatnou působnost obcí. SFDI financuje tuto oblast každoročně na základě rozpočtu SFDI</w:t>
            </w:r>
          </w:p>
        </w:tc>
        <w:tc>
          <w:tcPr>
            <w:tcW w:w="249" w:type="dxa"/>
            <w:tcBorders>
              <w:top w:val="nil"/>
              <w:bottom w:val="nil"/>
            </w:tcBorders>
            <w:shd w:val="clear" w:color="auto" w:fill="66CCFF"/>
          </w:tcPr>
          <w:p w14:paraId="1B36FD03" w14:textId="77777777" w:rsidR="00DD3EFA" w:rsidRPr="00EC2A1C" w:rsidRDefault="00DD3EFA" w:rsidP="00B15ECB">
            <w:pPr>
              <w:rPr>
                <w:b/>
              </w:rPr>
            </w:pPr>
          </w:p>
        </w:tc>
      </w:tr>
      <w:tr w:rsidR="00DD3EFA" w:rsidRPr="00EC2A1C" w14:paraId="7BBCBA36" w14:textId="77777777" w:rsidTr="00B15ECB">
        <w:trPr>
          <w:trHeight w:val="938"/>
        </w:trPr>
        <w:tc>
          <w:tcPr>
            <w:tcW w:w="249" w:type="dxa"/>
            <w:tcBorders>
              <w:top w:val="nil"/>
              <w:bottom w:val="nil"/>
            </w:tcBorders>
            <w:shd w:val="clear" w:color="auto" w:fill="66CCFF"/>
          </w:tcPr>
          <w:p w14:paraId="1CA29DE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5915F85"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tcBorders>
              <w:bottom w:val="single" w:sz="4" w:space="0" w:color="auto"/>
            </w:tcBorders>
            <w:shd w:val="clear" w:color="auto" w:fill="FFFFFF" w:themeFill="background1"/>
          </w:tcPr>
          <w:p w14:paraId="550A43A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Probíhá vyhodnocování Národní cyklostrategie v pravidelných cyklech.</w:t>
            </w:r>
          </w:p>
        </w:tc>
        <w:tc>
          <w:tcPr>
            <w:tcW w:w="249" w:type="dxa"/>
            <w:tcBorders>
              <w:top w:val="nil"/>
              <w:bottom w:val="nil"/>
            </w:tcBorders>
            <w:shd w:val="clear" w:color="auto" w:fill="66CCFF"/>
          </w:tcPr>
          <w:p w14:paraId="05D29C24" w14:textId="77777777" w:rsidR="00DD3EFA" w:rsidRPr="00EC2A1C" w:rsidRDefault="00DD3EFA" w:rsidP="00B15ECB">
            <w:pPr>
              <w:rPr>
                <w:b/>
              </w:rPr>
            </w:pPr>
          </w:p>
        </w:tc>
      </w:tr>
      <w:tr w:rsidR="00DD3EFA" w:rsidRPr="00EC2A1C" w14:paraId="2ADA2361" w14:textId="77777777" w:rsidTr="00B15ECB">
        <w:trPr>
          <w:trHeight w:val="130"/>
        </w:trPr>
        <w:tc>
          <w:tcPr>
            <w:tcW w:w="249" w:type="dxa"/>
            <w:tcBorders>
              <w:top w:val="nil"/>
              <w:bottom w:val="nil"/>
              <w:right w:val="nil"/>
            </w:tcBorders>
            <w:shd w:val="clear" w:color="auto" w:fill="66CCFF"/>
          </w:tcPr>
          <w:p w14:paraId="12409F1C" w14:textId="77777777" w:rsidR="00DD3EFA" w:rsidRPr="00EC2A1C" w:rsidRDefault="00DD3EFA" w:rsidP="00B15ECB">
            <w:pPr>
              <w:rPr>
                <w:b/>
              </w:rPr>
            </w:pPr>
          </w:p>
        </w:tc>
        <w:tc>
          <w:tcPr>
            <w:tcW w:w="2548" w:type="dxa"/>
            <w:tcBorders>
              <w:left w:val="nil"/>
              <w:right w:val="nil"/>
            </w:tcBorders>
            <w:shd w:val="clear" w:color="auto" w:fill="66CCFF"/>
          </w:tcPr>
          <w:p w14:paraId="5424A174" w14:textId="77777777" w:rsidR="00DD3EFA" w:rsidRPr="00EC2A1C" w:rsidRDefault="00DD3EFA" w:rsidP="00B15ECB">
            <w:pPr>
              <w:rPr>
                <w:b/>
              </w:rPr>
            </w:pPr>
          </w:p>
        </w:tc>
        <w:tc>
          <w:tcPr>
            <w:tcW w:w="5978" w:type="dxa"/>
            <w:tcBorders>
              <w:left w:val="nil"/>
              <w:right w:val="nil"/>
            </w:tcBorders>
            <w:shd w:val="clear" w:color="auto" w:fill="66CCFF"/>
          </w:tcPr>
          <w:p w14:paraId="1C52C665"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2E91CFB5" w14:textId="77777777" w:rsidR="00DD3EFA" w:rsidRPr="00EC2A1C" w:rsidRDefault="00DD3EFA" w:rsidP="00B15ECB">
            <w:pPr>
              <w:rPr>
                <w:b/>
              </w:rPr>
            </w:pPr>
          </w:p>
        </w:tc>
      </w:tr>
      <w:tr w:rsidR="00DD3EFA" w:rsidRPr="00EC2A1C" w14:paraId="2D239E23" w14:textId="77777777" w:rsidTr="00B15ECB">
        <w:trPr>
          <w:trHeight w:val="1258"/>
        </w:trPr>
        <w:tc>
          <w:tcPr>
            <w:tcW w:w="249" w:type="dxa"/>
            <w:tcBorders>
              <w:top w:val="nil"/>
              <w:bottom w:val="nil"/>
              <w:right w:val="nil"/>
            </w:tcBorders>
            <w:shd w:val="clear" w:color="auto" w:fill="66CCFF"/>
          </w:tcPr>
          <w:p w14:paraId="0D8C04CD" w14:textId="77777777" w:rsidR="00DD3EFA" w:rsidRPr="00EC2A1C" w:rsidRDefault="00DD3EFA" w:rsidP="00B15ECB">
            <w:pPr>
              <w:rPr>
                <w:b/>
              </w:rPr>
            </w:pPr>
          </w:p>
        </w:tc>
        <w:tc>
          <w:tcPr>
            <w:tcW w:w="2548" w:type="dxa"/>
            <w:shd w:val="clear" w:color="auto" w:fill="FFFFFF" w:themeFill="background1"/>
          </w:tcPr>
          <w:p w14:paraId="4FA0E7AA" w14:textId="77777777" w:rsidR="00DD3EFA" w:rsidRPr="00EC2A1C" w:rsidRDefault="00DD3EFA" w:rsidP="00B15ECB">
            <w:pPr>
              <w:rPr>
                <w:b/>
              </w:rPr>
            </w:pPr>
            <w:r w:rsidRPr="00EC2A1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6AE451A0" w14:textId="77777777" w:rsidR="00DD3EFA" w:rsidRPr="00EC2A1C" w:rsidRDefault="00DD3EFA" w:rsidP="00B15ECB">
            <w:pPr>
              <w:spacing w:line="276" w:lineRule="auto"/>
              <w:rPr>
                <w:b/>
              </w:rPr>
            </w:pPr>
          </w:p>
          <w:p w14:paraId="541C6467" w14:textId="77777777" w:rsidR="00DD3EFA" w:rsidRPr="00EC2A1C" w:rsidRDefault="00DD3EFA" w:rsidP="00B15ECB">
            <w:pPr>
              <w:spacing w:line="276" w:lineRule="auto"/>
            </w:pPr>
            <w:r w:rsidRPr="00EC2A1C">
              <w:t xml:space="preserve">Ve specifickém cíli 1.2 IROP </w:t>
            </w:r>
            <w:r w:rsidRPr="00EC2A1C">
              <w:rPr>
                <w:i/>
              </w:rPr>
              <w:t>Zvýšení podílu udržitelných forem dopravy</w:t>
            </w:r>
            <w:r w:rsidRPr="00EC2A1C">
              <w:t xml:space="preserve"> je možné žádat o dotace v aktivitách </w:t>
            </w:r>
            <w:r w:rsidRPr="00EC2A1C">
              <w:rPr>
                <w:i/>
              </w:rPr>
              <w:t>Bezpečnost dopravy</w:t>
            </w:r>
            <w:r w:rsidRPr="00EC2A1C">
              <w:t xml:space="preserve"> a </w:t>
            </w:r>
            <w:r w:rsidRPr="00EC2A1C">
              <w:rPr>
                <w:i/>
              </w:rPr>
              <w:t>Cyklodoprava</w:t>
            </w:r>
            <w:r w:rsidRPr="00EC2A1C">
              <w:t>.</w:t>
            </w:r>
          </w:p>
          <w:p w14:paraId="6044B83B" w14:textId="77777777" w:rsidR="00DD3EFA" w:rsidRPr="00EC2A1C" w:rsidRDefault="00DD3EFA" w:rsidP="00B15ECB">
            <w:r w:rsidRPr="00EC2A1C">
              <w:t xml:space="preserve">V aktivitě </w:t>
            </w:r>
            <w:r w:rsidRPr="00EC2A1C">
              <w:rPr>
                <w:i/>
              </w:rPr>
              <w:t>Bezpečnost dopravy</w:t>
            </w:r>
            <w:r w:rsidRPr="00EC2A1C">
              <w:t xml:space="preserve"> se jedná o projekty rekonstrukcí, modernizací a výstavby bezbariérových komunikací pro pěší včetně souvisejících prvků zvyšujících bezpečnost železniční, silniční, cyklistické a pěší dopravy, a to ve třech podoblastech – investice do chodníků podél silnic a místních komunikací zatížených automobilovou dopravou, investice do bezbariérových přístupů k zastávkám veřejné dopravy a investice do podchodů a lávek přes dopravní bariéry.</w:t>
            </w:r>
          </w:p>
          <w:p w14:paraId="475C9017" w14:textId="77777777" w:rsidR="00DD3EFA" w:rsidRPr="00EC2A1C" w:rsidRDefault="00DD3EFA" w:rsidP="00B15ECB"/>
          <w:p w14:paraId="4510A855" w14:textId="77777777" w:rsidR="00DD3EFA" w:rsidRPr="00EC2A1C" w:rsidRDefault="00DD3EFA" w:rsidP="00B15ECB">
            <w:r w:rsidRPr="00EC2A1C">
              <w:t xml:space="preserve">V aktivitě </w:t>
            </w:r>
            <w:r w:rsidRPr="00EC2A1C">
              <w:rPr>
                <w:i/>
              </w:rPr>
              <w:t>Cyklodoprava</w:t>
            </w:r>
            <w:r w:rsidRPr="00EC2A1C">
              <w:t xml:space="preserve"> IROP podporuje projekty zaměřené na rekonstrukci, modernizaci a výstavbu komunikací pro cyklisty, tedy především cyklostezek, společných stezek pro chodce a cyklisty a také liniových opatření pro cyklisty v hlavním dopravním prostoru pozemních komunikací, takzvaných cyklopruhů.</w:t>
            </w:r>
          </w:p>
          <w:p w14:paraId="2B16A6E3" w14:textId="77777777" w:rsidR="00DD3EFA" w:rsidRPr="00EC2A1C" w:rsidRDefault="00DD3EFA" w:rsidP="00B15ECB"/>
          <w:p w14:paraId="1F0D1C6C" w14:textId="77777777" w:rsidR="00DD3EFA" w:rsidRPr="00EC2A1C" w:rsidRDefault="00DD3EFA" w:rsidP="00B15ECB">
            <w:pPr>
              <w:spacing w:line="276" w:lineRule="auto"/>
            </w:pPr>
            <w:r w:rsidRPr="00EC2A1C">
              <w:t>Všechny projekty musí splňovat principy udržitelné mobility, to znamená, že jejich příprava vychází z konkrétní dopravní strategie, je otevřená veřejnosti a že spolu s jinými opatřeními zesilují pozitivní efekt.</w:t>
            </w:r>
          </w:p>
          <w:p w14:paraId="5508196D" w14:textId="77777777" w:rsidR="00DD3EFA" w:rsidRPr="00EC2A1C" w:rsidRDefault="00DD3EFA" w:rsidP="00B15ECB">
            <w:pPr>
              <w:spacing w:line="276" w:lineRule="auto"/>
              <w:rPr>
                <w:color w:val="FF0000"/>
              </w:rPr>
            </w:pPr>
          </w:p>
        </w:tc>
        <w:tc>
          <w:tcPr>
            <w:tcW w:w="249" w:type="dxa"/>
            <w:tcBorders>
              <w:top w:val="nil"/>
              <w:left w:val="nil"/>
              <w:bottom w:val="nil"/>
            </w:tcBorders>
            <w:shd w:val="clear" w:color="auto" w:fill="66CCFF"/>
          </w:tcPr>
          <w:p w14:paraId="32C43B4C" w14:textId="77777777" w:rsidR="00DD3EFA" w:rsidRPr="00EC2A1C" w:rsidRDefault="00DD3EFA" w:rsidP="00B15ECB">
            <w:pPr>
              <w:rPr>
                <w:b/>
              </w:rPr>
            </w:pPr>
          </w:p>
        </w:tc>
      </w:tr>
      <w:tr w:rsidR="00DD3EFA" w:rsidRPr="00EC2A1C" w14:paraId="0CED3768" w14:textId="77777777" w:rsidTr="00B15ECB">
        <w:trPr>
          <w:trHeight w:val="1258"/>
        </w:trPr>
        <w:tc>
          <w:tcPr>
            <w:tcW w:w="249" w:type="dxa"/>
            <w:tcBorders>
              <w:top w:val="nil"/>
              <w:bottom w:val="nil"/>
              <w:right w:val="nil"/>
            </w:tcBorders>
            <w:shd w:val="clear" w:color="auto" w:fill="66CCFF"/>
          </w:tcPr>
          <w:p w14:paraId="4A768226" w14:textId="77777777" w:rsidR="00DD3EFA" w:rsidRPr="00EC2A1C" w:rsidRDefault="00DD3EFA" w:rsidP="00B15ECB">
            <w:pPr>
              <w:rPr>
                <w:b/>
              </w:rPr>
            </w:pPr>
          </w:p>
        </w:tc>
        <w:tc>
          <w:tcPr>
            <w:tcW w:w="2548" w:type="dxa"/>
            <w:shd w:val="clear" w:color="auto" w:fill="FFFFFF" w:themeFill="background1"/>
          </w:tcPr>
          <w:p w14:paraId="3F6BD90D" w14:textId="77777777" w:rsidR="00DD3EFA" w:rsidRPr="00EC2A1C" w:rsidRDefault="00DD3EFA" w:rsidP="00B15ECB">
            <w:pPr>
              <w:rPr>
                <w:rFonts w:eastAsiaTheme="majorEastAsia"/>
                <w:b/>
              </w:rPr>
            </w:pPr>
            <w:r w:rsidRPr="00EC2A1C">
              <w:rPr>
                <w:rFonts w:eastAsiaTheme="majorEastAsia"/>
                <w:b/>
              </w:rPr>
              <w:t>Věcný posun oblasti</w:t>
            </w:r>
          </w:p>
          <w:p w14:paraId="27729B1F"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72B5AE1B" w14:textId="77777777" w:rsidR="00DD3EFA" w:rsidRPr="00EC2A1C" w:rsidRDefault="00DD3EFA" w:rsidP="00B15ECB">
            <w:r w:rsidRPr="00EC2A1C">
              <w:t>Specifický cíl 1.2 IROP v oblasti podpory bezpečné nemotorové dopravy do konce roku 2018 podpořil celkem 190 projektů za 1,75 mld. Kč, z toho 65 projektů bylo k 31. 12. v realizaci, 125 projektů bylo dokončeno.</w:t>
            </w:r>
          </w:p>
          <w:p w14:paraId="3EE52457" w14:textId="77777777" w:rsidR="00DD3EFA" w:rsidRPr="00EC2A1C" w:rsidRDefault="00DD3EFA" w:rsidP="00B15ECB"/>
          <w:p w14:paraId="77AFF20C" w14:textId="77777777" w:rsidR="00DD3EFA" w:rsidRPr="00EC2A1C" w:rsidRDefault="00DD3EFA" w:rsidP="00B15ECB">
            <w:r w:rsidRPr="00EC2A1C">
              <w:t>Rozvoj dopravních systémů šetrných k životnímu prostředí napříč celým územím České republiky (s výjimkou hl. m. Prahy) byl z IROP podpořen významnou měrou, když do konce roku 2018 bylo vybudováno 72 km nových cyklostezek. Udržitelnou regionální a místní mobilitu v celé České republice podporuje také 95 nových opatření ke zvýšení bezpečnosti v dopravě.</w:t>
            </w:r>
          </w:p>
        </w:tc>
        <w:tc>
          <w:tcPr>
            <w:tcW w:w="249" w:type="dxa"/>
            <w:tcBorders>
              <w:top w:val="nil"/>
              <w:left w:val="nil"/>
              <w:bottom w:val="nil"/>
            </w:tcBorders>
            <w:shd w:val="clear" w:color="auto" w:fill="66CCFF"/>
          </w:tcPr>
          <w:p w14:paraId="33E5AB66" w14:textId="77777777" w:rsidR="00DD3EFA" w:rsidRPr="00EC2A1C" w:rsidRDefault="00DD3EFA" w:rsidP="00B15ECB">
            <w:pPr>
              <w:rPr>
                <w:b/>
              </w:rPr>
            </w:pPr>
          </w:p>
        </w:tc>
      </w:tr>
      <w:tr w:rsidR="00DD3EFA" w:rsidRPr="00EC2A1C" w14:paraId="1D2871FD" w14:textId="77777777" w:rsidTr="00B15ECB">
        <w:trPr>
          <w:trHeight w:val="1258"/>
        </w:trPr>
        <w:tc>
          <w:tcPr>
            <w:tcW w:w="249" w:type="dxa"/>
            <w:tcBorders>
              <w:top w:val="nil"/>
              <w:bottom w:val="nil"/>
              <w:right w:val="nil"/>
            </w:tcBorders>
            <w:shd w:val="clear" w:color="auto" w:fill="66CCFF"/>
          </w:tcPr>
          <w:p w14:paraId="037351F9" w14:textId="77777777" w:rsidR="00DD3EFA" w:rsidRPr="00EC2A1C" w:rsidRDefault="00DD3EFA" w:rsidP="00B15ECB">
            <w:pPr>
              <w:rPr>
                <w:b/>
              </w:rPr>
            </w:pPr>
          </w:p>
        </w:tc>
        <w:tc>
          <w:tcPr>
            <w:tcW w:w="2548" w:type="dxa"/>
            <w:shd w:val="clear" w:color="auto" w:fill="FFFFFF" w:themeFill="background1"/>
          </w:tcPr>
          <w:p w14:paraId="7A1C71FB" w14:textId="77777777" w:rsidR="00DD3EFA" w:rsidRPr="00EC2A1C" w:rsidRDefault="00DD3EFA" w:rsidP="00B15ECB">
            <w:pPr>
              <w:rPr>
                <w:rFonts w:eastAsiaTheme="majorEastAsia"/>
                <w:b/>
              </w:rPr>
            </w:pPr>
            <w:r w:rsidRPr="00EC2A1C">
              <w:rPr>
                <w:rFonts w:eastAsiaTheme="majorEastAsia"/>
                <w:b/>
              </w:rPr>
              <w:t>Synergické a multiplikační efekty</w:t>
            </w:r>
          </w:p>
          <w:p w14:paraId="304D90B0"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2AB475FF"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Za synergické efekty v případě investic do rozvoje bezmotorové dopravy patří zejména snižování emisí z dopravy a tím výrazný vliv na ochranu ovzduší. Dále je důležité zmínit synergie se systémem péče o zdraví, resp. prevencí ve formě podpory rozvoje zdravého životního stylu široké veřejnosti a dopady do nákladů na národní zdraví.</w:t>
            </w:r>
          </w:p>
        </w:tc>
        <w:tc>
          <w:tcPr>
            <w:tcW w:w="249" w:type="dxa"/>
            <w:tcBorders>
              <w:top w:val="nil"/>
              <w:left w:val="nil"/>
              <w:bottom w:val="nil"/>
            </w:tcBorders>
            <w:shd w:val="clear" w:color="auto" w:fill="66CCFF"/>
          </w:tcPr>
          <w:p w14:paraId="681F8B1B" w14:textId="77777777" w:rsidR="00DD3EFA" w:rsidRPr="00EC2A1C" w:rsidRDefault="00DD3EFA" w:rsidP="00B15ECB">
            <w:pPr>
              <w:rPr>
                <w:b/>
              </w:rPr>
            </w:pPr>
          </w:p>
        </w:tc>
      </w:tr>
      <w:tr w:rsidR="00DD3EFA" w:rsidRPr="00EC2A1C" w14:paraId="6B99901A" w14:textId="77777777" w:rsidTr="00B15ECB">
        <w:trPr>
          <w:trHeight w:val="180"/>
        </w:trPr>
        <w:tc>
          <w:tcPr>
            <w:tcW w:w="249" w:type="dxa"/>
            <w:tcBorders>
              <w:top w:val="nil"/>
              <w:bottom w:val="nil"/>
              <w:right w:val="nil"/>
            </w:tcBorders>
            <w:shd w:val="clear" w:color="auto" w:fill="66CCFF"/>
          </w:tcPr>
          <w:p w14:paraId="33A9AEF5"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0FA9C1C0"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7E7AA6EE" w14:textId="77777777" w:rsidR="00DD3EFA" w:rsidRPr="00EC2A1C" w:rsidRDefault="00DD3EFA" w:rsidP="00B15ECB">
            <w:pPr>
              <w:rPr>
                <w:b/>
              </w:rPr>
            </w:pPr>
          </w:p>
        </w:tc>
        <w:tc>
          <w:tcPr>
            <w:tcW w:w="249" w:type="dxa"/>
            <w:tcBorders>
              <w:top w:val="nil"/>
              <w:left w:val="nil"/>
              <w:bottom w:val="nil"/>
            </w:tcBorders>
            <w:shd w:val="clear" w:color="auto" w:fill="66CCFF"/>
          </w:tcPr>
          <w:p w14:paraId="426303E7" w14:textId="77777777" w:rsidR="00DD3EFA" w:rsidRPr="00EC2A1C" w:rsidRDefault="00DD3EFA" w:rsidP="00B15ECB">
            <w:pPr>
              <w:rPr>
                <w:b/>
              </w:rPr>
            </w:pPr>
          </w:p>
        </w:tc>
      </w:tr>
      <w:tr w:rsidR="00DD3EFA" w:rsidRPr="00EC2A1C" w14:paraId="0EAEB4D1" w14:textId="77777777" w:rsidTr="00B15ECB">
        <w:trPr>
          <w:trHeight w:val="990"/>
        </w:trPr>
        <w:tc>
          <w:tcPr>
            <w:tcW w:w="249" w:type="dxa"/>
            <w:tcBorders>
              <w:top w:val="nil"/>
              <w:bottom w:val="nil"/>
            </w:tcBorders>
            <w:shd w:val="clear" w:color="auto" w:fill="66CCFF"/>
          </w:tcPr>
          <w:p w14:paraId="7D3A37D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D7C4F3A" w14:textId="77777777" w:rsidR="00DD3EFA" w:rsidRPr="00EC2A1C" w:rsidRDefault="00DD3EFA" w:rsidP="00B15ECB">
            <w:pPr>
              <w:spacing w:before="60" w:after="60"/>
              <w:rPr>
                <w:rFonts w:eastAsiaTheme="majorEastAsia"/>
                <w:b/>
              </w:rPr>
            </w:pPr>
            <w:r w:rsidRPr="00EC2A1C">
              <w:rPr>
                <w:rFonts w:eastAsiaTheme="majorEastAsia"/>
                <w:b/>
              </w:rPr>
              <w:t>Absorpční kapacita</w:t>
            </w:r>
          </w:p>
        </w:tc>
        <w:tc>
          <w:tcPr>
            <w:tcW w:w="5978" w:type="dxa"/>
            <w:tcBorders>
              <w:bottom w:val="single" w:sz="4" w:space="0" w:color="auto"/>
            </w:tcBorders>
            <w:shd w:val="clear" w:color="auto" w:fill="FFFFFF" w:themeFill="background1"/>
          </w:tcPr>
          <w:p w14:paraId="64F8391D" w14:textId="77777777" w:rsidR="00DD3EFA" w:rsidRPr="00EC2A1C" w:rsidRDefault="00DD3EFA" w:rsidP="00B15ECB">
            <w:pPr>
              <w:rPr>
                <w:rFonts w:eastAsiaTheme="majorEastAsia"/>
              </w:rPr>
            </w:pPr>
            <w:r w:rsidRPr="00EC2A1C">
              <w:t xml:space="preserve">Absorpční kapacita je veliká, každá z obcí v ČR uvítá vedení cyklostezky, případně stezky pro pěší na svém území. Bohužel průzkum kapacity odvisí na majetkové struktuře a nekoordinovanosti jednotlivých aktivit více jak 6 tisíc obcí. Koordinační roli v realizaci dálkových tras pro cyklisty sehrávají zejména jednotlivé krajské samosprávy. Kraje jsou tak ve velké míře jedním z potenciálních velkých žadatelů. </w:t>
            </w:r>
          </w:p>
        </w:tc>
        <w:tc>
          <w:tcPr>
            <w:tcW w:w="249" w:type="dxa"/>
            <w:tcBorders>
              <w:top w:val="nil"/>
              <w:bottom w:val="nil"/>
            </w:tcBorders>
            <w:shd w:val="clear" w:color="auto" w:fill="66CCFF"/>
          </w:tcPr>
          <w:p w14:paraId="21B3ED98" w14:textId="77777777" w:rsidR="00DD3EFA" w:rsidRPr="00EC2A1C" w:rsidRDefault="00DD3EFA" w:rsidP="00B15ECB">
            <w:pPr>
              <w:rPr>
                <w:b/>
              </w:rPr>
            </w:pPr>
          </w:p>
        </w:tc>
      </w:tr>
      <w:tr w:rsidR="00DD3EFA" w:rsidRPr="00EC2A1C" w14:paraId="3EFCED71" w14:textId="77777777" w:rsidTr="00B15ECB">
        <w:trPr>
          <w:trHeight w:val="1260"/>
        </w:trPr>
        <w:tc>
          <w:tcPr>
            <w:tcW w:w="249" w:type="dxa"/>
            <w:tcBorders>
              <w:top w:val="nil"/>
              <w:bottom w:val="nil"/>
            </w:tcBorders>
            <w:shd w:val="clear" w:color="auto" w:fill="66CCFF"/>
          </w:tcPr>
          <w:p w14:paraId="5F5B6C2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151C14E"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4871A7B3" w14:textId="77777777" w:rsidR="00DD3EFA" w:rsidRPr="00EC2A1C" w:rsidRDefault="00DD3EFA" w:rsidP="00B15ECB">
            <w:pPr>
              <w:spacing w:before="60" w:after="60"/>
            </w:pPr>
            <w:r w:rsidRPr="00EC2A1C">
              <w:t xml:space="preserve">V SC 1.2 IROP byly vyhlášeny celkem 4 výzvy na podporu infrastruktury bezpečné pěší a cyklistické dopravy. Pro obě celostátní výzvy (s výjimkou hl. m. Prahy) byl charakteristický značný zájem žadatelů z řad obcí, v menší míře dobrovolných svazků obcí a krajů. V první vyzvě (výzva č. 18) byly díky navýšení alokace výzvy na dvojnásobek podpořeny všechny úspěšné projekty, další výzva (výzva č. 72), zaměřená již pouze na </w:t>
            </w:r>
            <w:r w:rsidRPr="00EC2A1C">
              <w:rPr>
                <w:i/>
              </w:rPr>
              <w:t>Cyklodopravu</w:t>
            </w:r>
            <w:r w:rsidRPr="00EC2A1C">
              <w:t>, byla přeplněna o 140 %, tj. asi 350 mil. Kč, a 37 projektů bylo zařazeno na seznam náhradních projektů.  Absorpční kapacita je celkově průměrná, vyčleněné prostředky ji prakticky pokrývají. Ve výzvách určených pro metropolitní oblasti a aglomerace byli žadatelé o něco méně aktivnější. Absorpční kapacita v oblasti infrastruktury pro nemotorovou dopravu je celkově nadprůměrná a lze předpokládat, že na této úrovni se udrží i v budoucnu.</w:t>
            </w:r>
          </w:p>
        </w:tc>
        <w:tc>
          <w:tcPr>
            <w:tcW w:w="249" w:type="dxa"/>
            <w:tcBorders>
              <w:top w:val="nil"/>
              <w:bottom w:val="nil"/>
            </w:tcBorders>
            <w:shd w:val="clear" w:color="auto" w:fill="66CCFF"/>
          </w:tcPr>
          <w:p w14:paraId="4B3B5A1D" w14:textId="77777777" w:rsidR="00DD3EFA" w:rsidRPr="00EC2A1C" w:rsidRDefault="00DD3EFA" w:rsidP="00B15ECB">
            <w:pPr>
              <w:rPr>
                <w:b/>
              </w:rPr>
            </w:pPr>
          </w:p>
        </w:tc>
      </w:tr>
      <w:tr w:rsidR="00DD3EFA" w:rsidRPr="00EC2A1C" w14:paraId="36C7818F" w14:textId="77777777" w:rsidTr="00B15ECB">
        <w:trPr>
          <w:trHeight w:val="850"/>
        </w:trPr>
        <w:tc>
          <w:tcPr>
            <w:tcW w:w="249" w:type="dxa"/>
            <w:tcBorders>
              <w:top w:val="nil"/>
              <w:bottom w:val="nil"/>
            </w:tcBorders>
            <w:shd w:val="clear" w:color="auto" w:fill="66CCFF"/>
          </w:tcPr>
          <w:p w14:paraId="082DD8E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1E6C904"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978" w:type="dxa"/>
            <w:tcBorders>
              <w:bottom w:val="single" w:sz="4" w:space="0" w:color="auto"/>
            </w:tcBorders>
            <w:shd w:val="clear" w:color="auto" w:fill="FFFFFF" w:themeFill="background1"/>
          </w:tcPr>
          <w:p w14:paraId="6DBA9A02" w14:textId="77777777" w:rsidR="00DD3EFA" w:rsidRPr="00EC2A1C" w:rsidRDefault="00DD3EFA" w:rsidP="00B15ECB">
            <w:pPr>
              <w:spacing w:before="60" w:after="60"/>
              <w:rPr>
                <w:rFonts w:eastAsiaTheme="majorEastAsia"/>
              </w:rPr>
            </w:pPr>
            <w:r w:rsidRPr="00EC2A1C">
              <w:t>Poptávka příjemců spočívá zejména na připravenosti a podmínkách obcí, resp. větších měst pokrývajících větší území a s větším komunálním rozpočtem schopným pokrýt spolufinancování realizace cyklostezek a stezek pro pěší (realizaci nových komunikací pro peší – např. kde jsou nevyhovující poměry). Velké projekty jsou spíše otázkou krajských samospráv, v případě dálkových tras. O tyto projekty bude i nadále zájem, ale bude záležet na výši spolufinancování a také na připravenosti samospráv u projektů v pokročilé fázi povolovacího procesu.</w:t>
            </w:r>
          </w:p>
        </w:tc>
        <w:tc>
          <w:tcPr>
            <w:tcW w:w="249" w:type="dxa"/>
            <w:tcBorders>
              <w:top w:val="nil"/>
              <w:bottom w:val="nil"/>
            </w:tcBorders>
            <w:shd w:val="clear" w:color="auto" w:fill="66CCFF"/>
          </w:tcPr>
          <w:p w14:paraId="2AB32CB9" w14:textId="77777777" w:rsidR="00DD3EFA" w:rsidRPr="00EC2A1C" w:rsidRDefault="00DD3EFA" w:rsidP="00B15ECB">
            <w:pPr>
              <w:rPr>
                <w:b/>
              </w:rPr>
            </w:pPr>
          </w:p>
        </w:tc>
      </w:tr>
      <w:tr w:rsidR="00DD3EFA" w:rsidRPr="00EC2A1C" w14:paraId="0031847E" w14:textId="77777777" w:rsidTr="00B15ECB">
        <w:trPr>
          <w:trHeight w:val="925"/>
        </w:trPr>
        <w:tc>
          <w:tcPr>
            <w:tcW w:w="249" w:type="dxa"/>
            <w:tcBorders>
              <w:top w:val="nil"/>
              <w:bottom w:val="nil"/>
            </w:tcBorders>
            <w:shd w:val="clear" w:color="auto" w:fill="66CCFF"/>
          </w:tcPr>
          <w:p w14:paraId="1EC2285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99144FB"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978" w:type="dxa"/>
            <w:tcBorders>
              <w:bottom w:val="single" w:sz="4" w:space="0" w:color="auto"/>
            </w:tcBorders>
            <w:shd w:val="clear" w:color="auto" w:fill="FFFFFF" w:themeFill="background1"/>
          </w:tcPr>
          <w:p w14:paraId="75100255" w14:textId="77777777" w:rsidR="00DD3EFA" w:rsidRPr="00EC2A1C" w:rsidRDefault="00DD3EFA" w:rsidP="00B15ECB">
            <w:pPr>
              <w:spacing w:before="60" w:after="60"/>
              <w:rPr>
                <w:rFonts w:eastAsiaTheme="majorEastAsia"/>
              </w:rPr>
            </w:pPr>
            <w:r w:rsidRPr="00EC2A1C">
              <w:rPr>
                <w:rFonts w:eastAsiaTheme="majorEastAsia"/>
              </w:rPr>
              <w:t>Připravuje samospráva, centrálně není řešeno.</w:t>
            </w:r>
          </w:p>
          <w:p w14:paraId="02367D14" w14:textId="77777777" w:rsidR="00DD3EFA" w:rsidRPr="00EC2A1C" w:rsidRDefault="00DD3EFA" w:rsidP="00B15ECB">
            <w:pPr>
              <w:spacing w:before="60" w:after="60"/>
              <w:rPr>
                <w:rFonts w:eastAsiaTheme="majorEastAsia"/>
              </w:rPr>
            </w:pPr>
            <w:r w:rsidRPr="00EC2A1C">
              <w:rPr>
                <w:rFonts w:eastAsiaTheme="majorEastAsia"/>
              </w:rPr>
              <w:t>V současnosti je v rámci Národního investičního plánu shromážděna poptávka od zhruba 150 měst a obcí na projekty na výstavbu cyklostezek v různé délce v souhrné částce kolem 4 mld. Kč. Mezi kraje s největším počtem projektů patří (sestupně) SCK, ZLK, MSK a LBK. Míra připravenosti projektů je však velmi různorodá a nedá se mluvit o 100% připravenosti v celkovém objemu finanční poptávky.</w:t>
            </w:r>
          </w:p>
        </w:tc>
        <w:tc>
          <w:tcPr>
            <w:tcW w:w="249" w:type="dxa"/>
            <w:tcBorders>
              <w:top w:val="nil"/>
              <w:bottom w:val="nil"/>
            </w:tcBorders>
            <w:shd w:val="clear" w:color="auto" w:fill="66CCFF"/>
          </w:tcPr>
          <w:p w14:paraId="7F692807" w14:textId="77777777" w:rsidR="00DD3EFA" w:rsidRPr="00EC2A1C" w:rsidRDefault="00DD3EFA" w:rsidP="00B15ECB">
            <w:pPr>
              <w:rPr>
                <w:b/>
              </w:rPr>
            </w:pPr>
          </w:p>
        </w:tc>
      </w:tr>
      <w:tr w:rsidR="00DD3EFA" w:rsidRPr="00EC2A1C" w14:paraId="4F2ADE9A" w14:textId="77777777" w:rsidTr="00B15ECB">
        <w:trPr>
          <w:trHeight w:val="1001"/>
        </w:trPr>
        <w:tc>
          <w:tcPr>
            <w:tcW w:w="249" w:type="dxa"/>
            <w:tcBorders>
              <w:top w:val="nil"/>
              <w:bottom w:val="nil"/>
            </w:tcBorders>
            <w:shd w:val="clear" w:color="auto" w:fill="66CCFF"/>
          </w:tcPr>
          <w:p w14:paraId="06B4883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6D9EFBC"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tcBorders>
              <w:bottom w:val="single" w:sz="4" w:space="0" w:color="auto"/>
            </w:tcBorders>
            <w:shd w:val="clear" w:color="auto" w:fill="FFFFFF" w:themeFill="background1"/>
          </w:tcPr>
          <w:p w14:paraId="01CED409" w14:textId="77777777" w:rsidR="00DD3EFA" w:rsidRPr="00EC2A1C" w:rsidRDefault="00DD3EFA" w:rsidP="00B15ECB">
            <w:pPr>
              <w:spacing w:before="60" w:after="60"/>
              <w:rPr>
                <w:rFonts w:eastAsiaTheme="majorEastAsia"/>
              </w:rPr>
            </w:pPr>
            <w:r w:rsidRPr="00EC2A1C">
              <w:rPr>
                <w:rFonts w:eastAsiaTheme="majorEastAsia"/>
              </w:rPr>
              <w:t>Zdlouhavost projektové přípravy.</w:t>
            </w:r>
          </w:p>
        </w:tc>
        <w:tc>
          <w:tcPr>
            <w:tcW w:w="249" w:type="dxa"/>
            <w:tcBorders>
              <w:top w:val="nil"/>
              <w:bottom w:val="nil"/>
            </w:tcBorders>
            <w:shd w:val="clear" w:color="auto" w:fill="66CCFF"/>
          </w:tcPr>
          <w:p w14:paraId="76A9122A" w14:textId="77777777" w:rsidR="00DD3EFA" w:rsidRPr="00EC2A1C" w:rsidRDefault="00DD3EFA" w:rsidP="00B15ECB">
            <w:pPr>
              <w:rPr>
                <w:b/>
              </w:rPr>
            </w:pPr>
          </w:p>
        </w:tc>
      </w:tr>
      <w:tr w:rsidR="00DD3EFA" w:rsidRPr="00EC2A1C" w14:paraId="1C98641E"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3AAAA8C4"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019337B"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1D8CC14"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1519DF4E" w14:textId="77777777" w:rsidR="00DD3EFA" w:rsidRPr="00EC2A1C" w:rsidRDefault="00DD3EFA" w:rsidP="00B15ECB">
            <w:pPr>
              <w:rPr>
                <w:b/>
              </w:rPr>
            </w:pPr>
          </w:p>
        </w:tc>
      </w:tr>
      <w:tr w:rsidR="00DD3EFA" w:rsidRPr="00EC2A1C" w14:paraId="44F27B03" w14:textId="77777777" w:rsidTr="00B15ECB">
        <w:trPr>
          <w:trHeight w:val="1968"/>
        </w:trPr>
        <w:tc>
          <w:tcPr>
            <w:tcW w:w="249" w:type="dxa"/>
            <w:tcBorders>
              <w:top w:val="single" w:sz="4" w:space="0" w:color="auto"/>
              <w:bottom w:val="nil"/>
            </w:tcBorders>
            <w:shd w:val="clear" w:color="auto" w:fill="66CCFF"/>
          </w:tcPr>
          <w:p w14:paraId="1D458FE4" w14:textId="77777777" w:rsidR="00DD3EFA" w:rsidRPr="00EC2A1C" w:rsidRDefault="00DD3EFA" w:rsidP="00B15ECB">
            <w:pPr>
              <w:rPr>
                <w:b/>
              </w:rPr>
            </w:pPr>
          </w:p>
        </w:tc>
        <w:tc>
          <w:tcPr>
            <w:tcW w:w="2548" w:type="dxa"/>
            <w:tcBorders>
              <w:top w:val="single" w:sz="4" w:space="0" w:color="auto"/>
            </w:tcBorders>
            <w:shd w:val="clear" w:color="auto" w:fill="FFFFFF" w:themeFill="background1"/>
          </w:tcPr>
          <w:p w14:paraId="10ADF220" w14:textId="77777777" w:rsidR="00DD3EFA" w:rsidRPr="00EC2A1C" w:rsidRDefault="00DD3EFA" w:rsidP="00B15ECB">
            <w:pPr>
              <w:spacing w:before="60" w:after="60"/>
              <w:rPr>
                <w:rFonts w:eastAsiaTheme="majorEastAsia"/>
                <w:b/>
              </w:rPr>
            </w:pPr>
            <w:r w:rsidRPr="00EC2A1C">
              <w:rPr>
                <w:rFonts w:eastAsiaTheme="majorEastAsia"/>
                <w:b/>
              </w:rPr>
              <w:t>Alternativní zdroje</w:t>
            </w:r>
          </w:p>
        </w:tc>
        <w:tc>
          <w:tcPr>
            <w:tcW w:w="5978" w:type="dxa"/>
            <w:tcBorders>
              <w:top w:val="single" w:sz="4" w:space="0" w:color="auto"/>
            </w:tcBorders>
            <w:shd w:val="clear" w:color="auto" w:fill="FFFFFF" w:themeFill="background1"/>
          </w:tcPr>
          <w:p w14:paraId="7C2E765C" w14:textId="77777777" w:rsidR="00DD3EFA" w:rsidRPr="00EC2A1C" w:rsidRDefault="00DD3EFA" w:rsidP="00B15ECB">
            <w:pPr>
              <w:spacing w:before="60" w:after="60"/>
              <w:rPr>
                <w:rFonts w:eastAsiaTheme="majorEastAsia"/>
              </w:rPr>
            </w:pPr>
            <w:r w:rsidRPr="00EC2A1C">
              <w:rPr>
                <w:rFonts w:eastAsiaTheme="majorEastAsia"/>
              </w:rPr>
              <w:t>Financování z národních zdrojů (SFDI)</w:t>
            </w:r>
          </w:p>
        </w:tc>
        <w:tc>
          <w:tcPr>
            <w:tcW w:w="249" w:type="dxa"/>
            <w:tcBorders>
              <w:top w:val="single" w:sz="4" w:space="0" w:color="auto"/>
              <w:bottom w:val="nil"/>
            </w:tcBorders>
            <w:shd w:val="clear" w:color="auto" w:fill="66CCFF"/>
          </w:tcPr>
          <w:p w14:paraId="1D7FA53B" w14:textId="77777777" w:rsidR="00DD3EFA" w:rsidRPr="00EC2A1C" w:rsidRDefault="00DD3EFA" w:rsidP="00B15ECB">
            <w:pPr>
              <w:rPr>
                <w:b/>
              </w:rPr>
            </w:pPr>
          </w:p>
        </w:tc>
      </w:tr>
      <w:tr w:rsidR="00DD3EFA" w:rsidRPr="00EC2A1C" w14:paraId="416AA4D6" w14:textId="77777777" w:rsidTr="00B15ECB">
        <w:trPr>
          <w:trHeight w:val="1968"/>
        </w:trPr>
        <w:tc>
          <w:tcPr>
            <w:tcW w:w="249" w:type="dxa"/>
            <w:tcBorders>
              <w:top w:val="nil"/>
              <w:bottom w:val="nil"/>
            </w:tcBorders>
            <w:shd w:val="clear" w:color="auto" w:fill="66CCFF"/>
          </w:tcPr>
          <w:p w14:paraId="2565ECDF" w14:textId="77777777" w:rsidR="00DD3EFA" w:rsidRPr="00EC2A1C" w:rsidRDefault="00DD3EFA" w:rsidP="00B15ECB">
            <w:pPr>
              <w:rPr>
                <w:b/>
              </w:rPr>
            </w:pPr>
          </w:p>
        </w:tc>
        <w:tc>
          <w:tcPr>
            <w:tcW w:w="2548" w:type="dxa"/>
            <w:tcBorders>
              <w:top w:val="nil"/>
            </w:tcBorders>
            <w:shd w:val="clear" w:color="auto" w:fill="FFFFFF" w:themeFill="background1"/>
          </w:tcPr>
          <w:p w14:paraId="523CE520" w14:textId="77777777" w:rsidR="00DD3EFA" w:rsidRPr="00EC2A1C" w:rsidRDefault="00DD3EFA" w:rsidP="00391907">
            <w:pPr>
              <w:pStyle w:val="Odstavecseseznamem"/>
              <w:numPr>
                <w:ilvl w:val="0"/>
                <w:numId w:val="62"/>
              </w:numPr>
              <w:tabs>
                <w:tab w:val="left" w:pos="301"/>
              </w:tabs>
              <w:spacing w:before="60" w:after="60"/>
              <w:ind w:left="0" w:firstLine="0"/>
              <w:rPr>
                <w:rFonts w:eastAsiaTheme="majorEastAsia"/>
                <w:b/>
              </w:rPr>
            </w:pPr>
            <w:r w:rsidRPr="00EC2A1C">
              <w:rPr>
                <w:rFonts w:eastAsiaTheme="majorEastAsia"/>
                <w:b/>
              </w:rPr>
              <w:t>Unijní programy</w:t>
            </w:r>
          </w:p>
        </w:tc>
        <w:tc>
          <w:tcPr>
            <w:tcW w:w="5978" w:type="dxa"/>
            <w:tcBorders>
              <w:top w:val="nil"/>
            </w:tcBorders>
            <w:shd w:val="clear" w:color="auto" w:fill="FFFFFF" w:themeFill="background1"/>
          </w:tcPr>
          <w:p w14:paraId="052EECB9" w14:textId="77777777" w:rsidR="00DD3EFA" w:rsidRPr="00EC2A1C" w:rsidRDefault="00DD3EFA" w:rsidP="00B15ECB">
            <w:pPr>
              <w:spacing w:before="60" w:after="60"/>
              <w:rPr>
                <w:rFonts w:eastAsiaTheme="majorEastAsia"/>
              </w:rPr>
            </w:pPr>
            <w:r w:rsidRPr="00EC2A1C">
              <w:rPr>
                <w:rFonts w:eastAsiaTheme="majorEastAsia"/>
              </w:rPr>
              <w:t>Využití unijních programů pro tuto oblast se nenabízí a ani by nebylo vhodné. Jedná se o malé projekty velkého množství obcí (mnohdy s nedostatečnou administrativní kapacitou).</w:t>
            </w:r>
          </w:p>
        </w:tc>
        <w:tc>
          <w:tcPr>
            <w:tcW w:w="249" w:type="dxa"/>
            <w:tcBorders>
              <w:top w:val="nil"/>
              <w:bottom w:val="nil"/>
            </w:tcBorders>
            <w:shd w:val="clear" w:color="auto" w:fill="66CCFF"/>
          </w:tcPr>
          <w:p w14:paraId="743C1E7D" w14:textId="77777777" w:rsidR="00DD3EFA" w:rsidRPr="00EC2A1C" w:rsidRDefault="00DD3EFA" w:rsidP="00B15ECB">
            <w:pPr>
              <w:rPr>
                <w:b/>
              </w:rPr>
            </w:pPr>
          </w:p>
        </w:tc>
      </w:tr>
      <w:tr w:rsidR="00DD3EFA" w:rsidRPr="00EC2A1C" w14:paraId="27E7CB12" w14:textId="77777777" w:rsidTr="00B15ECB">
        <w:trPr>
          <w:trHeight w:val="1968"/>
        </w:trPr>
        <w:tc>
          <w:tcPr>
            <w:tcW w:w="249" w:type="dxa"/>
            <w:tcBorders>
              <w:top w:val="nil"/>
              <w:bottom w:val="nil"/>
            </w:tcBorders>
            <w:shd w:val="clear" w:color="auto" w:fill="66CCFF"/>
          </w:tcPr>
          <w:p w14:paraId="3342704C" w14:textId="77777777" w:rsidR="00DD3EFA" w:rsidRPr="00EC2A1C" w:rsidRDefault="00DD3EFA" w:rsidP="00B15ECB">
            <w:pPr>
              <w:rPr>
                <w:b/>
              </w:rPr>
            </w:pPr>
          </w:p>
        </w:tc>
        <w:tc>
          <w:tcPr>
            <w:tcW w:w="2548" w:type="dxa"/>
            <w:tcBorders>
              <w:top w:val="nil"/>
            </w:tcBorders>
            <w:shd w:val="clear" w:color="auto" w:fill="FFFFFF" w:themeFill="background1"/>
          </w:tcPr>
          <w:p w14:paraId="16DAE330" w14:textId="77777777" w:rsidR="00DD3EFA" w:rsidRPr="00EC2A1C" w:rsidRDefault="00DD3EFA" w:rsidP="00391907">
            <w:pPr>
              <w:pStyle w:val="Odstavecseseznamem"/>
              <w:numPr>
                <w:ilvl w:val="0"/>
                <w:numId w:val="62"/>
              </w:numPr>
              <w:tabs>
                <w:tab w:val="left" w:pos="326"/>
              </w:tabs>
              <w:spacing w:before="60" w:after="60"/>
              <w:ind w:left="0" w:firstLine="0"/>
              <w:rPr>
                <w:rFonts w:eastAsiaTheme="majorEastAsia"/>
                <w:b/>
              </w:rPr>
            </w:pPr>
            <w:r w:rsidRPr="00EC2A1C">
              <w:rPr>
                <w:rFonts w:eastAsiaTheme="majorEastAsia"/>
                <w:b/>
              </w:rPr>
              <w:t>Státní rozpočet a další národní zdroje</w:t>
            </w:r>
          </w:p>
        </w:tc>
        <w:tc>
          <w:tcPr>
            <w:tcW w:w="5978" w:type="dxa"/>
            <w:tcBorders>
              <w:top w:val="nil"/>
            </w:tcBorders>
            <w:shd w:val="clear" w:color="auto" w:fill="FFFFFF" w:themeFill="background1"/>
          </w:tcPr>
          <w:p w14:paraId="664A582A" w14:textId="77777777" w:rsidR="00DD3EFA" w:rsidRPr="00EC2A1C" w:rsidRDefault="00DD3EFA" w:rsidP="00B15ECB">
            <w:r w:rsidRPr="00EC2A1C">
              <w:t>Financování z rozpočtu SFDI na základě každoročního rozpočtu.</w:t>
            </w:r>
          </w:p>
        </w:tc>
        <w:tc>
          <w:tcPr>
            <w:tcW w:w="249" w:type="dxa"/>
            <w:tcBorders>
              <w:top w:val="nil"/>
              <w:bottom w:val="nil"/>
            </w:tcBorders>
            <w:shd w:val="clear" w:color="auto" w:fill="66CCFF"/>
          </w:tcPr>
          <w:p w14:paraId="4D253825" w14:textId="77777777" w:rsidR="00DD3EFA" w:rsidRPr="00EC2A1C" w:rsidRDefault="00DD3EFA" w:rsidP="00B15ECB">
            <w:pPr>
              <w:rPr>
                <w:b/>
              </w:rPr>
            </w:pPr>
          </w:p>
        </w:tc>
      </w:tr>
      <w:tr w:rsidR="00DD3EFA" w:rsidRPr="00EC2A1C" w14:paraId="79C99FE4" w14:textId="77777777" w:rsidTr="00B15ECB">
        <w:trPr>
          <w:trHeight w:val="1968"/>
        </w:trPr>
        <w:tc>
          <w:tcPr>
            <w:tcW w:w="249" w:type="dxa"/>
            <w:tcBorders>
              <w:top w:val="nil"/>
              <w:bottom w:val="nil"/>
            </w:tcBorders>
            <w:shd w:val="clear" w:color="auto" w:fill="66CCFF"/>
          </w:tcPr>
          <w:p w14:paraId="02662D09" w14:textId="77777777" w:rsidR="00DD3EFA" w:rsidRPr="00EC2A1C" w:rsidRDefault="00DD3EFA" w:rsidP="00B15ECB">
            <w:pPr>
              <w:rPr>
                <w:b/>
              </w:rPr>
            </w:pPr>
          </w:p>
        </w:tc>
        <w:tc>
          <w:tcPr>
            <w:tcW w:w="2548" w:type="dxa"/>
            <w:tcBorders>
              <w:top w:val="nil"/>
            </w:tcBorders>
            <w:shd w:val="clear" w:color="auto" w:fill="FFFFFF" w:themeFill="background1"/>
          </w:tcPr>
          <w:p w14:paraId="24DA6E4A"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Další zdroje mimo veřejné rozpočty</w:t>
            </w:r>
          </w:p>
        </w:tc>
        <w:tc>
          <w:tcPr>
            <w:tcW w:w="5978" w:type="dxa"/>
            <w:tcBorders>
              <w:top w:val="nil"/>
            </w:tcBorders>
            <w:shd w:val="clear" w:color="auto" w:fill="FFFFFF" w:themeFill="background1"/>
          </w:tcPr>
          <w:p w14:paraId="6AC5D351" w14:textId="77777777" w:rsidR="00DD3EFA" w:rsidRPr="00EC2A1C" w:rsidRDefault="00DD3EFA" w:rsidP="00B15ECB">
            <w:r w:rsidRPr="00EC2A1C">
              <w:t>Soukromé zdroje v tomto případě neexistují, případné PPP projekty se soustředí na klíčovou dopravní infrastrukturu.</w:t>
            </w:r>
          </w:p>
        </w:tc>
        <w:tc>
          <w:tcPr>
            <w:tcW w:w="249" w:type="dxa"/>
            <w:tcBorders>
              <w:top w:val="nil"/>
              <w:bottom w:val="nil"/>
            </w:tcBorders>
            <w:shd w:val="clear" w:color="auto" w:fill="66CCFF"/>
          </w:tcPr>
          <w:p w14:paraId="4248B161" w14:textId="77777777" w:rsidR="00DD3EFA" w:rsidRPr="00EC2A1C" w:rsidRDefault="00DD3EFA" w:rsidP="00B15ECB">
            <w:pPr>
              <w:rPr>
                <w:b/>
              </w:rPr>
            </w:pPr>
          </w:p>
        </w:tc>
      </w:tr>
      <w:tr w:rsidR="00DD3EFA" w:rsidRPr="00EC2A1C" w14:paraId="6C4AD422" w14:textId="77777777" w:rsidTr="00B15ECB">
        <w:trPr>
          <w:trHeight w:val="1968"/>
        </w:trPr>
        <w:tc>
          <w:tcPr>
            <w:tcW w:w="249" w:type="dxa"/>
            <w:tcBorders>
              <w:top w:val="nil"/>
              <w:bottom w:val="nil"/>
            </w:tcBorders>
            <w:shd w:val="clear" w:color="auto" w:fill="66CCFF"/>
          </w:tcPr>
          <w:p w14:paraId="4707DCDF" w14:textId="77777777" w:rsidR="00DD3EFA" w:rsidRPr="00EC2A1C" w:rsidRDefault="00DD3EFA" w:rsidP="00B15ECB">
            <w:pPr>
              <w:rPr>
                <w:b/>
              </w:rPr>
            </w:pPr>
          </w:p>
        </w:tc>
        <w:tc>
          <w:tcPr>
            <w:tcW w:w="2548" w:type="dxa"/>
            <w:tcBorders>
              <w:top w:val="nil"/>
            </w:tcBorders>
            <w:shd w:val="clear" w:color="auto" w:fill="FFFFFF" w:themeFill="background1"/>
          </w:tcPr>
          <w:p w14:paraId="13B13859"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Možnost využití FN</w:t>
            </w:r>
          </w:p>
        </w:tc>
        <w:tc>
          <w:tcPr>
            <w:tcW w:w="5978" w:type="dxa"/>
            <w:tcBorders>
              <w:top w:val="nil"/>
            </w:tcBorders>
            <w:shd w:val="clear" w:color="auto" w:fill="FFFFFF" w:themeFill="background1"/>
          </w:tcPr>
          <w:p w14:paraId="10CB5FF0" w14:textId="77777777" w:rsidR="00DD3EFA" w:rsidRPr="00EC2A1C" w:rsidRDefault="00DD3EFA" w:rsidP="00B15ECB">
            <w:pPr>
              <w:spacing w:before="60" w:after="60"/>
              <w:rPr>
                <w:rFonts w:eastAsiaTheme="majorEastAsia"/>
              </w:rPr>
            </w:pPr>
            <w:r w:rsidRPr="00EC2A1C">
              <w:rPr>
                <w:rFonts w:eastAsiaTheme="majorEastAsia"/>
              </w:rPr>
              <w:t>V této oblasti není vhodné financování za použití FN, jedná se o aktivity veřejného sektoru s neziskovým charakterem a s dlouhodobou „návratností“ investic.</w:t>
            </w:r>
          </w:p>
        </w:tc>
        <w:tc>
          <w:tcPr>
            <w:tcW w:w="249" w:type="dxa"/>
            <w:tcBorders>
              <w:top w:val="nil"/>
              <w:bottom w:val="nil"/>
            </w:tcBorders>
            <w:shd w:val="clear" w:color="auto" w:fill="66CCFF"/>
          </w:tcPr>
          <w:p w14:paraId="652C371A" w14:textId="77777777" w:rsidR="00DD3EFA" w:rsidRPr="00EC2A1C" w:rsidRDefault="00DD3EFA" w:rsidP="00B15ECB">
            <w:pPr>
              <w:rPr>
                <w:b/>
              </w:rPr>
            </w:pPr>
          </w:p>
        </w:tc>
      </w:tr>
      <w:tr w:rsidR="00DD3EFA" w:rsidRPr="00EC2A1C" w14:paraId="3B128183" w14:textId="77777777" w:rsidTr="00B15ECB">
        <w:trPr>
          <w:trHeight w:val="150"/>
        </w:trPr>
        <w:tc>
          <w:tcPr>
            <w:tcW w:w="249" w:type="dxa"/>
            <w:tcBorders>
              <w:top w:val="nil"/>
              <w:right w:val="nil"/>
            </w:tcBorders>
            <w:shd w:val="clear" w:color="auto" w:fill="66CCFF"/>
          </w:tcPr>
          <w:p w14:paraId="0DB90794" w14:textId="77777777" w:rsidR="00DD3EFA" w:rsidRPr="00EC2A1C" w:rsidRDefault="00DD3EFA" w:rsidP="00B15ECB">
            <w:pPr>
              <w:rPr>
                <w:b/>
              </w:rPr>
            </w:pPr>
          </w:p>
        </w:tc>
        <w:tc>
          <w:tcPr>
            <w:tcW w:w="2548" w:type="dxa"/>
            <w:tcBorders>
              <w:left w:val="nil"/>
              <w:right w:val="nil"/>
            </w:tcBorders>
            <w:shd w:val="clear" w:color="auto" w:fill="66CCFF"/>
          </w:tcPr>
          <w:p w14:paraId="0E64698C" w14:textId="77777777" w:rsidR="00DD3EFA" w:rsidRPr="00EC2A1C" w:rsidRDefault="00DD3EFA" w:rsidP="00B15ECB">
            <w:pPr>
              <w:rPr>
                <w:b/>
              </w:rPr>
            </w:pPr>
          </w:p>
        </w:tc>
        <w:tc>
          <w:tcPr>
            <w:tcW w:w="5978" w:type="dxa"/>
            <w:tcBorders>
              <w:left w:val="nil"/>
              <w:right w:val="nil"/>
            </w:tcBorders>
            <w:shd w:val="clear" w:color="auto" w:fill="66CCFF"/>
          </w:tcPr>
          <w:p w14:paraId="3D31DCDA" w14:textId="77777777" w:rsidR="00DD3EFA" w:rsidRPr="00EC2A1C" w:rsidRDefault="00DD3EFA" w:rsidP="00B15ECB">
            <w:pPr>
              <w:rPr>
                <w:b/>
              </w:rPr>
            </w:pPr>
          </w:p>
        </w:tc>
        <w:tc>
          <w:tcPr>
            <w:tcW w:w="249" w:type="dxa"/>
            <w:tcBorders>
              <w:top w:val="nil"/>
              <w:left w:val="nil"/>
            </w:tcBorders>
            <w:shd w:val="clear" w:color="auto" w:fill="66CCFF"/>
          </w:tcPr>
          <w:p w14:paraId="3CF26B7D" w14:textId="77777777" w:rsidR="00DD3EFA" w:rsidRPr="00EC2A1C" w:rsidRDefault="00DD3EFA" w:rsidP="00B15ECB">
            <w:pPr>
              <w:rPr>
                <w:b/>
              </w:rPr>
            </w:pPr>
          </w:p>
        </w:tc>
      </w:tr>
    </w:tbl>
    <w:p w14:paraId="4FFF5608" w14:textId="77777777" w:rsidR="00DD3EFA" w:rsidRPr="00EC2A1C" w:rsidRDefault="00DD3EFA">
      <w:pPr>
        <w:rPr>
          <w:rFonts w:ascii="Times New Roman" w:hAnsi="Times New Roman" w:cs="Times New Roman"/>
          <w:sz w:val="20"/>
          <w:szCs w:val="20"/>
        </w:rPr>
      </w:pPr>
    </w:p>
    <w:p w14:paraId="119449C6" w14:textId="77777777" w:rsidR="00DD3EFA" w:rsidRPr="00EC2A1C" w:rsidRDefault="00DD3EFA">
      <w:pPr>
        <w:rPr>
          <w:rFonts w:ascii="Times New Roman" w:hAnsi="Times New Roman" w:cs="Times New Roman"/>
          <w:sz w:val="20"/>
          <w:szCs w:val="20"/>
        </w:rPr>
      </w:pPr>
      <w:r w:rsidRPr="00EC2A1C">
        <w:rPr>
          <w:rFonts w:ascii="Times New Roman" w:hAnsi="Times New Roman" w:cs="Times New Roman"/>
          <w:sz w:val="20"/>
          <w:szCs w:val="20"/>
        </w:rPr>
        <w:br w:type="page"/>
      </w:r>
    </w:p>
    <w:p w14:paraId="00DEF4BE" w14:textId="77777777" w:rsidR="00D762E9" w:rsidRPr="00C107A7" w:rsidRDefault="00D762E9" w:rsidP="00391907">
      <w:pPr>
        <w:pStyle w:val="Nadpis1"/>
        <w:numPr>
          <w:ilvl w:val="0"/>
          <w:numId w:val="1"/>
        </w:numPr>
        <w:rPr>
          <w:rFonts w:ascii="Times New Roman" w:hAnsi="Times New Roman" w:cs="Times New Roman"/>
        </w:rPr>
      </w:pPr>
      <w:bookmarkStart w:id="30" w:name="_Toc9511887"/>
      <w:r w:rsidRPr="00C107A7">
        <w:rPr>
          <w:rFonts w:ascii="Times New Roman" w:hAnsi="Times New Roman" w:cs="Times New Roman"/>
        </w:rPr>
        <w:t>Posun k nízkouhlíkovému hospodářství</w:t>
      </w:r>
      <w:bookmarkEnd w:id="30"/>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418BC086" w14:textId="77777777" w:rsidTr="00B15ECB">
        <w:trPr>
          <w:trHeight w:val="180"/>
        </w:trPr>
        <w:tc>
          <w:tcPr>
            <w:tcW w:w="249" w:type="dxa"/>
            <w:tcBorders>
              <w:bottom w:val="nil"/>
              <w:right w:val="nil"/>
            </w:tcBorders>
            <w:shd w:val="clear" w:color="auto" w:fill="66CCFF"/>
          </w:tcPr>
          <w:p w14:paraId="045FDF44" w14:textId="77777777" w:rsidR="00DD3EFA" w:rsidRPr="00EC2A1C" w:rsidRDefault="00DD3EFA" w:rsidP="00B15ECB">
            <w:pPr>
              <w:rPr>
                <w:b/>
              </w:rPr>
            </w:pPr>
          </w:p>
        </w:tc>
        <w:tc>
          <w:tcPr>
            <w:tcW w:w="2548" w:type="dxa"/>
            <w:tcBorders>
              <w:left w:val="nil"/>
              <w:right w:val="nil"/>
            </w:tcBorders>
            <w:shd w:val="clear" w:color="auto" w:fill="66CCFF"/>
          </w:tcPr>
          <w:p w14:paraId="6D04D6B2" w14:textId="77777777" w:rsidR="00DD3EFA" w:rsidRPr="00EC2A1C" w:rsidRDefault="00DD3EFA" w:rsidP="00B15ECB">
            <w:pPr>
              <w:rPr>
                <w:b/>
              </w:rPr>
            </w:pPr>
          </w:p>
        </w:tc>
        <w:tc>
          <w:tcPr>
            <w:tcW w:w="5978" w:type="dxa"/>
            <w:tcBorders>
              <w:left w:val="nil"/>
              <w:right w:val="nil"/>
            </w:tcBorders>
            <w:shd w:val="clear" w:color="auto" w:fill="66CCFF"/>
          </w:tcPr>
          <w:p w14:paraId="6DAD4954" w14:textId="77777777" w:rsidR="00DD3EFA" w:rsidRPr="00EC2A1C" w:rsidRDefault="00DD3EFA" w:rsidP="00B15ECB">
            <w:pPr>
              <w:rPr>
                <w:b/>
              </w:rPr>
            </w:pPr>
          </w:p>
        </w:tc>
        <w:tc>
          <w:tcPr>
            <w:tcW w:w="249" w:type="dxa"/>
            <w:tcBorders>
              <w:left w:val="nil"/>
              <w:bottom w:val="nil"/>
            </w:tcBorders>
            <w:shd w:val="clear" w:color="auto" w:fill="66CCFF"/>
          </w:tcPr>
          <w:p w14:paraId="2BE3143A" w14:textId="77777777" w:rsidR="00DD3EFA" w:rsidRPr="00EC2A1C" w:rsidRDefault="00DD3EFA" w:rsidP="00B15ECB">
            <w:pPr>
              <w:rPr>
                <w:b/>
              </w:rPr>
            </w:pPr>
          </w:p>
        </w:tc>
      </w:tr>
      <w:tr w:rsidR="00DD3EFA" w:rsidRPr="00EC2A1C" w14:paraId="7737925F" w14:textId="77777777" w:rsidTr="00B15ECB">
        <w:trPr>
          <w:trHeight w:val="561"/>
        </w:trPr>
        <w:tc>
          <w:tcPr>
            <w:tcW w:w="249" w:type="dxa"/>
            <w:tcBorders>
              <w:top w:val="nil"/>
              <w:bottom w:val="nil"/>
            </w:tcBorders>
            <w:shd w:val="clear" w:color="auto" w:fill="66CCFF"/>
          </w:tcPr>
          <w:p w14:paraId="2965AB26" w14:textId="77777777" w:rsidR="00DD3EFA" w:rsidRPr="00EC2A1C" w:rsidRDefault="00DD3EFA" w:rsidP="00B15ECB">
            <w:pPr>
              <w:rPr>
                <w:b/>
              </w:rPr>
            </w:pPr>
          </w:p>
        </w:tc>
        <w:tc>
          <w:tcPr>
            <w:tcW w:w="2548" w:type="dxa"/>
            <w:shd w:val="clear" w:color="auto" w:fill="0070C0"/>
          </w:tcPr>
          <w:p w14:paraId="3C639BCF"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Strategický cíl NKR:</w:t>
            </w:r>
          </w:p>
          <w:p w14:paraId="545D2738" w14:textId="77777777" w:rsidR="00DD3EFA" w:rsidRPr="00EC2A1C" w:rsidRDefault="00DD3EFA" w:rsidP="00B15ECB">
            <w:pPr>
              <w:spacing w:before="60" w:after="60"/>
              <w:rPr>
                <w:rFonts w:eastAsiaTheme="majorEastAsia"/>
                <w:b/>
                <w:color w:val="FFFFFF" w:themeColor="background1"/>
              </w:rPr>
            </w:pPr>
            <w:r w:rsidRPr="00EC2A1C">
              <w:t>Zlepšení kvality životního prostředí, zavedení nízkouhlíkové ekonomiky a adaptace na změnu klimatu</w:t>
            </w:r>
          </w:p>
        </w:tc>
        <w:tc>
          <w:tcPr>
            <w:tcW w:w="5978" w:type="dxa"/>
            <w:shd w:val="clear" w:color="auto" w:fill="0070C0"/>
          </w:tcPr>
          <w:p w14:paraId="14B67314"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46"/>
            </w:r>
            <w:r w:rsidRPr="00EC2A1C">
              <w:rPr>
                <w:rFonts w:eastAsiaTheme="majorEastAsia"/>
                <w:b/>
                <w:color w:val="FFFFFF" w:themeColor="background1"/>
                <w:u w:val="single"/>
              </w:rPr>
              <w:t xml:space="preserve">: </w:t>
            </w:r>
          </w:p>
          <w:p w14:paraId="06146F59" w14:textId="77777777" w:rsidR="00DD3EFA" w:rsidRPr="00EC2A1C" w:rsidRDefault="00DD3EFA" w:rsidP="00B15ECB">
            <w:pPr>
              <w:spacing w:after="60"/>
            </w:pPr>
            <w:r w:rsidRPr="00EC2A1C">
              <w:t>Modernizace a zefektivnění výroby, přenosu, přepravy, distribuce a akumulace energie</w:t>
            </w:r>
          </w:p>
          <w:p w14:paraId="59005C48" w14:textId="77777777" w:rsidR="00DD3EFA" w:rsidRPr="00EC2A1C" w:rsidRDefault="00DD3EFA" w:rsidP="00B15ECB">
            <w:pPr>
              <w:spacing w:before="60" w:after="60"/>
              <w:rPr>
                <w:rFonts w:eastAsiaTheme="majorEastAsia"/>
                <w:b/>
                <w:color w:val="FFFFFF" w:themeColor="background1"/>
                <w:u w:val="single"/>
              </w:rPr>
            </w:pPr>
          </w:p>
          <w:p w14:paraId="7DE123C6" w14:textId="77777777" w:rsidR="00DD3EFA" w:rsidRPr="00EC2A1C" w:rsidRDefault="00DD3EFA" w:rsidP="00B15ECB">
            <w:pPr>
              <w:spacing w:before="60" w:after="60"/>
              <w:rPr>
                <w:rFonts w:eastAsiaTheme="majorEastAsia"/>
                <w:b/>
                <w:color w:val="FFFFFF" w:themeColor="background1"/>
                <w:u w:val="single"/>
              </w:rPr>
            </w:pPr>
          </w:p>
        </w:tc>
        <w:tc>
          <w:tcPr>
            <w:tcW w:w="249" w:type="dxa"/>
            <w:tcBorders>
              <w:top w:val="nil"/>
              <w:bottom w:val="nil"/>
            </w:tcBorders>
            <w:shd w:val="clear" w:color="auto" w:fill="66CCFF"/>
          </w:tcPr>
          <w:p w14:paraId="4126592B" w14:textId="77777777" w:rsidR="00DD3EFA" w:rsidRPr="00EC2A1C" w:rsidRDefault="00DD3EFA" w:rsidP="00B15ECB">
            <w:pPr>
              <w:rPr>
                <w:b/>
              </w:rPr>
            </w:pPr>
          </w:p>
        </w:tc>
      </w:tr>
      <w:tr w:rsidR="00DD3EFA" w:rsidRPr="00EC2A1C" w14:paraId="7765A850" w14:textId="77777777" w:rsidTr="00B15ECB">
        <w:trPr>
          <w:trHeight w:val="180"/>
        </w:trPr>
        <w:tc>
          <w:tcPr>
            <w:tcW w:w="249" w:type="dxa"/>
            <w:tcBorders>
              <w:top w:val="nil"/>
              <w:bottom w:val="nil"/>
              <w:right w:val="nil"/>
            </w:tcBorders>
            <w:shd w:val="clear" w:color="auto" w:fill="66CCFF"/>
          </w:tcPr>
          <w:p w14:paraId="29F738DB" w14:textId="77777777" w:rsidR="00DD3EFA" w:rsidRPr="00EC2A1C" w:rsidRDefault="00DD3EFA" w:rsidP="00B15ECB">
            <w:pPr>
              <w:rPr>
                <w:b/>
              </w:rPr>
            </w:pPr>
          </w:p>
        </w:tc>
        <w:tc>
          <w:tcPr>
            <w:tcW w:w="2548" w:type="dxa"/>
            <w:tcBorders>
              <w:left w:val="nil"/>
              <w:right w:val="nil"/>
            </w:tcBorders>
            <w:shd w:val="clear" w:color="auto" w:fill="66CCFF"/>
          </w:tcPr>
          <w:p w14:paraId="0C4CE43B" w14:textId="77777777" w:rsidR="00DD3EFA" w:rsidRPr="00EC2A1C" w:rsidRDefault="00DD3EFA" w:rsidP="00B15ECB">
            <w:pPr>
              <w:rPr>
                <w:b/>
              </w:rPr>
            </w:pPr>
          </w:p>
        </w:tc>
        <w:tc>
          <w:tcPr>
            <w:tcW w:w="5978" w:type="dxa"/>
            <w:tcBorders>
              <w:left w:val="nil"/>
              <w:right w:val="nil"/>
            </w:tcBorders>
            <w:shd w:val="clear" w:color="auto" w:fill="66CCFF"/>
          </w:tcPr>
          <w:p w14:paraId="7CDC6786" w14:textId="77777777" w:rsidR="00DD3EFA" w:rsidRPr="00EC2A1C" w:rsidRDefault="00DD3EFA" w:rsidP="00B15ECB">
            <w:pPr>
              <w:rPr>
                <w:b/>
              </w:rPr>
            </w:pPr>
          </w:p>
        </w:tc>
        <w:tc>
          <w:tcPr>
            <w:tcW w:w="249" w:type="dxa"/>
            <w:tcBorders>
              <w:top w:val="nil"/>
              <w:left w:val="nil"/>
              <w:bottom w:val="nil"/>
            </w:tcBorders>
            <w:shd w:val="clear" w:color="auto" w:fill="66CCFF"/>
          </w:tcPr>
          <w:p w14:paraId="2E7C7372" w14:textId="77777777" w:rsidR="00DD3EFA" w:rsidRPr="00EC2A1C" w:rsidRDefault="00DD3EFA" w:rsidP="00B15ECB">
            <w:pPr>
              <w:rPr>
                <w:b/>
              </w:rPr>
            </w:pPr>
          </w:p>
        </w:tc>
      </w:tr>
      <w:tr w:rsidR="00DD3EFA" w:rsidRPr="00EC2A1C" w14:paraId="31BDBB96" w14:textId="77777777" w:rsidTr="00B15ECB">
        <w:trPr>
          <w:trHeight w:val="892"/>
        </w:trPr>
        <w:tc>
          <w:tcPr>
            <w:tcW w:w="249" w:type="dxa"/>
            <w:tcBorders>
              <w:top w:val="nil"/>
              <w:bottom w:val="nil"/>
            </w:tcBorders>
            <w:shd w:val="clear" w:color="auto" w:fill="66CCFF"/>
          </w:tcPr>
          <w:p w14:paraId="11F70558" w14:textId="77777777" w:rsidR="00DD3EFA" w:rsidRPr="00EC2A1C" w:rsidRDefault="00DD3EFA" w:rsidP="00B15ECB">
            <w:pPr>
              <w:rPr>
                <w:b/>
              </w:rPr>
            </w:pPr>
          </w:p>
        </w:tc>
        <w:tc>
          <w:tcPr>
            <w:tcW w:w="2548" w:type="dxa"/>
            <w:shd w:val="clear" w:color="auto" w:fill="FFFFFF" w:themeFill="background1"/>
          </w:tcPr>
          <w:p w14:paraId="4C94B33F"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shd w:val="clear" w:color="auto" w:fill="FFFFFF" w:themeFill="background1"/>
          </w:tcPr>
          <w:p w14:paraId="7FAD4D27" w14:textId="77777777" w:rsidR="00DD3EFA" w:rsidRPr="00EC2A1C" w:rsidRDefault="00DD3EFA" w:rsidP="00B15ECB">
            <w:pPr>
              <w:spacing w:before="60" w:after="60"/>
              <w:rPr>
                <w:rFonts w:eastAsiaTheme="majorEastAsia"/>
                <w:i/>
                <w:u w:val="single"/>
              </w:rPr>
            </w:pPr>
          </w:p>
          <w:p w14:paraId="3675C622" w14:textId="77777777" w:rsidR="00DD3EFA" w:rsidRPr="00EC2A1C" w:rsidRDefault="00DD3EFA" w:rsidP="00B15ECB">
            <w:pPr>
              <w:pStyle w:val="Default"/>
              <w:spacing w:after="240"/>
              <w:jc w:val="both"/>
              <w:rPr>
                <w:rFonts w:ascii="Times New Roman" w:hAnsi="Times New Roman" w:cs="Times New Roman"/>
                <w:color w:val="auto"/>
                <w:sz w:val="20"/>
                <w:szCs w:val="20"/>
              </w:rPr>
            </w:pPr>
            <w:r w:rsidRPr="00EC2A1C">
              <w:rPr>
                <w:rFonts w:ascii="Times New Roman" w:eastAsia="Calibri" w:hAnsi="Times New Roman" w:cs="Times New Roman"/>
                <w:color w:val="auto"/>
                <w:sz w:val="20"/>
                <w:szCs w:val="20"/>
              </w:rPr>
              <w:t>Údržba, modernizace a obnova síťové infrastruktury v souladu s nákladově efektivní implementací inteligentních prvků představují předpoklad funkčního energetického sektoru 21. století. V rámci cíle budou podporovány tyto aktivity:</w:t>
            </w:r>
          </w:p>
          <w:p w14:paraId="5F3ECEA8" w14:textId="77777777" w:rsidR="00DD3EFA" w:rsidRPr="00EC2A1C" w:rsidRDefault="00DD3EFA" w:rsidP="00391907">
            <w:pPr>
              <w:pStyle w:val="Odstavecseseznamem"/>
              <w:numPr>
                <w:ilvl w:val="0"/>
                <w:numId w:val="96"/>
              </w:numPr>
              <w:jc w:val="both"/>
              <w:rPr>
                <w:rFonts w:eastAsia="Calibri"/>
              </w:rPr>
            </w:pPr>
            <w:r w:rsidRPr="00EC2A1C">
              <w:rPr>
                <w:rFonts w:eastAsia="Calibri"/>
              </w:rPr>
              <w:t xml:space="preserve">instalace inteligentních prvků v energetických sítích za účelem rozvoje/vzniku smart grids (smart meters – měření, regulace, spínací prvky, trafostanice, </w:t>
            </w:r>
            <w:r w:rsidRPr="00EC2A1C">
              <w:t>n</w:t>
            </w:r>
            <w:r w:rsidRPr="00EC2A1C">
              <w:rPr>
                <w:rFonts w:eastAsia="Calibri"/>
              </w:rPr>
              <w:t>asazení automatizovaných dálkově ovládaných prvků v distribučních soustavách, nasazení technologických prvků řízení napětí a výběrové osazení měření kvality elektrické energie v distribučních soustavách,</w:t>
            </w:r>
            <w:r w:rsidRPr="00EC2A1C">
              <w:t xml:space="preserve"> </w:t>
            </w:r>
            <w:r w:rsidRPr="00EC2A1C">
              <w:rPr>
                <w:rFonts w:eastAsia="Calibri"/>
              </w:rPr>
              <w:t>řešení lokální bilance řízením toků výkonu mezi odběrateli a provozovatelem distribuční sítě,</w:t>
            </w:r>
            <w:r w:rsidRPr="00EC2A1C">
              <w:t xml:space="preserve"> </w:t>
            </w:r>
            <w:r w:rsidRPr="00EC2A1C">
              <w:rPr>
                <w:rFonts w:eastAsia="Calibri"/>
              </w:rPr>
              <w:t>komplexní opatření ke zlepšení spolehlivosti, informovanosti a zavádění bilance a optimalizace provozu v lokálních distribučních soustavách, atd.)</w:t>
            </w:r>
          </w:p>
          <w:p w14:paraId="078AE7BD" w14:textId="77777777" w:rsidR="00DD3EFA" w:rsidRPr="00EC2A1C" w:rsidRDefault="00DD3EFA" w:rsidP="00391907">
            <w:pPr>
              <w:pStyle w:val="Odstavecseseznamem"/>
              <w:numPr>
                <w:ilvl w:val="0"/>
                <w:numId w:val="96"/>
              </w:numPr>
              <w:jc w:val="both"/>
              <w:rPr>
                <w:rFonts w:eastAsia="Calibri"/>
              </w:rPr>
            </w:pPr>
            <w:r w:rsidRPr="00EC2A1C">
              <w:rPr>
                <w:rFonts w:eastAsia="Calibri"/>
              </w:rPr>
              <w:t>údržba, obnova a modernizace výrobního mixu, a to zejména s ohledem na adaptaci na nové technologie a další technologický rozvoj jak na straně zdrojů, tak i spotřeby</w:t>
            </w:r>
          </w:p>
          <w:p w14:paraId="76E8F5EE"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výstavba, posílení, rekonstrukce a modernizace vedení přenosové soustavy a transformoven a související infrastruktury, mj. i na hranicích mezi členskými státy (přetoky energie)</w:t>
            </w:r>
          </w:p>
          <w:p w14:paraId="622F951C"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modernizace distribučních soustav a související infrastruktury, vč. přenosu a zpracování zvýšeného objemu dat – např. při zavedení patnáctiminutového intervalu vyhodnocování odchylek</w:t>
            </w:r>
          </w:p>
          <w:p w14:paraId="56783181"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 xml:space="preserve">zahrnutí prvků akumulace energie do přenosových, přepravních a distribučních soustav, vč. integrace akumulace domácností, podniků a jimi chytře (=smart) k síti připojených elektromobilů do energetického systému </w:t>
            </w:r>
          </w:p>
          <w:p w14:paraId="5C101600" w14:textId="77777777" w:rsidR="00DD3EFA" w:rsidRPr="00EC2A1C" w:rsidRDefault="00DD3EFA" w:rsidP="00391907">
            <w:pPr>
              <w:pStyle w:val="Odstavecseseznamem"/>
              <w:numPr>
                <w:ilvl w:val="0"/>
                <w:numId w:val="96"/>
              </w:numPr>
              <w:spacing w:before="40" w:after="80" w:line="276" w:lineRule="auto"/>
              <w:rPr>
                <w:rFonts w:eastAsia="Calibri"/>
              </w:rPr>
            </w:pPr>
            <w:r w:rsidRPr="00EC2A1C">
              <w:rPr>
                <w:rFonts w:eastAsia="Calibri"/>
              </w:rPr>
              <w:t>propojení plynárenské a elektrárenské soustavy zejména za účelem vyrovnávání poptávky a nabídky po elektrické energii a uskladňování energie v čase využívající potenciál plynárenské soustavy</w:t>
            </w:r>
          </w:p>
          <w:p w14:paraId="7028ECAB"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dosažení nákladově efektivního zvýšení energetické účinnosti síťové infrastruktury</w:t>
            </w:r>
          </w:p>
          <w:p w14:paraId="6D0C40D3"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výstavba, posílení, rekonstrukce a modernizace přepravní soustavy a kompresních stanic a související infrastruktury</w:t>
            </w:r>
          </w:p>
          <w:p w14:paraId="0A1FBD4A" w14:textId="77777777" w:rsidR="00DD3EFA" w:rsidRPr="00EC2A1C" w:rsidRDefault="00DD3EFA" w:rsidP="00391907">
            <w:pPr>
              <w:pStyle w:val="Odstavecseseznamem"/>
              <w:numPr>
                <w:ilvl w:val="0"/>
                <w:numId w:val="96"/>
              </w:numPr>
              <w:spacing w:before="40" w:after="80" w:line="276" w:lineRule="auto"/>
              <w:jc w:val="both"/>
              <w:rPr>
                <w:rFonts w:eastAsiaTheme="majorEastAsia"/>
              </w:rPr>
            </w:pPr>
            <w:r w:rsidRPr="00EC2A1C">
              <w:rPr>
                <w:rFonts w:eastAsiaTheme="majorEastAsia"/>
              </w:rPr>
              <w:t>zavádění tzv. izolovaných mikrosoustav (městské a komunitní sítě, ostrovní systémy dodávek energií v budovách),</w:t>
            </w:r>
          </w:p>
          <w:p w14:paraId="7EAD833D" w14:textId="77777777" w:rsidR="00DD3EFA" w:rsidRPr="00EC2A1C" w:rsidRDefault="00DD3EFA" w:rsidP="00391907">
            <w:pPr>
              <w:pStyle w:val="Odstavecseseznamem"/>
              <w:numPr>
                <w:ilvl w:val="0"/>
                <w:numId w:val="96"/>
              </w:numPr>
              <w:spacing w:before="40" w:after="80" w:line="276" w:lineRule="auto"/>
              <w:jc w:val="both"/>
              <w:rPr>
                <w:u w:val="single"/>
              </w:rPr>
            </w:pPr>
            <w:r w:rsidRPr="00EC2A1C">
              <w:rPr>
                <w:rFonts w:eastAsiaTheme="majorEastAsia"/>
              </w:rPr>
              <w:t>zavádění systémů řízení spotřeby energií,</w:t>
            </w:r>
          </w:p>
          <w:p w14:paraId="6190C6AD" w14:textId="77777777" w:rsidR="00DD3EFA" w:rsidRPr="00EC2A1C" w:rsidRDefault="00DD3EFA" w:rsidP="00391907">
            <w:pPr>
              <w:pStyle w:val="Odstavecseseznamem"/>
              <w:numPr>
                <w:ilvl w:val="0"/>
                <w:numId w:val="96"/>
              </w:numPr>
              <w:spacing w:before="40" w:after="80" w:line="276" w:lineRule="auto"/>
              <w:rPr>
                <w:rFonts w:eastAsia="Calibri"/>
              </w:rPr>
            </w:pPr>
            <w:r w:rsidRPr="00EC2A1C">
              <w:rPr>
                <w:rFonts w:eastAsia="Calibri"/>
              </w:rPr>
              <w:t>modernizace a příprava plynárenských distribučních soustav zejména na:</w:t>
            </w:r>
          </w:p>
          <w:p w14:paraId="0A22BD15" w14:textId="77777777" w:rsidR="00DD3EFA" w:rsidRPr="00EC2A1C" w:rsidRDefault="00DD3EFA" w:rsidP="00391907">
            <w:pPr>
              <w:pStyle w:val="Odstavecseseznamem"/>
              <w:numPr>
                <w:ilvl w:val="0"/>
                <w:numId w:val="101"/>
              </w:numPr>
              <w:spacing w:before="40" w:after="80" w:line="276" w:lineRule="auto"/>
              <w:ind w:left="781"/>
              <w:jc w:val="both"/>
              <w:rPr>
                <w:rFonts w:eastAsia="Calibri"/>
              </w:rPr>
            </w:pPr>
            <w:r w:rsidRPr="00EC2A1C">
              <w:rPr>
                <w:rFonts w:eastAsia="Calibri"/>
              </w:rPr>
              <w:t>výstavbu, posílení, rekonstrukce a modernizace plynárenské infrastruktury vyvolanou odklonem zdrojů CZT od spalování pevných fosilních paliv (Plán řízeného odklonu tepláren od uhlí), vytvoření potřebných kapacit na případné nahrazování uhlí zemním plynem u velkých odběratelů (zejména tepláren).</w:t>
            </w:r>
          </w:p>
          <w:p w14:paraId="71BC871F" w14:textId="77777777" w:rsidR="00DD3EFA" w:rsidRPr="00EC2A1C" w:rsidRDefault="00DD3EFA" w:rsidP="00391907">
            <w:pPr>
              <w:pStyle w:val="Odstavecseseznamem"/>
              <w:numPr>
                <w:ilvl w:val="0"/>
                <w:numId w:val="101"/>
              </w:numPr>
              <w:spacing w:before="40" w:after="80" w:line="276" w:lineRule="auto"/>
              <w:ind w:left="781"/>
              <w:jc w:val="both"/>
              <w:rPr>
                <w:rFonts w:eastAsia="Calibri"/>
              </w:rPr>
            </w:pPr>
            <w:r w:rsidRPr="00EC2A1C">
              <w:rPr>
                <w:rFonts w:eastAsia="Calibri"/>
              </w:rPr>
              <w:t>připojení výroben biometanu ze stávajících bioplynových stanic nebo nových biometanových stanic, technologie pro měření kvality biometanu a její řízení (včetně karburace biometanu) na vlastnosti ZP a přenos dat.</w:t>
            </w:r>
          </w:p>
          <w:p w14:paraId="6898AED0" w14:textId="77777777" w:rsidR="00DD3EFA" w:rsidRPr="00EC2A1C" w:rsidRDefault="00DD3EFA" w:rsidP="00391907">
            <w:pPr>
              <w:pStyle w:val="Odstavecseseznamem"/>
              <w:numPr>
                <w:ilvl w:val="0"/>
                <w:numId w:val="101"/>
              </w:numPr>
              <w:spacing w:before="40" w:after="80" w:line="276" w:lineRule="auto"/>
              <w:ind w:left="781"/>
              <w:jc w:val="both"/>
              <w:rPr>
                <w:rFonts w:eastAsia="Calibri"/>
              </w:rPr>
            </w:pPr>
            <w:r w:rsidRPr="00EC2A1C">
              <w:t>vyšší podíl nových druhů plynu v distribuční soustavě a sbližování elektroenergetického a plynárenského odvětví (tzv. sector coupling)</w:t>
            </w:r>
          </w:p>
        </w:tc>
        <w:tc>
          <w:tcPr>
            <w:tcW w:w="249" w:type="dxa"/>
            <w:tcBorders>
              <w:top w:val="nil"/>
              <w:bottom w:val="nil"/>
            </w:tcBorders>
            <w:shd w:val="clear" w:color="auto" w:fill="66CCFF"/>
          </w:tcPr>
          <w:p w14:paraId="447759D3" w14:textId="77777777" w:rsidR="00DD3EFA" w:rsidRPr="00EC2A1C" w:rsidRDefault="00DD3EFA" w:rsidP="00B15ECB">
            <w:pPr>
              <w:rPr>
                <w:b/>
              </w:rPr>
            </w:pPr>
          </w:p>
        </w:tc>
      </w:tr>
      <w:tr w:rsidR="00DD3EFA" w:rsidRPr="00EC2A1C" w14:paraId="5F274403" w14:textId="77777777" w:rsidTr="00B15ECB">
        <w:trPr>
          <w:trHeight w:val="46"/>
        </w:trPr>
        <w:tc>
          <w:tcPr>
            <w:tcW w:w="249" w:type="dxa"/>
            <w:tcBorders>
              <w:top w:val="nil"/>
              <w:bottom w:val="nil"/>
              <w:right w:val="nil"/>
            </w:tcBorders>
            <w:shd w:val="clear" w:color="auto" w:fill="66CCFF"/>
          </w:tcPr>
          <w:p w14:paraId="56D22B5A"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57D60EEF"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4A07CE9A" w14:textId="77777777" w:rsidR="00DD3EFA" w:rsidRPr="00EC2A1C" w:rsidRDefault="00DD3EFA" w:rsidP="00B15ECB">
            <w:pPr>
              <w:rPr>
                <w:b/>
              </w:rPr>
            </w:pPr>
          </w:p>
        </w:tc>
        <w:tc>
          <w:tcPr>
            <w:tcW w:w="249" w:type="dxa"/>
            <w:tcBorders>
              <w:top w:val="nil"/>
              <w:left w:val="nil"/>
              <w:bottom w:val="nil"/>
            </w:tcBorders>
            <w:shd w:val="clear" w:color="auto" w:fill="66CCFF"/>
          </w:tcPr>
          <w:p w14:paraId="288DB360" w14:textId="77777777" w:rsidR="00DD3EFA" w:rsidRPr="00EC2A1C" w:rsidRDefault="00DD3EFA" w:rsidP="00B15ECB">
            <w:pPr>
              <w:rPr>
                <w:b/>
              </w:rPr>
            </w:pPr>
          </w:p>
        </w:tc>
      </w:tr>
      <w:tr w:rsidR="00DD3EFA" w:rsidRPr="00EC2A1C" w14:paraId="18855C3E" w14:textId="77777777" w:rsidTr="00B15ECB">
        <w:trPr>
          <w:trHeight w:val="1274"/>
        </w:trPr>
        <w:tc>
          <w:tcPr>
            <w:tcW w:w="249" w:type="dxa"/>
            <w:tcBorders>
              <w:top w:val="nil"/>
              <w:bottom w:val="nil"/>
            </w:tcBorders>
            <w:shd w:val="clear" w:color="auto" w:fill="66CCFF"/>
          </w:tcPr>
          <w:p w14:paraId="006914A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A497A1E"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4FDEC6FC" w14:textId="77777777" w:rsidR="00DD3EFA" w:rsidRPr="00EC2A1C" w:rsidRDefault="00DD3EFA" w:rsidP="00B15ECB">
            <w:pPr>
              <w:rPr>
                <w:rFonts w:eastAsiaTheme="majorEastAsia"/>
              </w:rPr>
            </w:pPr>
          </w:p>
          <w:p w14:paraId="3084A3F7" w14:textId="77777777" w:rsidR="00DD3EFA" w:rsidRPr="00EC2A1C" w:rsidRDefault="00DD3EFA" w:rsidP="00B15ECB">
            <w:pPr>
              <w:rPr>
                <w:rFonts w:eastAsia="Calibri"/>
              </w:rPr>
            </w:pPr>
            <w:r w:rsidRPr="00EC2A1C">
              <w:rPr>
                <w:rFonts w:eastAsiaTheme="majorEastAsia"/>
              </w:rPr>
              <w:t xml:space="preserve">Významná část výrobních zdrojů a elektroenergetické soustavy je 35 či více let stará a vyžaduje </w:t>
            </w:r>
            <w:r w:rsidRPr="00EC2A1C">
              <w:rPr>
                <w:rFonts w:eastAsia="Calibri"/>
              </w:rPr>
              <w:t>odpovídající investice do údržby, obnovy a modernizace. Dále je nutné tuto výrobní základnu adaptovat na nové technologie a další technologický rozvoj jak na straně zdrojů, tak i spotřeby</w:t>
            </w:r>
            <w:r w:rsidRPr="00EC2A1C">
              <w:rPr>
                <w:rFonts w:eastAsiaTheme="majorEastAsia"/>
              </w:rPr>
              <w:t xml:space="preserve">. Sítě by měly být průběžně adaptovány s cílem </w:t>
            </w:r>
            <w:r w:rsidRPr="00EC2A1C">
              <w:rPr>
                <w:rFonts w:eastAsia="Calibri"/>
              </w:rPr>
              <w:t>umožnit další rozvoj malých i jiných výrobních zdrojů elektřiny (zvýšení volné připojovací kapacity). Požadavky nové legislativy Evropské unie energetiku kladené na členské státy obsažené v balíčku „Čistá energie pro všechny Evropany“ znamenají kromě jiného také zvýšení objemu dat a nové nároky na jejich přenos a zpracování. Implementace požadavků nové legislativy přinese zvýšené investice, které by bez financování z jiných zdrojů museli celé zaplatit koneční spotřebitelé elektřiny.</w:t>
            </w:r>
          </w:p>
          <w:p w14:paraId="6B92FC37" w14:textId="77777777" w:rsidR="00DD3EFA" w:rsidRPr="00EC2A1C" w:rsidRDefault="00DD3EFA" w:rsidP="00B15ECB">
            <w:pPr>
              <w:rPr>
                <w:rFonts w:eastAsia="Calibri"/>
              </w:rPr>
            </w:pPr>
          </w:p>
          <w:p w14:paraId="00E2C0BF" w14:textId="77777777" w:rsidR="00DD3EFA" w:rsidRPr="00EC2A1C" w:rsidRDefault="00DD3EFA" w:rsidP="00B15ECB">
            <w:pPr>
              <w:rPr>
                <w:rFonts w:eastAsia="Calibri"/>
              </w:rPr>
            </w:pPr>
            <w:r w:rsidRPr="00EC2A1C">
              <w:rPr>
                <w:rFonts w:eastAsia="Calibri"/>
              </w:rPr>
              <w:t xml:space="preserve">Významná část plynárenské soustavy, včetně přepravní soustavy je 40 či více let stará a vyžaduje odpovídající investice do obnovy a modernizace. Dále je nutné se adaptovat na nové technologie a další technologický rozvoj, který nyní nabízí efektivní řešení přispívající nejen ke zvyšování energetické účinnosti v plynárenství a tím snižování spotřeby energie v tomto odvětví, ale i ke snižování emisí skleníkových plynů. S ohledem na aktuální evropské diskuse o budoucí roli plynárenské infrastruktury v dekarbonizovaném energetickém systému, je potřebné dále stavět na potenciálu přepravní soustavy ČR a jejího propojení se sousedními státy. </w:t>
            </w:r>
            <w:r w:rsidRPr="00EC2A1C">
              <w:rPr>
                <w:rFonts w:eastAsiaTheme="majorEastAsia"/>
              </w:rPr>
              <w:t xml:space="preserve">Plynárenská soustava by měla být rozšiřována s cílem </w:t>
            </w:r>
            <w:r w:rsidRPr="00EC2A1C">
              <w:rPr>
                <w:rFonts w:eastAsia="Calibri"/>
              </w:rPr>
              <w:t>umožnit další rozvoj výrobních zdrojů elektřiny (zvýšení volné připojovací kapacity) a tepla zejména v regionech s vysokými emisemi jako je severní Morava.</w:t>
            </w:r>
          </w:p>
          <w:p w14:paraId="16090F1E" w14:textId="77777777" w:rsidR="00DD3EFA" w:rsidRPr="00EC2A1C" w:rsidRDefault="00DD3EFA" w:rsidP="00B15ECB">
            <w:pPr>
              <w:rPr>
                <w:rFonts w:eastAsia="Calibri"/>
              </w:rPr>
            </w:pPr>
          </w:p>
          <w:p w14:paraId="7495C06C" w14:textId="77777777" w:rsidR="00DD3EFA" w:rsidRPr="00EC2A1C" w:rsidRDefault="00DD3EFA" w:rsidP="00B15ECB">
            <w:pPr>
              <w:rPr>
                <w:rFonts w:eastAsia="Calibri"/>
              </w:rPr>
            </w:pPr>
            <w:r w:rsidRPr="00EC2A1C">
              <w:rPr>
                <w:rFonts w:eastAsia="Calibri"/>
              </w:rPr>
              <w:t xml:space="preserve">Elektroenergetická soustava a plynárenská soustava by měly být blíže propojeny, aby mohly lépe využívat výhody obou, a to především pro vyrovnávání nabídky a poptávky po elektrické energii a pro uskladňování energie využívající kapacitu plynárenské soustavy. Bliží integrace obou soustav do budoucna umožní budovat sítě efektivně a nižšími celkovými náklady než samostatně. Užší propojení obou soustav předpokládá i nová evropská legislativa „Čistá energie pro všechy Evropany“ a připravovaný plynárenský balíček. </w:t>
            </w:r>
          </w:p>
          <w:p w14:paraId="3003E25D" w14:textId="77777777" w:rsidR="00DD3EFA" w:rsidRPr="00EC2A1C" w:rsidRDefault="00DD3EFA" w:rsidP="00B15ECB">
            <w:pPr>
              <w:rPr>
                <w:rFonts w:eastAsia="Calibri"/>
              </w:rPr>
            </w:pPr>
          </w:p>
          <w:p w14:paraId="200FD40B" w14:textId="77777777" w:rsidR="00DD3EFA" w:rsidRPr="00EC2A1C" w:rsidRDefault="00DD3EFA" w:rsidP="00B15ECB">
            <w:pPr>
              <w:spacing w:before="60" w:after="60"/>
              <w:rPr>
                <w:rFonts w:eastAsiaTheme="majorEastAsia"/>
                <w:i/>
                <w:u w:val="single"/>
              </w:rPr>
            </w:pPr>
            <w:r w:rsidRPr="00EC2A1C">
              <w:rPr>
                <w:rFonts w:eastAsia="Calibri"/>
              </w:rPr>
              <w:t xml:space="preserve">Kromě ESIF fondů se nabízí v období po roce 2020 také využití finančních prostředků u Unijního programu CEF (oblast energetika),  pouze však pro projekty s přeshraničním dopadem, které mají statut projektu společného zájmu (PCI) </w:t>
            </w:r>
          </w:p>
        </w:tc>
        <w:tc>
          <w:tcPr>
            <w:tcW w:w="249" w:type="dxa"/>
            <w:tcBorders>
              <w:top w:val="nil"/>
              <w:bottom w:val="nil"/>
            </w:tcBorders>
            <w:shd w:val="clear" w:color="auto" w:fill="66CCFF"/>
          </w:tcPr>
          <w:p w14:paraId="1A465DB3" w14:textId="77777777" w:rsidR="00DD3EFA" w:rsidRPr="00EC2A1C" w:rsidRDefault="00DD3EFA" w:rsidP="00B15ECB">
            <w:pPr>
              <w:rPr>
                <w:b/>
              </w:rPr>
            </w:pPr>
          </w:p>
        </w:tc>
      </w:tr>
      <w:tr w:rsidR="00DD3EFA" w:rsidRPr="00EC2A1C" w14:paraId="738253EE" w14:textId="77777777" w:rsidTr="00B15ECB">
        <w:trPr>
          <w:trHeight w:val="1274"/>
        </w:trPr>
        <w:tc>
          <w:tcPr>
            <w:tcW w:w="249" w:type="dxa"/>
            <w:tcBorders>
              <w:top w:val="nil"/>
              <w:bottom w:val="nil"/>
            </w:tcBorders>
            <w:shd w:val="clear" w:color="auto" w:fill="66CCFF"/>
          </w:tcPr>
          <w:p w14:paraId="4F30838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3338793"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3AE4D397" w14:textId="77777777" w:rsidR="00DD3EFA" w:rsidRPr="00EC2A1C" w:rsidRDefault="00DD3EFA" w:rsidP="00B15ECB">
            <w:pPr>
              <w:spacing w:before="60" w:after="60"/>
              <w:rPr>
                <w:rFonts w:eastAsiaTheme="majorEastAsia"/>
                <w:i/>
                <w:u w:val="single"/>
              </w:rPr>
            </w:pPr>
          </w:p>
          <w:p w14:paraId="779622BE" w14:textId="77777777" w:rsidR="00DD3EFA" w:rsidRPr="00EC2A1C" w:rsidRDefault="00DD3EFA" w:rsidP="00B15ECB">
            <w:pPr>
              <w:pStyle w:val="Default"/>
              <w:jc w:val="both"/>
              <w:rPr>
                <w:rFonts w:ascii="Times New Roman" w:hAnsi="Times New Roman" w:cs="Times New Roman"/>
                <w:color w:val="auto"/>
                <w:sz w:val="20"/>
                <w:szCs w:val="20"/>
              </w:rPr>
            </w:pPr>
            <w:r w:rsidRPr="00EC2A1C">
              <w:rPr>
                <w:rFonts w:ascii="Times New Roman" w:eastAsia="Calibri" w:hAnsi="Times New Roman" w:cs="Times New Roman"/>
                <w:color w:val="auto"/>
                <w:sz w:val="20"/>
                <w:szCs w:val="20"/>
              </w:rPr>
              <w:t>Mezi prioritní oblasti a z nich vyplývající investiční potřeby patří nutnost obnovy, rozvoje, posílení a modernizace přenosové a přepravní soustavy/sítě a distribučních sítí, a zvyšování jejich účinnosti, jejich odolnosti vůči klimatickým podmínkám a vlivům, zvyšujícím se nárokům na připojení zdrojů umožňujících postupný odklon od energetického využívání uhlí ve prospěch nefosilních zdrojů energie a zvýšení odolnosti vůči potencionálním kybernetickým útokům. Efektivní integrace obnovitelných (a obecně nízkoemisních), zejména intermitentních, zdrojů nebude možná bez úprav stávající struktury sítí a zvýšených nároků na objem zpracovávaných dat. S tím souvisí změny a úpravy informačních systémů, které budou muset umožnit sdílení dat dalším subjektům na trhu s elektřinou. S ohledem na potencionální přínosy je nutné rozvíjet využívání tzv. inteligentních sítí a neomezovat se pouze na „inteligentní měření“, ale také například na dynamické a efektivní řízení toků energie a dynamické řízení zatížení, dynamické řízení napětí vč. sítí nízkého napětí, atd. Rovněž je nezbytné průběžně připravovat přenosovou a přepravní soustavu a distribuční sítě na zvýšení požadavků spotřeby v některých regionech a změnu struktury zdrojů připojených do přenosové soustavy, přepravní soustavy a distribuční soustavy.</w:t>
            </w:r>
            <w:r w:rsidRPr="00EC2A1C">
              <w:rPr>
                <w:rFonts w:ascii="Times New Roman" w:hAnsi="Times New Roman" w:cs="Times New Roman"/>
                <w:color w:val="auto"/>
                <w:sz w:val="20"/>
                <w:szCs w:val="20"/>
              </w:rPr>
              <w:t xml:space="preserve"> </w:t>
            </w:r>
            <w:r w:rsidRPr="00EC2A1C">
              <w:rPr>
                <w:rFonts w:ascii="Times New Roman" w:eastAsia="Calibri" w:hAnsi="Times New Roman" w:cs="Times New Roman"/>
                <w:color w:val="auto"/>
                <w:sz w:val="20"/>
                <w:szCs w:val="20"/>
              </w:rPr>
              <w:t>S ohledem na realitu elektroenergetických sítí střední Evropy je potřeba přenosovou soustavu dlouhodobě rozvíjet a plánovat v kontextu propojení s přenosovými soustavami ostatních států a účastníků trhu z ČR. S ohledem na energetický mix ČR a jeho limity je potřeba taktéž rozvíjet a posilovat přepravní soustavu. Současně je potřeba stanovit legislativní rámec a prostředí pro rozvoj akumulace energie při zachování technologické neutrality.</w:t>
            </w:r>
          </w:p>
          <w:p w14:paraId="55BFB986" w14:textId="77777777" w:rsidR="00DD3EFA" w:rsidRPr="00EC2A1C" w:rsidRDefault="00DD3EFA" w:rsidP="00B15ECB">
            <w:pPr>
              <w:rPr>
                <w:rFonts w:eastAsia="Calibri"/>
              </w:rPr>
            </w:pPr>
          </w:p>
          <w:p w14:paraId="373D361A" w14:textId="77777777" w:rsidR="00DD3EFA" w:rsidRPr="00EC2A1C" w:rsidRDefault="00DD3EFA" w:rsidP="00B15ECB">
            <w:pPr>
              <w:rPr>
                <w:rFonts w:eastAsia="Calibri"/>
              </w:rPr>
            </w:pPr>
            <w:r w:rsidRPr="00EC2A1C">
              <w:rPr>
                <w:rFonts w:eastAsia="Calibri"/>
              </w:rPr>
              <w:t xml:space="preserve">V souladu se SEK je vhodné se dále zaměřit na: </w:t>
            </w:r>
          </w:p>
          <w:p w14:paraId="425156EA" w14:textId="77777777" w:rsidR="00DD3EFA" w:rsidRPr="00EC2A1C" w:rsidRDefault="00DD3EFA" w:rsidP="00391907">
            <w:pPr>
              <w:pStyle w:val="Odstavecseseznamem"/>
              <w:numPr>
                <w:ilvl w:val="0"/>
                <w:numId w:val="96"/>
              </w:numPr>
              <w:spacing w:before="40" w:after="80" w:line="276" w:lineRule="auto"/>
              <w:jc w:val="both"/>
            </w:pPr>
            <w:r w:rsidRPr="00EC2A1C">
              <w:rPr>
                <w:rFonts w:eastAsia="Calibri"/>
              </w:rPr>
              <w:t>zvyšování připravenosti sítě/soustavy na připojení nových zdrojů, zejména těch, které umožní přechod z uhlí na paliva s nižšími emisemi skleníkových plynů a ostatních znečišťujících látek,</w:t>
            </w:r>
          </w:p>
          <w:p w14:paraId="4580362F" w14:textId="77777777" w:rsidR="00DD3EFA" w:rsidRPr="00EC2A1C" w:rsidRDefault="00DD3EFA" w:rsidP="00391907">
            <w:pPr>
              <w:pStyle w:val="Odstavecseseznamem"/>
              <w:numPr>
                <w:ilvl w:val="0"/>
                <w:numId w:val="96"/>
              </w:numPr>
              <w:spacing w:before="40" w:after="80" w:line="276" w:lineRule="auto"/>
              <w:jc w:val="both"/>
            </w:pPr>
            <w:r w:rsidRPr="00EC2A1C">
              <w:rPr>
                <w:lang w:eastAsia="cs-CZ"/>
              </w:rPr>
              <w:t>zvýšení připojovací kapacity v oblastech, kde je plánována výstavba paroplynových elektráren,</w:t>
            </w:r>
          </w:p>
          <w:p w14:paraId="62AB877B" w14:textId="77777777" w:rsidR="00DD3EFA" w:rsidRPr="00EC2A1C" w:rsidRDefault="00DD3EFA" w:rsidP="00391907">
            <w:pPr>
              <w:pStyle w:val="Odstavecseseznamem"/>
              <w:numPr>
                <w:ilvl w:val="0"/>
                <w:numId w:val="96"/>
              </w:numPr>
              <w:spacing w:before="60" w:after="60" w:line="276" w:lineRule="auto"/>
              <w:jc w:val="both"/>
              <w:rPr>
                <w:i/>
              </w:rPr>
            </w:pPr>
            <w:r w:rsidRPr="00EC2A1C">
              <w:t>zapojení nových poskytovatelů služeb (viz. odezva strany poptávky, akumulace energie).</w:t>
            </w:r>
          </w:p>
        </w:tc>
        <w:tc>
          <w:tcPr>
            <w:tcW w:w="249" w:type="dxa"/>
            <w:tcBorders>
              <w:top w:val="nil"/>
              <w:bottom w:val="nil"/>
            </w:tcBorders>
            <w:shd w:val="clear" w:color="auto" w:fill="66CCFF"/>
          </w:tcPr>
          <w:p w14:paraId="697974CA" w14:textId="77777777" w:rsidR="00DD3EFA" w:rsidRPr="00EC2A1C" w:rsidRDefault="00DD3EFA" w:rsidP="00B15ECB">
            <w:pPr>
              <w:rPr>
                <w:b/>
              </w:rPr>
            </w:pPr>
          </w:p>
        </w:tc>
      </w:tr>
      <w:tr w:rsidR="00DD3EFA" w:rsidRPr="00EC2A1C" w14:paraId="607B22A0" w14:textId="77777777" w:rsidTr="00B15ECB">
        <w:trPr>
          <w:trHeight w:val="1274"/>
        </w:trPr>
        <w:tc>
          <w:tcPr>
            <w:tcW w:w="249" w:type="dxa"/>
            <w:tcBorders>
              <w:top w:val="nil"/>
              <w:bottom w:val="nil"/>
            </w:tcBorders>
            <w:shd w:val="clear" w:color="auto" w:fill="66CCFF"/>
          </w:tcPr>
          <w:p w14:paraId="69DAB68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699A753" w14:textId="77777777" w:rsidR="00DD3EFA" w:rsidRPr="00EC2A1C" w:rsidRDefault="00DD3EFA" w:rsidP="00B15ECB">
            <w:pPr>
              <w:spacing w:before="60" w:after="60"/>
              <w:rPr>
                <w:rFonts w:eastAsiaTheme="majorEastAsia"/>
                <w:b/>
              </w:rPr>
            </w:pPr>
            <w:r w:rsidRPr="00EC2A1C">
              <w:rPr>
                <w:rFonts w:eastAsiaTheme="majorEastAsia"/>
                <w:b/>
              </w:rPr>
              <w:t>Definice cíle – změny, které chceme dosáhnout</w:t>
            </w:r>
          </w:p>
          <w:p w14:paraId="4FB4D0CD"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6BB2468" w14:textId="77777777" w:rsidR="00DD3EFA" w:rsidRPr="00EC2A1C" w:rsidRDefault="00DD3EFA" w:rsidP="00B15ECB">
            <w:pPr>
              <w:spacing w:before="60" w:after="60"/>
              <w:rPr>
                <w:rFonts w:eastAsiaTheme="majorEastAsia"/>
                <w:i/>
              </w:rPr>
            </w:pPr>
            <w:r w:rsidRPr="00EC2A1C">
              <w:rPr>
                <w:rFonts w:eastAsiaTheme="majorEastAsia"/>
              </w:rPr>
              <w:t>Cílem  jsou energetické soustavy ČR schopné bezpečného a spolehlivého provozu v měnících se podmínkách evropské energetiky, schopná uspokojit energetické potřeby hospodářství i obyvatel ČR. Je potřeba adaptovat českou energetiku na vyšší rozvoj využívání obnovitelných zdrojů (OZE), rozvoj decentralizované výroby elektřiny a tepla, a umožnit zákazníkům aktivní účast v trhu s elektřinou a plynem.</w:t>
            </w:r>
          </w:p>
        </w:tc>
        <w:tc>
          <w:tcPr>
            <w:tcW w:w="249" w:type="dxa"/>
            <w:tcBorders>
              <w:top w:val="nil"/>
              <w:bottom w:val="nil"/>
            </w:tcBorders>
            <w:shd w:val="clear" w:color="auto" w:fill="66CCFF"/>
          </w:tcPr>
          <w:p w14:paraId="3470A51D" w14:textId="77777777" w:rsidR="00DD3EFA" w:rsidRPr="00EC2A1C" w:rsidRDefault="00DD3EFA" w:rsidP="00B15ECB">
            <w:pPr>
              <w:rPr>
                <w:b/>
              </w:rPr>
            </w:pPr>
          </w:p>
        </w:tc>
      </w:tr>
      <w:tr w:rsidR="00DD3EFA" w:rsidRPr="00EC2A1C" w14:paraId="2AD91291" w14:textId="77777777" w:rsidTr="00B15ECB">
        <w:trPr>
          <w:trHeight w:val="1274"/>
        </w:trPr>
        <w:tc>
          <w:tcPr>
            <w:tcW w:w="249" w:type="dxa"/>
            <w:tcBorders>
              <w:top w:val="nil"/>
              <w:bottom w:val="nil"/>
            </w:tcBorders>
            <w:shd w:val="clear" w:color="auto" w:fill="66CCFF"/>
          </w:tcPr>
          <w:p w14:paraId="6EEC2CD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5811057" w14:textId="77777777" w:rsidR="00DD3EFA" w:rsidRPr="00EC2A1C" w:rsidRDefault="00DD3EFA" w:rsidP="00B15ECB">
            <w:pPr>
              <w:spacing w:before="60" w:after="60"/>
              <w:rPr>
                <w:rFonts w:eastAsiaTheme="majorEastAsia"/>
                <w:b/>
              </w:rPr>
            </w:pPr>
            <w:r w:rsidRPr="00EC2A1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735CCA85" w14:textId="77777777" w:rsidR="00DD3EFA" w:rsidRPr="00EC2A1C" w:rsidRDefault="00DD3EFA" w:rsidP="00B15ECB">
            <w:pPr>
              <w:spacing w:before="60" w:after="60"/>
              <w:rPr>
                <w:rFonts w:eastAsiaTheme="majorEastAsia"/>
              </w:rPr>
            </w:pPr>
            <w:r w:rsidRPr="00EC2A1C">
              <w:rPr>
                <w:rFonts w:eastAsiaTheme="majorEastAsia"/>
              </w:rPr>
              <w:t>Posílení a modernizace vedení přenosové soustavy a distribučních soustav, transformoven a související infrastruktury.</w:t>
            </w:r>
          </w:p>
          <w:p w14:paraId="49D24654" w14:textId="77777777" w:rsidR="00DD3EFA" w:rsidRPr="00EC2A1C" w:rsidRDefault="00DD3EFA" w:rsidP="00B15ECB">
            <w:pPr>
              <w:spacing w:before="60" w:after="60"/>
              <w:rPr>
                <w:rFonts w:eastAsiaTheme="majorEastAsia"/>
              </w:rPr>
            </w:pPr>
            <w:r w:rsidRPr="00EC2A1C">
              <w:rPr>
                <w:rFonts w:eastAsiaTheme="majorEastAsia"/>
              </w:rPr>
              <w:t>Posílení a modernizace přepravní soustavy, distribuční soustavy, kompresních stanic a související infrastruktury.</w:t>
            </w:r>
          </w:p>
          <w:p w14:paraId="22E0E1A7" w14:textId="77777777" w:rsidR="00DD3EFA" w:rsidRPr="00EC2A1C" w:rsidRDefault="00DD3EFA" w:rsidP="00B15ECB">
            <w:pPr>
              <w:spacing w:before="60" w:after="60"/>
              <w:rPr>
                <w:rFonts w:eastAsiaTheme="majorEastAsia"/>
              </w:rPr>
            </w:pPr>
            <w:r w:rsidRPr="00EC2A1C">
              <w:rPr>
                <w:rFonts w:eastAsiaTheme="majorEastAsia"/>
              </w:rPr>
              <w:t>Vytvoření podmínek pro vyšší využití decentralizované výroby elektřiny, akumulace a elektromobility.</w:t>
            </w:r>
          </w:p>
          <w:p w14:paraId="283D950B" w14:textId="77777777" w:rsidR="00DD3EFA" w:rsidRPr="00EC2A1C" w:rsidRDefault="00DD3EFA" w:rsidP="00B15ECB">
            <w:pPr>
              <w:spacing w:before="60" w:after="60"/>
              <w:rPr>
                <w:rFonts w:eastAsiaTheme="majorEastAsia"/>
              </w:rPr>
            </w:pPr>
            <w:r w:rsidRPr="00EC2A1C">
              <w:rPr>
                <w:rFonts w:eastAsiaTheme="majorEastAsia"/>
              </w:rPr>
              <w:t>Zajištění vyšší dostupnosti informací zákazníkům a umožnění jejich aktivního zapojení do trhu.</w:t>
            </w:r>
          </w:p>
          <w:p w14:paraId="5D8B8483" w14:textId="77777777" w:rsidR="00DD3EFA" w:rsidRPr="00EC2A1C" w:rsidRDefault="00DD3EFA" w:rsidP="00B15ECB">
            <w:pPr>
              <w:spacing w:before="60" w:after="60"/>
              <w:rPr>
                <w:rFonts w:eastAsiaTheme="majorEastAsia"/>
                <w:u w:val="single"/>
              </w:rPr>
            </w:pPr>
            <w:r w:rsidRPr="00EC2A1C">
              <w:rPr>
                <w:rFonts w:eastAsiaTheme="majorEastAsia"/>
                <w:u w:val="single"/>
              </w:rPr>
              <w:t xml:space="preserve">Výstupy (příklady): </w:t>
            </w:r>
          </w:p>
          <w:p w14:paraId="4C67744C" w14:textId="77777777" w:rsidR="00DD3EFA" w:rsidRPr="00EC2A1C" w:rsidRDefault="00DD3EFA" w:rsidP="00391907">
            <w:pPr>
              <w:pStyle w:val="Odstavecseseznamem"/>
              <w:numPr>
                <w:ilvl w:val="0"/>
                <w:numId w:val="102"/>
              </w:numPr>
              <w:spacing w:before="60" w:after="60"/>
              <w:jc w:val="both"/>
              <w:rPr>
                <w:rFonts w:eastAsiaTheme="majorEastAsia"/>
              </w:rPr>
            </w:pPr>
            <w:r w:rsidRPr="00EC2A1C">
              <w:rPr>
                <w:rFonts w:eastAsiaTheme="majorEastAsia"/>
              </w:rPr>
              <w:t>Energetická infrastruktura využívá nové technologie (instalované např. v  chytrých distribučních trafostanicích) k optimalizaci provozu, řízení a rozvoje soustavy.</w:t>
            </w:r>
          </w:p>
          <w:p w14:paraId="37E5783A" w14:textId="77777777" w:rsidR="00DD3EFA" w:rsidRPr="00EC2A1C" w:rsidRDefault="00DD3EFA" w:rsidP="00391907">
            <w:pPr>
              <w:pStyle w:val="Odstavecseseznamem"/>
              <w:numPr>
                <w:ilvl w:val="0"/>
                <w:numId w:val="102"/>
              </w:numPr>
              <w:spacing w:before="60" w:after="60"/>
              <w:jc w:val="both"/>
              <w:rPr>
                <w:rFonts w:eastAsiaTheme="majorEastAsia"/>
              </w:rPr>
            </w:pPr>
            <w:r w:rsidRPr="00EC2A1C">
              <w:rPr>
                <w:rFonts w:eastAsiaTheme="majorEastAsia"/>
              </w:rPr>
              <w:t>Data získávaná prostřenictvím inteligentních prvků v síti umožňují optimalizaci procesů ve vztahu k zákazníkům i vnitropodnikových procesů (např. údržby zařízení).</w:t>
            </w:r>
          </w:p>
          <w:p w14:paraId="79422322" w14:textId="77777777" w:rsidR="00DD3EFA" w:rsidRPr="00EC2A1C" w:rsidRDefault="00DD3EFA" w:rsidP="00B15ECB">
            <w:pPr>
              <w:spacing w:before="60" w:after="60"/>
              <w:rPr>
                <w:rFonts w:eastAsiaTheme="majorEastAsia"/>
              </w:rPr>
            </w:pPr>
            <w:r w:rsidRPr="00EC2A1C">
              <w:rPr>
                <w:rFonts w:eastAsiaTheme="majorEastAsia"/>
              </w:rPr>
              <w:t>Podrobné určení požadovaných výstupů bude předmětem jednotlivých projektů zavádění chytrých technologií a jejich harmonogramu.</w:t>
            </w:r>
          </w:p>
          <w:p w14:paraId="794AB5ED" w14:textId="77777777" w:rsidR="00DD3EFA" w:rsidRPr="00EC2A1C" w:rsidRDefault="00DD3EFA" w:rsidP="00B15ECB">
            <w:pPr>
              <w:spacing w:before="60" w:after="60"/>
              <w:rPr>
                <w:rFonts w:eastAsiaTheme="majorEastAsia"/>
                <w:u w:val="single"/>
              </w:rPr>
            </w:pPr>
            <w:r w:rsidRPr="00EC2A1C">
              <w:rPr>
                <w:rFonts w:eastAsiaTheme="majorEastAsia"/>
                <w:u w:val="single"/>
              </w:rPr>
              <w:t xml:space="preserve">Výsledky: </w:t>
            </w:r>
          </w:p>
          <w:p w14:paraId="42323890" w14:textId="77777777" w:rsidR="00DD3EFA" w:rsidRPr="00EC2A1C" w:rsidRDefault="00DD3EFA" w:rsidP="00391907">
            <w:pPr>
              <w:pStyle w:val="Odstavecseseznamem"/>
              <w:numPr>
                <w:ilvl w:val="0"/>
                <w:numId w:val="101"/>
              </w:numPr>
              <w:spacing w:before="60" w:after="60"/>
              <w:jc w:val="both"/>
              <w:rPr>
                <w:rFonts w:eastAsiaTheme="majorEastAsia"/>
              </w:rPr>
            </w:pPr>
            <w:r w:rsidRPr="00EC2A1C">
              <w:rPr>
                <w:rFonts w:eastAsiaTheme="majorEastAsia"/>
              </w:rPr>
              <w:t>Rozvoj decentralizované výroby elektřiny, akumulace a elektřiny není omezován z důvodu nepřipravenosti energetické infrastruktury.</w:t>
            </w:r>
          </w:p>
          <w:p w14:paraId="1BB0C2B5" w14:textId="77777777" w:rsidR="00DD3EFA" w:rsidRPr="00EC2A1C" w:rsidRDefault="00DD3EFA" w:rsidP="00391907">
            <w:pPr>
              <w:pStyle w:val="Odstavecseseznamem"/>
              <w:numPr>
                <w:ilvl w:val="0"/>
                <w:numId w:val="101"/>
              </w:numPr>
              <w:spacing w:before="60" w:after="60"/>
              <w:jc w:val="both"/>
              <w:rPr>
                <w:rFonts w:eastAsiaTheme="majorEastAsia"/>
              </w:rPr>
            </w:pPr>
            <w:r w:rsidRPr="00EC2A1C">
              <w:rPr>
                <w:rFonts w:eastAsiaTheme="majorEastAsia"/>
              </w:rPr>
              <w:t>Aktivní zákazníci se podílejí na zvýšení flexibility elektroenergetického systému buď přímo, nebo prostřednictvím agregátorů.</w:t>
            </w:r>
          </w:p>
          <w:p w14:paraId="672A5DC9" w14:textId="77777777" w:rsidR="00DD3EFA" w:rsidRPr="00EC2A1C" w:rsidRDefault="00DD3EFA" w:rsidP="00B15ECB">
            <w:pPr>
              <w:spacing w:before="60" w:after="60"/>
              <w:rPr>
                <w:rFonts w:eastAsiaTheme="majorEastAsia"/>
              </w:rPr>
            </w:pPr>
            <w:r w:rsidRPr="00EC2A1C">
              <w:rPr>
                <w:rFonts w:eastAsiaTheme="majorEastAsia"/>
                <w:u w:val="single"/>
              </w:rPr>
              <w:t>Dopad:</w:t>
            </w:r>
            <w:r w:rsidRPr="00EC2A1C">
              <w:rPr>
                <w:rFonts w:eastAsiaTheme="majorEastAsia"/>
              </w:rPr>
              <w:t xml:space="preserve"> </w:t>
            </w:r>
          </w:p>
          <w:p w14:paraId="5F5CE586" w14:textId="77777777" w:rsidR="00DD3EFA" w:rsidRPr="00EC2A1C" w:rsidRDefault="00DD3EFA" w:rsidP="00391907">
            <w:pPr>
              <w:pStyle w:val="Odstavecseseznamem"/>
              <w:numPr>
                <w:ilvl w:val="0"/>
                <w:numId w:val="107"/>
              </w:numPr>
              <w:spacing w:before="60" w:after="60"/>
              <w:ind w:left="356"/>
              <w:jc w:val="both"/>
              <w:rPr>
                <w:rFonts w:eastAsiaTheme="majorEastAsia"/>
                <w:i/>
                <w:u w:val="single"/>
              </w:rPr>
            </w:pPr>
            <w:r w:rsidRPr="00EC2A1C">
              <w:rPr>
                <w:rFonts w:eastAsiaTheme="majorEastAsia"/>
              </w:rPr>
              <w:t>Udržení plynulosti a spolehlivosti dodávek energie v nepříznivých povětrnostních podmínkách způsobených klimatickou změnou.</w:t>
            </w:r>
          </w:p>
        </w:tc>
        <w:tc>
          <w:tcPr>
            <w:tcW w:w="249" w:type="dxa"/>
            <w:tcBorders>
              <w:top w:val="nil"/>
              <w:bottom w:val="nil"/>
            </w:tcBorders>
            <w:shd w:val="clear" w:color="auto" w:fill="66CCFF"/>
          </w:tcPr>
          <w:p w14:paraId="09DE290A" w14:textId="77777777" w:rsidR="00DD3EFA" w:rsidRPr="00EC2A1C" w:rsidRDefault="00DD3EFA" w:rsidP="00B15ECB">
            <w:pPr>
              <w:rPr>
                <w:b/>
              </w:rPr>
            </w:pPr>
          </w:p>
        </w:tc>
      </w:tr>
      <w:tr w:rsidR="00DD3EFA" w:rsidRPr="00EC2A1C" w14:paraId="07847FDB" w14:textId="77777777" w:rsidTr="00B15ECB">
        <w:trPr>
          <w:trHeight w:val="1274"/>
        </w:trPr>
        <w:tc>
          <w:tcPr>
            <w:tcW w:w="249" w:type="dxa"/>
            <w:tcBorders>
              <w:top w:val="nil"/>
              <w:bottom w:val="nil"/>
            </w:tcBorders>
            <w:shd w:val="clear" w:color="auto" w:fill="66CCFF"/>
          </w:tcPr>
          <w:p w14:paraId="64AA056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99E8AF2" w14:textId="77777777" w:rsidR="00DD3EFA" w:rsidRPr="00EC2A1C" w:rsidRDefault="00DD3EFA"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02456525" w14:textId="77777777" w:rsidR="00DD3EFA" w:rsidRPr="00EC2A1C" w:rsidRDefault="00DD3EFA" w:rsidP="00B15ECB">
            <w:pPr>
              <w:spacing w:before="60" w:after="60"/>
              <w:rPr>
                <w:rFonts w:eastAsiaTheme="majorEastAsia"/>
                <w:i/>
              </w:rPr>
            </w:pPr>
            <w:r w:rsidRPr="00EC2A1C">
              <w:rPr>
                <w:rFonts w:eastAsiaTheme="majorEastAsia"/>
              </w:rPr>
              <w:t>Řada požadavků na implementaci nových opatření v energetice je dána energetickou politikou EU. Povnnost implementace vyplývá ze schválené, nebo připravované, evropské legislativy, bez ohledu na náklady, které to bude znamenat pro konečné spotřebitele energie. Proto by  podíl podpory z ESIF na realizaci opatření měl být co největší. Podle jednotlivých témat by se podpora z ESIF mohla pohybovat až do výše 90 % nákladů na opatření.</w:t>
            </w:r>
          </w:p>
        </w:tc>
        <w:tc>
          <w:tcPr>
            <w:tcW w:w="249" w:type="dxa"/>
            <w:tcBorders>
              <w:top w:val="nil"/>
              <w:bottom w:val="nil"/>
            </w:tcBorders>
            <w:shd w:val="clear" w:color="auto" w:fill="66CCFF"/>
          </w:tcPr>
          <w:p w14:paraId="3B460041" w14:textId="77777777" w:rsidR="00DD3EFA" w:rsidRPr="00EC2A1C" w:rsidRDefault="00DD3EFA" w:rsidP="00B15ECB">
            <w:pPr>
              <w:rPr>
                <w:b/>
              </w:rPr>
            </w:pPr>
          </w:p>
        </w:tc>
      </w:tr>
      <w:tr w:rsidR="00DD3EFA" w:rsidRPr="00EC2A1C" w14:paraId="297382AC" w14:textId="77777777" w:rsidTr="00B15ECB">
        <w:trPr>
          <w:trHeight w:val="1274"/>
        </w:trPr>
        <w:tc>
          <w:tcPr>
            <w:tcW w:w="249" w:type="dxa"/>
            <w:tcBorders>
              <w:top w:val="nil"/>
              <w:bottom w:val="nil"/>
            </w:tcBorders>
            <w:shd w:val="clear" w:color="auto" w:fill="66CCFF"/>
          </w:tcPr>
          <w:p w14:paraId="0129AE8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71A47B1" w14:textId="77777777" w:rsidR="00DD3EFA" w:rsidRPr="00EC2A1C" w:rsidRDefault="00DD3EFA" w:rsidP="00B15ECB">
            <w:pPr>
              <w:spacing w:before="60" w:after="60"/>
              <w:rPr>
                <w:rFonts w:eastAsiaTheme="majorEastAsia"/>
                <w:b/>
              </w:rPr>
            </w:pPr>
            <w:r w:rsidRPr="00EC2A1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063D1D6F" w14:textId="77777777" w:rsidR="00DD3EFA" w:rsidRPr="00EC2A1C" w:rsidRDefault="00DD3EFA" w:rsidP="00B15ECB">
            <w:pPr>
              <w:spacing w:before="60" w:after="60"/>
              <w:rPr>
                <w:rFonts w:eastAsiaTheme="majorEastAsia"/>
              </w:rPr>
            </w:pPr>
            <w:r w:rsidRPr="00EC2A1C">
              <w:rPr>
                <w:rFonts w:eastAsiaTheme="majorEastAsia"/>
              </w:rPr>
              <w:t xml:space="preserve">V porovnání s dosavadním obdobím došlo k rozšíření témat mj. na základě legislativy EU „Čistá energe pro všechny Evropany“ a dalších. </w:t>
            </w:r>
          </w:p>
          <w:p w14:paraId="719ED8E1"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EC2A1C">
              <w:rPr>
                <w:rFonts w:ascii="Times New Roman" w:eastAsiaTheme="majorEastAsia" w:hAnsi="Times New Roman"/>
              </w:rPr>
              <w:t>Také se zrychluje zavádění nových technologií („smart grids“) a např. v elektroenergetice bude po roce 2020 zahájena implementace systému inteligentního měření se všemi z toho vyplývajícími souvislostmi (vč. GDPR). Dále se jedná o posun v dalších oblastech, jako je kupříkladu dynamické řízení toků energie zejména v rámci elektrizační soustavy. S rostoucím počtem malých instalací výroby elektřiny v síti nízkého napětí roste náročnost řízení jejího provozu, včetně regulace napětí, což je možné zvládnout jen s využitím nových technologií.</w:t>
            </w:r>
          </w:p>
          <w:p w14:paraId="75F31A5C"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ajorEastAsia" w:hAnsi="Times New Roman"/>
              </w:rPr>
            </w:pPr>
            <w:r w:rsidRPr="00EC2A1C">
              <w:rPr>
                <w:rFonts w:ascii="Times New Roman" w:eastAsiaTheme="majorEastAsia" w:hAnsi="Times New Roman"/>
              </w:rPr>
              <w:t>Pokud se jedná o oblast plynárenství, ta  nebyla dosud zahrnuta do podporovaných oblastí, přičemž podíl zemního plynu se na primárních energetických zdrojích v České republice podílí cca 17 %  v konečné spotřebě cca 23 % (údaje roku 2017). Nepřerušené a nákladově efektivní zásobování odběratelů zemním plynem tedy patří dlouhodobě ke klíčovým oblastem české energetiky i hospodářství. Posilování infrastruktury v regionu severní Moravy.</w:t>
            </w:r>
          </w:p>
          <w:p w14:paraId="0A47278C"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ajorEastAsia" w:hAnsi="Times New Roman"/>
                <w:u w:val="single"/>
              </w:rPr>
            </w:pPr>
            <w:r w:rsidRPr="00EC2A1C">
              <w:rPr>
                <w:rFonts w:ascii="Times New Roman" w:eastAsiaTheme="majorEastAsia" w:hAnsi="Times New Roman"/>
              </w:rPr>
              <w:t>Rozšířením témat dochází v kontextu připravované nové legislativy pro plynárenství (představí nová Evropská komise asi koncem roku 2020). Již dnes je zřejmé, že bude velký tlak na snižování emisí skleníkových plynů a systémové řešení pro Evropské hospodářství. To znamená rozvoj „zelených plynů“ (syntetický metan, vodík) a systémové řešení ve smyslu „sektorového propojení“, tedy propojení dosud oddělených segmentů energetiky do tzv. „hybridního systému“ (propojení elektroenergetiky a plynárenství). To umožní nákladově efektivní řešení. Podkladem je Sdělení Evropské komise „Čistá planeta pro všechny“ (11/2018)</w:t>
            </w:r>
          </w:p>
        </w:tc>
        <w:tc>
          <w:tcPr>
            <w:tcW w:w="249" w:type="dxa"/>
            <w:tcBorders>
              <w:top w:val="nil"/>
              <w:bottom w:val="nil"/>
            </w:tcBorders>
            <w:shd w:val="clear" w:color="auto" w:fill="66CCFF"/>
          </w:tcPr>
          <w:p w14:paraId="66C4DD87" w14:textId="77777777" w:rsidR="00DD3EFA" w:rsidRPr="00EC2A1C" w:rsidRDefault="00DD3EFA" w:rsidP="00B15ECB">
            <w:pPr>
              <w:rPr>
                <w:b/>
              </w:rPr>
            </w:pPr>
          </w:p>
        </w:tc>
      </w:tr>
      <w:tr w:rsidR="00DD3EFA" w:rsidRPr="00EC2A1C" w14:paraId="03DA2A4C" w14:textId="77777777" w:rsidTr="00B15ECB">
        <w:trPr>
          <w:trHeight w:val="272"/>
        </w:trPr>
        <w:tc>
          <w:tcPr>
            <w:tcW w:w="249" w:type="dxa"/>
            <w:tcBorders>
              <w:top w:val="nil"/>
              <w:bottom w:val="nil"/>
              <w:right w:val="nil"/>
            </w:tcBorders>
            <w:shd w:val="clear" w:color="auto" w:fill="66CCFF"/>
          </w:tcPr>
          <w:p w14:paraId="4F68D946"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46435A4"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36A7493"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7606F461" w14:textId="77777777" w:rsidR="00DD3EFA" w:rsidRPr="00EC2A1C" w:rsidRDefault="00DD3EFA" w:rsidP="00B15ECB">
            <w:pPr>
              <w:rPr>
                <w:b/>
              </w:rPr>
            </w:pPr>
          </w:p>
        </w:tc>
      </w:tr>
      <w:tr w:rsidR="00DD3EFA" w:rsidRPr="00EC2A1C" w14:paraId="7E077A20" w14:textId="77777777" w:rsidTr="00B15ECB">
        <w:trPr>
          <w:trHeight w:val="835"/>
        </w:trPr>
        <w:tc>
          <w:tcPr>
            <w:tcW w:w="249" w:type="dxa"/>
            <w:tcBorders>
              <w:top w:val="nil"/>
              <w:bottom w:val="nil"/>
            </w:tcBorders>
            <w:shd w:val="clear" w:color="auto" w:fill="66CCFF"/>
          </w:tcPr>
          <w:p w14:paraId="63955F3A"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7473280E"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00D4A830" w14:textId="77777777" w:rsidR="00DD3EFA" w:rsidRPr="00EC2A1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7944D9BA" w14:textId="77777777" w:rsidR="00DD3EFA" w:rsidRPr="00EC2A1C" w:rsidRDefault="00DD3EFA" w:rsidP="00B15ECB">
            <w:pPr>
              <w:spacing w:before="60" w:after="60"/>
              <w:rPr>
                <w:rFonts w:eastAsiaTheme="majorEastAsia"/>
                <w:i/>
              </w:rPr>
            </w:pPr>
            <w:r w:rsidRPr="00EC2A1C">
              <w:rPr>
                <w:rFonts w:eastAsiaTheme="majorEastAsia"/>
              </w:rPr>
              <w:t>Výhledově je záměrem podpořit využití smart grids, které přispějí k rozšíření intermitentních zdrojů OZE a s nízkými emisemi. Inteligentní měřicí systémy také monitorují toky a napomáhají optimalizaci spotřeby energie. U distribučních soustav budou rovněž nově připojovány akumulační jednotky, které umožní optimální distribuci elektrické energie s ohledem na vlastnosti OZE. S ohledem na výše uvedené bude významným faktorem rozvoj demand-side managementu. Plynárenství je nově zařazeno pro posílení možnosti přechodu z uhlí na nízkoemisní palivo a s cílem zvýšit účinnost a snížit emise skleníkových plynů a také s cílem přispět k vyrovnávání nabídky a poptávky po elektrické energii v čase např. díky uskladnění energie ve formě vodíku či syntetického metanu.</w:t>
            </w:r>
          </w:p>
        </w:tc>
        <w:tc>
          <w:tcPr>
            <w:tcW w:w="249" w:type="dxa"/>
            <w:tcBorders>
              <w:top w:val="nil"/>
              <w:bottom w:val="nil"/>
            </w:tcBorders>
            <w:shd w:val="clear" w:color="auto" w:fill="66CCFF"/>
          </w:tcPr>
          <w:p w14:paraId="6161BFC9" w14:textId="77777777" w:rsidR="00DD3EFA" w:rsidRPr="00EC2A1C" w:rsidRDefault="00DD3EFA" w:rsidP="00B15ECB">
            <w:pPr>
              <w:rPr>
                <w:b/>
              </w:rPr>
            </w:pPr>
          </w:p>
        </w:tc>
      </w:tr>
      <w:tr w:rsidR="00DD3EFA" w:rsidRPr="00EC2A1C" w14:paraId="736A302C" w14:textId="77777777" w:rsidTr="00B15ECB">
        <w:trPr>
          <w:trHeight w:val="377"/>
        </w:trPr>
        <w:tc>
          <w:tcPr>
            <w:tcW w:w="249" w:type="dxa"/>
            <w:tcBorders>
              <w:top w:val="nil"/>
              <w:bottom w:val="nil"/>
              <w:right w:val="nil"/>
            </w:tcBorders>
            <w:shd w:val="clear" w:color="auto" w:fill="66CCFF"/>
          </w:tcPr>
          <w:p w14:paraId="7FE52458"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4B03497"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6DE38A1"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562F6608" w14:textId="77777777" w:rsidR="00DD3EFA" w:rsidRPr="00EC2A1C" w:rsidRDefault="00DD3EFA" w:rsidP="00B15ECB">
            <w:pPr>
              <w:rPr>
                <w:b/>
              </w:rPr>
            </w:pPr>
          </w:p>
        </w:tc>
      </w:tr>
      <w:tr w:rsidR="00DD3EFA" w:rsidRPr="00EC2A1C" w14:paraId="314BBB12" w14:textId="77777777" w:rsidTr="00B15ECB">
        <w:trPr>
          <w:trHeight w:val="1202"/>
        </w:trPr>
        <w:tc>
          <w:tcPr>
            <w:tcW w:w="249" w:type="dxa"/>
            <w:tcBorders>
              <w:top w:val="nil"/>
              <w:bottom w:val="nil"/>
            </w:tcBorders>
            <w:shd w:val="clear" w:color="auto" w:fill="66CCFF"/>
          </w:tcPr>
          <w:p w14:paraId="4BC6FE12" w14:textId="77777777" w:rsidR="00DD3EFA" w:rsidRPr="00EC2A1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2C0DDC92"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p w14:paraId="2AD39353"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11C7992B" w14:textId="77777777" w:rsidR="00DD3EFA" w:rsidRPr="00EC2A1C" w:rsidRDefault="00DD3EFA" w:rsidP="00B15ECB">
            <w:pPr>
              <w:rPr>
                <w:b/>
              </w:rPr>
            </w:pPr>
          </w:p>
        </w:tc>
      </w:tr>
      <w:tr w:rsidR="00DD3EFA" w:rsidRPr="00EC2A1C" w14:paraId="6F5BEF7B" w14:textId="77777777" w:rsidTr="00B15ECB">
        <w:trPr>
          <w:trHeight w:val="1202"/>
        </w:trPr>
        <w:tc>
          <w:tcPr>
            <w:tcW w:w="249" w:type="dxa"/>
            <w:tcBorders>
              <w:top w:val="nil"/>
              <w:bottom w:val="nil"/>
            </w:tcBorders>
            <w:shd w:val="clear" w:color="auto" w:fill="66CCFF"/>
          </w:tcPr>
          <w:p w14:paraId="4154811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1E88014"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2F8678BA"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4D23BE7" w14:textId="77777777" w:rsidR="00DD3EFA" w:rsidRPr="00EC2A1C" w:rsidRDefault="00DD3EFA" w:rsidP="00B15ECB">
            <w:pPr>
              <w:spacing w:before="40" w:after="40"/>
            </w:pPr>
            <w:r w:rsidRPr="00EC2A1C">
              <w:t xml:space="preserve">Národní akční plán pro chytré sítě definuje obecně platné budoucí požadavky na sítě velmi vysokého napětí, vysokého napětí a nízkého napětí v závislosti na velikosti daného sídla a typ zástavby (kapitola 5.4.3). Zejména ve městech je vhodná snaha o smart řešení (smart city, smart region), jejichž realizace by měla přispět k udržitelnému nakládání s energiemi.  </w:t>
            </w:r>
          </w:p>
          <w:p w14:paraId="2050FFEF" w14:textId="77777777" w:rsidR="00DD3EFA" w:rsidRPr="00EC2A1C" w:rsidRDefault="00DD3EFA" w:rsidP="00B15ECB">
            <w:pPr>
              <w:spacing w:before="40" w:after="40"/>
            </w:pPr>
          </w:p>
          <w:p w14:paraId="5E7746B2" w14:textId="77777777" w:rsidR="00DD3EFA" w:rsidRPr="00EC2A1C" w:rsidRDefault="00DD3EFA" w:rsidP="00B15ECB">
            <w:pPr>
              <w:spacing w:before="40" w:after="40"/>
            </w:pPr>
            <w:r w:rsidRPr="00EC2A1C">
              <w:t>Vyšší využívání obnovitelných zdrojů energie souvisí s rozvojem decentralizované výroby energie, kde zejména v případě elektřiny je nutné za</w:t>
            </w:r>
            <w:r w:rsidRPr="00EC2A1C">
              <w:rPr>
                <w:strike/>
              </w:rPr>
              <w:t>a</w:t>
            </w:r>
            <w:r w:rsidRPr="00EC2A1C">
              <w:t xml:space="preserve">jistit modernizací sítě a procesů vysokou bezpečnost a spolejhlivost provozu celého systému. </w:t>
            </w:r>
          </w:p>
          <w:p w14:paraId="20DFF076" w14:textId="77777777" w:rsidR="00DD3EFA" w:rsidRPr="00EC2A1C" w:rsidRDefault="00DD3EFA" w:rsidP="00B15ECB">
            <w:pPr>
              <w:spacing w:before="40" w:after="40"/>
            </w:pPr>
          </w:p>
          <w:p w14:paraId="4A189185" w14:textId="77777777" w:rsidR="00DD3EFA" w:rsidRPr="00EC2A1C" w:rsidRDefault="00DD3EFA" w:rsidP="00B15ECB">
            <w:pPr>
              <w:spacing w:before="40" w:after="40"/>
            </w:pPr>
            <w:r w:rsidRPr="00EC2A1C">
              <w:t>Podmínky každého ze tří regionálních provozovatelů distribuční soustavy v elektroenergetice jsou specifické pokud jde o charakter distribuční sítě, hustotu spotřeby (velikost odběru elektřiny vztažená např. na km</w:t>
            </w:r>
            <w:r w:rsidRPr="00EC2A1C">
              <w:rPr>
                <w:vertAlign w:val="superscript"/>
              </w:rPr>
              <w:t>2</w:t>
            </w:r>
            <w:r w:rsidRPr="00EC2A1C">
              <w:t xml:space="preserve"> nebo km vedení) velikost (počet obyvatel) a počet zásobovaných obcí/měst a s tím souvisící použitelnost např. komunikačních technologií. Rozdílné jsou v různých částech území ČR také podmínky pro využívání obnovitelných zdrojů pro výrobu elektřiny, nebo pro rozvoj elektromobility. </w:t>
            </w:r>
          </w:p>
          <w:p w14:paraId="2B936D11" w14:textId="77777777" w:rsidR="00DD3EFA" w:rsidRPr="00EC2A1C" w:rsidRDefault="00DD3EFA" w:rsidP="00B15ECB">
            <w:pPr>
              <w:spacing w:before="40" w:after="40"/>
            </w:pPr>
          </w:p>
          <w:p w14:paraId="51CBDF2B" w14:textId="77777777" w:rsidR="00DD3EFA" w:rsidRPr="00EC2A1C" w:rsidRDefault="00DD3EFA" w:rsidP="00B15ECB">
            <w:pPr>
              <w:spacing w:before="40" w:after="40"/>
            </w:pPr>
            <w:r w:rsidRPr="00EC2A1C">
              <w:t>V oblasti plynárenství je možné se opřít jednak o ASEK, který předpokládá kontinuální posilování podílu zemního plynu na energetickém mixu ČR a dále o Desetiletý plán rozvoje přepravní infrastruktury, který definuje konkrétní akce. Jednou z priorit je zajištění bezpečných a spolehlivých dodávek zemního plynu v regionu severní Moravy, ale plošně se jedná také o modernizaci sítě.</w:t>
            </w:r>
          </w:p>
        </w:tc>
        <w:tc>
          <w:tcPr>
            <w:tcW w:w="249" w:type="dxa"/>
            <w:tcBorders>
              <w:top w:val="nil"/>
              <w:bottom w:val="nil"/>
            </w:tcBorders>
            <w:shd w:val="clear" w:color="auto" w:fill="66CCFF"/>
          </w:tcPr>
          <w:p w14:paraId="153D6517" w14:textId="77777777" w:rsidR="00DD3EFA" w:rsidRPr="00EC2A1C" w:rsidRDefault="00DD3EFA" w:rsidP="00B15ECB">
            <w:pPr>
              <w:rPr>
                <w:b/>
              </w:rPr>
            </w:pPr>
          </w:p>
        </w:tc>
      </w:tr>
      <w:tr w:rsidR="00DD3EFA" w:rsidRPr="00EC2A1C" w14:paraId="1AD0067D" w14:textId="77777777" w:rsidTr="00B15ECB">
        <w:trPr>
          <w:trHeight w:val="1202"/>
        </w:trPr>
        <w:tc>
          <w:tcPr>
            <w:tcW w:w="249" w:type="dxa"/>
            <w:tcBorders>
              <w:top w:val="nil"/>
              <w:bottom w:val="nil"/>
            </w:tcBorders>
            <w:shd w:val="clear" w:color="auto" w:fill="66CCFF"/>
          </w:tcPr>
          <w:p w14:paraId="34FF308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CF49137"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0D73C858"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DD997E2" w14:textId="77777777" w:rsidR="00DD3EFA" w:rsidRPr="00EC2A1C" w:rsidRDefault="00DD3EFA" w:rsidP="00B15ECB">
            <w:pPr>
              <w:spacing w:before="60" w:after="60"/>
            </w:pPr>
            <w:r w:rsidRPr="00EC2A1C">
              <w:t>Změna klimatu má přímý dopad na přenosové sítě a na jejich odolnost,kvalitu a bezpečnost. V NAP adaptace na změnu klimatu je sítím věnován specifický cíl „Zajištění vysoké odolnosti přenosové sítě ČR, diverzifikace přepravních tras a zdrojových teritorií“.</w:t>
            </w:r>
          </w:p>
          <w:p w14:paraId="0FA4909F" w14:textId="77777777" w:rsidR="00DD3EFA" w:rsidRPr="00EC2A1C" w:rsidRDefault="00DD3EFA" w:rsidP="00B15ECB">
            <w:pPr>
              <w:spacing w:before="60" w:after="60"/>
              <w:rPr>
                <w:rFonts w:eastAsiaTheme="majorEastAsia"/>
                <w:i/>
              </w:rPr>
            </w:pPr>
            <w:r w:rsidRPr="00EC2A1C">
              <w:t>V souladu s cíli 2020 a 2030 se navrhovaná opatření v plynárenství promítají do snižování konečné spotřeby energie a snižování emisí skleníkových plynů.</w:t>
            </w:r>
          </w:p>
        </w:tc>
        <w:tc>
          <w:tcPr>
            <w:tcW w:w="249" w:type="dxa"/>
            <w:tcBorders>
              <w:top w:val="nil"/>
              <w:bottom w:val="nil"/>
            </w:tcBorders>
            <w:shd w:val="clear" w:color="auto" w:fill="66CCFF"/>
          </w:tcPr>
          <w:p w14:paraId="374CDD3C" w14:textId="77777777" w:rsidR="00DD3EFA" w:rsidRPr="00EC2A1C" w:rsidRDefault="00DD3EFA" w:rsidP="00B15ECB">
            <w:pPr>
              <w:rPr>
                <w:b/>
              </w:rPr>
            </w:pPr>
          </w:p>
        </w:tc>
      </w:tr>
      <w:tr w:rsidR="00DD3EFA" w:rsidRPr="00EC2A1C" w14:paraId="6662A98F" w14:textId="77777777" w:rsidTr="00B15ECB">
        <w:trPr>
          <w:trHeight w:val="1202"/>
        </w:trPr>
        <w:tc>
          <w:tcPr>
            <w:tcW w:w="249" w:type="dxa"/>
            <w:tcBorders>
              <w:top w:val="nil"/>
              <w:bottom w:val="nil"/>
            </w:tcBorders>
            <w:shd w:val="clear" w:color="auto" w:fill="66CCFF"/>
          </w:tcPr>
          <w:p w14:paraId="3995AC0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DF52803"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tc>
        <w:tc>
          <w:tcPr>
            <w:tcW w:w="5978" w:type="dxa"/>
            <w:tcBorders>
              <w:bottom w:val="single" w:sz="4" w:space="0" w:color="auto"/>
            </w:tcBorders>
            <w:shd w:val="clear" w:color="auto" w:fill="FFFFFF" w:themeFill="background1"/>
          </w:tcPr>
          <w:p w14:paraId="010CE006" w14:textId="77777777" w:rsidR="00DD3EFA" w:rsidRPr="00EC2A1C" w:rsidRDefault="00DD3EFA" w:rsidP="00B15ECB">
            <w:pPr>
              <w:spacing w:before="40" w:after="40"/>
              <w:rPr>
                <w:rFonts w:eastAsiaTheme="majorEastAsia"/>
                <w:i/>
              </w:rPr>
            </w:pPr>
            <w:r w:rsidRPr="00EC2A1C">
              <w:t>Koncept smart grids (Inteligentní sítě) je v souladu s koncepcí Digitální Česko a je zahrnut v záměru DES nazvaném Podpora digitalizace energetiky. Jedním z nástrojů pro realizaci konceptu inteligentních sítí v energetice je plnění Národního akčního plánu pro chytré sítě.</w:t>
            </w:r>
          </w:p>
        </w:tc>
        <w:tc>
          <w:tcPr>
            <w:tcW w:w="249" w:type="dxa"/>
            <w:tcBorders>
              <w:top w:val="nil"/>
              <w:bottom w:val="nil"/>
            </w:tcBorders>
            <w:shd w:val="clear" w:color="auto" w:fill="66CCFF"/>
          </w:tcPr>
          <w:p w14:paraId="65FAECFE" w14:textId="77777777" w:rsidR="00DD3EFA" w:rsidRPr="00EC2A1C" w:rsidRDefault="00DD3EFA" w:rsidP="00B15ECB">
            <w:pPr>
              <w:rPr>
                <w:b/>
              </w:rPr>
            </w:pPr>
          </w:p>
        </w:tc>
      </w:tr>
      <w:tr w:rsidR="00DD3EFA" w:rsidRPr="00EC2A1C" w14:paraId="4D71D465" w14:textId="77777777" w:rsidTr="00B15ECB">
        <w:trPr>
          <w:trHeight w:val="1202"/>
        </w:trPr>
        <w:tc>
          <w:tcPr>
            <w:tcW w:w="249" w:type="dxa"/>
            <w:tcBorders>
              <w:top w:val="nil"/>
              <w:bottom w:val="nil"/>
            </w:tcBorders>
            <w:shd w:val="clear" w:color="auto" w:fill="66CCFF"/>
          </w:tcPr>
          <w:p w14:paraId="720FBDB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0EE35D3"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2D93D4C4"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B563960" w14:textId="77777777" w:rsidR="00DD3EFA" w:rsidRPr="00EC2A1C" w:rsidRDefault="00DD3EFA" w:rsidP="00B15ECB">
            <w:pPr>
              <w:spacing w:before="60" w:after="60"/>
              <w:rPr>
                <w:rFonts w:eastAsiaTheme="majorEastAsia"/>
              </w:rPr>
            </w:pPr>
            <w:r w:rsidRPr="00EC2A1C">
              <w:rPr>
                <w:rFonts w:eastAsiaTheme="majorEastAsia"/>
              </w:rPr>
              <w:t>Plnění Specifického cíle NKR souvisí s následujícími megatrendy:</w:t>
            </w:r>
          </w:p>
          <w:p w14:paraId="55E3C701"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Rostoucí spotřeba zdrojů</w:t>
            </w:r>
          </w:p>
          <w:p w14:paraId="1E5654DF"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Rostoucí spotřeba energie</w:t>
            </w:r>
          </w:p>
          <w:p w14:paraId="7102AAE0"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Změna klimatu a její dopady</w:t>
            </w:r>
          </w:p>
          <w:p w14:paraId="0E62589A"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Rostoucí přístup k informacím</w:t>
            </w:r>
          </w:p>
          <w:p w14:paraId="6DEDBDEC"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Zvyšující se dostupnost technologií</w:t>
            </w:r>
          </w:p>
          <w:p w14:paraId="549BE67E" w14:textId="77777777" w:rsidR="00DD3EFA" w:rsidRPr="00EC2A1C" w:rsidRDefault="00DD3EFA" w:rsidP="00B15ECB">
            <w:pPr>
              <w:spacing w:before="60" w:after="60"/>
              <w:rPr>
                <w:rFonts w:eastAsiaTheme="majorEastAsia"/>
                <w:i/>
              </w:rPr>
            </w:pPr>
            <w:r w:rsidRPr="00EC2A1C">
              <w:rPr>
                <w:rFonts w:eastAsiaTheme="majorEastAsia"/>
              </w:rPr>
              <w:t>•</w:t>
            </w:r>
            <w:r w:rsidRPr="00EC2A1C">
              <w:rPr>
                <w:rFonts w:eastAsiaTheme="majorEastAsia"/>
              </w:rPr>
              <w:tab/>
              <w:t>Zvyšující se rychlost technologické změny</w:t>
            </w:r>
          </w:p>
        </w:tc>
        <w:tc>
          <w:tcPr>
            <w:tcW w:w="249" w:type="dxa"/>
            <w:tcBorders>
              <w:top w:val="nil"/>
              <w:bottom w:val="nil"/>
            </w:tcBorders>
            <w:shd w:val="clear" w:color="auto" w:fill="66CCFF"/>
          </w:tcPr>
          <w:p w14:paraId="7BE64F01" w14:textId="77777777" w:rsidR="00DD3EFA" w:rsidRPr="00EC2A1C" w:rsidRDefault="00DD3EFA" w:rsidP="00B15ECB">
            <w:pPr>
              <w:rPr>
                <w:b/>
              </w:rPr>
            </w:pPr>
          </w:p>
        </w:tc>
      </w:tr>
      <w:tr w:rsidR="00DD3EFA" w:rsidRPr="00EC2A1C" w14:paraId="70A6A778" w14:textId="77777777" w:rsidTr="00B15ECB">
        <w:trPr>
          <w:trHeight w:val="1202"/>
        </w:trPr>
        <w:tc>
          <w:tcPr>
            <w:tcW w:w="249" w:type="dxa"/>
            <w:tcBorders>
              <w:top w:val="nil"/>
              <w:bottom w:val="nil"/>
            </w:tcBorders>
            <w:shd w:val="clear" w:color="auto" w:fill="66CCFF"/>
          </w:tcPr>
          <w:p w14:paraId="22EE0A6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112A202"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62DDF939" w14:textId="77777777" w:rsidR="00DD3EFA" w:rsidRPr="00EC2A1C" w:rsidRDefault="00DD3EFA" w:rsidP="00B15ECB">
            <w:pPr>
              <w:spacing w:before="60" w:after="60"/>
              <w:rPr>
                <w:lang w:eastAsia="en-GB"/>
              </w:rPr>
            </w:pPr>
            <w:r w:rsidRPr="00EC2A1C">
              <w:rPr>
                <w:u w:val="single"/>
                <w:lang w:eastAsia="en-GB"/>
              </w:rPr>
              <w:t>Článek 4 ON:</w:t>
            </w:r>
            <w:r w:rsidRPr="00EC2A1C">
              <w:rPr>
                <w:u w:val="single"/>
                <w:lang w:eastAsia="en-GB"/>
              </w:rPr>
              <w:br/>
              <w:t>Politický cíl:</w:t>
            </w:r>
            <w:r w:rsidRPr="00EC2A1C">
              <w:rPr>
                <w:lang w:eastAsia="en-GB"/>
              </w:rPr>
              <w:br/>
            </w:r>
            <w:r w:rsidRPr="00EC2A1C">
              <w:rPr>
                <w:b/>
                <w:lang w:eastAsia="en-GB"/>
              </w:rPr>
              <w:t>b) zelenější, nízkouhlíková Evropa díky podpoře přechodu na čistou a spravedlivou energii, zelených a modrých investic, oběhového hospodářství, přizpůsobení se změnám klimatu a prevence a řízení rizik</w:t>
            </w:r>
          </w:p>
          <w:p w14:paraId="78AED905" w14:textId="77777777" w:rsidR="00DD3EFA" w:rsidRPr="00EC2A1C" w:rsidRDefault="00DD3EFA" w:rsidP="00B15ECB">
            <w:pPr>
              <w:spacing w:before="60" w:after="60"/>
              <w:rPr>
                <w:lang w:eastAsia="en-GB"/>
              </w:rPr>
            </w:pPr>
          </w:p>
          <w:p w14:paraId="66C8826F" w14:textId="77777777" w:rsidR="00DD3EFA" w:rsidRPr="00EC2A1C" w:rsidRDefault="00DD3EFA" w:rsidP="00B15ECB">
            <w:pPr>
              <w:spacing w:before="60" w:after="60"/>
              <w:rPr>
                <w:lang w:eastAsia="en-GB"/>
              </w:rPr>
            </w:pPr>
            <w:r w:rsidRPr="00EC2A1C">
              <w:rPr>
                <w:u w:val="single"/>
                <w:lang w:eastAsia="en-GB"/>
              </w:rPr>
              <w:t>Článek 2 Nařízení EFRR a FS:</w:t>
            </w:r>
            <w:r w:rsidRPr="00EC2A1C">
              <w:rPr>
                <w:lang w:eastAsia="en-GB"/>
              </w:rPr>
              <w:br/>
              <w:t>EFRR podporuje specifický cíl „zelenější, nízkouhlíková Evropa díky podpoře přechodu na čistou a spravedlivou energii, zelených a modrých investic, oběhového hospodářství, přizpůsobení se změnám klimatu a prevence a řízení rizik“ (dále jen CP 2“) prostřednictvím:</w:t>
            </w:r>
          </w:p>
          <w:p w14:paraId="3540D2A3" w14:textId="77777777" w:rsidR="00DD3EFA" w:rsidRPr="00EC2A1C" w:rsidRDefault="00DD3EFA" w:rsidP="00391907">
            <w:pPr>
              <w:pStyle w:val="Odstavecseseznamem"/>
              <w:numPr>
                <w:ilvl w:val="0"/>
                <w:numId w:val="96"/>
              </w:numPr>
              <w:spacing w:before="60" w:after="60"/>
              <w:rPr>
                <w:b/>
                <w:color w:val="777777"/>
              </w:rPr>
            </w:pPr>
            <w:r w:rsidRPr="00EC2A1C">
              <w:rPr>
                <w:b/>
              </w:rPr>
              <w:t>rozvoje inteligentních energetických systémů, sítí a skladování na místní úrovni</w:t>
            </w:r>
          </w:p>
          <w:p w14:paraId="12DD89CA" w14:textId="77777777" w:rsidR="00DD3EFA" w:rsidRPr="00EC2A1C" w:rsidRDefault="00DD3EFA" w:rsidP="00B15ECB">
            <w:pPr>
              <w:spacing w:before="60" w:after="60"/>
              <w:rPr>
                <w:color w:val="777777"/>
              </w:rPr>
            </w:pPr>
            <w:r w:rsidRPr="00EC2A1C">
              <w:rPr>
                <w:rFonts w:eastAsiaTheme="majorEastAsia"/>
              </w:rPr>
              <w:t>Podle přílohy k ON se efektivního nakládání s energií přímo týkají tyto oblasti intervence (kod): 033 a 034.</w:t>
            </w:r>
          </w:p>
        </w:tc>
        <w:tc>
          <w:tcPr>
            <w:tcW w:w="249" w:type="dxa"/>
            <w:tcBorders>
              <w:top w:val="nil"/>
              <w:bottom w:val="nil"/>
            </w:tcBorders>
            <w:shd w:val="clear" w:color="auto" w:fill="66CCFF"/>
          </w:tcPr>
          <w:p w14:paraId="57FBC44D" w14:textId="77777777" w:rsidR="00DD3EFA" w:rsidRPr="00EC2A1C" w:rsidRDefault="00DD3EFA" w:rsidP="00B15ECB">
            <w:pPr>
              <w:rPr>
                <w:b/>
              </w:rPr>
            </w:pPr>
          </w:p>
        </w:tc>
      </w:tr>
      <w:tr w:rsidR="00DD3EFA" w:rsidRPr="00EC2A1C" w14:paraId="1D3C3038" w14:textId="77777777" w:rsidTr="00B15ECB">
        <w:trPr>
          <w:trHeight w:val="1202"/>
        </w:trPr>
        <w:tc>
          <w:tcPr>
            <w:tcW w:w="249" w:type="dxa"/>
            <w:tcBorders>
              <w:top w:val="nil"/>
              <w:bottom w:val="nil"/>
            </w:tcBorders>
            <w:shd w:val="clear" w:color="auto" w:fill="66CCFF"/>
          </w:tcPr>
          <w:p w14:paraId="44739D3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262C269"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bottom w:val="single" w:sz="4" w:space="0" w:color="auto"/>
            </w:tcBorders>
            <w:shd w:val="clear" w:color="auto" w:fill="FFFFFF" w:themeFill="background1"/>
          </w:tcPr>
          <w:p w14:paraId="41C90CE9" w14:textId="77777777" w:rsidR="00DD3EFA" w:rsidRPr="00EC2A1C" w:rsidRDefault="00DD3EFA" w:rsidP="00B15ECB">
            <w:pPr>
              <w:rPr>
                <w:highlight w:val="yellow"/>
              </w:rPr>
            </w:pPr>
            <w:r w:rsidRPr="00EC2A1C">
              <w:rPr>
                <w:rFonts w:eastAsiaTheme="majorEastAsia"/>
              </w:rPr>
              <w:t>Aktuální znění SDR pro rok 2018 neobsahuje žádná doporučení relevantní pro tuto oblast.</w:t>
            </w:r>
          </w:p>
        </w:tc>
        <w:tc>
          <w:tcPr>
            <w:tcW w:w="249" w:type="dxa"/>
            <w:tcBorders>
              <w:top w:val="nil"/>
              <w:bottom w:val="nil"/>
            </w:tcBorders>
            <w:shd w:val="clear" w:color="auto" w:fill="66CCFF"/>
          </w:tcPr>
          <w:p w14:paraId="59012D85" w14:textId="77777777" w:rsidR="00DD3EFA" w:rsidRPr="00EC2A1C" w:rsidRDefault="00DD3EFA" w:rsidP="00B15ECB">
            <w:pPr>
              <w:rPr>
                <w:b/>
              </w:rPr>
            </w:pPr>
          </w:p>
        </w:tc>
      </w:tr>
      <w:tr w:rsidR="00DD3EFA" w:rsidRPr="00EC2A1C" w14:paraId="1FDA8F3C" w14:textId="77777777" w:rsidTr="00B15ECB">
        <w:trPr>
          <w:trHeight w:val="180"/>
        </w:trPr>
        <w:tc>
          <w:tcPr>
            <w:tcW w:w="249" w:type="dxa"/>
            <w:tcBorders>
              <w:top w:val="nil"/>
              <w:bottom w:val="nil"/>
              <w:right w:val="nil"/>
            </w:tcBorders>
            <w:shd w:val="clear" w:color="auto" w:fill="66CCFF"/>
          </w:tcPr>
          <w:p w14:paraId="29129336" w14:textId="77777777" w:rsidR="00DD3EFA" w:rsidRPr="00EC2A1C" w:rsidRDefault="00DD3EFA" w:rsidP="00B15ECB">
            <w:pPr>
              <w:rPr>
                <w:b/>
              </w:rPr>
            </w:pPr>
          </w:p>
        </w:tc>
        <w:tc>
          <w:tcPr>
            <w:tcW w:w="2548" w:type="dxa"/>
            <w:tcBorders>
              <w:left w:val="nil"/>
              <w:right w:val="nil"/>
            </w:tcBorders>
            <w:shd w:val="clear" w:color="auto" w:fill="66CCFF"/>
          </w:tcPr>
          <w:p w14:paraId="48A6414E" w14:textId="77777777" w:rsidR="00DD3EFA" w:rsidRPr="00EC2A1C" w:rsidRDefault="00DD3EFA" w:rsidP="00B15ECB">
            <w:pPr>
              <w:rPr>
                <w:b/>
              </w:rPr>
            </w:pPr>
          </w:p>
        </w:tc>
        <w:tc>
          <w:tcPr>
            <w:tcW w:w="5978" w:type="dxa"/>
            <w:tcBorders>
              <w:left w:val="nil"/>
              <w:right w:val="nil"/>
            </w:tcBorders>
            <w:shd w:val="clear" w:color="auto" w:fill="66CCFF"/>
          </w:tcPr>
          <w:p w14:paraId="2D241A24" w14:textId="77777777" w:rsidR="00DD3EFA" w:rsidRPr="00EC2A1C" w:rsidRDefault="00DD3EFA" w:rsidP="00B15ECB">
            <w:pPr>
              <w:rPr>
                <w:b/>
              </w:rPr>
            </w:pPr>
          </w:p>
        </w:tc>
        <w:tc>
          <w:tcPr>
            <w:tcW w:w="249" w:type="dxa"/>
            <w:tcBorders>
              <w:top w:val="nil"/>
              <w:left w:val="nil"/>
              <w:bottom w:val="nil"/>
            </w:tcBorders>
            <w:shd w:val="clear" w:color="auto" w:fill="66CCFF"/>
          </w:tcPr>
          <w:p w14:paraId="5D0B9185" w14:textId="77777777" w:rsidR="00DD3EFA" w:rsidRPr="00EC2A1C" w:rsidRDefault="00DD3EFA" w:rsidP="00B15ECB">
            <w:pPr>
              <w:rPr>
                <w:b/>
              </w:rPr>
            </w:pPr>
          </w:p>
        </w:tc>
      </w:tr>
      <w:tr w:rsidR="00DD3EFA" w:rsidRPr="00EC2A1C" w14:paraId="159F0253" w14:textId="77777777" w:rsidTr="00B15ECB">
        <w:trPr>
          <w:trHeight w:val="938"/>
        </w:trPr>
        <w:tc>
          <w:tcPr>
            <w:tcW w:w="249" w:type="dxa"/>
            <w:tcBorders>
              <w:top w:val="nil"/>
              <w:bottom w:val="nil"/>
            </w:tcBorders>
            <w:shd w:val="clear" w:color="auto" w:fill="66CCFF"/>
          </w:tcPr>
          <w:p w14:paraId="1EB5A43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969033B"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0CADCBF3" w14:textId="77777777" w:rsidR="00DD3EFA" w:rsidRPr="00EC2A1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0275D0C5" w14:textId="77777777" w:rsidR="00DD3EFA" w:rsidRPr="00EC2A1C" w:rsidRDefault="00DD3EFA" w:rsidP="00B15ECB">
            <w:pPr>
              <w:rPr>
                <w:rFonts w:eastAsia="Calibri"/>
                <w:b/>
              </w:rPr>
            </w:pPr>
            <w:r w:rsidRPr="00EC2A1C">
              <w:rPr>
                <w:rFonts w:eastAsia="Calibri"/>
                <w:b/>
              </w:rPr>
              <w:t>Strategické dokumenty:</w:t>
            </w:r>
          </w:p>
          <w:p w14:paraId="7CD6BE79" w14:textId="77777777" w:rsidR="00DD3EFA" w:rsidRPr="00EC2A1C" w:rsidRDefault="00DD3EFA" w:rsidP="00B15ECB">
            <w:pPr>
              <w:rPr>
                <w:rFonts w:eastAsia="Calibri"/>
              </w:rPr>
            </w:pPr>
            <w:r w:rsidRPr="00EC2A1C">
              <w:rPr>
                <w:rFonts w:eastAsia="Calibri"/>
              </w:rPr>
              <w:t>Státní energetická koncepce České republiky (2015)</w:t>
            </w:r>
          </w:p>
          <w:p w14:paraId="55562EE7" w14:textId="77777777" w:rsidR="00DD3EFA" w:rsidRPr="00EC2A1C" w:rsidRDefault="00DD3EFA" w:rsidP="00B15ECB">
            <w:pPr>
              <w:rPr>
                <w:rFonts w:eastAsia="Calibri"/>
              </w:rPr>
            </w:pPr>
            <w:r w:rsidRPr="00EC2A1C">
              <w:rPr>
                <w:rFonts w:eastAsia="Calibri"/>
              </w:rPr>
              <w:t>Národní akční plán pro chytré sítě - NAP SG (2015)</w:t>
            </w:r>
          </w:p>
          <w:p w14:paraId="665249EE" w14:textId="77777777" w:rsidR="00DD3EFA" w:rsidRPr="00EC2A1C" w:rsidRDefault="00DD3EFA" w:rsidP="00B15ECB">
            <w:pPr>
              <w:rPr>
                <w:rFonts w:eastAsia="Calibri"/>
              </w:rPr>
            </w:pPr>
            <w:r w:rsidRPr="00EC2A1C">
              <w:rPr>
                <w:rFonts w:eastAsia="Calibri"/>
              </w:rPr>
              <w:t>Desetiletý plán rozvoje přenosové soustavy 2017 – 2026</w:t>
            </w:r>
          </w:p>
          <w:p w14:paraId="7DEB0C85" w14:textId="77777777" w:rsidR="00DD3EFA" w:rsidRPr="00EC2A1C" w:rsidRDefault="00DD3EFA" w:rsidP="00B15ECB">
            <w:pPr>
              <w:spacing w:after="240"/>
              <w:rPr>
                <w:rFonts w:eastAsia="Calibri"/>
              </w:rPr>
            </w:pPr>
            <w:r w:rsidRPr="00EC2A1C">
              <w:rPr>
                <w:rFonts w:eastAsia="Calibri"/>
              </w:rPr>
              <w:t>Desetiletý plán rozvoje přepravní soustavy 2019 – 2028</w:t>
            </w:r>
          </w:p>
          <w:p w14:paraId="3D4C3B15"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b/>
              </w:rPr>
            </w:pPr>
            <w:r w:rsidRPr="00EC2A1C">
              <w:rPr>
                <w:rFonts w:ascii="Times New Roman" w:hAnsi="Times New Roman"/>
                <w:b/>
              </w:rPr>
              <w:t>Analytické dokumenty:</w:t>
            </w:r>
          </w:p>
          <w:p w14:paraId="30837CB5"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Cs/>
              </w:rPr>
            </w:pPr>
            <w:r w:rsidRPr="00EC2A1C">
              <w:rPr>
                <w:rFonts w:ascii="Times New Roman" w:hAnsi="Times New Roman"/>
              </w:rPr>
              <w:t xml:space="preserve">OTE: </w:t>
            </w:r>
            <w:r w:rsidRPr="00EC2A1C">
              <w:rPr>
                <w:rFonts w:ascii="Times New Roman" w:hAnsi="Times New Roman"/>
                <w:iCs/>
              </w:rPr>
              <w:t>Zpráva o očekávané dlouhodobé rovnováze mezi nabídkou a poptávkou elektřiny a plynu</w:t>
            </w:r>
          </w:p>
          <w:p w14:paraId="3F53EAB2" w14:textId="77777777" w:rsidR="00DD3EFA" w:rsidRPr="00EC2A1C" w:rsidRDefault="00DD3EFA" w:rsidP="00B15ECB">
            <w:pPr>
              <w:rPr>
                <w:iCs/>
              </w:rPr>
            </w:pPr>
            <w:r w:rsidRPr="00EC2A1C">
              <w:rPr>
                <w:iCs/>
              </w:rPr>
              <w:t>Důležitým strategickým dokumentem je Vnitrostátní plán v oblasti energetiky a klimatu, který mají členské státy povinnost připravit na základě nařízení o správě energetické unie a opatření v oblasti klimatu. Finální verze tohoto dokumentu musí být předána zástupcům Evropské komise do konce roku 2019. Dne 28. 1. 2018 vzala vláda ČR na vědomí návrh tohoto dokumentu. Vnitrostátní plán postihuje období 2021-2030 s výhledem do roku 2050. Tento dokument lze do určité míry označit za „dominantní“ strategii vzhledem k cílům v oblasti energetiky a klimatu vůči EU, to však ještě neznamená, že dojde k nahrazení dílčích národních strategií tímto dokumentem.</w:t>
            </w:r>
          </w:p>
          <w:p w14:paraId="115F7852" w14:textId="77777777" w:rsidR="00DD3EFA" w:rsidRPr="00EC2A1C" w:rsidRDefault="00DD3EFA" w:rsidP="00B15ECB">
            <w:pPr>
              <w:rPr>
                <w:rFonts w:eastAsiaTheme="majorEastAsia"/>
              </w:rPr>
            </w:pPr>
            <w:r w:rsidRPr="00EC2A1C">
              <w:rPr>
                <w:rFonts w:eastAsiaTheme="majorEastAsia"/>
              </w:rPr>
              <w:t>Implementace Agendy 2030 pro udržitelný rozvoj v ČR: "SDG 7 Zajistit přístup k cenově dostupným, spolehlivým, udržitelným a moderním zdrojům energie pro všechny".</w:t>
            </w:r>
          </w:p>
          <w:p w14:paraId="1697AA7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bottom w:val="nil"/>
            </w:tcBorders>
            <w:shd w:val="clear" w:color="auto" w:fill="66CCFF"/>
          </w:tcPr>
          <w:p w14:paraId="53739EC6" w14:textId="77777777" w:rsidR="00DD3EFA" w:rsidRPr="00EC2A1C" w:rsidRDefault="00DD3EFA" w:rsidP="00B15ECB">
            <w:pPr>
              <w:rPr>
                <w:b/>
              </w:rPr>
            </w:pPr>
          </w:p>
        </w:tc>
      </w:tr>
      <w:tr w:rsidR="00DD3EFA" w:rsidRPr="00EC2A1C" w14:paraId="3CFC3B50" w14:textId="77777777" w:rsidTr="00B15ECB">
        <w:trPr>
          <w:trHeight w:val="938"/>
        </w:trPr>
        <w:tc>
          <w:tcPr>
            <w:tcW w:w="249" w:type="dxa"/>
            <w:tcBorders>
              <w:top w:val="nil"/>
              <w:bottom w:val="nil"/>
            </w:tcBorders>
            <w:shd w:val="clear" w:color="auto" w:fill="66CCFF"/>
          </w:tcPr>
          <w:p w14:paraId="1028EF5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D719CA5"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5A930B7B"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62C4799" w14:textId="77777777" w:rsidR="00DD3EFA" w:rsidRPr="00EC2A1C" w:rsidRDefault="00DD3EFA"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Problémy a potřeby formující obsah daného cíle jsou obsaženy v dokumentu Státní energetická koncepce České republiky (SEK) a rovněž vyplývají z Návrhu vnitrostátního plánu České republiky v oblasti energetiky a klimatu. Konkrétním příkladem v kapitole Vnitrostátní cíle jsou v dimenzi „Energetická bezpečnost“ v oblasti 2.3.1.2</w:t>
            </w:r>
            <w:r w:rsidRPr="00EC2A1C">
              <w:rPr>
                <w:rFonts w:ascii="Times New Roman" w:hAnsi="Times New Roman"/>
              </w:rPr>
              <w:tab/>
              <w:t xml:space="preserve">Elektroenergetika – cíle: </w:t>
            </w:r>
          </w:p>
          <w:p w14:paraId="7BC39138" w14:textId="77777777" w:rsidR="00DD3EFA" w:rsidRPr="00EC2A1C" w:rsidRDefault="00DD3EFA" w:rsidP="00391907">
            <w:pPr>
              <w:pStyle w:val="slovanodstavec"/>
              <w:numPr>
                <w:ilvl w:val="0"/>
                <w:numId w:val="96"/>
              </w:numPr>
              <w:tabs>
                <w:tab w:val="left" w:pos="284"/>
              </w:tabs>
              <w:suppressAutoHyphens/>
              <w:spacing w:after="0" w:line="240" w:lineRule="auto"/>
              <w:ind w:left="357" w:hanging="357"/>
              <w:rPr>
                <w:rFonts w:ascii="Times New Roman" w:hAnsi="Times New Roman"/>
              </w:rPr>
            </w:pPr>
            <w:r w:rsidRPr="00EC2A1C">
              <w:rPr>
                <w:rFonts w:ascii="Times New Roman" w:hAnsi="Times New Roman"/>
              </w:rPr>
              <w:t>Zachování vysoké kvality zásobování energií a plnění parametrů přiměřenosti výrobních kapacit,</w:t>
            </w:r>
          </w:p>
          <w:p w14:paraId="18A70CFA" w14:textId="77777777" w:rsidR="00DD3EFA" w:rsidRPr="00EC2A1C" w:rsidRDefault="00DD3EFA" w:rsidP="00391907">
            <w:pPr>
              <w:pStyle w:val="slovanodstavec"/>
              <w:numPr>
                <w:ilvl w:val="0"/>
                <w:numId w:val="96"/>
              </w:numPr>
              <w:tabs>
                <w:tab w:val="left" w:pos="284"/>
              </w:tabs>
              <w:suppressAutoHyphens/>
              <w:spacing w:after="0" w:line="240" w:lineRule="auto"/>
              <w:ind w:left="357" w:hanging="357"/>
              <w:rPr>
                <w:rFonts w:ascii="Times New Roman" w:hAnsi="Times New Roman"/>
              </w:rPr>
            </w:pPr>
            <w:r w:rsidRPr="00EC2A1C">
              <w:rPr>
                <w:rFonts w:ascii="Times New Roman" w:hAnsi="Times New Roman"/>
              </w:rPr>
              <w:t>Zajištění soběstačnosti ve výrobě elektřiny, založené zejména na vyspělých konvenčních technologiích s vysokou účinností přeměny a s narůstajícím podílem obnovitelných a druhotných zdrojů.</w:t>
            </w:r>
          </w:p>
          <w:p w14:paraId="5BA9A192" w14:textId="77777777" w:rsidR="00DD3EFA" w:rsidRPr="00EC2A1C" w:rsidRDefault="00DD3EFA"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Na to navazují požadavky v kapitole Politiky a opatření, dimenze „Energetická bezpečnosti“ v oblasti elektroenergetiky např.</w:t>
            </w:r>
          </w:p>
          <w:p w14:paraId="15A83436" w14:textId="77777777" w:rsidR="00DD3EFA" w:rsidRPr="00EC2A1C" w:rsidRDefault="00DD3EFA" w:rsidP="00391907">
            <w:pPr>
              <w:pStyle w:val="slovanodstavec"/>
              <w:numPr>
                <w:ilvl w:val="0"/>
                <w:numId w:val="96"/>
              </w:numPr>
              <w:tabs>
                <w:tab w:val="left" w:pos="284"/>
              </w:tabs>
              <w:suppressAutoHyphens/>
              <w:spacing w:after="0" w:line="240" w:lineRule="auto"/>
              <w:rPr>
                <w:rFonts w:ascii="Times New Roman" w:hAnsi="Times New Roman"/>
              </w:rPr>
            </w:pPr>
            <w:r w:rsidRPr="00EC2A1C">
              <w:rPr>
                <w:rFonts w:ascii="Times New Roman" w:hAnsi="Times New Roman"/>
              </w:rPr>
              <w:t>rozvoj přenosové soustavy (respektive distribučních soustav) s cílem zajistit systémovou a výrobní přiměřenost soustavy a bezpečnost dodávek elektřiny zajišťující dlouhodobé plnění kritéria N-1; a dále</w:t>
            </w:r>
          </w:p>
          <w:p w14:paraId="70E7AABF" w14:textId="77777777" w:rsidR="00DD3EFA" w:rsidRPr="00EC2A1C" w:rsidRDefault="00DD3EFA" w:rsidP="00391907">
            <w:pPr>
              <w:pStyle w:val="slovanodstavec"/>
              <w:numPr>
                <w:ilvl w:val="0"/>
                <w:numId w:val="96"/>
              </w:numPr>
              <w:tabs>
                <w:tab w:val="left" w:pos="284"/>
              </w:tabs>
              <w:suppressAutoHyphens/>
              <w:spacing w:line="240" w:lineRule="auto"/>
              <w:rPr>
                <w:rFonts w:ascii="Times New Roman" w:hAnsi="Times New Roman"/>
              </w:rPr>
            </w:pPr>
            <w:r w:rsidRPr="00EC2A1C">
              <w:rPr>
                <w:rFonts w:ascii="Times New Roman" w:hAnsi="Times New Roman"/>
              </w:rPr>
              <w:t>opatření vyplývající z evropské legislativy.</w:t>
            </w:r>
          </w:p>
          <w:p w14:paraId="028E44E5"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V plynárenství a teplárenství je situace analogická.</w:t>
            </w:r>
          </w:p>
        </w:tc>
        <w:tc>
          <w:tcPr>
            <w:tcW w:w="249" w:type="dxa"/>
            <w:tcBorders>
              <w:top w:val="nil"/>
              <w:bottom w:val="nil"/>
            </w:tcBorders>
            <w:shd w:val="clear" w:color="auto" w:fill="66CCFF"/>
          </w:tcPr>
          <w:p w14:paraId="26F5C110" w14:textId="77777777" w:rsidR="00DD3EFA" w:rsidRPr="00EC2A1C" w:rsidRDefault="00DD3EFA" w:rsidP="00B15ECB">
            <w:pPr>
              <w:rPr>
                <w:b/>
              </w:rPr>
            </w:pPr>
          </w:p>
        </w:tc>
      </w:tr>
      <w:tr w:rsidR="00DD3EFA" w:rsidRPr="00EC2A1C" w14:paraId="6D5E28BD" w14:textId="77777777" w:rsidTr="00B15ECB">
        <w:trPr>
          <w:trHeight w:val="938"/>
        </w:trPr>
        <w:tc>
          <w:tcPr>
            <w:tcW w:w="249" w:type="dxa"/>
            <w:tcBorders>
              <w:top w:val="nil"/>
              <w:bottom w:val="nil"/>
            </w:tcBorders>
            <w:shd w:val="clear" w:color="auto" w:fill="66CCFF"/>
          </w:tcPr>
          <w:p w14:paraId="337C34E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F05FDF2"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63EC1510"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2F0F315"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Jasně definovaným cílem v této oblasti je tzv. Barcelonské kritérium, které požaduje dosažení 15 % interkonektivity v roce 2030. Dále se jedná o cíle zachování bezpečnostních parametrů přenosové a přepravní soustavy a distribučních soustav jak v oblasti energetiky a plynu ve vyjádření základních ukazatelů jako jsou LOLE, SAIFY, SAIDY a také kritéria N-1. Státní energetické koncepce také uvádí cíl modernizace infrastruktury tak, aby se dále nezvyšovalo její průměrné stáří.</w:t>
            </w:r>
          </w:p>
          <w:p w14:paraId="20AA588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Dílčí cíle jsou mimo jiné uvedeny v Návrhu vnitrostátního plánu v oblasti energetiky a klimatu.  Podrobnější opatření jsou dále uvedena v plánech rozvoje jednotlivých regulovaných subjektů v energetice a např. v elektroenergetice také v aktualizaci Národního akčního plánu pro chytré sítě, kterou MPO zpracovává s výhledem do roku 2030.</w:t>
            </w:r>
          </w:p>
        </w:tc>
        <w:tc>
          <w:tcPr>
            <w:tcW w:w="249" w:type="dxa"/>
            <w:tcBorders>
              <w:top w:val="nil"/>
              <w:bottom w:val="nil"/>
            </w:tcBorders>
            <w:shd w:val="clear" w:color="auto" w:fill="66CCFF"/>
          </w:tcPr>
          <w:p w14:paraId="4212FC19" w14:textId="77777777" w:rsidR="00DD3EFA" w:rsidRPr="00EC2A1C" w:rsidRDefault="00DD3EFA" w:rsidP="00B15ECB">
            <w:pPr>
              <w:rPr>
                <w:b/>
              </w:rPr>
            </w:pPr>
          </w:p>
        </w:tc>
      </w:tr>
      <w:tr w:rsidR="00DD3EFA" w:rsidRPr="00EC2A1C" w14:paraId="2263828A" w14:textId="77777777" w:rsidTr="00B15ECB">
        <w:trPr>
          <w:trHeight w:val="938"/>
        </w:trPr>
        <w:tc>
          <w:tcPr>
            <w:tcW w:w="249" w:type="dxa"/>
            <w:tcBorders>
              <w:top w:val="nil"/>
              <w:bottom w:val="nil"/>
            </w:tcBorders>
            <w:shd w:val="clear" w:color="auto" w:fill="66CCFF"/>
          </w:tcPr>
          <w:p w14:paraId="504DDCC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61CDEAB"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2C972E6C"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EDCB91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Implementace strategie a jejích dílčích částí bude zajištěna prostřednictvím realizace opatření určených a schválených v návaznosti na výše uvedené dokumenty.</w:t>
            </w:r>
          </w:p>
        </w:tc>
        <w:tc>
          <w:tcPr>
            <w:tcW w:w="249" w:type="dxa"/>
            <w:tcBorders>
              <w:top w:val="nil"/>
              <w:bottom w:val="nil"/>
            </w:tcBorders>
            <w:shd w:val="clear" w:color="auto" w:fill="66CCFF"/>
          </w:tcPr>
          <w:p w14:paraId="34B517EC" w14:textId="77777777" w:rsidR="00DD3EFA" w:rsidRPr="00EC2A1C" w:rsidRDefault="00DD3EFA" w:rsidP="00B15ECB">
            <w:pPr>
              <w:rPr>
                <w:b/>
              </w:rPr>
            </w:pPr>
          </w:p>
        </w:tc>
      </w:tr>
      <w:tr w:rsidR="00DD3EFA" w:rsidRPr="00EC2A1C" w14:paraId="409CAD1E" w14:textId="77777777" w:rsidTr="00B15ECB">
        <w:trPr>
          <w:trHeight w:val="938"/>
        </w:trPr>
        <w:tc>
          <w:tcPr>
            <w:tcW w:w="249" w:type="dxa"/>
            <w:tcBorders>
              <w:top w:val="nil"/>
              <w:bottom w:val="nil"/>
            </w:tcBorders>
            <w:shd w:val="clear" w:color="auto" w:fill="66CCFF"/>
          </w:tcPr>
          <w:p w14:paraId="5E93BEC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509A4B0"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tcBorders>
              <w:bottom w:val="single" w:sz="4" w:space="0" w:color="auto"/>
            </w:tcBorders>
            <w:shd w:val="clear" w:color="auto" w:fill="FFFFFF" w:themeFill="background1"/>
          </w:tcPr>
          <w:p w14:paraId="3DFFE51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Předpokládá se u všech opatření, pokud není např. evropskou legislativou požadováno jinak, roční vyhodnocování. V případě jednotlivých projektů bude vyhodnocování probíhat podle harmonogramu konkrétního projektu, resp. požadavků určených při přiznání podpory.</w:t>
            </w:r>
          </w:p>
        </w:tc>
        <w:tc>
          <w:tcPr>
            <w:tcW w:w="249" w:type="dxa"/>
            <w:tcBorders>
              <w:top w:val="nil"/>
              <w:bottom w:val="nil"/>
            </w:tcBorders>
            <w:shd w:val="clear" w:color="auto" w:fill="66CCFF"/>
          </w:tcPr>
          <w:p w14:paraId="1D0414BF" w14:textId="77777777" w:rsidR="00DD3EFA" w:rsidRPr="00EC2A1C" w:rsidRDefault="00DD3EFA" w:rsidP="00B15ECB">
            <w:pPr>
              <w:rPr>
                <w:b/>
              </w:rPr>
            </w:pPr>
          </w:p>
        </w:tc>
      </w:tr>
      <w:tr w:rsidR="00DD3EFA" w:rsidRPr="00EC2A1C" w14:paraId="52FA6AC3" w14:textId="77777777" w:rsidTr="00B15ECB">
        <w:trPr>
          <w:trHeight w:val="130"/>
        </w:trPr>
        <w:tc>
          <w:tcPr>
            <w:tcW w:w="249" w:type="dxa"/>
            <w:tcBorders>
              <w:top w:val="nil"/>
              <w:bottom w:val="nil"/>
              <w:right w:val="nil"/>
            </w:tcBorders>
            <w:shd w:val="clear" w:color="auto" w:fill="66CCFF"/>
          </w:tcPr>
          <w:p w14:paraId="55AA278C" w14:textId="77777777" w:rsidR="00DD3EFA" w:rsidRPr="00EC2A1C" w:rsidRDefault="00DD3EFA" w:rsidP="00B15ECB">
            <w:pPr>
              <w:rPr>
                <w:b/>
              </w:rPr>
            </w:pPr>
          </w:p>
        </w:tc>
        <w:tc>
          <w:tcPr>
            <w:tcW w:w="2548" w:type="dxa"/>
            <w:tcBorders>
              <w:left w:val="nil"/>
              <w:right w:val="nil"/>
            </w:tcBorders>
            <w:shd w:val="clear" w:color="auto" w:fill="66CCFF"/>
          </w:tcPr>
          <w:p w14:paraId="7BBC02EB" w14:textId="77777777" w:rsidR="00DD3EFA" w:rsidRPr="00EC2A1C" w:rsidRDefault="00DD3EFA" w:rsidP="00B15ECB">
            <w:pPr>
              <w:rPr>
                <w:b/>
              </w:rPr>
            </w:pPr>
          </w:p>
        </w:tc>
        <w:tc>
          <w:tcPr>
            <w:tcW w:w="5978" w:type="dxa"/>
            <w:tcBorders>
              <w:left w:val="nil"/>
              <w:right w:val="nil"/>
            </w:tcBorders>
            <w:shd w:val="clear" w:color="auto" w:fill="66CCFF"/>
          </w:tcPr>
          <w:p w14:paraId="76C8E223"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inorHAnsi" w:hAnsi="Times New Roman"/>
                <w:b/>
                <w:noProof/>
              </w:rPr>
            </w:pPr>
          </w:p>
        </w:tc>
        <w:tc>
          <w:tcPr>
            <w:tcW w:w="249" w:type="dxa"/>
            <w:tcBorders>
              <w:top w:val="nil"/>
              <w:left w:val="nil"/>
              <w:bottom w:val="nil"/>
            </w:tcBorders>
            <w:shd w:val="clear" w:color="auto" w:fill="66CCFF"/>
          </w:tcPr>
          <w:p w14:paraId="139840CB" w14:textId="77777777" w:rsidR="00DD3EFA" w:rsidRPr="00EC2A1C" w:rsidRDefault="00DD3EFA" w:rsidP="00B15ECB">
            <w:pPr>
              <w:rPr>
                <w:b/>
              </w:rPr>
            </w:pPr>
          </w:p>
        </w:tc>
      </w:tr>
      <w:tr w:rsidR="00DD3EFA" w:rsidRPr="00EC2A1C" w14:paraId="26098CE1" w14:textId="77777777" w:rsidTr="00B15ECB">
        <w:trPr>
          <w:trHeight w:val="1258"/>
        </w:trPr>
        <w:tc>
          <w:tcPr>
            <w:tcW w:w="249" w:type="dxa"/>
            <w:tcBorders>
              <w:top w:val="nil"/>
              <w:bottom w:val="nil"/>
              <w:right w:val="nil"/>
            </w:tcBorders>
            <w:shd w:val="clear" w:color="auto" w:fill="66CCFF"/>
          </w:tcPr>
          <w:p w14:paraId="6BDE8B76" w14:textId="77777777" w:rsidR="00DD3EFA" w:rsidRPr="00EC2A1C" w:rsidRDefault="00DD3EFA" w:rsidP="00B15ECB">
            <w:pPr>
              <w:rPr>
                <w:b/>
              </w:rPr>
            </w:pPr>
          </w:p>
        </w:tc>
        <w:tc>
          <w:tcPr>
            <w:tcW w:w="8526" w:type="dxa"/>
            <w:gridSpan w:val="2"/>
            <w:shd w:val="clear" w:color="auto" w:fill="FFFFFF" w:themeFill="background1"/>
          </w:tcPr>
          <w:p w14:paraId="539918CA"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3358DF04" w14:textId="77777777" w:rsidR="00DD3EFA" w:rsidRPr="00EC2A1C" w:rsidRDefault="00DD3EFA" w:rsidP="00B15ECB">
            <w:pPr>
              <w:rPr>
                <w:rFonts w:eastAsiaTheme="majorEastAsia"/>
                <w:b/>
              </w:rPr>
            </w:pPr>
          </w:p>
          <w:p w14:paraId="737069ED"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u w:val="single"/>
              </w:rPr>
            </w:pPr>
          </w:p>
        </w:tc>
        <w:tc>
          <w:tcPr>
            <w:tcW w:w="249" w:type="dxa"/>
            <w:tcBorders>
              <w:top w:val="nil"/>
              <w:left w:val="nil"/>
              <w:bottom w:val="nil"/>
            </w:tcBorders>
            <w:shd w:val="clear" w:color="auto" w:fill="66CCFF"/>
          </w:tcPr>
          <w:p w14:paraId="3A9CA242" w14:textId="77777777" w:rsidR="00DD3EFA" w:rsidRPr="00EC2A1C" w:rsidRDefault="00DD3EFA" w:rsidP="00B15ECB">
            <w:pPr>
              <w:rPr>
                <w:b/>
              </w:rPr>
            </w:pPr>
          </w:p>
        </w:tc>
      </w:tr>
      <w:tr w:rsidR="00DD3EFA" w:rsidRPr="00EC2A1C" w14:paraId="6B51F051" w14:textId="77777777" w:rsidTr="00B15ECB">
        <w:trPr>
          <w:trHeight w:val="1258"/>
        </w:trPr>
        <w:tc>
          <w:tcPr>
            <w:tcW w:w="249" w:type="dxa"/>
            <w:tcBorders>
              <w:top w:val="nil"/>
              <w:bottom w:val="nil"/>
              <w:right w:val="nil"/>
            </w:tcBorders>
            <w:shd w:val="clear" w:color="auto" w:fill="66CCFF"/>
          </w:tcPr>
          <w:p w14:paraId="576E517A" w14:textId="77777777" w:rsidR="00DD3EFA" w:rsidRPr="00EC2A1C" w:rsidRDefault="00DD3EFA" w:rsidP="00B15ECB">
            <w:pPr>
              <w:rPr>
                <w:b/>
              </w:rPr>
            </w:pPr>
          </w:p>
        </w:tc>
        <w:tc>
          <w:tcPr>
            <w:tcW w:w="2548" w:type="dxa"/>
            <w:shd w:val="clear" w:color="auto" w:fill="FFFFFF" w:themeFill="background1"/>
          </w:tcPr>
          <w:p w14:paraId="3E38A8EF" w14:textId="77777777" w:rsidR="00DD3EFA" w:rsidRPr="00EC2A1C" w:rsidRDefault="00DD3EFA" w:rsidP="00B15ECB">
            <w:pPr>
              <w:rPr>
                <w:rFonts w:eastAsiaTheme="majorEastAsia"/>
                <w:b/>
              </w:rPr>
            </w:pPr>
            <w:r w:rsidRPr="00EC2A1C">
              <w:rPr>
                <w:rFonts w:eastAsiaTheme="majorEastAsia"/>
                <w:b/>
              </w:rPr>
              <w:t>Věcný posun oblasti</w:t>
            </w:r>
          </w:p>
          <w:p w14:paraId="1EB5BD15"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3D238374" w14:textId="77777777" w:rsidR="00DD3EFA" w:rsidRPr="00EC2A1C" w:rsidRDefault="00DD3EFA" w:rsidP="00B15ECB">
            <w:pPr>
              <w:rPr>
                <w:rFonts w:eastAsiaTheme="majorEastAsia"/>
              </w:rPr>
            </w:pPr>
            <w:r w:rsidRPr="00EC2A1C">
              <w:rPr>
                <w:rFonts w:eastAsiaTheme="majorEastAsia"/>
              </w:rPr>
              <w:t>V období 2007–2013 nebyly tyto aktivity předmětem podpory z ESIF (OPPI).</w:t>
            </w:r>
          </w:p>
          <w:p w14:paraId="1676D528" w14:textId="77777777" w:rsidR="00DD3EFA" w:rsidRPr="00EC2A1C" w:rsidRDefault="00DD3EFA" w:rsidP="00B15ECB">
            <w:pPr>
              <w:rPr>
                <w:rFonts w:eastAsiaTheme="majorEastAsia"/>
              </w:rPr>
            </w:pPr>
          </w:p>
          <w:p w14:paraId="67DC151A" w14:textId="77777777" w:rsidR="00DD3EFA" w:rsidRPr="00EC2A1C" w:rsidRDefault="00DD3EFA" w:rsidP="00B15ECB">
            <w:pPr>
              <w:rPr>
                <w:rFonts w:eastAsiaTheme="majorEastAsia"/>
              </w:rPr>
            </w:pPr>
            <w:r w:rsidRPr="00EC2A1C">
              <w:rPr>
                <w:rFonts w:eastAsiaTheme="majorEastAsia"/>
              </w:rPr>
              <w:t xml:space="preserve">Za období 2014–2020 vyhodnocení probíhá v těchto dnech. Jde o Výsledkovou evaluaci SC 3.6 OP PIK (SC 3.3 není předmětem hodnocení, jelikož </w:t>
            </w:r>
            <w:r w:rsidRPr="00EC2A1C">
              <w:t>jej nelze pro nedostatek proplacených projektů vyhodnotit).</w:t>
            </w:r>
            <w:r w:rsidRPr="00EC2A1C">
              <w:rPr>
                <w:rFonts w:eastAsiaTheme="majorEastAsia"/>
              </w:rPr>
              <w:t xml:space="preserve"> Dne 1. 2. 2019 byla předána Vstupní zpráva, Závěrečná zpráva se předpokládá v červnu 2019.</w:t>
            </w:r>
          </w:p>
          <w:p w14:paraId="012281C8"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p>
        </w:tc>
        <w:tc>
          <w:tcPr>
            <w:tcW w:w="249" w:type="dxa"/>
            <w:tcBorders>
              <w:top w:val="nil"/>
              <w:left w:val="nil"/>
              <w:bottom w:val="nil"/>
            </w:tcBorders>
            <w:shd w:val="clear" w:color="auto" w:fill="66CCFF"/>
          </w:tcPr>
          <w:p w14:paraId="23D98862" w14:textId="77777777" w:rsidR="00DD3EFA" w:rsidRPr="00EC2A1C" w:rsidRDefault="00DD3EFA" w:rsidP="00B15ECB">
            <w:pPr>
              <w:rPr>
                <w:b/>
              </w:rPr>
            </w:pPr>
          </w:p>
        </w:tc>
      </w:tr>
      <w:tr w:rsidR="00DD3EFA" w:rsidRPr="00EC2A1C" w14:paraId="1CE2F54E" w14:textId="77777777" w:rsidTr="00B15ECB">
        <w:trPr>
          <w:trHeight w:val="1258"/>
        </w:trPr>
        <w:tc>
          <w:tcPr>
            <w:tcW w:w="249" w:type="dxa"/>
            <w:tcBorders>
              <w:top w:val="nil"/>
              <w:bottom w:val="nil"/>
              <w:right w:val="nil"/>
            </w:tcBorders>
            <w:shd w:val="clear" w:color="auto" w:fill="66CCFF"/>
          </w:tcPr>
          <w:p w14:paraId="417D3B2A" w14:textId="77777777" w:rsidR="00DD3EFA" w:rsidRPr="00EC2A1C" w:rsidRDefault="00DD3EFA" w:rsidP="00B15ECB">
            <w:pPr>
              <w:rPr>
                <w:b/>
              </w:rPr>
            </w:pPr>
          </w:p>
        </w:tc>
        <w:tc>
          <w:tcPr>
            <w:tcW w:w="2548" w:type="dxa"/>
            <w:shd w:val="clear" w:color="auto" w:fill="FFFFFF" w:themeFill="background1"/>
          </w:tcPr>
          <w:p w14:paraId="7C53937E" w14:textId="77777777" w:rsidR="00DD3EFA" w:rsidRPr="00EC2A1C" w:rsidRDefault="00DD3EFA" w:rsidP="00B15ECB">
            <w:pPr>
              <w:rPr>
                <w:rFonts w:eastAsiaTheme="majorEastAsia"/>
                <w:b/>
              </w:rPr>
            </w:pPr>
            <w:r w:rsidRPr="00EC2A1C">
              <w:rPr>
                <w:rFonts w:eastAsiaTheme="majorEastAsia"/>
                <w:b/>
              </w:rPr>
              <w:t>Synergické a multiplikační efekty</w:t>
            </w:r>
          </w:p>
          <w:p w14:paraId="2D4E55CA"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313DFA8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Specifický cíl má synergické a multiplikační efekty na oblast životního prostředí. Prostřednictvím akumulace energie a optimalizace připojení OZE dojde ke zvýšení podílu OZE na výrobě energie. Plnění cíle má dopad snížení podílu uhlí při výrobě energie neboť umožní napojení nových nebo modernizovaných zdrojů. Modernizace energetických sítí má rovněž pozitivní dopad na úspory energie a ekonomický rozvoj. </w:t>
            </w:r>
          </w:p>
          <w:p w14:paraId="31C0E635"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p>
        </w:tc>
        <w:tc>
          <w:tcPr>
            <w:tcW w:w="249" w:type="dxa"/>
            <w:tcBorders>
              <w:top w:val="nil"/>
              <w:left w:val="nil"/>
              <w:bottom w:val="nil"/>
            </w:tcBorders>
            <w:shd w:val="clear" w:color="auto" w:fill="66CCFF"/>
          </w:tcPr>
          <w:p w14:paraId="504C5EF0" w14:textId="77777777" w:rsidR="00DD3EFA" w:rsidRPr="00EC2A1C" w:rsidRDefault="00DD3EFA" w:rsidP="00B15ECB">
            <w:pPr>
              <w:rPr>
                <w:b/>
              </w:rPr>
            </w:pPr>
          </w:p>
        </w:tc>
      </w:tr>
      <w:tr w:rsidR="00DD3EFA" w:rsidRPr="00EC2A1C" w14:paraId="7575C7A2" w14:textId="77777777" w:rsidTr="00B15ECB">
        <w:trPr>
          <w:trHeight w:val="180"/>
        </w:trPr>
        <w:tc>
          <w:tcPr>
            <w:tcW w:w="249" w:type="dxa"/>
            <w:tcBorders>
              <w:top w:val="nil"/>
              <w:bottom w:val="nil"/>
              <w:right w:val="nil"/>
            </w:tcBorders>
            <w:shd w:val="clear" w:color="auto" w:fill="66CCFF"/>
          </w:tcPr>
          <w:p w14:paraId="49E97C30"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1D4E28E3"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5A835212" w14:textId="77777777" w:rsidR="00DD3EFA" w:rsidRPr="00EC2A1C" w:rsidRDefault="00DD3EFA" w:rsidP="00B15ECB">
            <w:pPr>
              <w:rPr>
                <w:b/>
              </w:rPr>
            </w:pPr>
          </w:p>
        </w:tc>
        <w:tc>
          <w:tcPr>
            <w:tcW w:w="249" w:type="dxa"/>
            <w:tcBorders>
              <w:top w:val="nil"/>
              <w:left w:val="nil"/>
              <w:bottom w:val="nil"/>
            </w:tcBorders>
            <w:shd w:val="clear" w:color="auto" w:fill="66CCFF"/>
          </w:tcPr>
          <w:p w14:paraId="7AF072EC" w14:textId="77777777" w:rsidR="00DD3EFA" w:rsidRPr="00EC2A1C" w:rsidRDefault="00DD3EFA" w:rsidP="00B15ECB">
            <w:pPr>
              <w:rPr>
                <w:b/>
              </w:rPr>
            </w:pPr>
          </w:p>
        </w:tc>
      </w:tr>
      <w:tr w:rsidR="00DD3EFA" w:rsidRPr="00EC2A1C" w14:paraId="57AE6A23" w14:textId="77777777" w:rsidTr="00B15ECB">
        <w:trPr>
          <w:trHeight w:val="990"/>
        </w:trPr>
        <w:tc>
          <w:tcPr>
            <w:tcW w:w="249" w:type="dxa"/>
            <w:tcBorders>
              <w:top w:val="nil"/>
              <w:bottom w:val="nil"/>
            </w:tcBorders>
            <w:shd w:val="clear" w:color="auto" w:fill="66CCFF"/>
          </w:tcPr>
          <w:p w14:paraId="42789474" w14:textId="77777777" w:rsidR="00DD3EFA" w:rsidRPr="00EC2A1C" w:rsidRDefault="00DD3EFA" w:rsidP="00B15ECB">
            <w:pPr>
              <w:rPr>
                <w:b/>
              </w:rPr>
            </w:pPr>
          </w:p>
        </w:tc>
        <w:tc>
          <w:tcPr>
            <w:tcW w:w="8526" w:type="dxa"/>
            <w:gridSpan w:val="2"/>
            <w:tcBorders>
              <w:bottom w:val="single" w:sz="4" w:space="0" w:color="auto"/>
            </w:tcBorders>
            <w:shd w:val="clear" w:color="auto" w:fill="FFFFFF" w:themeFill="background1"/>
          </w:tcPr>
          <w:p w14:paraId="26E3F0B2" w14:textId="77777777" w:rsidR="00DD3EFA" w:rsidRPr="00EC2A1C" w:rsidRDefault="00DD3EFA"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1195AC3E" w14:textId="77777777" w:rsidR="00DD3EFA" w:rsidRPr="00EC2A1C" w:rsidRDefault="00DD3EFA">
            <w:pPr>
              <w:spacing w:before="60" w:after="60"/>
              <w:rPr>
                <w:rFonts w:eastAsiaTheme="majorEastAsia"/>
              </w:rPr>
            </w:pPr>
          </w:p>
        </w:tc>
        <w:tc>
          <w:tcPr>
            <w:tcW w:w="249" w:type="dxa"/>
            <w:tcBorders>
              <w:top w:val="nil"/>
              <w:bottom w:val="nil"/>
            </w:tcBorders>
            <w:shd w:val="clear" w:color="auto" w:fill="66CCFF"/>
          </w:tcPr>
          <w:p w14:paraId="35FD7641" w14:textId="77777777" w:rsidR="00DD3EFA" w:rsidRPr="00EC2A1C" w:rsidRDefault="00DD3EFA" w:rsidP="00B15ECB">
            <w:pPr>
              <w:rPr>
                <w:b/>
              </w:rPr>
            </w:pPr>
          </w:p>
        </w:tc>
      </w:tr>
      <w:tr w:rsidR="00DD3EFA" w:rsidRPr="00EC2A1C" w14:paraId="7B831791" w14:textId="77777777" w:rsidTr="00B15ECB">
        <w:trPr>
          <w:trHeight w:val="1260"/>
        </w:trPr>
        <w:tc>
          <w:tcPr>
            <w:tcW w:w="249" w:type="dxa"/>
            <w:tcBorders>
              <w:top w:val="nil"/>
              <w:bottom w:val="nil"/>
            </w:tcBorders>
            <w:shd w:val="clear" w:color="auto" w:fill="66CCFF"/>
          </w:tcPr>
          <w:p w14:paraId="592AA85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488F37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24F0D840" w14:textId="77777777" w:rsidR="00DD3EFA" w:rsidRPr="00EC2A1C" w:rsidRDefault="00DD3EFA" w:rsidP="00B15ECB">
            <w:pPr>
              <w:pStyle w:val="kapitola2A0"/>
              <w:numPr>
                <w:ilvl w:val="0"/>
                <w:numId w:val="0"/>
              </w:numPr>
              <w:rPr>
                <w:rFonts w:ascii="Times New Roman" w:eastAsia="Calibri" w:hAnsi="Times New Roman"/>
                <w:b w:val="0"/>
                <w:bCs w:val="0"/>
                <w:color w:val="auto"/>
                <w:sz w:val="20"/>
                <w:lang w:eastAsia="en-US"/>
              </w:rPr>
            </w:pPr>
            <w:bookmarkStart w:id="31" w:name="_Toc485032809"/>
            <w:r w:rsidRPr="00EC2A1C">
              <w:rPr>
                <w:rFonts w:ascii="Times New Roman" w:eastAsia="Calibri" w:hAnsi="Times New Roman"/>
                <w:b w:val="0"/>
                <w:bCs w:val="0"/>
                <w:color w:val="auto"/>
                <w:sz w:val="20"/>
                <w:lang w:eastAsia="en-US"/>
              </w:rPr>
              <w:t>Stav čerpání ke dni 29. 1. 2019 v rámci SC 3.3 Zvýšit aplikaci prvků inteligentních sítí v distribučních soustavách (OPPIK 2014 -2020):</w:t>
            </w:r>
          </w:p>
          <w:p w14:paraId="46A4D5AF" w14:textId="77777777" w:rsidR="00DD3EFA" w:rsidRPr="00EC2A1C" w:rsidRDefault="00DD3EFA" w:rsidP="00B15ECB">
            <w:pPr>
              <w:pStyle w:val="kapitola2A0"/>
              <w:numPr>
                <w:ilvl w:val="0"/>
                <w:numId w:val="0"/>
              </w:numPr>
              <w:rPr>
                <w:rFonts w:ascii="Times New Roman" w:eastAsia="Calibri" w:hAnsi="Times New Roman"/>
                <w:b w:val="0"/>
                <w:bCs w:val="0"/>
                <w:color w:val="auto"/>
                <w:sz w:val="20"/>
                <w:lang w:eastAsia="en-US"/>
              </w:rPr>
            </w:pPr>
            <w:r w:rsidRPr="00EC2A1C">
              <w:rPr>
                <w:rFonts w:ascii="Times New Roman" w:eastAsia="Calibri" w:hAnsi="Times New Roman"/>
                <w:b w:val="0"/>
                <w:bCs w:val="0"/>
                <w:color w:val="auto"/>
                <w:sz w:val="20"/>
                <w:lang w:eastAsia="en-US"/>
              </w:rPr>
              <w:t>V rámci SC 3.3 bylo předloženo ke dni 29. 1. 2019 celkem 15 plných žádostí, jejichž celkové způsobilé výdaje dosahují 411 322 469 Kč s požadovanou dotací 164 528 988 Kč. Schválené projekty jsou 4 s celkovými způsobilými výdaji ve výši 249 873 903 Kč a požadovanou dotací 99 949 561 Kč. Vydaná rozhodnutí o poskytnutí dotace jsou na 3 projekty s celkovými způsobilými výdaji ve výši 243 372 668 Kč a požadovanou dotací 97 349 067 Kč. Proplacena byla jedna žádost o platbu, jejíž způsobilé výdaje byly ve výši 14 971 674 Kč a poskytnutá dotace ve výši 5 972 670 Kč.</w:t>
            </w:r>
          </w:p>
          <w:p w14:paraId="3CA66A86" w14:textId="77777777" w:rsidR="00DD3EFA" w:rsidRPr="00EC2A1C" w:rsidRDefault="00DD3EFA" w:rsidP="00B15ECB">
            <w:pPr>
              <w:pStyle w:val="kapitola2A0"/>
              <w:numPr>
                <w:ilvl w:val="0"/>
                <w:numId w:val="0"/>
              </w:numPr>
              <w:rPr>
                <w:rFonts w:ascii="Times New Roman" w:eastAsia="Calibri" w:hAnsi="Times New Roman"/>
                <w:b w:val="0"/>
                <w:bCs w:val="0"/>
                <w:color w:val="auto"/>
                <w:sz w:val="20"/>
                <w:lang w:eastAsia="en-US"/>
              </w:rPr>
            </w:pPr>
            <w:r w:rsidRPr="00EC2A1C">
              <w:rPr>
                <w:rFonts w:ascii="Times New Roman" w:eastAsia="Calibri" w:hAnsi="Times New Roman"/>
                <w:b w:val="0"/>
                <w:bCs w:val="0"/>
                <w:color w:val="auto"/>
                <w:sz w:val="20"/>
                <w:lang w:eastAsia="en-US"/>
              </w:rPr>
              <w:t>Podle programového dokumentu OP PIK činí celková alokace na investiční dotace této investiční priority €37 mil.</w:t>
            </w:r>
          </w:p>
          <w:p w14:paraId="57516940" w14:textId="77777777" w:rsidR="00DD3EFA" w:rsidRPr="00EC2A1C" w:rsidRDefault="00DD3EFA" w:rsidP="00B15ECB">
            <w:pPr>
              <w:pStyle w:val="kapitola2A0"/>
              <w:numPr>
                <w:ilvl w:val="0"/>
                <w:numId w:val="0"/>
              </w:numPr>
              <w:rPr>
                <w:rFonts w:ascii="Times New Roman" w:eastAsia="Calibri" w:hAnsi="Times New Roman"/>
                <w:b w:val="0"/>
                <w:bCs w:val="0"/>
                <w:color w:val="auto"/>
                <w:sz w:val="20"/>
                <w:lang w:eastAsia="en-US"/>
              </w:rPr>
            </w:pPr>
            <w:r w:rsidRPr="00EC2A1C">
              <w:rPr>
                <w:rFonts w:ascii="Times New Roman" w:eastAsia="Calibri" w:hAnsi="Times New Roman"/>
                <w:b w:val="0"/>
                <w:bCs w:val="0"/>
                <w:color w:val="auto"/>
                <w:sz w:val="20"/>
                <w:lang w:eastAsia="en-US"/>
              </w:rPr>
              <w:t>Nízká aktivita v této oblasti byla způsobena nejistotou související se započítáváním dotovaných investic do regulovaných nákladů a současně s malou ekonomickou motivací potenciálních žadatelů čerpat prostředky ze strukturálních fondů. Vzhledem k tomu, že jsou regulované subjekty, volí raději konzervativní strategii investic přes regulovanou bázi aktiv, která se promítá do konečné regulované složky energie.</w:t>
            </w:r>
          </w:p>
          <w:p w14:paraId="693F9C88" w14:textId="77777777" w:rsidR="00DD3EFA" w:rsidRPr="00EC2A1C" w:rsidRDefault="00DD3EFA" w:rsidP="00B15ECB">
            <w:pPr>
              <w:autoSpaceDE w:val="0"/>
              <w:autoSpaceDN w:val="0"/>
              <w:adjustRightInd w:val="0"/>
              <w:rPr>
                <w:rFonts w:eastAsia="Calibri"/>
              </w:rPr>
            </w:pPr>
            <w:r w:rsidRPr="00EC2A1C">
              <w:rPr>
                <w:rFonts w:eastAsia="Calibri"/>
              </w:rPr>
              <w:t xml:space="preserve">Stav čerpání ke dni 29. 1. 2019 v rámci SC 3.6 Posílit energetickou bezpečnost přenosové soustavy </w:t>
            </w:r>
            <w:r w:rsidRPr="00EC2A1C">
              <w:rPr>
                <w:rFonts w:eastAsia="Calibri"/>
                <w:bCs/>
              </w:rPr>
              <w:t>(OPPIK 2014 -2020)</w:t>
            </w:r>
            <w:r w:rsidRPr="00EC2A1C">
              <w:rPr>
                <w:rFonts w:eastAsia="Calibri"/>
              </w:rPr>
              <w:t xml:space="preserve">: </w:t>
            </w:r>
          </w:p>
          <w:p w14:paraId="4864F6E8" w14:textId="77777777" w:rsidR="00DD3EFA" w:rsidRPr="00EC2A1C" w:rsidRDefault="00DD3EFA" w:rsidP="00B15ECB">
            <w:pPr>
              <w:autoSpaceDE w:val="0"/>
              <w:autoSpaceDN w:val="0"/>
              <w:adjustRightInd w:val="0"/>
              <w:rPr>
                <w:rFonts w:eastAsiaTheme="majorEastAsia"/>
              </w:rPr>
            </w:pPr>
            <w:r w:rsidRPr="00EC2A1C">
              <w:rPr>
                <w:rFonts w:eastAsiaTheme="majorEastAsia"/>
              </w:rPr>
              <w:t>V rámci SC 3.6 bylo předloženo ke dni 29. 1. 2019 celkem 10 plných žádostí, jejichž celkové způsobilé výdaje dosahují 6 199 519 338,32 Kč s požadovanou dotací 2 479 807 735,31 Kč. Současně bylo předloženo dalších 9 registračních žádostí s požadovanou dotací 2 732 096 400,- Kč. Schválených projektů je 9 s celkovými způsobilými výdaji ve výši 5 913 911 517,01 Kč a požadovanou dotací 2 365 564 606,79 Kč. Vydaná rozhodnutí o poskytnutí dotace jsou na 7 projekty s celkovými způsobilými výdaji ve výši 4 402 305 094,77 Kč a požadovanou dotací 1 760 922 037,9 Kč. Proplaceno bylo šest žádostí o platbu, jejíž způsobilé výdaje byly ve výši 3 734 702 422 Kč a poskytnutá dotace ve výši 391 194 997,72 Kč.</w:t>
            </w:r>
          </w:p>
          <w:p w14:paraId="6460F287" w14:textId="77777777" w:rsidR="00DD3EFA" w:rsidRPr="00EC2A1C" w:rsidRDefault="00DD3EFA" w:rsidP="00B15ECB">
            <w:pPr>
              <w:autoSpaceDE w:val="0"/>
              <w:autoSpaceDN w:val="0"/>
              <w:adjustRightInd w:val="0"/>
              <w:rPr>
                <w:rFonts w:eastAsiaTheme="majorEastAsia"/>
              </w:rPr>
            </w:pPr>
          </w:p>
          <w:p w14:paraId="7645137C" w14:textId="77777777" w:rsidR="00DD3EFA" w:rsidRPr="00EC2A1C" w:rsidRDefault="00DD3EFA" w:rsidP="00B15ECB">
            <w:pPr>
              <w:autoSpaceDE w:val="0"/>
              <w:autoSpaceDN w:val="0"/>
              <w:adjustRightInd w:val="0"/>
              <w:rPr>
                <w:rFonts w:eastAsiaTheme="majorEastAsia"/>
              </w:rPr>
            </w:pPr>
            <w:r w:rsidRPr="00EC2A1C">
              <w:rPr>
                <w:rFonts w:eastAsiaTheme="majorEastAsia"/>
              </w:rPr>
              <w:t>V návaznosti na oznámení Provozovatele přenosové soustavy, jakožto jediného příjemce v SC 3. 6, že vzhledem k posunu realizace některých investičních projektů, který je způsoben problematickými a časově velmi náročnými povolovacími procedurami liniových staveb, jsou nuceni redukovat rozsah plánovaných projektů k podání do SC 3.6, došlo k realokaci prostředků ve výši 41 300 000 EUR do SC 3.4. Nově je tak alokace SC3.6 ve výši 158 533 699 EUR, místo původních 199 833 699 EUR. Aktuální rozpočet programu Smart grids II. odpovídá aktuální absorpční kapacitě a měl by být vyčerpán. V rámci tohoto programu jsou také administrovány dva velké projekty, které musí schválit EK. Realizace těchto projektů zvyšuje administrativní nároky na administraci jak ze strany žadatele, tak i ŘO.</w:t>
            </w:r>
          </w:p>
          <w:bookmarkEnd w:id="31"/>
          <w:p w14:paraId="53097235" w14:textId="77777777" w:rsidR="00DD3EFA" w:rsidRPr="00EC2A1C" w:rsidRDefault="00DD3EFA" w:rsidP="00B15ECB">
            <w:pPr>
              <w:autoSpaceDE w:val="0"/>
              <w:autoSpaceDN w:val="0"/>
              <w:adjustRightInd w:val="0"/>
              <w:rPr>
                <w:rFonts w:eastAsiaTheme="majorEastAsia"/>
              </w:rPr>
            </w:pPr>
          </w:p>
          <w:p w14:paraId="2C6F4654" w14:textId="77777777" w:rsidR="00DD3EFA" w:rsidRPr="00EC2A1C" w:rsidRDefault="00DD3EFA" w:rsidP="00B15ECB">
            <w:pPr>
              <w:spacing w:before="60" w:after="60"/>
              <w:rPr>
                <w:rFonts w:eastAsiaTheme="majorEastAsia"/>
                <w:i/>
              </w:rPr>
            </w:pPr>
            <w:r w:rsidRPr="00EC2A1C">
              <w:rPr>
                <w:rFonts w:eastAsiaTheme="majorEastAsia"/>
              </w:rPr>
              <w:t>Plynárenství aktuálně není podporováno z OP PIK, novou podporou  tohoto odvětví by se mohla zvýšit absorpční kapacita operačního programu a mohly by vzniknout synergie s jeho ostatními komponenty</w:t>
            </w:r>
          </w:p>
        </w:tc>
        <w:tc>
          <w:tcPr>
            <w:tcW w:w="249" w:type="dxa"/>
            <w:tcBorders>
              <w:top w:val="nil"/>
              <w:bottom w:val="nil"/>
            </w:tcBorders>
            <w:shd w:val="clear" w:color="auto" w:fill="66CCFF"/>
          </w:tcPr>
          <w:p w14:paraId="43E9CDA5" w14:textId="77777777" w:rsidR="00DD3EFA" w:rsidRPr="00EC2A1C" w:rsidRDefault="00DD3EFA" w:rsidP="00B15ECB">
            <w:pPr>
              <w:rPr>
                <w:b/>
              </w:rPr>
            </w:pPr>
          </w:p>
        </w:tc>
      </w:tr>
      <w:tr w:rsidR="00DD3EFA" w:rsidRPr="00EC2A1C" w14:paraId="74C87890" w14:textId="77777777" w:rsidTr="00B15ECB">
        <w:trPr>
          <w:trHeight w:val="850"/>
        </w:trPr>
        <w:tc>
          <w:tcPr>
            <w:tcW w:w="249" w:type="dxa"/>
            <w:tcBorders>
              <w:top w:val="nil"/>
              <w:bottom w:val="nil"/>
            </w:tcBorders>
            <w:shd w:val="clear" w:color="auto" w:fill="66CCFF"/>
          </w:tcPr>
          <w:p w14:paraId="6F2C13B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8FCCE50"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978" w:type="dxa"/>
            <w:tcBorders>
              <w:bottom w:val="single" w:sz="4" w:space="0" w:color="auto"/>
            </w:tcBorders>
            <w:shd w:val="clear" w:color="auto" w:fill="FFFFFF" w:themeFill="background1"/>
          </w:tcPr>
          <w:p w14:paraId="65839885" w14:textId="77777777" w:rsidR="00DD3EFA" w:rsidRPr="00EC2A1C" w:rsidRDefault="00DD3EFA" w:rsidP="00B15ECB">
            <w:pPr>
              <w:spacing w:before="60" w:after="60"/>
              <w:rPr>
                <w:rFonts w:eastAsiaTheme="majorEastAsia"/>
              </w:rPr>
            </w:pPr>
            <w:r w:rsidRPr="00EC2A1C">
              <w:rPr>
                <w:rFonts w:eastAsiaTheme="majorEastAsia"/>
              </w:rPr>
              <w:t>V oblasti poptávky lze konstatovat, že v rámci SC 3.6 byla stanovena v souladu s investičním plánem společnosti s tím, že byla dodatečně ponížena z důvodu zpoždění při přípravě projektů z důvodů jejich velikosti a komplexnosti a tudíž náročnosti. Do budoucna lze však očekávat poptávku dle investičních plánů majoritního příjemce.</w:t>
            </w:r>
          </w:p>
          <w:p w14:paraId="047F0EC5" w14:textId="77777777" w:rsidR="00DD3EFA" w:rsidRPr="00EC2A1C" w:rsidRDefault="00DD3EFA" w:rsidP="00B15ECB">
            <w:pPr>
              <w:spacing w:before="60" w:after="60"/>
              <w:rPr>
                <w:rFonts w:eastAsiaTheme="majorEastAsia"/>
              </w:rPr>
            </w:pPr>
            <w:r w:rsidRPr="00EC2A1C">
              <w:rPr>
                <w:rFonts w:eastAsiaTheme="majorEastAsia"/>
              </w:rPr>
              <w:t>Ve specifickém cíli 3.3 OPPIK hrála velkou roli nejasnost v oblasti regulace. Tato problematika se podařila vyřešit, nicméně došlo ke velkému časovému zpoždění v implementaci. Budoucí poptávka se dá indikovat z úkolů, které jsou obsaženy v NAP SG (např. plošné zavádění chytrého měření, atd.)</w:t>
            </w:r>
          </w:p>
          <w:p w14:paraId="196656FD" w14:textId="77777777" w:rsidR="00DD3EFA" w:rsidRPr="00EC2A1C" w:rsidRDefault="00DD3EFA" w:rsidP="00B15ECB">
            <w:pPr>
              <w:spacing w:before="60" w:after="60"/>
              <w:rPr>
                <w:rFonts w:eastAsiaTheme="majorEastAsia"/>
              </w:rPr>
            </w:pPr>
          </w:p>
          <w:p w14:paraId="0623DCF7" w14:textId="68FFE381" w:rsidR="00DD3EFA" w:rsidRPr="00EC2A1C" w:rsidRDefault="00DD3EFA" w:rsidP="00B15ECB">
            <w:pPr>
              <w:spacing w:before="60" w:after="60"/>
              <w:rPr>
                <w:rFonts w:eastAsiaTheme="majorEastAsia"/>
              </w:rPr>
            </w:pPr>
            <w:r w:rsidRPr="00EC2A1C">
              <w:t>Provozovatel přepravní soustavy předpokládá u projektů spadajících pod tuto kapitolu inv</w:t>
            </w:r>
            <w:r w:rsidR="0017728B" w:rsidRPr="00EC2A1C">
              <w:t>estice ve výši cca 7,3 mld. Kč,</w:t>
            </w:r>
            <w:r w:rsidRPr="00EC2A1C">
              <w:t xml:space="preserve"> u provozovatelů zásobníků plynu se pro jejich modernizaci, rekonstrukci a nákladově efektivní zvýšení energetické účinnosti uskladňování předpokládají investice ve výši cca 1,6 mld. Kč, podpora připojování výroben biometanu (nových či transformovaných z bioplynoplynových stanic) do distribučních plynárenských soustav si vyžádá investice ve výši cca 900 mil. Kč a  investice na </w:t>
            </w:r>
            <w:r w:rsidRPr="00EC2A1C">
              <w:rPr>
                <w:rFonts w:eastAsia="Calibri"/>
              </w:rPr>
              <w:t>modernizaci  a posílení distribučních soustav na přechod velkých zdrojů z uhlí na zemní plyn se budou odvíjet od množství takto konvergovaných zdrojů.</w:t>
            </w:r>
          </w:p>
          <w:p w14:paraId="28E093EC" w14:textId="77777777" w:rsidR="00DD3EFA" w:rsidRPr="00EC2A1C" w:rsidRDefault="00DD3EFA" w:rsidP="00B15ECB">
            <w:pPr>
              <w:spacing w:before="60" w:after="60"/>
              <w:rPr>
                <w:rFonts w:eastAsiaTheme="majorEastAsia"/>
              </w:rPr>
            </w:pPr>
          </w:p>
          <w:p w14:paraId="4A97944F" w14:textId="77777777" w:rsidR="00DD3EFA" w:rsidRPr="00EC2A1C" w:rsidRDefault="00DD3EFA" w:rsidP="00B15ECB">
            <w:r w:rsidRPr="00EC2A1C">
              <w:rPr>
                <w:rFonts w:eastAsiaTheme="majorEastAsia"/>
              </w:rPr>
              <w:t xml:space="preserve">MPO v současnosti řeší/soutěží </w:t>
            </w:r>
            <w:r w:rsidRPr="00EC2A1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342170CB" w14:textId="77777777" w:rsidR="00DD3EFA" w:rsidRPr="00EC2A1C" w:rsidRDefault="00DD3EFA" w:rsidP="00B15ECB">
            <w:r w:rsidRPr="00EC2A1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01F0EA46" w14:textId="77777777" w:rsidR="00DD3EFA" w:rsidRPr="00EC2A1C" w:rsidRDefault="00DD3EFA" w:rsidP="00B15ECB"/>
          <w:p w14:paraId="125840B2" w14:textId="77777777" w:rsidR="00DD3EFA" w:rsidRPr="00EC2A1C" w:rsidRDefault="00DD3EFA" w:rsidP="00B15ECB">
            <w:pPr>
              <w:pStyle w:val="Nadpis2"/>
              <w:tabs>
                <w:tab w:val="left" w:pos="3945"/>
              </w:tabs>
              <w:spacing w:after="90"/>
              <w:outlineLvl w:val="1"/>
              <w:rPr>
                <w:rFonts w:ascii="Times New Roman" w:hAnsi="Times New Roman" w:cs="Times New Roman"/>
                <w:color w:val="auto"/>
                <w:sz w:val="20"/>
                <w:szCs w:val="20"/>
              </w:rPr>
            </w:pPr>
            <w:r w:rsidRPr="00EC2A1C">
              <w:rPr>
                <w:rFonts w:ascii="Times New Roman" w:hAnsi="Times New Roman" w:cs="Times New Roman"/>
                <w:color w:val="auto"/>
                <w:sz w:val="20"/>
                <w:szCs w:val="20"/>
              </w:rPr>
              <w:t>Analytické otázky studie:</w:t>
            </w:r>
          </w:p>
          <w:p w14:paraId="5EB6A828" w14:textId="77777777" w:rsidR="00DD3EFA" w:rsidRPr="00EC2A1C" w:rsidRDefault="00DD3EFA" w:rsidP="00B15ECB">
            <w:r w:rsidRPr="00EC2A1C">
              <w:t xml:space="preserve">1. Do jaké míry byla naplněna plánovaná absorpční kapacita v současném a minulém programovém období (tj. 2014 - 2020 a 2007 - 2013)? Očekávání vs. realita. </w:t>
            </w:r>
          </w:p>
          <w:p w14:paraId="205DFFEB" w14:textId="77777777" w:rsidR="00DD3EFA" w:rsidRPr="00EC2A1C" w:rsidRDefault="00DD3EFA" w:rsidP="00B15ECB">
            <w:r w:rsidRPr="00EC2A1C">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512F97BD" w14:textId="77777777" w:rsidR="00DD3EFA" w:rsidRPr="00EC2A1C" w:rsidRDefault="00DD3EFA" w:rsidP="00B15ECB">
            <w:r w:rsidRPr="00EC2A1C">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29DCFE6F" w14:textId="77777777" w:rsidR="00DD3EFA" w:rsidRPr="00EC2A1C" w:rsidRDefault="00DD3EFA" w:rsidP="00B15ECB">
            <w:r w:rsidRPr="00EC2A1C">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1E19BAD3" w14:textId="77777777" w:rsidR="00DD3EFA" w:rsidRPr="00EC2A1C" w:rsidRDefault="00DD3EFA" w:rsidP="00B15ECB">
            <w:r w:rsidRPr="00EC2A1C">
              <w:t>5. Jaké jsou návrhy opatření na odstranění bariér?</w:t>
            </w:r>
          </w:p>
        </w:tc>
        <w:tc>
          <w:tcPr>
            <w:tcW w:w="249" w:type="dxa"/>
            <w:tcBorders>
              <w:top w:val="nil"/>
              <w:bottom w:val="nil"/>
            </w:tcBorders>
            <w:shd w:val="clear" w:color="auto" w:fill="66CCFF"/>
          </w:tcPr>
          <w:p w14:paraId="5C20E39A" w14:textId="77777777" w:rsidR="00DD3EFA" w:rsidRPr="00EC2A1C" w:rsidRDefault="00DD3EFA" w:rsidP="00B15ECB">
            <w:pPr>
              <w:rPr>
                <w:b/>
              </w:rPr>
            </w:pPr>
          </w:p>
        </w:tc>
      </w:tr>
      <w:tr w:rsidR="00DD3EFA" w:rsidRPr="00EC2A1C" w14:paraId="53F15268" w14:textId="77777777" w:rsidTr="00B15ECB">
        <w:trPr>
          <w:trHeight w:val="925"/>
        </w:trPr>
        <w:tc>
          <w:tcPr>
            <w:tcW w:w="249" w:type="dxa"/>
            <w:tcBorders>
              <w:top w:val="nil"/>
              <w:bottom w:val="nil"/>
            </w:tcBorders>
            <w:shd w:val="clear" w:color="auto" w:fill="66CCFF"/>
          </w:tcPr>
          <w:p w14:paraId="49C6228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12846F9"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978" w:type="dxa"/>
            <w:tcBorders>
              <w:bottom w:val="single" w:sz="4" w:space="0" w:color="auto"/>
            </w:tcBorders>
            <w:shd w:val="clear" w:color="auto" w:fill="FFFFFF" w:themeFill="background1"/>
          </w:tcPr>
          <w:p w14:paraId="1137B0CD" w14:textId="77777777" w:rsidR="00DD3EFA" w:rsidRPr="00EC2A1C" w:rsidRDefault="00DD3EFA" w:rsidP="00B15ECB">
            <w:pPr>
              <w:spacing w:before="60" w:after="60"/>
              <w:rPr>
                <w:rFonts w:eastAsiaTheme="majorEastAsia"/>
              </w:rPr>
            </w:pPr>
            <w:r w:rsidRPr="00EC2A1C">
              <w:rPr>
                <w:rFonts w:eastAsiaTheme="majorEastAsia"/>
              </w:rPr>
              <w:t>Usnesení vlády 149 z roku 2015 ukládá předložit vládě do 31. prosince 2019 návrh aktualizace Národního akčního plánu pro chytré sítě (NAP SG). Na základě dosavadních výsledků NAP SG připravují provozovatel přenosové soustavy a provozovatelé distribučních sítí projekty na zavedení nových technologií (realizace chytrých sítí). MPO zpracovává podle úkolu vlády aktualizaci NAP SG s výhledem dalších projektů do r. 2030.</w:t>
            </w:r>
          </w:p>
          <w:p w14:paraId="208662FE" w14:textId="77777777" w:rsidR="00DD3EFA" w:rsidRPr="00EC2A1C" w:rsidRDefault="00DD3EFA" w:rsidP="00B15ECB">
            <w:pPr>
              <w:spacing w:before="60" w:after="60"/>
              <w:rPr>
                <w:rFonts w:eastAsiaTheme="majorEastAsia"/>
              </w:rPr>
            </w:pPr>
            <w:r w:rsidRPr="00EC2A1C">
              <w:rPr>
                <w:rFonts w:eastAsiaTheme="majorEastAsia"/>
              </w:rPr>
              <w:t>Národním regulátorem (ERÚ) schválený  Desetiletý plán rozvoje přepravní plynárenské sítě (TYNDP, NET4GAS)</w:t>
            </w:r>
          </w:p>
          <w:p w14:paraId="5E907ECA"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685D0763" w14:textId="77777777" w:rsidR="00DD3EFA" w:rsidRPr="00EC2A1C" w:rsidRDefault="00DD3EFA" w:rsidP="00B15ECB">
            <w:pPr>
              <w:rPr>
                <w:b/>
              </w:rPr>
            </w:pPr>
          </w:p>
        </w:tc>
      </w:tr>
      <w:tr w:rsidR="00DD3EFA" w:rsidRPr="00EC2A1C" w14:paraId="727B6906" w14:textId="77777777" w:rsidTr="00B15ECB">
        <w:trPr>
          <w:trHeight w:val="1001"/>
        </w:trPr>
        <w:tc>
          <w:tcPr>
            <w:tcW w:w="249" w:type="dxa"/>
            <w:tcBorders>
              <w:top w:val="nil"/>
              <w:bottom w:val="nil"/>
            </w:tcBorders>
            <w:shd w:val="clear" w:color="auto" w:fill="66CCFF"/>
          </w:tcPr>
          <w:p w14:paraId="6BF339C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CFC1A2C"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tcBorders>
              <w:bottom w:val="single" w:sz="4" w:space="0" w:color="auto"/>
            </w:tcBorders>
            <w:shd w:val="clear" w:color="auto" w:fill="FFFFFF" w:themeFill="background1"/>
          </w:tcPr>
          <w:p w14:paraId="1E85017F" w14:textId="77777777" w:rsidR="00DD3EFA" w:rsidRPr="00EC2A1C" w:rsidRDefault="00DD3EFA" w:rsidP="00B15ECB">
            <w:pPr>
              <w:spacing w:before="60" w:after="60"/>
              <w:rPr>
                <w:rFonts w:eastAsiaTheme="majorEastAsia"/>
              </w:rPr>
            </w:pPr>
            <w:r w:rsidRPr="00EC2A1C">
              <w:rPr>
                <w:rFonts w:eastAsiaTheme="majorEastAsia"/>
              </w:rPr>
              <w:t xml:space="preserve">V současné době je jednou z bariér pro čerpání podpor nejistota v otázce začlenění finančních prostředků z podpor do metodiky regulace v elektroenergetice a plynárenství. Provozovatel přenosové soustavy, provozovatel přepravní soustavy i provozovatelé distribučních soustav jsou regulovanými subjekty podléhajícími cenové regulaci, za kterou je odpovědný Energetický regulační úřad (ERÚ). Životnost zařízení v energetice, do kterého je nutné investovat, má životnosst delší než jednotlivá regulační období. Obvyklá délka regulačních období v energetice ČR je pět až šest let. </w:t>
            </w:r>
          </w:p>
          <w:p w14:paraId="6F97342F" w14:textId="77777777" w:rsidR="00DD3EFA" w:rsidRPr="00EC2A1C" w:rsidRDefault="00DD3EFA" w:rsidP="00B15ECB">
            <w:pPr>
              <w:spacing w:before="60" w:after="60"/>
              <w:rPr>
                <w:rFonts w:eastAsiaTheme="majorEastAsia"/>
              </w:rPr>
            </w:pPr>
            <w:r w:rsidRPr="00EC2A1C">
              <w:rPr>
                <w:rFonts w:eastAsiaTheme="majorEastAsia"/>
              </w:rPr>
              <w:t>Nicméně i v této oblasti došlo k pozitivnímu posunu a v budoucím období by nemělo dojít k odsunutí implementace programu z důvodu nejasného regulatorního přístupu.</w:t>
            </w:r>
          </w:p>
          <w:p w14:paraId="16B9E11E"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73FE010E" w14:textId="77777777" w:rsidR="00DD3EFA" w:rsidRPr="00EC2A1C" w:rsidRDefault="00DD3EFA" w:rsidP="00B15ECB">
            <w:pPr>
              <w:rPr>
                <w:b/>
              </w:rPr>
            </w:pPr>
          </w:p>
        </w:tc>
      </w:tr>
      <w:tr w:rsidR="00DD3EFA" w:rsidRPr="00EC2A1C" w14:paraId="36AC8C04"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0378FD99"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3A59825"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2CA9AD0"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01A1C91A" w14:textId="77777777" w:rsidR="00DD3EFA" w:rsidRPr="00EC2A1C" w:rsidRDefault="00DD3EFA" w:rsidP="00B15ECB">
            <w:pPr>
              <w:rPr>
                <w:b/>
              </w:rPr>
            </w:pPr>
          </w:p>
        </w:tc>
      </w:tr>
      <w:tr w:rsidR="00DD3EFA" w:rsidRPr="00EC2A1C" w14:paraId="62AEF0DF" w14:textId="77777777" w:rsidTr="00B15ECB">
        <w:trPr>
          <w:trHeight w:val="1559"/>
        </w:trPr>
        <w:tc>
          <w:tcPr>
            <w:tcW w:w="249" w:type="dxa"/>
            <w:tcBorders>
              <w:top w:val="single" w:sz="4" w:space="0" w:color="auto"/>
              <w:bottom w:val="nil"/>
            </w:tcBorders>
            <w:shd w:val="clear" w:color="auto" w:fill="66CCFF"/>
          </w:tcPr>
          <w:p w14:paraId="14843752" w14:textId="77777777" w:rsidR="00DD3EFA" w:rsidRPr="00EC2A1C" w:rsidRDefault="00DD3EFA" w:rsidP="00B15ECB">
            <w:pPr>
              <w:rPr>
                <w:b/>
              </w:rPr>
            </w:pPr>
          </w:p>
        </w:tc>
        <w:tc>
          <w:tcPr>
            <w:tcW w:w="8526" w:type="dxa"/>
            <w:gridSpan w:val="2"/>
            <w:tcBorders>
              <w:top w:val="single" w:sz="4" w:space="0" w:color="auto"/>
            </w:tcBorders>
            <w:shd w:val="clear" w:color="auto" w:fill="FFFFFF" w:themeFill="background1"/>
          </w:tcPr>
          <w:p w14:paraId="2F4AF6C5" w14:textId="77777777" w:rsidR="00DD3EFA" w:rsidRPr="00EC2A1C" w:rsidRDefault="00DD3EFA" w:rsidP="00B15ECB">
            <w:pPr>
              <w:spacing w:before="60" w:after="60"/>
              <w:rPr>
                <w:rFonts w:eastAsiaTheme="majorEastAsia"/>
                <w:b/>
              </w:rPr>
            </w:pPr>
            <w:r w:rsidRPr="00EC2A1C">
              <w:rPr>
                <w:rFonts w:eastAsiaTheme="majorEastAsia"/>
                <w:b/>
              </w:rPr>
              <w:t>Alternativní zdroje</w:t>
            </w:r>
          </w:p>
          <w:p w14:paraId="69E99CF6" w14:textId="77777777" w:rsidR="00DD3EFA" w:rsidRPr="00EC2A1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42376874" w14:textId="77777777" w:rsidR="00DD3EFA" w:rsidRPr="00EC2A1C" w:rsidRDefault="00DD3EFA" w:rsidP="00B15ECB">
            <w:pPr>
              <w:rPr>
                <w:b/>
              </w:rPr>
            </w:pPr>
          </w:p>
        </w:tc>
      </w:tr>
      <w:tr w:rsidR="00DD3EFA" w:rsidRPr="00EC2A1C" w14:paraId="047A94C8" w14:textId="77777777" w:rsidTr="00B15ECB">
        <w:trPr>
          <w:trHeight w:val="1968"/>
        </w:trPr>
        <w:tc>
          <w:tcPr>
            <w:tcW w:w="249" w:type="dxa"/>
            <w:tcBorders>
              <w:top w:val="nil"/>
              <w:bottom w:val="nil"/>
            </w:tcBorders>
            <w:shd w:val="clear" w:color="auto" w:fill="66CCFF"/>
          </w:tcPr>
          <w:p w14:paraId="6C5B86D5" w14:textId="77777777" w:rsidR="00DD3EFA" w:rsidRPr="00EC2A1C" w:rsidRDefault="00DD3EFA" w:rsidP="00B15ECB">
            <w:pPr>
              <w:rPr>
                <w:b/>
              </w:rPr>
            </w:pPr>
          </w:p>
        </w:tc>
        <w:tc>
          <w:tcPr>
            <w:tcW w:w="2548" w:type="dxa"/>
            <w:tcBorders>
              <w:top w:val="nil"/>
            </w:tcBorders>
            <w:shd w:val="clear" w:color="auto" w:fill="FFFFFF" w:themeFill="background1"/>
          </w:tcPr>
          <w:p w14:paraId="0E5081D5" w14:textId="77777777" w:rsidR="00DD3EFA" w:rsidRPr="00EC2A1C" w:rsidRDefault="00DD3EFA" w:rsidP="00B15ECB">
            <w:pPr>
              <w:spacing w:before="60" w:after="60"/>
              <w:rPr>
                <w:rFonts w:eastAsiaTheme="majorEastAsia"/>
                <w:b/>
              </w:rPr>
            </w:pPr>
            <w:r w:rsidRPr="00EC2A1C">
              <w:rPr>
                <w:rFonts w:eastAsiaTheme="majorEastAsia"/>
                <w:b/>
              </w:rPr>
              <w:t>Unijní programy</w:t>
            </w:r>
          </w:p>
        </w:tc>
        <w:tc>
          <w:tcPr>
            <w:tcW w:w="5978" w:type="dxa"/>
            <w:tcBorders>
              <w:top w:val="nil"/>
            </w:tcBorders>
            <w:shd w:val="clear" w:color="auto" w:fill="FFFFFF" w:themeFill="background1"/>
          </w:tcPr>
          <w:p w14:paraId="419183F2" w14:textId="77777777" w:rsidR="00DD3EFA" w:rsidRPr="00EC2A1C" w:rsidRDefault="00DD3EFA" w:rsidP="00B15ECB">
            <w:pPr>
              <w:spacing w:before="60" w:after="60"/>
              <w:rPr>
                <w:rFonts w:eastAsiaTheme="majorEastAsia"/>
              </w:rPr>
            </w:pPr>
            <w:r w:rsidRPr="00EC2A1C">
              <w:rPr>
                <w:rFonts w:eastAsiaTheme="majorEastAsia"/>
              </w:rPr>
              <w:t>CEF – Nástroj pro propojení Evropy (CEF) je určen pouze pro tzv. projekty společného zájmu (PCI). Status PCI je udělen EK pro projekty nadnárodní důležitosti s přeshraničním dopadem. Prakticky se jedná zejména o přenosové sítě a zařízení na hladině velmi vysokého napětí, přepravní sítě a související plynové zařízení. Z tohoto důvodu je financování z fondu CEF určeno pouze pro velmi omezený počet projektů.</w:t>
            </w:r>
          </w:p>
          <w:p w14:paraId="067FC444" w14:textId="77777777" w:rsidR="00DD3EFA" w:rsidRPr="00EC2A1C" w:rsidRDefault="00DD3EFA" w:rsidP="00B15ECB">
            <w:pPr>
              <w:spacing w:before="60" w:after="60"/>
              <w:rPr>
                <w:rFonts w:eastAsiaTheme="majorEastAsia"/>
                <w:i/>
              </w:rPr>
            </w:pPr>
            <w:r w:rsidRPr="00EC2A1C">
              <w:rPr>
                <w:rFonts w:eastAsiaTheme="majorEastAsia"/>
              </w:rPr>
              <w:t xml:space="preserve">Program Horizon 2020 umožňuje podporu aktivit spočívajících v </w:t>
            </w:r>
            <w:r w:rsidRPr="00EC2A1C">
              <w:rPr>
                <w:lang w:eastAsia="cs-CZ"/>
              </w:rPr>
              <w:t>zásobování levnou elektřinou.</w:t>
            </w:r>
          </w:p>
        </w:tc>
        <w:tc>
          <w:tcPr>
            <w:tcW w:w="249" w:type="dxa"/>
            <w:tcBorders>
              <w:top w:val="nil"/>
              <w:bottom w:val="nil"/>
            </w:tcBorders>
            <w:shd w:val="clear" w:color="auto" w:fill="66CCFF"/>
          </w:tcPr>
          <w:p w14:paraId="6E992703" w14:textId="77777777" w:rsidR="00DD3EFA" w:rsidRPr="00EC2A1C" w:rsidRDefault="00DD3EFA" w:rsidP="00B15ECB">
            <w:pPr>
              <w:rPr>
                <w:b/>
              </w:rPr>
            </w:pPr>
          </w:p>
        </w:tc>
      </w:tr>
      <w:tr w:rsidR="00DD3EFA" w:rsidRPr="00EC2A1C" w14:paraId="22EB371B" w14:textId="77777777" w:rsidTr="00B15ECB">
        <w:trPr>
          <w:trHeight w:val="1968"/>
        </w:trPr>
        <w:tc>
          <w:tcPr>
            <w:tcW w:w="249" w:type="dxa"/>
            <w:tcBorders>
              <w:top w:val="nil"/>
              <w:bottom w:val="nil"/>
            </w:tcBorders>
            <w:shd w:val="clear" w:color="auto" w:fill="66CCFF"/>
          </w:tcPr>
          <w:p w14:paraId="6DAA6557" w14:textId="77777777" w:rsidR="00DD3EFA" w:rsidRPr="00EC2A1C" w:rsidRDefault="00DD3EFA" w:rsidP="00B15ECB">
            <w:pPr>
              <w:rPr>
                <w:b/>
              </w:rPr>
            </w:pPr>
          </w:p>
        </w:tc>
        <w:tc>
          <w:tcPr>
            <w:tcW w:w="2548" w:type="dxa"/>
            <w:tcBorders>
              <w:top w:val="nil"/>
            </w:tcBorders>
            <w:shd w:val="clear" w:color="auto" w:fill="FFFFFF" w:themeFill="background1"/>
          </w:tcPr>
          <w:p w14:paraId="3CFEACA6" w14:textId="77777777" w:rsidR="00DD3EFA" w:rsidRPr="00EC2A1C" w:rsidRDefault="00DD3EFA" w:rsidP="00B15ECB">
            <w:pPr>
              <w:spacing w:before="60" w:after="60"/>
              <w:rPr>
                <w:rFonts w:eastAsiaTheme="majorEastAsia"/>
                <w:b/>
              </w:rPr>
            </w:pPr>
            <w:r w:rsidRPr="00EC2A1C">
              <w:rPr>
                <w:rFonts w:eastAsiaTheme="majorEastAsia"/>
                <w:b/>
              </w:rPr>
              <w:t>Státní rozpočet a další národní zdroje</w:t>
            </w:r>
          </w:p>
        </w:tc>
        <w:tc>
          <w:tcPr>
            <w:tcW w:w="5978" w:type="dxa"/>
            <w:tcBorders>
              <w:top w:val="nil"/>
            </w:tcBorders>
            <w:shd w:val="clear" w:color="auto" w:fill="FFFFFF" w:themeFill="background1"/>
          </w:tcPr>
          <w:p w14:paraId="11322177" w14:textId="77777777" w:rsidR="00DD3EFA" w:rsidRPr="00EC2A1C" w:rsidRDefault="00DD3EFA" w:rsidP="00B15ECB">
            <w:pPr>
              <w:spacing w:before="60" w:after="60"/>
              <w:rPr>
                <w:rFonts w:eastAsiaTheme="majorEastAsia"/>
                <w:i/>
              </w:rPr>
            </w:pPr>
            <w:r w:rsidRPr="00EC2A1C">
              <w:rPr>
                <w:rFonts w:eastAsiaTheme="majorEastAsia"/>
                <w:i/>
              </w:rPr>
              <w:t>-</w:t>
            </w:r>
          </w:p>
        </w:tc>
        <w:tc>
          <w:tcPr>
            <w:tcW w:w="249" w:type="dxa"/>
            <w:tcBorders>
              <w:top w:val="nil"/>
              <w:bottom w:val="nil"/>
            </w:tcBorders>
            <w:shd w:val="clear" w:color="auto" w:fill="66CCFF"/>
          </w:tcPr>
          <w:p w14:paraId="4B3A9ECF" w14:textId="77777777" w:rsidR="00DD3EFA" w:rsidRPr="00EC2A1C" w:rsidRDefault="00DD3EFA" w:rsidP="00B15ECB">
            <w:pPr>
              <w:rPr>
                <w:b/>
              </w:rPr>
            </w:pPr>
          </w:p>
        </w:tc>
      </w:tr>
      <w:tr w:rsidR="00DD3EFA" w:rsidRPr="00EC2A1C" w14:paraId="67274987" w14:textId="77777777" w:rsidTr="00B15ECB">
        <w:trPr>
          <w:trHeight w:val="1968"/>
        </w:trPr>
        <w:tc>
          <w:tcPr>
            <w:tcW w:w="249" w:type="dxa"/>
            <w:tcBorders>
              <w:top w:val="nil"/>
              <w:bottom w:val="nil"/>
            </w:tcBorders>
            <w:shd w:val="clear" w:color="auto" w:fill="66CCFF"/>
          </w:tcPr>
          <w:p w14:paraId="34ADBA5C" w14:textId="77777777" w:rsidR="00DD3EFA" w:rsidRPr="00EC2A1C" w:rsidRDefault="00DD3EFA" w:rsidP="00B15ECB">
            <w:pPr>
              <w:rPr>
                <w:b/>
              </w:rPr>
            </w:pPr>
          </w:p>
        </w:tc>
        <w:tc>
          <w:tcPr>
            <w:tcW w:w="2548" w:type="dxa"/>
            <w:tcBorders>
              <w:top w:val="nil"/>
            </w:tcBorders>
            <w:shd w:val="clear" w:color="auto" w:fill="FFFFFF" w:themeFill="background1"/>
          </w:tcPr>
          <w:p w14:paraId="07D33411" w14:textId="77777777" w:rsidR="00DD3EFA" w:rsidRPr="00EC2A1C" w:rsidRDefault="00DD3EFA" w:rsidP="00B15ECB">
            <w:pPr>
              <w:spacing w:before="60" w:after="60"/>
              <w:rPr>
                <w:rFonts w:eastAsiaTheme="majorEastAsia"/>
                <w:b/>
              </w:rPr>
            </w:pPr>
            <w:r w:rsidRPr="00EC2A1C">
              <w:rPr>
                <w:rFonts w:eastAsiaTheme="majorEastAsia"/>
                <w:b/>
              </w:rPr>
              <w:t>Další zdroje mimo veřejné rozpočty</w:t>
            </w:r>
          </w:p>
        </w:tc>
        <w:tc>
          <w:tcPr>
            <w:tcW w:w="5978" w:type="dxa"/>
            <w:tcBorders>
              <w:top w:val="nil"/>
            </w:tcBorders>
            <w:shd w:val="clear" w:color="auto" w:fill="FFFFFF" w:themeFill="background1"/>
          </w:tcPr>
          <w:p w14:paraId="4C811F15" w14:textId="77777777" w:rsidR="00DD3EFA" w:rsidRPr="00EC2A1C" w:rsidRDefault="00DD3EFA" w:rsidP="00B15ECB">
            <w:pPr>
              <w:spacing w:before="60" w:after="60"/>
              <w:rPr>
                <w:rFonts w:eastAsiaTheme="majorEastAsia"/>
                <w:i/>
              </w:rPr>
            </w:pPr>
          </w:p>
          <w:p w14:paraId="1092373B" w14:textId="77777777" w:rsidR="00DD3EFA" w:rsidRPr="00EC2A1C" w:rsidRDefault="00DD3EFA" w:rsidP="00B15ECB">
            <w:pPr>
              <w:spacing w:before="60" w:after="60"/>
              <w:rPr>
                <w:rFonts w:eastAsiaTheme="majorEastAsia"/>
              </w:rPr>
            </w:pPr>
            <w:r w:rsidRPr="00EC2A1C">
              <w:rPr>
                <w:rFonts w:eastAsiaTheme="majorEastAsia"/>
              </w:rPr>
              <w:t>Investice i provoz v energetických soustavách platí koneční spotřebitelé v cenách energie. Regulovaná složka ceny, která je určena na pokrytí nákladů na investice a provoz nezbytné energetické infrastruktury (přenosová sosutava, přepravní soustava, distribuční sítě, komunikace a zpracování dat), včetně veškeré související technologie, představuje výrazné zatížení konečných spotřebitelů již nyní. Nutné investice do nových technologií toto zatížení velmi výrazně zvýší, a proto je potřeba využít všechny další dostupné zdroje financování.</w:t>
            </w:r>
          </w:p>
          <w:p w14:paraId="545D9AAA"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2603497F" w14:textId="77777777" w:rsidR="00DD3EFA" w:rsidRPr="00EC2A1C" w:rsidRDefault="00DD3EFA" w:rsidP="00B15ECB">
            <w:pPr>
              <w:rPr>
                <w:b/>
              </w:rPr>
            </w:pPr>
          </w:p>
        </w:tc>
      </w:tr>
      <w:tr w:rsidR="00DD3EFA" w:rsidRPr="00EC2A1C" w14:paraId="1F652C39" w14:textId="77777777" w:rsidTr="00B15ECB">
        <w:trPr>
          <w:trHeight w:val="1968"/>
        </w:trPr>
        <w:tc>
          <w:tcPr>
            <w:tcW w:w="249" w:type="dxa"/>
            <w:tcBorders>
              <w:top w:val="nil"/>
              <w:bottom w:val="nil"/>
            </w:tcBorders>
            <w:shd w:val="clear" w:color="auto" w:fill="66CCFF"/>
          </w:tcPr>
          <w:p w14:paraId="693CA951" w14:textId="77777777" w:rsidR="00DD3EFA" w:rsidRPr="00EC2A1C" w:rsidRDefault="00DD3EFA" w:rsidP="00B15ECB">
            <w:pPr>
              <w:rPr>
                <w:b/>
              </w:rPr>
            </w:pPr>
          </w:p>
        </w:tc>
        <w:tc>
          <w:tcPr>
            <w:tcW w:w="2548" w:type="dxa"/>
            <w:tcBorders>
              <w:top w:val="nil"/>
            </w:tcBorders>
            <w:shd w:val="clear" w:color="auto" w:fill="FFFFFF" w:themeFill="background1"/>
          </w:tcPr>
          <w:p w14:paraId="57386A22" w14:textId="77777777" w:rsidR="00DD3EFA" w:rsidRPr="00EC2A1C" w:rsidRDefault="00DD3EFA" w:rsidP="00B15ECB">
            <w:pPr>
              <w:spacing w:before="60" w:after="60"/>
              <w:rPr>
                <w:rFonts w:eastAsiaTheme="majorEastAsia"/>
                <w:b/>
              </w:rPr>
            </w:pPr>
            <w:r w:rsidRPr="00EC2A1C">
              <w:rPr>
                <w:rFonts w:eastAsiaTheme="majorEastAsia"/>
                <w:b/>
              </w:rPr>
              <w:t>Možnost využití FN.</w:t>
            </w:r>
          </w:p>
        </w:tc>
        <w:tc>
          <w:tcPr>
            <w:tcW w:w="5978" w:type="dxa"/>
            <w:tcBorders>
              <w:top w:val="nil"/>
            </w:tcBorders>
            <w:shd w:val="clear" w:color="auto" w:fill="FFFFFF" w:themeFill="background1"/>
          </w:tcPr>
          <w:p w14:paraId="2A4C6ECC" w14:textId="77777777" w:rsidR="00DD3EFA" w:rsidRPr="00EC2A1C" w:rsidRDefault="00DD3EFA" w:rsidP="00B15ECB">
            <w:pPr>
              <w:spacing w:before="60" w:after="60"/>
              <w:rPr>
                <w:rFonts w:eastAsiaTheme="majorEastAsia"/>
              </w:rPr>
            </w:pPr>
            <w:r w:rsidRPr="00EC2A1C">
              <w:rPr>
                <w:rFonts w:eastAsiaTheme="majorEastAsia"/>
              </w:rPr>
              <w:t>Využití FN je možné zvážit u projektů generujících výnosy či úspory. Možné oblasti mohou být např. budování infrastruktury v rámci PPP projektů. Využita může být kombinace FN s dotací.</w:t>
            </w:r>
          </w:p>
        </w:tc>
        <w:tc>
          <w:tcPr>
            <w:tcW w:w="249" w:type="dxa"/>
            <w:tcBorders>
              <w:top w:val="nil"/>
              <w:bottom w:val="nil"/>
            </w:tcBorders>
            <w:shd w:val="clear" w:color="auto" w:fill="66CCFF"/>
          </w:tcPr>
          <w:p w14:paraId="514356C9" w14:textId="77777777" w:rsidR="00DD3EFA" w:rsidRPr="00EC2A1C" w:rsidRDefault="00DD3EFA" w:rsidP="00B15ECB">
            <w:pPr>
              <w:rPr>
                <w:b/>
              </w:rPr>
            </w:pPr>
          </w:p>
        </w:tc>
      </w:tr>
      <w:tr w:rsidR="00DD3EFA" w:rsidRPr="00EC2A1C" w14:paraId="3F2831F6" w14:textId="77777777" w:rsidTr="00B15ECB">
        <w:trPr>
          <w:trHeight w:val="150"/>
        </w:trPr>
        <w:tc>
          <w:tcPr>
            <w:tcW w:w="249" w:type="dxa"/>
            <w:tcBorders>
              <w:top w:val="nil"/>
              <w:right w:val="nil"/>
            </w:tcBorders>
            <w:shd w:val="clear" w:color="auto" w:fill="66CCFF"/>
          </w:tcPr>
          <w:p w14:paraId="075E39F6" w14:textId="77777777" w:rsidR="00DD3EFA" w:rsidRPr="00EC2A1C" w:rsidRDefault="00DD3EFA" w:rsidP="00B15ECB">
            <w:pPr>
              <w:rPr>
                <w:b/>
              </w:rPr>
            </w:pPr>
          </w:p>
        </w:tc>
        <w:tc>
          <w:tcPr>
            <w:tcW w:w="2548" w:type="dxa"/>
            <w:tcBorders>
              <w:left w:val="nil"/>
              <w:right w:val="nil"/>
            </w:tcBorders>
            <w:shd w:val="clear" w:color="auto" w:fill="66CCFF"/>
          </w:tcPr>
          <w:p w14:paraId="44E24F22" w14:textId="77777777" w:rsidR="00DD3EFA" w:rsidRPr="00EC2A1C" w:rsidRDefault="00DD3EFA" w:rsidP="00B15ECB">
            <w:pPr>
              <w:rPr>
                <w:b/>
              </w:rPr>
            </w:pPr>
          </w:p>
        </w:tc>
        <w:tc>
          <w:tcPr>
            <w:tcW w:w="5978" w:type="dxa"/>
            <w:tcBorders>
              <w:left w:val="nil"/>
              <w:right w:val="nil"/>
            </w:tcBorders>
            <w:shd w:val="clear" w:color="auto" w:fill="66CCFF"/>
          </w:tcPr>
          <w:p w14:paraId="3902B11B" w14:textId="77777777" w:rsidR="00DD3EFA" w:rsidRPr="00EC2A1C" w:rsidRDefault="00DD3EFA" w:rsidP="00B15ECB">
            <w:pPr>
              <w:rPr>
                <w:b/>
              </w:rPr>
            </w:pPr>
          </w:p>
        </w:tc>
        <w:tc>
          <w:tcPr>
            <w:tcW w:w="249" w:type="dxa"/>
            <w:tcBorders>
              <w:top w:val="nil"/>
              <w:left w:val="nil"/>
            </w:tcBorders>
            <w:shd w:val="clear" w:color="auto" w:fill="66CCFF"/>
          </w:tcPr>
          <w:p w14:paraId="375125E9" w14:textId="77777777" w:rsidR="00DD3EFA" w:rsidRPr="00EC2A1C" w:rsidRDefault="00DD3EFA" w:rsidP="00B15ECB">
            <w:pPr>
              <w:rPr>
                <w:b/>
              </w:rPr>
            </w:pPr>
          </w:p>
        </w:tc>
      </w:tr>
    </w:tbl>
    <w:p w14:paraId="04118DCD" w14:textId="77777777" w:rsidR="00DD3EFA" w:rsidRPr="00EC2A1C" w:rsidRDefault="00DD3EFA" w:rsidP="00B15ECB">
      <w:pPr>
        <w:rPr>
          <w:rFonts w:ascii="Times New Roman" w:hAnsi="Times New Roman" w:cs="Times New Roman"/>
          <w:b/>
          <w:sz w:val="20"/>
          <w:szCs w:val="20"/>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02D1BA19" w14:textId="77777777" w:rsidTr="00B15ECB">
        <w:trPr>
          <w:trHeight w:val="180"/>
        </w:trPr>
        <w:tc>
          <w:tcPr>
            <w:tcW w:w="249" w:type="dxa"/>
            <w:tcBorders>
              <w:bottom w:val="nil"/>
              <w:right w:val="nil"/>
            </w:tcBorders>
            <w:shd w:val="clear" w:color="auto" w:fill="66CCFF"/>
          </w:tcPr>
          <w:p w14:paraId="3079A660" w14:textId="77777777" w:rsidR="00DD3EFA" w:rsidRPr="00EC2A1C" w:rsidRDefault="00DD3EFA" w:rsidP="00B15ECB">
            <w:pPr>
              <w:rPr>
                <w:b/>
              </w:rPr>
            </w:pPr>
          </w:p>
        </w:tc>
        <w:tc>
          <w:tcPr>
            <w:tcW w:w="2548" w:type="dxa"/>
            <w:tcBorders>
              <w:left w:val="nil"/>
              <w:right w:val="nil"/>
            </w:tcBorders>
            <w:shd w:val="clear" w:color="auto" w:fill="66CCFF"/>
          </w:tcPr>
          <w:p w14:paraId="45F06D7E" w14:textId="77777777" w:rsidR="00DD3EFA" w:rsidRPr="00EC2A1C" w:rsidRDefault="00DD3EFA" w:rsidP="00B15ECB">
            <w:pPr>
              <w:rPr>
                <w:b/>
              </w:rPr>
            </w:pPr>
          </w:p>
        </w:tc>
        <w:tc>
          <w:tcPr>
            <w:tcW w:w="5978" w:type="dxa"/>
            <w:tcBorders>
              <w:left w:val="nil"/>
              <w:right w:val="nil"/>
            </w:tcBorders>
            <w:shd w:val="clear" w:color="auto" w:fill="66CCFF"/>
          </w:tcPr>
          <w:p w14:paraId="33A55297" w14:textId="77777777" w:rsidR="00DD3EFA" w:rsidRPr="00EC2A1C" w:rsidRDefault="00DD3EFA" w:rsidP="00B15ECB">
            <w:pPr>
              <w:rPr>
                <w:b/>
              </w:rPr>
            </w:pPr>
          </w:p>
        </w:tc>
        <w:tc>
          <w:tcPr>
            <w:tcW w:w="249" w:type="dxa"/>
            <w:tcBorders>
              <w:left w:val="nil"/>
              <w:bottom w:val="nil"/>
            </w:tcBorders>
            <w:shd w:val="clear" w:color="auto" w:fill="66CCFF"/>
          </w:tcPr>
          <w:p w14:paraId="685E4032" w14:textId="77777777" w:rsidR="00DD3EFA" w:rsidRPr="00EC2A1C" w:rsidRDefault="00DD3EFA" w:rsidP="00B15ECB">
            <w:pPr>
              <w:rPr>
                <w:b/>
              </w:rPr>
            </w:pPr>
          </w:p>
        </w:tc>
      </w:tr>
      <w:tr w:rsidR="00DD3EFA" w:rsidRPr="00EC2A1C" w14:paraId="180C00E6" w14:textId="77777777" w:rsidTr="00B15ECB">
        <w:trPr>
          <w:trHeight w:val="561"/>
        </w:trPr>
        <w:tc>
          <w:tcPr>
            <w:tcW w:w="249" w:type="dxa"/>
            <w:tcBorders>
              <w:top w:val="nil"/>
              <w:bottom w:val="nil"/>
            </w:tcBorders>
            <w:shd w:val="clear" w:color="auto" w:fill="66CCFF"/>
          </w:tcPr>
          <w:p w14:paraId="42DD1531" w14:textId="77777777" w:rsidR="00DD3EFA" w:rsidRPr="00EC2A1C" w:rsidRDefault="00DD3EFA" w:rsidP="00B15ECB">
            <w:pPr>
              <w:rPr>
                <w:b/>
              </w:rPr>
            </w:pPr>
          </w:p>
        </w:tc>
        <w:tc>
          <w:tcPr>
            <w:tcW w:w="2548" w:type="dxa"/>
            <w:shd w:val="clear" w:color="auto" w:fill="0070C0"/>
          </w:tcPr>
          <w:p w14:paraId="3682D6EA"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Strategický cíl NKR:</w:t>
            </w:r>
          </w:p>
          <w:p w14:paraId="547B9EE1" w14:textId="77777777" w:rsidR="00DD3EFA" w:rsidRPr="00EC2A1C" w:rsidRDefault="00DD3EFA" w:rsidP="00B15ECB">
            <w:pPr>
              <w:spacing w:before="60" w:after="60"/>
              <w:rPr>
                <w:rFonts w:eastAsiaTheme="majorEastAsia"/>
                <w:b/>
                <w:color w:val="FFFFFF" w:themeColor="background1"/>
              </w:rPr>
            </w:pPr>
            <w:r w:rsidRPr="00EC2A1C">
              <w:t>Zlepšení kvality životního prostředí, zavedení nízkouhlíkové ekonomiky a adaptace na změnu klimatu</w:t>
            </w:r>
          </w:p>
        </w:tc>
        <w:tc>
          <w:tcPr>
            <w:tcW w:w="5978" w:type="dxa"/>
            <w:shd w:val="clear" w:color="auto" w:fill="0070C0"/>
          </w:tcPr>
          <w:p w14:paraId="258B0FB5"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47"/>
            </w:r>
            <w:r w:rsidRPr="00EC2A1C">
              <w:rPr>
                <w:rFonts w:eastAsiaTheme="majorEastAsia"/>
                <w:b/>
                <w:color w:val="FFFFFF" w:themeColor="background1"/>
                <w:u w:val="single"/>
              </w:rPr>
              <w:t xml:space="preserve">: </w:t>
            </w:r>
          </w:p>
          <w:p w14:paraId="38B664DF" w14:textId="77777777" w:rsidR="00DD3EFA" w:rsidRPr="00EC2A1C" w:rsidRDefault="00DD3EFA" w:rsidP="00B15ECB">
            <w:pPr>
              <w:spacing w:before="60" w:after="60"/>
              <w:rPr>
                <w:rFonts w:eastAsiaTheme="majorEastAsia"/>
                <w:b/>
                <w:color w:val="FFFFFF" w:themeColor="background1"/>
                <w:u w:val="single"/>
              </w:rPr>
            </w:pPr>
          </w:p>
          <w:p w14:paraId="484892C8" w14:textId="77777777" w:rsidR="00DD3EFA" w:rsidRPr="00EC2A1C" w:rsidRDefault="00DD3EFA" w:rsidP="00B15ECB">
            <w:pPr>
              <w:spacing w:before="60" w:after="60"/>
              <w:rPr>
                <w:rFonts w:eastAsiaTheme="majorEastAsia"/>
                <w:b/>
                <w:color w:val="FFFFFF" w:themeColor="background1"/>
                <w:u w:val="single"/>
              </w:rPr>
            </w:pPr>
            <w:r w:rsidRPr="00EC2A1C">
              <w:t>Zavedení moderních a vysoce účinných způsobů výroby, distribuce a akumulace tepelné energie</w:t>
            </w:r>
          </w:p>
        </w:tc>
        <w:tc>
          <w:tcPr>
            <w:tcW w:w="249" w:type="dxa"/>
            <w:tcBorders>
              <w:top w:val="nil"/>
              <w:bottom w:val="nil"/>
            </w:tcBorders>
            <w:shd w:val="clear" w:color="auto" w:fill="66CCFF"/>
          </w:tcPr>
          <w:p w14:paraId="2333DF58" w14:textId="77777777" w:rsidR="00DD3EFA" w:rsidRPr="00EC2A1C" w:rsidRDefault="00DD3EFA" w:rsidP="00B15ECB">
            <w:pPr>
              <w:rPr>
                <w:b/>
              </w:rPr>
            </w:pPr>
          </w:p>
        </w:tc>
      </w:tr>
      <w:tr w:rsidR="00DD3EFA" w:rsidRPr="00EC2A1C" w14:paraId="461A4684" w14:textId="77777777" w:rsidTr="00B15ECB">
        <w:trPr>
          <w:trHeight w:val="180"/>
        </w:trPr>
        <w:tc>
          <w:tcPr>
            <w:tcW w:w="249" w:type="dxa"/>
            <w:tcBorders>
              <w:top w:val="nil"/>
              <w:bottom w:val="nil"/>
              <w:right w:val="nil"/>
            </w:tcBorders>
            <w:shd w:val="clear" w:color="auto" w:fill="66CCFF"/>
          </w:tcPr>
          <w:p w14:paraId="1F8B2770" w14:textId="77777777" w:rsidR="00DD3EFA" w:rsidRPr="00EC2A1C" w:rsidRDefault="00DD3EFA" w:rsidP="00B15ECB">
            <w:pPr>
              <w:rPr>
                <w:b/>
              </w:rPr>
            </w:pPr>
          </w:p>
        </w:tc>
        <w:tc>
          <w:tcPr>
            <w:tcW w:w="2548" w:type="dxa"/>
            <w:tcBorders>
              <w:left w:val="nil"/>
              <w:right w:val="nil"/>
            </w:tcBorders>
            <w:shd w:val="clear" w:color="auto" w:fill="66CCFF"/>
          </w:tcPr>
          <w:p w14:paraId="3874A9C9" w14:textId="77777777" w:rsidR="00DD3EFA" w:rsidRPr="00EC2A1C" w:rsidRDefault="00DD3EFA" w:rsidP="00B15ECB">
            <w:pPr>
              <w:rPr>
                <w:b/>
              </w:rPr>
            </w:pPr>
          </w:p>
        </w:tc>
        <w:tc>
          <w:tcPr>
            <w:tcW w:w="5978" w:type="dxa"/>
            <w:tcBorders>
              <w:left w:val="nil"/>
              <w:right w:val="nil"/>
            </w:tcBorders>
            <w:shd w:val="clear" w:color="auto" w:fill="66CCFF"/>
          </w:tcPr>
          <w:p w14:paraId="6EA26367" w14:textId="77777777" w:rsidR="00DD3EFA" w:rsidRPr="00EC2A1C" w:rsidRDefault="00DD3EFA" w:rsidP="00B15ECB">
            <w:pPr>
              <w:rPr>
                <w:b/>
              </w:rPr>
            </w:pPr>
          </w:p>
        </w:tc>
        <w:tc>
          <w:tcPr>
            <w:tcW w:w="249" w:type="dxa"/>
            <w:tcBorders>
              <w:top w:val="nil"/>
              <w:left w:val="nil"/>
              <w:bottom w:val="nil"/>
            </w:tcBorders>
            <w:shd w:val="clear" w:color="auto" w:fill="66CCFF"/>
          </w:tcPr>
          <w:p w14:paraId="66CC4906" w14:textId="77777777" w:rsidR="00DD3EFA" w:rsidRPr="00EC2A1C" w:rsidRDefault="00DD3EFA" w:rsidP="00B15ECB">
            <w:pPr>
              <w:rPr>
                <w:b/>
              </w:rPr>
            </w:pPr>
          </w:p>
        </w:tc>
      </w:tr>
      <w:tr w:rsidR="00DD3EFA" w:rsidRPr="00EC2A1C" w14:paraId="6F1FD9C8" w14:textId="77777777" w:rsidTr="00B15ECB">
        <w:trPr>
          <w:trHeight w:val="892"/>
        </w:trPr>
        <w:tc>
          <w:tcPr>
            <w:tcW w:w="249" w:type="dxa"/>
            <w:tcBorders>
              <w:top w:val="nil"/>
              <w:bottom w:val="nil"/>
            </w:tcBorders>
            <w:shd w:val="clear" w:color="auto" w:fill="66CCFF"/>
          </w:tcPr>
          <w:p w14:paraId="79101FE6" w14:textId="77777777" w:rsidR="00DD3EFA" w:rsidRPr="00EC2A1C" w:rsidRDefault="00DD3EFA" w:rsidP="00B15ECB">
            <w:pPr>
              <w:rPr>
                <w:b/>
              </w:rPr>
            </w:pPr>
          </w:p>
        </w:tc>
        <w:tc>
          <w:tcPr>
            <w:tcW w:w="2548" w:type="dxa"/>
            <w:shd w:val="clear" w:color="auto" w:fill="FFFFFF" w:themeFill="background1"/>
          </w:tcPr>
          <w:p w14:paraId="7AA4B49C"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shd w:val="clear" w:color="auto" w:fill="FFFFFF" w:themeFill="background1"/>
          </w:tcPr>
          <w:p w14:paraId="1BB1C0D5" w14:textId="77777777" w:rsidR="00DD3EFA" w:rsidRPr="00EC2A1C" w:rsidRDefault="00DD3EFA" w:rsidP="00B15ECB">
            <w:pPr>
              <w:spacing w:before="40" w:after="80" w:line="276" w:lineRule="auto"/>
              <w:rPr>
                <w:rFonts w:eastAsia="Calibri"/>
              </w:rPr>
            </w:pPr>
            <w:r w:rsidRPr="00EC2A1C">
              <w:rPr>
                <w:rFonts w:eastAsia="Calibri"/>
              </w:rPr>
              <w:t>Výroba a distribuce tepla má zásadní význam jak pro domácnosti, tak pro veřejné budovy i hospodářské podniky. S přepokládaným zvyšováním energetické účinnosti a úspor emisí by měla spotřeba tepla do r. 2040 dále postupně klesat. Výrazně by měl klesnout i podíl hnědého uhlí na výrobě tepla. V rámci podoblasti budou podporovány tyto cíle:</w:t>
            </w:r>
          </w:p>
          <w:p w14:paraId="0D3F5E1C"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zavádění nových a rekonstrukce stávajících výroben tepla využívající zařízení s kombinovanou výrobou elektřiny a tepla, včetně zvýšení účinnosti distribučních tepelných sítí</w:t>
            </w:r>
          </w:p>
          <w:p w14:paraId="530A0A86"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zavádění nových a rekonstrukce stávajících monovýroben tepla (bez výroby elektřiny) s požadovanou účinností výroby a s postupnou změnou palivové základny bez hnědého uhlí</w:t>
            </w:r>
          </w:p>
          <w:p w14:paraId="434292EB"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rozvoj a rekonstrukce soustav zásobování tepelnou energie a zavádění nových soustav zásobování tepelnou energie tak, aby splnili požadavky na účinnou soustavy zásobování tepelné energie</w:t>
            </w:r>
          </w:p>
          <w:p w14:paraId="6C0B0BD9"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zvyšování účinnosti rozvodného tepelného zařízení soustavy zásobování tepelné energie a zvyšování účinnosti vnitřního rozvodu teplené energie v budovách</w:t>
            </w:r>
          </w:p>
          <w:p w14:paraId="7ED272CC"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využití tepla z výroben elektřiny a ze stávajících tepelných elektráren pro zásobování tepelnou energií tam, kde při stávající výrobě elektrické energie není teplo doposud využíváno</w:t>
            </w:r>
          </w:p>
          <w:p w14:paraId="6A8AFCC2" w14:textId="77777777" w:rsidR="00DD3EFA" w:rsidRPr="00EC2A1C" w:rsidRDefault="00DD3EFA" w:rsidP="00391907">
            <w:pPr>
              <w:pStyle w:val="Odstavecseseznamem"/>
              <w:numPr>
                <w:ilvl w:val="0"/>
                <w:numId w:val="96"/>
              </w:numPr>
              <w:spacing w:before="40" w:after="80" w:line="276" w:lineRule="auto"/>
              <w:rPr>
                <w:rFonts w:eastAsia="Calibri"/>
              </w:rPr>
            </w:pPr>
            <w:r w:rsidRPr="00EC2A1C">
              <w:rPr>
                <w:rFonts w:eastAsia="Calibri"/>
              </w:rPr>
              <w:t>využití odpadního tepla ve smyslu definice ve směrnici Evropského parlamentu a Rady (EU) 2018/2001 o podpoře využívání energie z obnovitelných zdrojů</w:t>
            </w:r>
          </w:p>
          <w:p w14:paraId="710F9A08"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podpora výroby tepla z obnovitelných zdrojů (případně mixem OZE a jiných ekologických paliv)</w:t>
            </w:r>
          </w:p>
          <w:p w14:paraId="7E9512E6"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podpora výroby tepla z kogeneračních jednotek na zemní plyn</w:t>
            </w:r>
          </w:p>
          <w:p w14:paraId="3802F445"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větší rozvoj centrální výroby a dodávky chladu a rozvoj využití odpadního tepla a chladu</w:t>
            </w:r>
          </w:p>
          <w:p w14:paraId="6461D880"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podpora rozvoje v oblasti akumulace tepla</w:t>
            </w:r>
          </w:p>
        </w:tc>
        <w:tc>
          <w:tcPr>
            <w:tcW w:w="249" w:type="dxa"/>
            <w:tcBorders>
              <w:top w:val="nil"/>
              <w:bottom w:val="nil"/>
            </w:tcBorders>
            <w:shd w:val="clear" w:color="auto" w:fill="66CCFF"/>
          </w:tcPr>
          <w:p w14:paraId="18BB93C0" w14:textId="77777777" w:rsidR="00DD3EFA" w:rsidRPr="00EC2A1C" w:rsidRDefault="00DD3EFA" w:rsidP="00B15ECB">
            <w:pPr>
              <w:rPr>
                <w:b/>
              </w:rPr>
            </w:pPr>
          </w:p>
        </w:tc>
      </w:tr>
      <w:tr w:rsidR="00DD3EFA" w:rsidRPr="00EC2A1C" w14:paraId="759AB69B" w14:textId="77777777" w:rsidTr="00B15ECB">
        <w:trPr>
          <w:trHeight w:val="46"/>
        </w:trPr>
        <w:tc>
          <w:tcPr>
            <w:tcW w:w="249" w:type="dxa"/>
            <w:tcBorders>
              <w:top w:val="nil"/>
              <w:bottom w:val="nil"/>
              <w:right w:val="nil"/>
            </w:tcBorders>
            <w:shd w:val="clear" w:color="auto" w:fill="66CCFF"/>
          </w:tcPr>
          <w:p w14:paraId="33F2ADDE"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0004D9D2"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5524FB4B" w14:textId="77777777" w:rsidR="00DD3EFA" w:rsidRPr="00EC2A1C" w:rsidRDefault="00DD3EFA" w:rsidP="00B15ECB">
            <w:pPr>
              <w:rPr>
                <w:b/>
              </w:rPr>
            </w:pPr>
          </w:p>
        </w:tc>
        <w:tc>
          <w:tcPr>
            <w:tcW w:w="249" w:type="dxa"/>
            <w:tcBorders>
              <w:top w:val="nil"/>
              <w:left w:val="nil"/>
              <w:bottom w:val="nil"/>
            </w:tcBorders>
            <w:shd w:val="clear" w:color="auto" w:fill="66CCFF"/>
          </w:tcPr>
          <w:p w14:paraId="06C95A52" w14:textId="77777777" w:rsidR="00DD3EFA" w:rsidRPr="00EC2A1C" w:rsidRDefault="00DD3EFA" w:rsidP="00B15ECB">
            <w:pPr>
              <w:rPr>
                <w:b/>
              </w:rPr>
            </w:pPr>
          </w:p>
        </w:tc>
      </w:tr>
      <w:tr w:rsidR="00DD3EFA" w:rsidRPr="00EC2A1C" w14:paraId="5BCE6354" w14:textId="77777777" w:rsidTr="00B15ECB">
        <w:trPr>
          <w:trHeight w:val="1274"/>
        </w:trPr>
        <w:tc>
          <w:tcPr>
            <w:tcW w:w="249" w:type="dxa"/>
            <w:tcBorders>
              <w:top w:val="nil"/>
              <w:bottom w:val="nil"/>
            </w:tcBorders>
            <w:shd w:val="clear" w:color="auto" w:fill="66CCFF"/>
          </w:tcPr>
          <w:p w14:paraId="4B5C48B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E5DE68D"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63627BCC"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ČR má rozvinutou síť velkokapacitních dálkových zdrojů tepla, resp. soustav zásobování tepelnou energií. Důvody důležitosti cíle: </w:t>
            </w:r>
          </w:p>
          <w:p w14:paraId="54343360" w14:textId="77777777" w:rsidR="00DD3EFA" w:rsidRPr="00EC2A1C" w:rsidRDefault="00DD3EFA" w:rsidP="00391907">
            <w:pPr>
              <w:pStyle w:val="slovanodstavec"/>
              <w:numPr>
                <w:ilvl w:val="0"/>
                <w:numId w:val="103"/>
              </w:numPr>
              <w:tabs>
                <w:tab w:val="clear" w:pos="567"/>
                <w:tab w:val="left" w:pos="284"/>
              </w:tabs>
              <w:suppressAutoHyphens/>
              <w:spacing w:line="240" w:lineRule="auto"/>
              <w:rPr>
                <w:rFonts w:ascii="Times New Roman" w:hAnsi="Times New Roman"/>
              </w:rPr>
            </w:pPr>
            <w:r w:rsidRPr="00EC2A1C">
              <w:rPr>
                <w:rFonts w:ascii="Times New Roman" w:hAnsi="Times New Roman"/>
              </w:rPr>
              <w:t xml:space="preserve">nedostatečné využívání potenciálu kombinované výroby elektřiny a tepla - některé soustavy zásobování teplem nevyužívají potenciál kombinované výroby elektřiny a tepla (tzv. „kogenerace“), jejíž požadavek je obsažen i ve Směrnici Evropského parlamentu a Rady 2012/27/EU o energetické účinnosti a teplo z výroby elektrické energie není v některých případech efektivně využito a uniká do okolního prostředí a atmosféry. Kombinací výroby elektřiny a tepla u jednoho zdroje lze přispět ke zvýšení konkurenceschopnosti a udržitelnosti české energetiky a zároveň snížit emisní zátěž skleníkovými plyny a znečišťujícími látkami produkovanými při spalování fosilních paliv. </w:t>
            </w:r>
          </w:p>
          <w:p w14:paraId="71A3C3C9" w14:textId="77777777" w:rsidR="00DD3EFA" w:rsidRPr="00EC2A1C" w:rsidRDefault="00DD3EFA" w:rsidP="00391907">
            <w:pPr>
              <w:pStyle w:val="slovanodstavec"/>
              <w:numPr>
                <w:ilvl w:val="0"/>
                <w:numId w:val="103"/>
              </w:numPr>
              <w:tabs>
                <w:tab w:val="clear" w:pos="567"/>
                <w:tab w:val="left" w:pos="284"/>
              </w:tabs>
              <w:suppressAutoHyphens/>
              <w:spacing w:line="240" w:lineRule="auto"/>
              <w:rPr>
                <w:rFonts w:ascii="Times New Roman" w:hAnsi="Times New Roman"/>
              </w:rPr>
            </w:pPr>
            <w:r w:rsidRPr="00EC2A1C">
              <w:rPr>
                <w:rFonts w:ascii="Times New Roman" w:hAnsi="Times New Roman"/>
              </w:rPr>
              <w:t xml:space="preserve">odstranění vysokých ztrát při distribuci tepla - v soustavách zásobování tepelnou energií, které jsou v některých případech zastaralé, dochází k výrazným ztrátám tepla, a proto je nutná jejich modernizace a rekonstrukce, především pak náhrada parních sítí sítěmi horkovodními. </w:t>
            </w:r>
          </w:p>
          <w:p w14:paraId="329AF506" w14:textId="77777777" w:rsidR="00DD3EFA" w:rsidRPr="00EC2A1C" w:rsidRDefault="00DD3EFA" w:rsidP="00391907">
            <w:pPr>
              <w:pStyle w:val="slovanodstavec"/>
              <w:numPr>
                <w:ilvl w:val="0"/>
                <w:numId w:val="103"/>
              </w:numPr>
              <w:tabs>
                <w:tab w:val="clear" w:pos="567"/>
                <w:tab w:val="left" w:pos="284"/>
              </w:tabs>
              <w:suppressAutoHyphens/>
              <w:spacing w:line="240" w:lineRule="auto"/>
              <w:rPr>
                <w:rFonts w:ascii="Times New Roman" w:hAnsi="Times New Roman"/>
              </w:rPr>
            </w:pPr>
            <w:r w:rsidRPr="00EC2A1C">
              <w:rPr>
                <w:rFonts w:ascii="Times New Roman" w:hAnsi="Times New Roman"/>
              </w:rPr>
              <w:t>potřeba změny palivové základy v - soustavách zásobování teplem bude také třeba s ohledem na očekávané závazky ČR vyplývající z legislativy EU do roku 2030 nahrazovat výrobu tepla z uhlí obnovitelnými a druhotnými zdroji energie případně zemním plynem a využívat více odpadní teplo a chlad a rozvíjet centrální výrobu a dodávku chladu.</w:t>
            </w:r>
          </w:p>
          <w:p w14:paraId="7DB6BC85"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rámci dané oblasti je možné významně přispět k plnění následujících očekávaných závazků ČR do roku 2030 vyplývajících z legislativy EU:</w:t>
            </w:r>
          </w:p>
          <w:p w14:paraId="666B363F" w14:textId="77777777" w:rsidR="00DD3EFA" w:rsidRPr="00EC2A1C" w:rsidRDefault="00DD3EFA" w:rsidP="00391907">
            <w:pPr>
              <w:pStyle w:val="Odstavecseseznamem"/>
              <w:numPr>
                <w:ilvl w:val="0"/>
                <w:numId w:val="96"/>
              </w:numPr>
              <w:spacing w:before="40" w:after="80" w:line="276" w:lineRule="auto"/>
              <w:jc w:val="both"/>
            </w:pPr>
            <w:r w:rsidRPr="00EC2A1C">
              <w:t>Snižování spotřeby energie</w:t>
            </w:r>
          </w:p>
          <w:p w14:paraId="3A0CF983" w14:textId="77777777" w:rsidR="00DD3EFA" w:rsidRPr="00EC2A1C" w:rsidRDefault="00DD3EFA" w:rsidP="00391907">
            <w:pPr>
              <w:pStyle w:val="Odstavecseseznamem"/>
              <w:numPr>
                <w:ilvl w:val="0"/>
                <w:numId w:val="96"/>
              </w:numPr>
              <w:spacing w:before="40" w:after="80" w:line="276" w:lineRule="auto"/>
              <w:jc w:val="both"/>
            </w:pPr>
            <w:r w:rsidRPr="00EC2A1C">
              <w:t xml:space="preserve">Snižování emisí skleníkových plynů </w:t>
            </w:r>
          </w:p>
          <w:p w14:paraId="1ECCDC47" w14:textId="77777777" w:rsidR="00DD3EFA" w:rsidRPr="00EC2A1C" w:rsidRDefault="00DD3EFA" w:rsidP="00391907">
            <w:pPr>
              <w:pStyle w:val="Odstavecseseznamem"/>
              <w:numPr>
                <w:ilvl w:val="0"/>
                <w:numId w:val="96"/>
              </w:numPr>
              <w:spacing w:before="40" w:after="80" w:line="276" w:lineRule="auto"/>
              <w:jc w:val="both"/>
            </w:pPr>
            <w:r w:rsidRPr="00EC2A1C">
              <w:t>Podíl energie z obnovitelných zdrojů na hrubé konečné spotřebě</w:t>
            </w:r>
          </w:p>
          <w:p w14:paraId="342B406C" w14:textId="77777777" w:rsidR="00DD3EFA" w:rsidRPr="00EC2A1C" w:rsidRDefault="00DD3EFA" w:rsidP="00391907">
            <w:pPr>
              <w:pStyle w:val="Odstavecseseznamem"/>
              <w:numPr>
                <w:ilvl w:val="0"/>
                <w:numId w:val="96"/>
              </w:numPr>
              <w:spacing w:before="40" w:after="80" w:line="276" w:lineRule="auto"/>
              <w:jc w:val="both"/>
            </w:pPr>
            <w:r w:rsidRPr="00EC2A1C">
              <w:t>Podíl energie z obnovitelných zdrojů na výrobě tepla</w:t>
            </w:r>
          </w:p>
          <w:p w14:paraId="7A5344A6" w14:textId="77777777" w:rsidR="00DD3EFA" w:rsidRPr="00EC2A1C" w:rsidRDefault="00DD3EFA" w:rsidP="00391907">
            <w:pPr>
              <w:pStyle w:val="Odstavecseseznamem"/>
              <w:numPr>
                <w:ilvl w:val="0"/>
                <w:numId w:val="96"/>
              </w:numPr>
              <w:spacing w:before="40" w:after="80" w:line="276" w:lineRule="auto"/>
              <w:jc w:val="both"/>
            </w:pPr>
            <w:r w:rsidRPr="00EC2A1C">
              <w:t>Využívat odpadní teplo a rozvíjet výrobu a dodávku chladu</w:t>
            </w:r>
          </w:p>
          <w:p w14:paraId="677D9734" w14:textId="77777777" w:rsidR="00DD3EFA" w:rsidRPr="00EC2A1C" w:rsidRDefault="00DD3EFA" w:rsidP="00391907">
            <w:pPr>
              <w:pStyle w:val="Odstavecseseznamem"/>
              <w:numPr>
                <w:ilvl w:val="0"/>
                <w:numId w:val="96"/>
              </w:numPr>
              <w:spacing w:before="40" w:after="80" w:line="276" w:lineRule="auto"/>
              <w:jc w:val="both"/>
            </w:pPr>
            <w:r w:rsidRPr="00EC2A1C">
              <w:t>Národní emisní stropy pro znečišťující látky (prach, NOx, SO2).</w:t>
            </w:r>
          </w:p>
          <w:p w14:paraId="581E8C51" w14:textId="77777777" w:rsidR="00DD3EFA" w:rsidRPr="00EC2A1C" w:rsidRDefault="00DD3EFA" w:rsidP="00B15ECB">
            <w:pPr>
              <w:spacing w:before="60" w:after="60"/>
              <w:rPr>
                <w:rFonts w:eastAsiaTheme="majorEastAsia"/>
                <w:i/>
                <w:u w:val="single"/>
              </w:rPr>
            </w:pPr>
            <w:r w:rsidRPr="00EC2A1C">
              <w:t>Rozvoj soustav zásobování teplem také přispívá ke snižování imisní zátěže v městských aglomeracích, které mají zpravidla s kvalitou ovzduší největší problémy.</w:t>
            </w:r>
          </w:p>
        </w:tc>
        <w:tc>
          <w:tcPr>
            <w:tcW w:w="249" w:type="dxa"/>
            <w:tcBorders>
              <w:top w:val="nil"/>
              <w:bottom w:val="nil"/>
            </w:tcBorders>
            <w:shd w:val="clear" w:color="auto" w:fill="66CCFF"/>
          </w:tcPr>
          <w:p w14:paraId="26F9E4E1" w14:textId="77777777" w:rsidR="00DD3EFA" w:rsidRPr="00EC2A1C" w:rsidRDefault="00DD3EFA" w:rsidP="00B15ECB">
            <w:pPr>
              <w:rPr>
                <w:b/>
              </w:rPr>
            </w:pPr>
          </w:p>
        </w:tc>
      </w:tr>
      <w:tr w:rsidR="00DD3EFA" w:rsidRPr="00EC2A1C" w14:paraId="10A4D7D5" w14:textId="77777777" w:rsidTr="00B15ECB">
        <w:trPr>
          <w:trHeight w:val="1274"/>
        </w:trPr>
        <w:tc>
          <w:tcPr>
            <w:tcW w:w="249" w:type="dxa"/>
            <w:tcBorders>
              <w:top w:val="nil"/>
              <w:bottom w:val="nil"/>
            </w:tcBorders>
            <w:shd w:val="clear" w:color="auto" w:fill="66CCFF"/>
          </w:tcPr>
          <w:p w14:paraId="17C5745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D0C295C"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269B7169" w14:textId="77777777" w:rsidR="00DD3EFA" w:rsidRPr="00EC2A1C" w:rsidRDefault="00DD3EFA" w:rsidP="00B15ECB">
            <w:pPr>
              <w:spacing w:before="60" w:after="60"/>
              <w:rPr>
                <w:i/>
              </w:rPr>
            </w:pPr>
            <w:r w:rsidRPr="00EC2A1C">
              <w:rPr>
                <w:rFonts w:eastAsia="Calibri"/>
              </w:rPr>
              <w:t>Specifický cíl řeší několik situací, mezi něž patří rekonstrukce a modernizace stávajících kombinovaných zdrojů výroby tepla a elektrické energie, zavádění kogenerace tam, kde dosud je vyráběna pouze elektřina (přičemž se může jednat o velké i malé zdroje) za účelem využití zbytkového tepla, které by uniklo do okolního prostředí, modernizace, rekonstrukce a optimalizace tepelných sítí za účelem snížení tepelných ztrát při vedení tepla. Při zavádění nové kogenerační jednotky nebo při rekonstrukci staré by se mělo dbát na ekologičtější paliva (plyn, bioplyn, a další). Důležitá je i integrace obnovitelných zdrojů energie do systému výroby tepla a jeho distribuce.</w:t>
            </w:r>
          </w:p>
        </w:tc>
        <w:tc>
          <w:tcPr>
            <w:tcW w:w="249" w:type="dxa"/>
            <w:tcBorders>
              <w:top w:val="nil"/>
              <w:bottom w:val="nil"/>
            </w:tcBorders>
            <w:shd w:val="clear" w:color="auto" w:fill="66CCFF"/>
          </w:tcPr>
          <w:p w14:paraId="345A8B75" w14:textId="77777777" w:rsidR="00DD3EFA" w:rsidRPr="00EC2A1C" w:rsidRDefault="00DD3EFA" w:rsidP="00B15ECB">
            <w:pPr>
              <w:rPr>
                <w:b/>
              </w:rPr>
            </w:pPr>
          </w:p>
        </w:tc>
      </w:tr>
      <w:tr w:rsidR="00DD3EFA" w:rsidRPr="00EC2A1C" w14:paraId="7A89B8A1" w14:textId="77777777" w:rsidTr="00B15ECB">
        <w:trPr>
          <w:trHeight w:val="1274"/>
        </w:trPr>
        <w:tc>
          <w:tcPr>
            <w:tcW w:w="249" w:type="dxa"/>
            <w:tcBorders>
              <w:top w:val="nil"/>
              <w:bottom w:val="nil"/>
            </w:tcBorders>
            <w:shd w:val="clear" w:color="auto" w:fill="66CCFF"/>
          </w:tcPr>
          <w:p w14:paraId="1EF8AF1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560EADA" w14:textId="77777777" w:rsidR="00DD3EFA" w:rsidRPr="00EC2A1C" w:rsidRDefault="00DD3EFA" w:rsidP="00B15ECB">
            <w:pPr>
              <w:spacing w:before="60" w:after="60"/>
              <w:rPr>
                <w:rFonts w:eastAsiaTheme="majorEastAsia"/>
                <w:b/>
              </w:rPr>
            </w:pPr>
            <w:r w:rsidRPr="00EC2A1C">
              <w:rPr>
                <w:rFonts w:eastAsiaTheme="majorEastAsia"/>
                <w:b/>
              </w:rPr>
              <w:t>Definice cíle – změny, které chceme dosáhnout</w:t>
            </w:r>
          </w:p>
          <w:p w14:paraId="321E9892"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ACFD7AE" w14:textId="77777777" w:rsidR="00DD3EFA" w:rsidRPr="00EC2A1C" w:rsidRDefault="00DD3EFA" w:rsidP="00B15ECB">
            <w:pPr>
              <w:spacing w:before="60" w:after="60"/>
              <w:rPr>
                <w:rFonts w:eastAsiaTheme="majorEastAsia"/>
              </w:rPr>
            </w:pPr>
            <w:r w:rsidRPr="00EC2A1C">
              <w:rPr>
                <w:rFonts w:eastAsiaTheme="majorEastAsia"/>
              </w:rPr>
              <w:t>Cílem je zabezpečit kvalitní dodávky tepelné energie pro uspokojení potřeb hospodářství i obyvatel ČR. Je potřeba adaptovat české teplárenství na:</w:t>
            </w:r>
          </w:p>
          <w:p w14:paraId="7292025A" w14:textId="77777777" w:rsidR="00DD3EFA" w:rsidRPr="00EC2A1C" w:rsidRDefault="00DD3EFA" w:rsidP="00391907">
            <w:pPr>
              <w:pStyle w:val="Odstavecseseznamem"/>
              <w:numPr>
                <w:ilvl w:val="0"/>
                <w:numId w:val="104"/>
              </w:numPr>
              <w:spacing w:before="60" w:after="60"/>
              <w:jc w:val="both"/>
              <w:rPr>
                <w:rFonts w:eastAsiaTheme="majorEastAsia"/>
              </w:rPr>
            </w:pPr>
            <w:r w:rsidRPr="00EC2A1C">
              <w:t>vyšší využívání potenciálu kombinované výroby elektřiny a tepla</w:t>
            </w:r>
          </w:p>
          <w:p w14:paraId="66713639" w14:textId="77777777" w:rsidR="00DD3EFA" w:rsidRPr="00EC2A1C" w:rsidRDefault="00DD3EFA" w:rsidP="00391907">
            <w:pPr>
              <w:pStyle w:val="Odstavecseseznamem"/>
              <w:numPr>
                <w:ilvl w:val="0"/>
                <w:numId w:val="104"/>
              </w:numPr>
              <w:spacing w:before="60" w:after="60"/>
              <w:jc w:val="both"/>
              <w:rPr>
                <w:rFonts w:eastAsiaTheme="majorEastAsia"/>
              </w:rPr>
            </w:pPr>
            <w:r w:rsidRPr="00EC2A1C">
              <w:t>odstranění vysokých ztrát při distribuci tepla</w:t>
            </w:r>
          </w:p>
          <w:p w14:paraId="203A088B" w14:textId="77777777" w:rsidR="00DD3EFA" w:rsidRPr="00EC2A1C" w:rsidRDefault="00DD3EFA" w:rsidP="00391907">
            <w:pPr>
              <w:pStyle w:val="Odstavecseseznamem"/>
              <w:numPr>
                <w:ilvl w:val="0"/>
                <w:numId w:val="104"/>
              </w:numPr>
              <w:spacing w:before="60" w:after="60"/>
              <w:jc w:val="both"/>
              <w:rPr>
                <w:rFonts w:eastAsiaTheme="majorEastAsia"/>
              </w:rPr>
            </w:pPr>
            <w:r w:rsidRPr="00EC2A1C">
              <w:t>zvyšovat podíl účinných sosutav zásobování tepelnou energií</w:t>
            </w:r>
          </w:p>
          <w:p w14:paraId="6D667C2F" w14:textId="77777777" w:rsidR="00DD3EFA" w:rsidRPr="00EC2A1C" w:rsidRDefault="00DD3EFA" w:rsidP="00391907">
            <w:pPr>
              <w:pStyle w:val="Odstavecseseznamem"/>
              <w:numPr>
                <w:ilvl w:val="0"/>
                <w:numId w:val="104"/>
              </w:numPr>
              <w:spacing w:before="60" w:after="60"/>
              <w:jc w:val="both"/>
              <w:rPr>
                <w:rFonts w:eastAsiaTheme="majorEastAsia"/>
                <w:u w:val="single"/>
              </w:rPr>
            </w:pPr>
            <w:r w:rsidRPr="00EC2A1C">
              <w:t xml:space="preserve">potřeba změny palivové základy s </w:t>
            </w:r>
            <w:r w:rsidRPr="00EC2A1C">
              <w:rPr>
                <w:rFonts w:eastAsiaTheme="majorEastAsia"/>
              </w:rPr>
              <w:t>vyšším rozvojem využívání obnovitelných zdrojů (OZE), odpadního tepla a chladu a druhotných zdrojů</w:t>
            </w:r>
          </w:p>
        </w:tc>
        <w:tc>
          <w:tcPr>
            <w:tcW w:w="249" w:type="dxa"/>
            <w:tcBorders>
              <w:top w:val="nil"/>
              <w:bottom w:val="nil"/>
            </w:tcBorders>
            <w:shd w:val="clear" w:color="auto" w:fill="66CCFF"/>
          </w:tcPr>
          <w:p w14:paraId="0FB7000D" w14:textId="77777777" w:rsidR="00DD3EFA" w:rsidRPr="00EC2A1C" w:rsidRDefault="00DD3EFA" w:rsidP="00B15ECB">
            <w:pPr>
              <w:rPr>
                <w:b/>
              </w:rPr>
            </w:pPr>
          </w:p>
        </w:tc>
      </w:tr>
      <w:tr w:rsidR="00DD3EFA" w:rsidRPr="00EC2A1C" w14:paraId="167A6645" w14:textId="77777777" w:rsidTr="00B15ECB">
        <w:trPr>
          <w:trHeight w:val="1274"/>
        </w:trPr>
        <w:tc>
          <w:tcPr>
            <w:tcW w:w="249" w:type="dxa"/>
            <w:tcBorders>
              <w:top w:val="nil"/>
              <w:bottom w:val="nil"/>
            </w:tcBorders>
            <w:shd w:val="clear" w:color="auto" w:fill="66CCFF"/>
          </w:tcPr>
          <w:p w14:paraId="107CE46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2527306" w14:textId="77777777" w:rsidR="00DD3EFA" w:rsidRPr="00EC2A1C" w:rsidRDefault="00DD3EFA" w:rsidP="00B15ECB">
            <w:pPr>
              <w:spacing w:before="60" w:after="60"/>
              <w:rPr>
                <w:rFonts w:eastAsiaTheme="majorEastAsia"/>
                <w:b/>
              </w:rPr>
            </w:pPr>
            <w:r w:rsidRPr="00EC2A1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5013647A" w14:textId="77777777" w:rsidR="00DD3EFA" w:rsidRPr="00EC2A1C" w:rsidRDefault="00DD3EFA" w:rsidP="00B15ECB">
            <w:pPr>
              <w:spacing w:after="240"/>
              <w:rPr>
                <w:u w:val="single"/>
              </w:rPr>
            </w:pPr>
            <w:r w:rsidRPr="00EC2A1C">
              <w:rPr>
                <w:u w:val="single"/>
              </w:rPr>
              <w:t xml:space="preserve">Výstup: </w:t>
            </w:r>
          </w:p>
          <w:p w14:paraId="1302781C" w14:textId="77777777" w:rsidR="00DD3EFA" w:rsidRPr="00EC2A1C" w:rsidRDefault="00DD3EFA" w:rsidP="00391907">
            <w:pPr>
              <w:pStyle w:val="Odstavecseseznamem"/>
              <w:numPr>
                <w:ilvl w:val="0"/>
                <w:numId w:val="96"/>
              </w:numPr>
              <w:spacing w:after="240"/>
              <w:rPr>
                <w:rFonts w:eastAsiaTheme="majorEastAsia"/>
              </w:rPr>
            </w:pPr>
            <w:r w:rsidRPr="00EC2A1C">
              <w:t xml:space="preserve">Instalace a další rozvoj technologií umožňující </w:t>
            </w:r>
            <w:r w:rsidRPr="00EC2A1C">
              <w:rPr>
                <w:rFonts w:eastAsiaTheme="majorEastAsia"/>
              </w:rPr>
              <w:t>efektivní způsoby výroby tepla a využití obnovitelných zdrojů, druhotných zdrojů, odpadního tepla a zařízení kombinované výroby elektřiny a tepla.</w:t>
            </w:r>
          </w:p>
          <w:p w14:paraId="60C69134" w14:textId="77777777" w:rsidR="00DD3EFA" w:rsidRPr="00EC2A1C" w:rsidRDefault="00DD3EFA" w:rsidP="00B15ECB">
            <w:pPr>
              <w:spacing w:after="240"/>
              <w:rPr>
                <w:u w:val="single"/>
              </w:rPr>
            </w:pPr>
            <w:r w:rsidRPr="00EC2A1C">
              <w:rPr>
                <w:u w:val="single"/>
              </w:rPr>
              <w:t xml:space="preserve">Výsledek: </w:t>
            </w:r>
          </w:p>
          <w:p w14:paraId="3CBD5939" w14:textId="77777777" w:rsidR="00DD3EFA" w:rsidRPr="00EC2A1C" w:rsidRDefault="00DD3EFA" w:rsidP="00391907">
            <w:pPr>
              <w:pStyle w:val="Odstavecseseznamem"/>
              <w:numPr>
                <w:ilvl w:val="0"/>
                <w:numId w:val="96"/>
              </w:numPr>
              <w:spacing w:after="240"/>
            </w:pPr>
            <w:r w:rsidRPr="00EC2A1C">
              <w:t>Robustní a moderní teplárenský sektor (tj. výrobny tepelné energie a rozvod tepla) a vytvoření podmínek pro zachování stávajících soustav zásobování teplem a jejich rozvoj.</w:t>
            </w:r>
          </w:p>
          <w:p w14:paraId="4714B7AC" w14:textId="77777777" w:rsidR="00DD3EFA" w:rsidRPr="00EC2A1C" w:rsidRDefault="00DD3EFA" w:rsidP="00B15ECB">
            <w:pPr>
              <w:spacing w:after="240"/>
              <w:rPr>
                <w:u w:val="single"/>
              </w:rPr>
            </w:pPr>
            <w:r w:rsidRPr="00EC2A1C">
              <w:rPr>
                <w:u w:val="single"/>
              </w:rPr>
              <w:t xml:space="preserve">Dopad: </w:t>
            </w:r>
          </w:p>
          <w:p w14:paraId="00D724C5" w14:textId="77777777" w:rsidR="00DD3EFA" w:rsidRPr="00EC2A1C" w:rsidRDefault="00DD3EFA" w:rsidP="00391907">
            <w:pPr>
              <w:pStyle w:val="Odstavecseseznamem"/>
              <w:numPr>
                <w:ilvl w:val="0"/>
                <w:numId w:val="96"/>
              </w:numPr>
              <w:spacing w:after="240"/>
              <w:rPr>
                <w:rFonts w:eastAsiaTheme="majorEastAsia"/>
                <w:u w:val="single"/>
              </w:rPr>
            </w:pPr>
            <w:r w:rsidRPr="00EC2A1C">
              <w:t xml:space="preserve">Zvýšení komfortu </w:t>
            </w:r>
            <w:r w:rsidRPr="00EC2A1C">
              <w:rPr>
                <w:rFonts w:eastAsiaTheme="majorEastAsia"/>
              </w:rPr>
              <w:t>odběratelů v oblasti zásobování tepelnou energií a efektivnější a udržitelnější fungování sektoru teplárenství.</w:t>
            </w:r>
          </w:p>
        </w:tc>
        <w:tc>
          <w:tcPr>
            <w:tcW w:w="249" w:type="dxa"/>
            <w:tcBorders>
              <w:top w:val="nil"/>
              <w:bottom w:val="nil"/>
            </w:tcBorders>
            <w:shd w:val="clear" w:color="auto" w:fill="66CCFF"/>
          </w:tcPr>
          <w:p w14:paraId="58AA4087" w14:textId="77777777" w:rsidR="00DD3EFA" w:rsidRPr="00EC2A1C" w:rsidRDefault="00DD3EFA" w:rsidP="00B15ECB">
            <w:pPr>
              <w:rPr>
                <w:b/>
              </w:rPr>
            </w:pPr>
          </w:p>
        </w:tc>
      </w:tr>
      <w:tr w:rsidR="00DD3EFA" w:rsidRPr="00EC2A1C" w14:paraId="38F21D22" w14:textId="77777777" w:rsidTr="00B15ECB">
        <w:trPr>
          <w:trHeight w:val="1274"/>
        </w:trPr>
        <w:tc>
          <w:tcPr>
            <w:tcW w:w="249" w:type="dxa"/>
            <w:tcBorders>
              <w:top w:val="nil"/>
              <w:bottom w:val="nil"/>
            </w:tcBorders>
            <w:shd w:val="clear" w:color="auto" w:fill="66CCFF"/>
          </w:tcPr>
          <w:p w14:paraId="70B2213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CB1CF2A" w14:textId="77777777" w:rsidR="00DD3EFA" w:rsidRPr="00EC2A1C" w:rsidRDefault="00DD3EFA"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4C656C7A"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eastAsiaTheme="majorEastAsia" w:hAnsi="Times New Roman"/>
              </w:rPr>
              <w:t>Řada požadavků na implementaci nových opatření v energetice/teplárenství je dána energetickou politikou EU. Povinnost implementace vyplývá ze schválené, nebo připravované, evropské legislativy, bez ohledu na náklady, které to bude znamenat pro konečné spotřebitele energie. Podíl podpory ze strukturálních fondů na realizaci opatření v oblasti teplárenství by měl být tedy co největší. Podpora z ESIF mohla pohybovat až do výše 90 % nákladů.</w:t>
            </w:r>
          </w:p>
          <w:p w14:paraId="69FF65A6"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05EB8FA3" w14:textId="77777777" w:rsidR="00DD3EFA" w:rsidRPr="00EC2A1C" w:rsidRDefault="00DD3EFA" w:rsidP="00B15ECB">
            <w:pPr>
              <w:rPr>
                <w:b/>
              </w:rPr>
            </w:pPr>
          </w:p>
        </w:tc>
      </w:tr>
      <w:tr w:rsidR="00DD3EFA" w:rsidRPr="00EC2A1C" w14:paraId="5D16863C" w14:textId="77777777" w:rsidTr="00B15ECB">
        <w:trPr>
          <w:trHeight w:val="1274"/>
        </w:trPr>
        <w:tc>
          <w:tcPr>
            <w:tcW w:w="249" w:type="dxa"/>
            <w:tcBorders>
              <w:top w:val="nil"/>
              <w:bottom w:val="nil"/>
            </w:tcBorders>
            <w:shd w:val="clear" w:color="auto" w:fill="66CCFF"/>
          </w:tcPr>
          <w:p w14:paraId="3B546EAE"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126CE12" w14:textId="77777777" w:rsidR="00DD3EFA" w:rsidRPr="00EC2A1C" w:rsidRDefault="00DD3EFA" w:rsidP="00B15ECB">
            <w:pPr>
              <w:spacing w:before="60" w:after="60"/>
              <w:rPr>
                <w:rFonts w:eastAsiaTheme="majorEastAsia"/>
                <w:b/>
              </w:rPr>
            </w:pPr>
            <w:r w:rsidRPr="00EC2A1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38BC5F9B" w14:textId="77777777" w:rsidR="00DD3EFA" w:rsidRPr="00EC2A1C" w:rsidRDefault="00DD3EFA" w:rsidP="00B15ECB">
            <w:pPr>
              <w:spacing w:before="60" w:after="60"/>
              <w:rPr>
                <w:rFonts w:eastAsiaTheme="majorEastAsia"/>
              </w:rPr>
            </w:pPr>
            <w:r w:rsidRPr="00EC2A1C">
              <w:rPr>
                <w:rFonts w:eastAsiaTheme="majorEastAsia"/>
              </w:rPr>
              <w:t xml:space="preserve">Oproti minulému programovacímu období vzhledem na podmínky z programového dokumentu není možno podporovat opatření ke zvýšení energetické účinnosti v rámci zdrojů. Není možné podporovat KVET na uhlí a zdroje KVET na zemní plyn, které jsou v rámci EU ETS. Dále není možné podporovat výtopny a rekonstrukce soustav zásobování teplem, které po rekonstrukci neplní požadavky na účinnou soustavu ve smyslu její definice ve směrnici o energetické účinnosti. </w:t>
            </w:r>
          </w:p>
          <w:p w14:paraId="2DAC99B2" w14:textId="77777777" w:rsidR="00DD3EFA" w:rsidRPr="00EC2A1C" w:rsidRDefault="00DD3EFA" w:rsidP="00B15ECB">
            <w:pPr>
              <w:spacing w:before="60" w:after="60"/>
              <w:rPr>
                <w:rFonts w:eastAsiaTheme="majorEastAsia"/>
              </w:rPr>
            </w:pPr>
            <w:r w:rsidRPr="00EC2A1C">
              <w:rPr>
                <w:rFonts w:eastAsiaTheme="majorEastAsia"/>
              </w:rPr>
              <w:t xml:space="preserve">Oproti minulému programovému období je možné podporovat výstavbu, rozvoj a propojování existujících soustav zásobování tepelnou energií včetně předávacích stanic za účelem vyššího využití vysokoúčinné kombinované výroby elektřiny a tepla s cílem dosažení úspor primární energie. Dále od III. výzvy Úspory v SZT se plánuje podpora výtopen na zemní plyn v režimu de minimis, kde existuje také potenciál úspor energie. </w:t>
            </w:r>
          </w:p>
          <w:p w14:paraId="51911A1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p>
        </w:tc>
        <w:tc>
          <w:tcPr>
            <w:tcW w:w="249" w:type="dxa"/>
            <w:tcBorders>
              <w:top w:val="nil"/>
              <w:bottom w:val="nil"/>
            </w:tcBorders>
            <w:shd w:val="clear" w:color="auto" w:fill="66CCFF"/>
          </w:tcPr>
          <w:p w14:paraId="46A257FE" w14:textId="77777777" w:rsidR="00DD3EFA" w:rsidRPr="00EC2A1C" w:rsidRDefault="00DD3EFA" w:rsidP="00B15ECB">
            <w:pPr>
              <w:rPr>
                <w:b/>
              </w:rPr>
            </w:pPr>
          </w:p>
        </w:tc>
      </w:tr>
      <w:tr w:rsidR="00DD3EFA" w:rsidRPr="00EC2A1C" w14:paraId="29AA6873" w14:textId="77777777" w:rsidTr="00B15ECB">
        <w:trPr>
          <w:trHeight w:val="272"/>
        </w:trPr>
        <w:tc>
          <w:tcPr>
            <w:tcW w:w="249" w:type="dxa"/>
            <w:tcBorders>
              <w:top w:val="nil"/>
              <w:bottom w:val="nil"/>
              <w:right w:val="nil"/>
            </w:tcBorders>
            <w:shd w:val="clear" w:color="auto" w:fill="66CCFF"/>
          </w:tcPr>
          <w:p w14:paraId="44289944"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48CAE00"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3FC3036"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7CD244E8" w14:textId="77777777" w:rsidR="00DD3EFA" w:rsidRPr="00EC2A1C" w:rsidRDefault="00DD3EFA" w:rsidP="00B15ECB">
            <w:pPr>
              <w:rPr>
                <w:b/>
              </w:rPr>
            </w:pPr>
          </w:p>
        </w:tc>
      </w:tr>
      <w:tr w:rsidR="00DD3EFA" w:rsidRPr="00EC2A1C" w14:paraId="0CD72E36" w14:textId="77777777" w:rsidTr="00B15ECB">
        <w:trPr>
          <w:trHeight w:val="835"/>
        </w:trPr>
        <w:tc>
          <w:tcPr>
            <w:tcW w:w="249" w:type="dxa"/>
            <w:tcBorders>
              <w:top w:val="nil"/>
              <w:bottom w:val="nil"/>
            </w:tcBorders>
            <w:shd w:val="clear" w:color="auto" w:fill="66CCFF"/>
          </w:tcPr>
          <w:p w14:paraId="0975DA79"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094B0D81"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1F51D486" w14:textId="77777777" w:rsidR="00DD3EFA" w:rsidRPr="00EC2A1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2152D72C" w14:textId="77777777" w:rsidR="00DD3EFA" w:rsidRPr="00EC2A1C" w:rsidRDefault="00DD3EFA" w:rsidP="00B15ECB">
            <w:pPr>
              <w:spacing w:before="60" w:after="60"/>
              <w:rPr>
                <w:rFonts w:eastAsiaTheme="majorEastAsia"/>
                <w:i/>
              </w:rPr>
            </w:pPr>
            <w:r w:rsidRPr="00EC2A1C">
              <w:t>Výroba a distribuce tepla má zásadní význam jak pro domácnosti, tak pro veřejné budovy i hospodářské podniky. Efekt dosavadní podpory je příspěvek ke snižování energetické náročnost sektoru výroby tepla v kombinované výrobě elektřiny a tepla a snižování ztrát rozvodu tepla.</w:t>
            </w:r>
          </w:p>
        </w:tc>
        <w:tc>
          <w:tcPr>
            <w:tcW w:w="249" w:type="dxa"/>
            <w:tcBorders>
              <w:top w:val="nil"/>
              <w:bottom w:val="nil"/>
            </w:tcBorders>
            <w:shd w:val="clear" w:color="auto" w:fill="66CCFF"/>
          </w:tcPr>
          <w:p w14:paraId="02157932" w14:textId="77777777" w:rsidR="00DD3EFA" w:rsidRPr="00EC2A1C" w:rsidRDefault="00DD3EFA" w:rsidP="00B15ECB">
            <w:pPr>
              <w:rPr>
                <w:b/>
              </w:rPr>
            </w:pPr>
          </w:p>
        </w:tc>
      </w:tr>
      <w:tr w:rsidR="00DD3EFA" w:rsidRPr="00EC2A1C" w14:paraId="337BCCE6" w14:textId="77777777" w:rsidTr="00B15ECB">
        <w:trPr>
          <w:trHeight w:val="377"/>
        </w:trPr>
        <w:tc>
          <w:tcPr>
            <w:tcW w:w="249" w:type="dxa"/>
            <w:tcBorders>
              <w:top w:val="nil"/>
              <w:bottom w:val="nil"/>
              <w:right w:val="nil"/>
            </w:tcBorders>
            <w:shd w:val="clear" w:color="auto" w:fill="66CCFF"/>
          </w:tcPr>
          <w:p w14:paraId="36148631"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C6CD597"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064ADD92"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0122EA1B" w14:textId="77777777" w:rsidR="00DD3EFA" w:rsidRPr="00EC2A1C" w:rsidRDefault="00DD3EFA" w:rsidP="00B15ECB">
            <w:pPr>
              <w:rPr>
                <w:b/>
              </w:rPr>
            </w:pPr>
          </w:p>
        </w:tc>
      </w:tr>
      <w:tr w:rsidR="00DD3EFA" w:rsidRPr="00EC2A1C" w14:paraId="61AA1B2C" w14:textId="77777777" w:rsidTr="00B15ECB">
        <w:trPr>
          <w:trHeight w:val="1202"/>
        </w:trPr>
        <w:tc>
          <w:tcPr>
            <w:tcW w:w="249" w:type="dxa"/>
            <w:tcBorders>
              <w:top w:val="nil"/>
              <w:bottom w:val="nil"/>
            </w:tcBorders>
            <w:shd w:val="clear" w:color="auto" w:fill="66CCFF"/>
          </w:tcPr>
          <w:p w14:paraId="2F706B26" w14:textId="77777777" w:rsidR="00DD3EFA" w:rsidRPr="00EC2A1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06CB5CC0"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p w14:paraId="42B1D59A"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3B5C5EB5" w14:textId="77777777" w:rsidR="00DD3EFA" w:rsidRPr="00EC2A1C" w:rsidRDefault="00DD3EFA" w:rsidP="00B15ECB">
            <w:pPr>
              <w:rPr>
                <w:b/>
              </w:rPr>
            </w:pPr>
          </w:p>
        </w:tc>
      </w:tr>
      <w:tr w:rsidR="00DD3EFA" w:rsidRPr="00EC2A1C" w14:paraId="3407D26A" w14:textId="77777777" w:rsidTr="00B15ECB">
        <w:trPr>
          <w:trHeight w:val="1202"/>
        </w:trPr>
        <w:tc>
          <w:tcPr>
            <w:tcW w:w="249" w:type="dxa"/>
            <w:tcBorders>
              <w:top w:val="nil"/>
              <w:bottom w:val="nil"/>
            </w:tcBorders>
            <w:shd w:val="clear" w:color="auto" w:fill="66CCFF"/>
          </w:tcPr>
          <w:p w14:paraId="55E1438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DE82BAB"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0EE01D9C"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6DC9F05" w14:textId="77777777" w:rsidR="00DD3EFA" w:rsidRPr="00EC2A1C" w:rsidRDefault="00DD3EFA" w:rsidP="00B15ECB">
            <w:pPr>
              <w:spacing w:before="120" w:after="40"/>
            </w:pPr>
            <w:r w:rsidRPr="00EC2A1C">
              <w:t xml:space="preserve">Teplárny se soustřeďují především ve  městech a jejich aglomeracích. Zvýšený výskyt tepláren je v regionu Severozápad, Severovýchod a Moravskoslezsko (tedy hospodářsky a sociálně ohrožená území dle SRR 2021+), dále v Praze a Středních Čechách. </w:t>
            </w:r>
          </w:p>
          <w:p w14:paraId="18CD693F"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1B4B54FB" w14:textId="77777777" w:rsidR="00DD3EFA" w:rsidRPr="00EC2A1C" w:rsidRDefault="00DD3EFA" w:rsidP="00B15ECB">
            <w:pPr>
              <w:rPr>
                <w:b/>
              </w:rPr>
            </w:pPr>
          </w:p>
        </w:tc>
      </w:tr>
      <w:tr w:rsidR="00DD3EFA" w:rsidRPr="00EC2A1C" w14:paraId="5C311069" w14:textId="77777777" w:rsidTr="00B15ECB">
        <w:trPr>
          <w:trHeight w:val="1202"/>
        </w:trPr>
        <w:tc>
          <w:tcPr>
            <w:tcW w:w="249" w:type="dxa"/>
            <w:tcBorders>
              <w:top w:val="nil"/>
              <w:bottom w:val="nil"/>
            </w:tcBorders>
            <w:shd w:val="clear" w:color="auto" w:fill="66CCFF"/>
          </w:tcPr>
          <w:p w14:paraId="2B1FECF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2D1E1D9"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48D204D1"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C0FAE9A" w14:textId="77777777" w:rsidR="00DD3EFA" w:rsidRPr="00EC2A1C" w:rsidRDefault="00DD3EFA" w:rsidP="00B15ECB">
            <w:pPr>
              <w:spacing w:before="60" w:after="60"/>
              <w:rPr>
                <w:rFonts w:eastAsiaTheme="majorEastAsia"/>
                <w:i/>
              </w:rPr>
            </w:pPr>
            <w:r w:rsidRPr="00EC2A1C">
              <w:t>V reakci na projevy změny klimatu a v návaznosti na mezinárodní závazky EU a ČR v ochraně klimatu bude v budoucnu docházet k útlumu využívání uhlí při výrobě tepla i elektrické energie. Soustavy zásobování teplem mohou významně přispět k plnění závazků ČR do roku 2030 vyplývajících z klimaticko-energetické legislativy EU.</w:t>
            </w:r>
          </w:p>
        </w:tc>
        <w:tc>
          <w:tcPr>
            <w:tcW w:w="249" w:type="dxa"/>
            <w:tcBorders>
              <w:top w:val="nil"/>
              <w:bottom w:val="nil"/>
            </w:tcBorders>
            <w:shd w:val="clear" w:color="auto" w:fill="66CCFF"/>
          </w:tcPr>
          <w:p w14:paraId="40AA3146" w14:textId="77777777" w:rsidR="00DD3EFA" w:rsidRPr="00EC2A1C" w:rsidRDefault="00DD3EFA" w:rsidP="00B15ECB">
            <w:pPr>
              <w:rPr>
                <w:b/>
              </w:rPr>
            </w:pPr>
          </w:p>
        </w:tc>
      </w:tr>
      <w:tr w:rsidR="00DD3EFA" w:rsidRPr="00EC2A1C" w14:paraId="0575BA22" w14:textId="77777777" w:rsidTr="00B15ECB">
        <w:trPr>
          <w:trHeight w:val="1202"/>
        </w:trPr>
        <w:tc>
          <w:tcPr>
            <w:tcW w:w="249" w:type="dxa"/>
            <w:tcBorders>
              <w:top w:val="nil"/>
              <w:bottom w:val="nil"/>
            </w:tcBorders>
            <w:shd w:val="clear" w:color="auto" w:fill="66CCFF"/>
          </w:tcPr>
          <w:p w14:paraId="614F7F0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1C85B06"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tc>
        <w:tc>
          <w:tcPr>
            <w:tcW w:w="5978" w:type="dxa"/>
            <w:tcBorders>
              <w:bottom w:val="single" w:sz="4" w:space="0" w:color="auto"/>
            </w:tcBorders>
            <w:shd w:val="clear" w:color="auto" w:fill="FFFFFF" w:themeFill="background1"/>
          </w:tcPr>
          <w:p w14:paraId="3E58D337" w14:textId="77777777" w:rsidR="00DD3EFA" w:rsidRPr="00EC2A1C" w:rsidRDefault="00DD3EFA" w:rsidP="00B15ECB">
            <w:pPr>
              <w:spacing w:before="120" w:after="40"/>
            </w:pPr>
            <w:r w:rsidRPr="00EC2A1C">
              <w:t xml:space="preserve">Vyšší míra digitalizace a adresného měření spotřeby tepla přesnějšími měřidly v kombinaci se zvyšováním energetické účinnost budov, mohou regulovat distribuci tepla dle aktuálně získaných údajů, a přispět tak k úsporám a chránit ovzduší.   </w:t>
            </w:r>
          </w:p>
          <w:p w14:paraId="70ABBD3E"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0787F2AE" w14:textId="77777777" w:rsidR="00DD3EFA" w:rsidRPr="00EC2A1C" w:rsidRDefault="00DD3EFA" w:rsidP="00B15ECB">
            <w:pPr>
              <w:rPr>
                <w:b/>
              </w:rPr>
            </w:pPr>
          </w:p>
        </w:tc>
      </w:tr>
      <w:tr w:rsidR="00DD3EFA" w:rsidRPr="00EC2A1C" w14:paraId="40849028" w14:textId="77777777" w:rsidTr="00B15ECB">
        <w:trPr>
          <w:trHeight w:val="1202"/>
        </w:trPr>
        <w:tc>
          <w:tcPr>
            <w:tcW w:w="249" w:type="dxa"/>
            <w:tcBorders>
              <w:top w:val="nil"/>
              <w:bottom w:val="nil"/>
            </w:tcBorders>
            <w:shd w:val="clear" w:color="auto" w:fill="66CCFF"/>
          </w:tcPr>
          <w:p w14:paraId="1072515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CA6554A"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6422A896"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0AA5EE2" w14:textId="77777777" w:rsidR="00DD3EFA" w:rsidRPr="00EC2A1C" w:rsidRDefault="00DD3EFA" w:rsidP="00B15ECB">
            <w:pPr>
              <w:spacing w:before="60" w:after="60"/>
              <w:rPr>
                <w:rFonts w:eastAsiaTheme="majorEastAsia"/>
              </w:rPr>
            </w:pPr>
            <w:r w:rsidRPr="00EC2A1C">
              <w:rPr>
                <w:rFonts w:eastAsiaTheme="majorEastAsia"/>
              </w:rPr>
              <w:t>Plnění Specifického cíle NKR souvisí zejména s následujícími megatrendy:</w:t>
            </w:r>
          </w:p>
          <w:p w14:paraId="4306B627"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Rostoucí spotřeba energie</w:t>
            </w:r>
          </w:p>
          <w:p w14:paraId="7386DCE4"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Rostoucí spotřeba</w:t>
            </w:r>
          </w:p>
          <w:p w14:paraId="17D51828"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Zvyšující se soutěž o zdroje</w:t>
            </w:r>
          </w:p>
          <w:p w14:paraId="650C7DC9"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Změna klimatu a její dopady</w:t>
            </w:r>
          </w:p>
          <w:p w14:paraId="2B427E42"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Urbanizace</w:t>
            </w:r>
          </w:p>
          <w:p w14:paraId="30F27595"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Zvyšující se dostupnost technologií</w:t>
            </w:r>
          </w:p>
          <w:p w14:paraId="6095932B" w14:textId="77777777" w:rsidR="00DD3EFA" w:rsidRPr="00EC2A1C" w:rsidRDefault="00DD3EFA" w:rsidP="00B15ECB">
            <w:pPr>
              <w:spacing w:before="60" w:after="60"/>
              <w:rPr>
                <w:rFonts w:eastAsiaTheme="majorEastAsia"/>
                <w:i/>
              </w:rPr>
            </w:pPr>
            <w:r w:rsidRPr="00EC2A1C">
              <w:rPr>
                <w:rFonts w:eastAsiaTheme="majorEastAsia"/>
              </w:rPr>
              <w:t>•</w:t>
            </w:r>
            <w:r w:rsidRPr="00EC2A1C">
              <w:rPr>
                <w:rFonts w:eastAsiaTheme="majorEastAsia"/>
              </w:rPr>
              <w:tab/>
              <w:t>Zvyšující se rychlost technologické změny</w:t>
            </w:r>
          </w:p>
        </w:tc>
        <w:tc>
          <w:tcPr>
            <w:tcW w:w="249" w:type="dxa"/>
            <w:tcBorders>
              <w:top w:val="nil"/>
              <w:bottom w:val="nil"/>
            </w:tcBorders>
            <w:shd w:val="clear" w:color="auto" w:fill="66CCFF"/>
          </w:tcPr>
          <w:p w14:paraId="653BC1BE" w14:textId="77777777" w:rsidR="00DD3EFA" w:rsidRPr="00EC2A1C" w:rsidRDefault="00DD3EFA" w:rsidP="00B15ECB">
            <w:pPr>
              <w:rPr>
                <w:b/>
              </w:rPr>
            </w:pPr>
          </w:p>
        </w:tc>
      </w:tr>
      <w:tr w:rsidR="00DD3EFA" w:rsidRPr="00EC2A1C" w14:paraId="6ECECD33" w14:textId="77777777" w:rsidTr="00B15ECB">
        <w:trPr>
          <w:trHeight w:val="1202"/>
        </w:trPr>
        <w:tc>
          <w:tcPr>
            <w:tcW w:w="249" w:type="dxa"/>
            <w:tcBorders>
              <w:top w:val="nil"/>
              <w:bottom w:val="nil"/>
            </w:tcBorders>
            <w:shd w:val="clear" w:color="auto" w:fill="66CCFF"/>
          </w:tcPr>
          <w:p w14:paraId="389B2B3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3D5D145"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CCA1A4F" w14:textId="77777777" w:rsidR="00DD3EFA" w:rsidRPr="00EC2A1C" w:rsidRDefault="00DD3EFA" w:rsidP="00B15ECB">
            <w:pPr>
              <w:spacing w:before="60" w:after="60"/>
              <w:rPr>
                <w:lang w:eastAsia="en-GB"/>
              </w:rPr>
            </w:pPr>
            <w:r w:rsidRPr="00EC2A1C">
              <w:rPr>
                <w:u w:val="single"/>
                <w:lang w:eastAsia="en-GB"/>
              </w:rPr>
              <w:t>Článek 4 ON:</w:t>
            </w:r>
            <w:r w:rsidRPr="00EC2A1C">
              <w:rPr>
                <w:u w:val="single"/>
                <w:lang w:eastAsia="en-GB"/>
              </w:rPr>
              <w:br/>
              <w:t>Politický cíl:</w:t>
            </w:r>
            <w:r w:rsidRPr="00EC2A1C">
              <w:rPr>
                <w:lang w:eastAsia="en-GB"/>
              </w:rPr>
              <w:br/>
            </w:r>
            <w:r w:rsidRPr="00EC2A1C">
              <w:rPr>
                <w:b/>
                <w:lang w:eastAsia="en-GB"/>
              </w:rPr>
              <w:t>b) zelenější, nízkouhlíková Evropa díky podpoře přechodu na čistou a spravedlivou energii, zelených a modrých investic, oběhového hospodářství, přizpůsobení se změnám klimatu a prevence a řízení rizik</w:t>
            </w:r>
          </w:p>
          <w:p w14:paraId="60602529" w14:textId="77777777" w:rsidR="00DD3EFA" w:rsidRPr="00EC2A1C" w:rsidRDefault="00DD3EFA" w:rsidP="00B15ECB">
            <w:pPr>
              <w:spacing w:before="60" w:after="60"/>
              <w:rPr>
                <w:lang w:eastAsia="en-GB"/>
              </w:rPr>
            </w:pPr>
          </w:p>
          <w:p w14:paraId="637E7547" w14:textId="77777777" w:rsidR="00DD3EFA" w:rsidRPr="00EC2A1C" w:rsidRDefault="00DD3EFA" w:rsidP="00B15ECB">
            <w:pPr>
              <w:spacing w:before="60" w:after="60"/>
              <w:rPr>
                <w:lang w:eastAsia="en-GB"/>
              </w:rPr>
            </w:pPr>
            <w:r w:rsidRPr="00EC2A1C">
              <w:rPr>
                <w:u w:val="single"/>
                <w:lang w:eastAsia="en-GB"/>
              </w:rPr>
              <w:t>Článek 2 Nařízení EFRR a FS:</w:t>
            </w:r>
            <w:r w:rsidRPr="00EC2A1C">
              <w:rPr>
                <w:lang w:eastAsia="en-GB"/>
              </w:rPr>
              <w:br/>
              <w:t>EFRR podporuje specifický cíl „zelenější, nízkouhlíková Evropa díky podpoře přechodu na čistou a spravedlivou energii, zelených a modrých investic, oběhového hospodářství, přizpůsobení se změnám klimatu a prevence a řízení rizik“ (dále jen CP 2“) prostřednictvím:</w:t>
            </w:r>
          </w:p>
          <w:p w14:paraId="05660767" w14:textId="77777777" w:rsidR="00DD3EFA" w:rsidRPr="00EC2A1C" w:rsidRDefault="00DD3EFA" w:rsidP="00391907">
            <w:pPr>
              <w:pStyle w:val="Odstavecseseznamem"/>
              <w:numPr>
                <w:ilvl w:val="0"/>
                <w:numId w:val="96"/>
              </w:numPr>
              <w:spacing w:before="60" w:after="60"/>
              <w:rPr>
                <w:color w:val="777777"/>
              </w:rPr>
            </w:pPr>
            <w:r w:rsidRPr="00EC2A1C">
              <w:rPr>
                <w:b/>
                <w:lang w:eastAsia="en-GB"/>
              </w:rPr>
              <w:t>opatření v oblasti energetické účinnosti</w:t>
            </w:r>
            <w:r w:rsidRPr="00EC2A1C">
              <w:rPr>
                <w:lang w:eastAsia="en-GB"/>
              </w:rPr>
              <w:t xml:space="preserve">; </w:t>
            </w:r>
          </w:p>
          <w:p w14:paraId="3636AF65" w14:textId="77777777" w:rsidR="00DD3EFA" w:rsidRPr="00EC2A1C" w:rsidRDefault="00DD3EFA" w:rsidP="00B15ECB">
            <w:pPr>
              <w:spacing w:before="60" w:after="60"/>
              <w:rPr>
                <w:rFonts w:eastAsiaTheme="majorEastAsia"/>
              </w:rPr>
            </w:pPr>
          </w:p>
          <w:p w14:paraId="6AF37946" w14:textId="77777777" w:rsidR="00DD3EFA" w:rsidRPr="00EC2A1C" w:rsidRDefault="00DD3EFA" w:rsidP="00B15ECB">
            <w:pPr>
              <w:spacing w:before="60" w:after="60"/>
              <w:rPr>
                <w:color w:val="777777"/>
              </w:rPr>
            </w:pPr>
            <w:r w:rsidRPr="00EC2A1C">
              <w:rPr>
                <w:rFonts w:eastAsiaTheme="majorEastAsia"/>
              </w:rPr>
              <w:t>Podle přílohy k ON se efektivního nakládání s tepelnou energií přímo týká tato oblast intervence (kod): 034.</w:t>
            </w:r>
          </w:p>
        </w:tc>
        <w:tc>
          <w:tcPr>
            <w:tcW w:w="249" w:type="dxa"/>
            <w:tcBorders>
              <w:top w:val="nil"/>
              <w:bottom w:val="nil"/>
            </w:tcBorders>
            <w:shd w:val="clear" w:color="auto" w:fill="66CCFF"/>
          </w:tcPr>
          <w:p w14:paraId="19806C7E" w14:textId="77777777" w:rsidR="00DD3EFA" w:rsidRPr="00EC2A1C" w:rsidRDefault="00DD3EFA" w:rsidP="00B15ECB">
            <w:pPr>
              <w:rPr>
                <w:b/>
              </w:rPr>
            </w:pPr>
          </w:p>
        </w:tc>
      </w:tr>
      <w:tr w:rsidR="00DD3EFA" w:rsidRPr="00EC2A1C" w14:paraId="086C9050" w14:textId="77777777" w:rsidTr="00B15ECB">
        <w:trPr>
          <w:trHeight w:val="1202"/>
        </w:trPr>
        <w:tc>
          <w:tcPr>
            <w:tcW w:w="249" w:type="dxa"/>
            <w:tcBorders>
              <w:top w:val="nil"/>
              <w:bottom w:val="nil"/>
            </w:tcBorders>
            <w:shd w:val="clear" w:color="auto" w:fill="66CCFF"/>
          </w:tcPr>
          <w:p w14:paraId="0EA31CE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298C208"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bottom w:val="single" w:sz="4" w:space="0" w:color="auto"/>
            </w:tcBorders>
            <w:shd w:val="clear" w:color="auto" w:fill="FFFFFF" w:themeFill="background1"/>
          </w:tcPr>
          <w:p w14:paraId="595866E6" w14:textId="77777777" w:rsidR="00DD3EFA" w:rsidRPr="00EC2A1C" w:rsidRDefault="00DD3EFA" w:rsidP="00B15ECB">
            <w:pPr>
              <w:rPr>
                <w:highlight w:val="yellow"/>
              </w:rPr>
            </w:pPr>
            <w:r w:rsidRPr="00EC2A1C">
              <w:rPr>
                <w:rFonts w:eastAsiaTheme="majorEastAsia"/>
              </w:rPr>
              <w:t>Aktuální znění SDR pro rok 2018 neobsahuje žádná doporučení relevantní pro tuto oblast.</w:t>
            </w:r>
          </w:p>
        </w:tc>
        <w:tc>
          <w:tcPr>
            <w:tcW w:w="249" w:type="dxa"/>
            <w:tcBorders>
              <w:top w:val="nil"/>
              <w:bottom w:val="nil"/>
            </w:tcBorders>
            <w:shd w:val="clear" w:color="auto" w:fill="66CCFF"/>
          </w:tcPr>
          <w:p w14:paraId="2F707606" w14:textId="77777777" w:rsidR="00DD3EFA" w:rsidRPr="00EC2A1C" w:rsidRDefault="00DD3EFA" w:rsidP="00B15ECB">
            <w:pPr>
              <w:rPr>
                <w:b/>
              </w:rPr>
            </w:pPr>
          </w:p>
        </w:tc>
      </w:tr>
      <w:tr w:rsidR="00DD3EFA" w:rsidRPr="00EC2A1C" w14:paraId="594217C1" w14:textId="77777777" w:rsidTr="00B15ECB">
        <w:trPr>
          <w:trHeight w:val="180"/>
        </w:trPr>
        <w:tc>
          <w:tcPr>
            <w:tcW w:w="249" w:type="dxa"/>
            <w:tcBorders>
              <w:top w:val="nil"/>
              <w:bottom w:val="nil"/>
              <w:right w:val="nil"/>
            </w:tcBorders>
            <w:shd w:val="clear" w:color="auto" w:fill="66CCFF"/>
          </w:tcPr>
          <w:p w14:paraId="47E8EF28" w14:textId="77777777" w:rsidR="00DD3EFA" w:rsidRPr="00EC2A1C" w:rsidRDefault="00DD3EFA" w:rsidP="00B15ECB">
            <w:pPr>
              <w:rPr>
                <w:b/>
              </w:rPr>
            </w:pPr>
          </w:p>
        </w:tc>
        <w:tc>
          <w:tcPr>
            <w:tcW w:w="2548" w:type="dxa"/>
            <w:tcBorders>
              <w:left w:val="nil"/>
              <w:right w:val="nil"/>
            </w:tcBorders>
            <w:shd w:val="clear" w:color="auto" w:fill="66CCFF"/>
          </w:tcPr>
          <w:p w14:paraId="4E2B9DCF" w14:textId="77777777" w:rsidR="00DD3EFA" w:rsidRPr="00EC2A1C" w:rsidRDefault="00DD3EFA" w:rsidP="00B15ECB">
            <w:pPr>
              <w:rPr>
                <w:b/>
              </w:rPr>
            </w:pPr>
          </w:p>
        </w:tc>
        <w:tc>
          <w:tcPr>
            <w:tcW w:w="5978" w:type="dxa"/>
            <w:tcBorders>
              <w:left w:val="nil"/>
              <w:right w:val="nil"/>
            </w:tcBorders>
            <w:shd w:val="clear" w:color="auto" w:fill="66CCFF"/>
          </w:tcPr>
          <w:p w14:paraId="7A51E497" w14:textId="77777777" w:rsidR="00DD3EFA" w:rsidRPr="00EC2A1C" w:rsidRDefault="00DD3EFA" w:rsidP="00B15ECB">
            <w:pPr>
              <w:rPr>
                <w:b/>
              </w:rPr>
            </w:pPr>
          </w:p>
        </w:tc>
        <w:tc>
          <w:tcPr>
            <w:tcW w:w="249" w:type="dxa"/>
            <w:tcBorders>
              <w:top w:val="nil"/>
              <w:left w:val="nil"/>
              <w:bottom w:val="nil"/>
            </w:tcBorders>
            <w:shd w:val="clear" w:color="auto" w:fill="66CCFF"/>
          </w:tcPr>
          <w:p w14:paraId="32BB5F41" w14:textId="77777777" w:rsidR="00DD3EFA" w:rsidRPr="00EC2A1C" w:rsidRDefault="00DD3EFA" w:rsidP="00B15ECB">
            <w:pPr>
              <w:rPr>
                <w:b/>
              </w:rPr>
            </w:pPr>
          </w:p>
        </w:tc>
      </w:tr>
      <w:tr w:rsidR="00DD3EFA" w:rsidRPr="00EC2A1C" w14:paraId="3BA693B1" w14:textId="77777777" w:rsidTr="00B15ECB">
        <w:trPr>
          <w:trHeight w:val="938"/>
        </w:trPr>
        <w:tc>
          <w:tcPr>
            <w:tcW w:w="249" w:type="dxa"/>
            <w:tcBorders>
              <w:top w:val="nil"/>
              <w:bottom w:val="nil"/>
            </w:tcBorders>
            <w:shd w:val="clear" w:color="auto" w:fill="66CCFF"/>
          </w:tcPr>
          <w:p w14:paraId="57962A7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6E811E4"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00031892" w14:textId="77777777" w:rsidR="00DD3EFA" w:rsidRPr="00EC2A1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11D24A1F" w14:textId="77777777" w:rsidR="00DD3EFA" w:rsidRPr="00EC2A1C" w:rsidRDefault="00DD3EFA" w:rsidP="00B15ECB">
            <w:pPr>
              <w:rPr>
                <w:rFonts w:eastAsia="Calibri"/>
                <w:u w:val="single"/>
              </w:rPr>
            </w:pPr>
            <w:r w:rsidRPr="00EC2A1C">
              <w:rPr>
                <w:rFonts w:eastAsia="Calibri"/>
                <w:u w:val="single"/>
              </w:rPr>
              <w:t>Strategické dokumenty:</w:t>
            </w:r>
          </w:p>
          <w:p w14:paraId="4B7239C4" w14:textId="77777777" w:rsidR="00DD3EFA" w:rsidRPr="00EC2A1C" w:rsidRDefault="00DD3EFA" w:rsidP="00B15ECB">
            <w:pPr>
              <w:rPr>
                <w:rFonts w:eastAsia="Calibri"/>
              </w:rPr>
            </w:pPr>
            <w:r w:rsidRPr="00EC2A1C">
              <w:rPr>
                <w:rFonts w:eastAsia="Calibri"/>
              </w:rPr>
              <w:t>Státní energetická koncepce České republiky (2015)</w:t>
            </w:r>
          </w:p>
          <w:p w14:paraId="781EE5D6" w14:textId="77777777" w:rsidR="00DD3EFA" w:rsidRPr="00EC2A1C" w:rsidRDefault="00DD3EFA" w:rsidP="00B15ECB">
            <w:pPr>
              <w:rPr>
                <w:rFonts w:eastAsia="Calibri"/>
              </w:rPr>
            </w:pPr>
            <w:r w:rsidRPr="00EC2A1C">
              <w:rPr>
                <w:rFonts w:eastAsia="Calibri"/>
              </w:rPr>
              <w:t>Strategický rámec Česká republika 2030</w:t>
            </w:r>
          </w:p>
          <w:p w14:paraId="54642BCA" w14:textId="77777777" w:rsidR="00DD3EFA" w:rsidRPr="00EC2A1C" w:rsidRDefault="00DD3EFA" w:rsidP="00B15ECB">
            <w:pPr>
              <w:rPr>
                <w:rFonts w:eastAsia="Calibri"/>
              </w:rPr>
            </w:pPr>
            <w:r w:rsidRPr="00EC2A1C">
              <w:rPr>
                <w:rFonts w:eastAsia="Calibri"/>
              </w:rPr>
              <w:t>Politika ochrany klimatu v ČR (2017)</w:t>
            </w:r>
          </w:p>
          <w:p w14:paraId="21F0D7B3"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eastAsiaTheme="majorEastAsia" w:hAnsi="Times New Roman"/>
              </w:rPr>
              <w:t>Národní program snižování emisí České</w:t>
            </w:r>
            <w:r w:rsidRPr="00EC2A1C">
              <w:rPr>
                <w:rFonts w:ascii="Times New Roman" w:hAnsi="Times New Roman"/>
              </w:rPr>
              <w:t xml:space="preserve"> republiky</w:t>
            </w:r>
          </w:p>
          <w:p w14:paraId="2F8FB669"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Cs/>
              </w:rPr>
            </w:pPr>
            <w:r w:rsidRPr="00EC2A1C">
              <w:rPr>
                <w:rFonts w:ascii="Times New Roman" w:hAnsi="Times New Roman"/>
                <w:iCs/>
              </w:rPr>
              <w:t>Důležitým strategickým dokumentem je Vnitrostátní plán v oblasti energetiky a klimatu, který mají členské státy povinnost připravit na základě nařízení o správě energetické unie a opatření v oblasti klimatu. Finální verze tohoto dokumentu musí být předána zástupcům Evropské komise do konce roku 2019. Dne 28. 1. 2018 vzala vláda ČR na vědomí návrh tohoto dokumentu. Vnitrostátní plán postihuje období 2021-2030 s výhledem do roku 2050. Tento dokument lze do určité míry označit za „dominantní“ strategii vzhledem k cílům v oblasti energetiky a klimatu vůči EU, to však ještě neznamená, že dojde k nahrazení dílčích národních strategií tímto dokumentem.</w:t>
            </w:r>
          </w:p>
          <w:p w14:paraId="37559F7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u w:val="single"/>
              </w:rPr>
            </w:pPr>
            <w:r w:rsidRPr="00EC2A1C">
              <w:rPr>
                <w:rFonts w:ascii="Times New Roman" w:hAnsi="Times New Roman"/>
              </w:rPr>
              <w:t>Implementace Agendy 2030 pro udržitelný rozvoj v ČR: "SDG 7 Zajistit přístup k cenově dostupným, spolehlivým, udržitelným a moderním zdrojům energie pro všechny".</w:t>
            </w:r>
          </w:p>
        </w:tc>
        <w:tc>
          <w:tcPr>
            <w:tcW w:w="249" w:type="dxa"/>
            <w:tcBorders>
              <w:top w:val="nil"/>
              <w:bottom w:val="nil"/>
            </w:tcBorders>
            <w:shd w:val="clear" w:color="auto" w:fill="66CCFF"/>
          </w:tcPr>
          <w:p w14:paraId="6AD2FFA7" w14:textId="77777777" w:rsidR="00DD3EFA" w:rsidRPr="00EC2A1C" w:rsidRDefault="00DD3EFA" w:rsidP="00B15ECB">
            <w:pPr>
              <w:rPr>
                <w:b/>
              </w:rPr>
            </w:pPr>
          </w:p>
        </w:tc>
      </w:tr>
      <w:tr w:rsidR="00DD3EFA" w:rsidRPr="00EC2A1C" w14:paraId="7D18ABA2" w14:textId="77777777" w:rsidTr="00B15ECB">
        <w:trPr>
          <w:trHeight w:val="938"/>
        </w:trPr>
        <w:tc>
          <w:tcPr>
            <w:tcW w:w="249" w:type="dxa"/>
            <w:tcBorders>
              <w:top w:val="nil"/>
              <w:bottom w:val="nil"/>
            </w:tcBorders>
            <w:shd w:val="clear" w:color="auto" w:fill="66CCFF"/>
          </w:tcPr>
          <w:p w14:paraId="007CC80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E130033"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49FB72D4"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4E710D33" w14:textId="77777777" w:rsidR="00DD3EFA" w:rsidRPr="00EC2A1C" w:rsidRDefault="00DD3EFA"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Problémy a potřeby formující obsah daného cíle jsou obsaženy v dokumentu Státní energetická koncepce České republiky (SEK) a rovněž vyplývají z Návrhu vnitrostátního plánu České republiky v oblasti energetiky a klimatu. Konkrétním příkladem jsou cíle jako zachování vysoké kvality zásobování tepelnou energií založené na vyspělých technologiích s vysokou účinností přeměny a s narůstajícím podílem obnovitelných a druhotných zdrojů.</w:t>
            </w:r>
          </w:p>
          <w:p w14:paraId="621443BA"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bottom w:val="nil"/>
            </w:tcBorders>
            <w:shd w:val="clear" w:color="auto" w:fill="66CCFF"/>
          </w:tcPr>
          <w:p w14:paraId="3E772D7B" w14:textId="77777777" w:rsidR="00DD3EFA" w:rsidRPr="00EC2A1C" w:rsidRDefault="00DD3EFA" w:rsidP="00B15ECB">
            <w:pPr>
              <w:rPr>
                <w:b/>
              </w:rPr>
            </w:pPr>
          </w:p>
        </w:tc>
      </w:tr>
      <w:tr w:rsidR="00DD3EFA" w:rsidRPr="00EC2A1C" w14:paraId="07A7DA8E" w14:textId="77777777" w:rsidTr="00B15ECB">
        <w:trPr>
          <w:trHeight w:val="938"/>
        </w:trPr>
        <w:tc>
          <w:tcPr>
            <w:tcW w:w="249" w:type="dxa"/>
            <w:tcBorders>
              <w:top w:val="nil"/>
              <w:bottom w:val="nil"/>
            </w:tcBorders>
            <w:shd w:val="clear" w:color="auto" w:fill="66CCFF"/>
          </w:tcPr>
          <w:p w14:paraId="367D71E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5872467"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2C8C3E77"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B4513CE"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Cílem je dosažení meziročního zvýšení podílu OZE v sektoru vytápění a chlazení v souladu se směrnicí OZE , respektive hodnoty uvedené v Návrhu vnitrostátního plánu v oblasti energetiky a klimatu respektive ve finální verzi tohoto dokumentu. Cílem je dále zvýšení využití kombinované výroby tepla v souladu s potenciálem rozvoje reportovaným do EU a rozvoj účinných soustav zásobování teplem. Cílem je také modernizace a rozvoj technologií umožňující splnění limitů znečišťujících látek energie, což podmiňuje další provoz těchto zdrojů. V oblasti rozvodu tepelné energie je cílem snížení spotřeby energie. Důležité je také zavádění moderních technologií umožňujících lepší integraci sektoru teplárenství a ostatních sektorů, zde se jedná o zvýšení flexibility kupříkladu skrze akumulaci tepla, využívání odpadního tepla nebo centrální výroba a dodávka chladu atd.</w:t>
            </w:r>
          </w:p>
        </w:tc>
        <w:tc>
          <w:tcPr>
            <w:tcW w:w="249" w:type="dxa"/>
            <w:tcBorders>
              <w:top w:val="nil"/>
              <w:bottom w:val="nil"/>
            </w:tcBorders>
            <w:shd w:val="clear" w:color="auto" w:fill="66CCFF"/>
          </w:tcPr>
          <w:p w14:paraId="44157EA2" w14:textId="77777777" w:rsidR="00DD3EFA" w:rsidRPr="00EC2A1C" w:rsidRDefault="00DD3EFA" w:rsidP="00B15ECB">
            <w:pPr>
              <w:rPr>
                <w:b/>
              </w:rPr>
            </w:pPr>
          </w:p>
        </w:tc>
      </w:tr>
      <w:tr w:rsidR="00DD3EFA" w:rsidRPr="00EC2A1C" w14:paraId="597BDD81" w14:textId="77777777" w:rsidTr="00B15ECB">
        <w:trPr>
          <w:trHeight w:val="938"/>
        </w:trPr>
        <w:tc>
          <w:tcPr>
            <w:tcW w:w="249" w:type="dxa"/>
            <w:tcBorders>
              <w:top w:val="nil"/>
              <w:bottom w:val="nil"/>
            </w:tcBorders>
            <w:shd w:val="clear" w:color="auto" w:fill="66CCFF"/>
          </w:tcPr>
          <w:p w14:paraId="4D783AE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8795890"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02474437"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310926E"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Implementace strategie a jejích dílčích částí bude zajištěna prostřednictvím realizace opatření určených a schválených v návaznosti na výše uvedené dokumenty.</w:t>
            </w:r>
          </w:p>
        </w:tc>
        <w:tc>
          <w:tcPr>
            <w:tcW w:w="249" w:type="dxa"/>
            <w:tcBorders>
              <w:top w:val="nil"/>
              <w:bottom w:val="nil"/>
            </w:tcBorders>
            <w:shd w:val="clear" w:color="auto" w:fill="66CCFF"/>
          </w:tcPr>
          <w:p w14:paraId="2DCE2C07" w14:textId="77777777" w:rsidR="00DD3EFA" w:rsidRPr="00EC2A1C" w:rsidRDefault="00DD3EFA" w:rsidP="00B15ECB">
            <w:pPr>
              <w:rPr>
                <w:b/>
              </w:rPr>
            </w:pPr>
          </w:p>
        </w:tc>
      </w:tr>
      <w:tr w:rsidR="00DD3EFA" w:rsidRPr="00EC2A1C" w14:paraId="04B9CC09" w14:textId="77777777" w:rsidTr="00B15ECB">
        <w:trPr>
          <w:trHeight w:val="938"/>
        </w:trPr>
        <w:tc>
          <w:tcPr>
            <w:tcW w:w="249" w:type="dxa"/>
            <w:tcBorders>
              <w:top w:val="nil"/>
              <w:bottom w:val="nil"/>
            </w:tcBorders>
            <w:shd w:val="clear" w:color="auto" w:fill="66CCFF"/>
          </w:tcPr>
          <w:p w14:paraId="7FED95A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893D255"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tcBorders>
              <w:bottom w:val="single" w:sz="4" w:space="0" w:color="auto"/>
            </w:tcBorders>
            <w:shd w:val="clear" w:color="auto" w:fill="FFFFFF" w:themeFill="background1"/>
          </w:tcPr>
          <w:p w14:paraId="39F8E19E"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Předpokládá se u všech opatření, pokud není např. evropskou legislativou požadováno jinak, roční vyhodnocování. V případě jednotlivých projektů bude vyhodnocování probíhat podle harmonogramu konkrétního projektu, resp. požadavků určených při přiznání podpory.</w:t>
            </w:r>
          </w:p>
        </w:tc>
        <w:tc>
          <w:tcPr>
            <w:tcW w:w="249" w:type="dxa"/>
            <w:tcBorders>
              <w:top w:val="nil"/>
              <w:bottom w:val="nil"/>
            </w:tcBorders>
            <w:shd w:val="clear" w:color="auto" w:fill="66CCFF"/>
          </w:tcPr>
          <w:p w14:paraId="1BF442F7" w14:textId="77777777" w:rsidR="00DD3EFA" w:rsidRPr="00EC2A1C" w:rsidRDefault="00DD3EFA" w:rsidP="00B15ECB">
            <w:pPr>
              <w:rPr>
                <w:b/>
              </w:rPr>
            </w:pPr>
          </w:p>
        </w:tc>
      </w:tr>
      <w:tr w:rsidR="00DD3EFA" w:rsidRPr="00EC2A1C" w14:paraId="416F7F94" w14:textId="77777777" w:rsidTr="00B15ECB">
        <w:trPr>
          <w:trHeight w:val="130"/>
        </w:trPr>
        <w:tc>
          <w:tcPr>
            <w:tcW w:w="249" w:type="dxa"/>
            <w:tcBorders>
              <w:top w:val="nil"/>
              <w:bottom w:val="nil"/>
              <w:right w:val="nil"/>
            </w:tcBorders>
            <w:shd w:val="clear" w:color="auto" w:fill="66CCFF"/>
          </w:tcPr>
          <w:p w14:paraId="66D521A0" w14:textId="77777777" w:rsidR="00DD3EFA" w:rsidRPr="00EC2A1C" w:rsidRDefault="00DD3EFA" w:rsidP="00B15ECB">
            <w:pPr>
              <w:rPr>
                <w:b/>
              </w:rPr>
            </w:pPr>
          </w:p>
        </w:tc>
        <w:tc>
          <w:tcPr>
            <w:tcW w:w="2548" w:type="dxa"/>
            <w:tcBorders>
              <w:left w:val="nil"/>
              <w:right w:val="nil"/>
            </w:tcBorders>
            <w:shd w:val="clear" w:color="auto" w:fill="66CCFF"/>
          </w:tcPr>
          <w:p w14:paraId="1977E559" w14:textId="77777777" w:rsidR="00DD3EFA" w:rsidRPr="00EC2A1C" w:rsidRDefault="00DD3EFA" w:rsidP="00B15ECB">
            <w:pPr>
              <w:rPr>
                <w:b/>
              </w:rPr>
            </w:pPr>
          </w:p>
        </w:tc>
        <w:tc>
          <w:tcPr>
            <w:tcW w:w="5978" w:type="dxa"/>
            <w:tcBorders>
              <w:left w:val="nil"/>
              <w:right w:val="nil"/>
            </w:tcBorders>
            <w:shd w:val="clear" w:color="auto" w:fill="66CCFF"/>
          </w:tcPr>
          <w:p w14:paraId="27A6423A"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30477C12" w14:textId="77777777" w:rsidR="00DD3EFA" w:rsidRPr="00EC2A1C" w:rsidRDefault="00DD3EFA" w:rsidP="00B15ECB">
            <w:pPr>
              <w:rPr>
                <w:b/>
              </w:rPr>
            </w:pPr>
          </w:p>
        </w:tc>
      </w:tr>
      <w:tr w:rsidR="00DD3EFA" w:rsidRPr="00EC2A1C" w14:paraId="14B0E700" w14:textId="77777777" w:rsidTr="00B15ECB">
        <w:trPr>
          <w:trHeight w:val="1258"/>
        </w:trPr>
        <w:tc>
          <w:tcPr>
            <w:tcW w:w="249" w:type="dxa"/>
            <w:tcBorders>
              <w:top w:val="nil"/>
              <w:bottom w:val="nil"/>
              <w:right w:val="nil"/>
            </w:tcBorders>
            <w:shd w:val="clear" w:color="auto" w:fill="66CCFF"/>
          </w:tcPr>
          <w:p w14:paraId="6D7E1DB7" w14:textId="77777777" w:rsidR="00DD3EFA" w:rsidRPr="00EC2A1C" w:rsidRDefault="00DD3EFA" w:rsidP="00B15ECB">
            <w:pPr>
              <w:rPr>
                <w:b/>
              </w:rPr>
            </w:pPr>
          </w:p>
        </w:tc>
        <w:tc>
          <w:tcPr>
            <w:tcW w:w="8526" w:type="dxa"/>
            <w:gridSpan w:val="2"/>
            <w:shd w:val="clear" w:color="auto" w:fill="FFFFFF" w:themeFill="background1"/>
          </w:tcPr>
          <w:p w14:paraId="1A46E43A"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2CAE4A88" w14:textId="77777777" w:rsidR="00DD3EFA" w:rsidRPr="00EC2A1C" w:rsidRDefault="00DD3EFA" w:rsidP="00B15ECB">
            <w:pPr>
              <w:rPr>
                <w:rFonts w:eastAsiaTheme="majorEastAsia"/>
                <w:b/>
              </w:rPr>
            </w:pPr>
          </w:p>
          <w:p w14:paraId="356E057E"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58D5948E" w14:textId="77777777" w:rsidR="00DD3EFA" w:rsidRPr="00EC2A1C" w:rsidRDefault="00DD3EFA" w:rsidP="00B15ECB">
            <w:pPr>
              <w:rPr>
                <w:b/>
              </w:rPr>
            </w:pPr>
          </w:p>
        </w:tc>
      </w:tr>
      <w:tr w:rsidR="00DD3EFA" w:rsidRPr="00EC2A1C" w14:paraId="50BAACD0" w14:textId="77777777" w:rsidTr="00B15ECB">
        <w:trPr>
          <w:trHeight w:val="1258"/>
        </w:trPr>
        <w:tc>
          <w:tcPr>
            <w:tcW w:w="249" w:type="dxa"/>
            <w:tcBorders>
              <w:top w:val="nil"/>
              <w:bottom w:val="nil"/>
              <w:right w:val="nil"/>
            </w:tcBorders>
            <w:shd w:val="clear" w:color="auto" w:fill="66CCFF"/>
          </w:tcPr>
          <w:p w14:paraId="619AB58D" w14:textId="77777777" w:rsidR="00DD3EFA" w:rsidRPr="00EC2A1C" w:rsidRDefault="00DD3EFA" w:rsidP="00B15ECB">
            <w:pPr>
              <w:rPr>
                <w:b/>
              </w:rPr>
            </w:pPr>
          </w:p>
        </w:tc>
        <w:tc>
          <w:tcPr>
            <w:tcW w:w="2548" w:type="dxa"/>
            <w:shd w:val="clear" w:color="auto" w:fill="FFFFFF" w:themeFill="background1"/>
          </w:tcPr>
          <w:p w14:paraId="0733D82A" w14:textId="77777777" w:rsidR="00DD3EFA" w:rsidRPr="00EC2A1C" w:rsidRDefault="00DD3EFA" w:rsidP="00B15ECB">
            <w:pPr>
              <w:rPr>
                <w:rFonts w:eastAsiaTheme="majorEastAsia"/>
                <w:b/>
              </w:rPr>
            </w:pPr>
            <w:r w:rsidRPr="00EC2A1C">
              <w:rPr>
                <w:rFonts w:eastAsiaTheme="majorEastAsia"/>
                <w:b/>
              </w:rPr>
              <w:t>Věcný posun oblasti</w:t>
            </w:r>
          </w:p>
          <w:p w14:paraId="6AF872FC"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5860226F" w14:textId="77777777" w:rsidR="00DD3EFA" w:rsidRPr="00EC2A1C" w:rsidRDefault="00DD3EFA" w:rsidP="00B15ECB">
            <w:pPr>
              <w:spacing w:before="60"/>
              <w:rPr>
                <w:rFonts w:eastAsiaTheme="majorEastAsia"/>
              </w:rPr>
            </w:pPr>
            <w:r w:rsidRPr="00EC2A1C">
              <w:rPr>
                <w:rFonts w:eastAsiaTheme="majorEastAsia"/>
              </w:rPr>
              <w:t>V období 2007–2013 nebyly předmětem podpory jako samostatná aktivita, ale byly součástí programu podpory Ekoenergie v Operačním cíli „Snižovat energetickou náročnost českého průmyslu a procesů spojených s výrobou přeměnou a užitím energie.“ OPPI. Ten byl předmětem Ex-post evaluace OPPI jako celek: „Snižování energetické náročnosti českého průmyslu bylo dosaženo prostřednictvím širokého spektra aktivit. Došlo k realizaci plánovaného počtu projektů, které přinesly navýšení podílu energie vyrobené z obnovitelných zdrojů. Co se týče snižování energetické náročnosti průmyslu, ačkoliv nebylo dosaženo míry snížení odhadované v rámci programového dokumentu, je snížení poměrně výrazné. Závěr: Operační cíl byl v rámci realizace programu naplněn.“</w:t>
            </w:r>
          </w:p>
          <w:p w14:paraId="7B15E3F2" w14:textId="77777777" w:rsidR="00DD3EFA" w:rsidRPr="00EC2A1C" w:rsidRDefault="00DD3EFA" w:rsidP="00B15ECB">
            <w:pPr>
              <w:rPr>
                <w:rFonts w:eastAsiaTheme="majorEastAsia"/>
              </w:rPr>
            </w:pPr>
          </w:p>
          <w:p w14:paraId="11D6C323" w14:textId="77777777" w:rsidR="00DD3EFA" w:rsidRPr="00EC2A1C" w:rsidRDefault="00DD3EFA" w:rsidP="00B15ECB">
            <w:pPr>
              <w:rPr>
                <w:rFonts w:eastAsiaTheme="majorEastAsia"/>
              </w:rPr>
            </w:pPr>
            <w:r w:rsidRPr="00EC2A1C">
              <w:rPr>
                <w:rFonts w:eastAsiaTheme="majorEastAsia"/>
              </w:rPr>
              <w:t>Za období 2014–2020 vyhodnocení probíhá v těchto dnech. Jde o Výsledkovou evaluaci SC 3.5 OP PIK</w:t>
            </w:r>
            <w:r w:rsidRPr="00EC2A1C">
              <w:t>.</w:t>
            </w:r>
            <w:r w:rsidRPr="00EC2A1C">
              <w:rPr>
                <w:rFonts w:eastAsiaTheme="majorEastAsia"/>
              </w:rPr>
              <w:t xml:space="preserve"> Dne 1. 2. 2019 byla předána Vstupní zpráva, Závěrečná zpráva se předpokládá v červnu 2019.</w:t>
            </w:r>
          </w:p>
          <w:p w14:paraId="7708D1E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p>
        </w:tc>
        <w:tc>
          <w:tcPr>
            <w:tcW w:w="249" w:type="dxa"/>
            <w:tcBorders>
              <w:top w:val="nil"/>
              <w:left w:val="nil"/>
              <w:bottom w:val="nil"/>
            </w:tcBorders>
            <w:shd w:val="clear" w:color="auto" w:fill="66CCFF"/>
          </w:tcPr>
          <w:p w14:paraId="28689F79" w14:textId="77777777" w:rsidR="00DD3EFA" w:rsidRPr="00EC2A1C" w:rsidRDefault="00DD3EFA" w:rsidP="00B15ECB">
            <w:pPr>
              <w:rPr>
                <w:b/>
              </w:rPr>
            </w:pPr>
          </w:p>
        </w:tc>
      </w:tr>
      <w:tr w:rsidR="00DD3EFA" w:rsidRPr="00EC2A1C" w14:paraId="4D70AA98" w14:textId="77777777" w:rsidTr="00B15ECB">
        <w:trPr>
          <w:trHeight w:val="1258"/>
        </w:trPr>
        <w:tc>
          <w:tcPr>
            <w:tcW w:w="249" w:type="dxa"/>
            <w:tcBorders>
              <w:top w:val="nil"/>
              <w:bottom w:val="nil"/>
              <w:right w:val="nil"/>
            </w:tcBorders>
            <w:shd w:val="clear" w:color="auto" w:fill="66CCFF"/>
          </w:tcPr>
          <w:p w14:paraId="248488D2" w14:textId="77777777" w:rsidR="00DD3EFA" w:rsidRPr="00EC2A1C" w:rsidRDefault="00DD3EFA" w:rsidP="00B15ECB">
            <w:pPr>
              <w:rPr>
                <w:b/>
              </w:rPr>
            </w:pPr>
          </w:p>
        </w:tc>
        <w:tc>
          <w:tcPr>
            <w:tcW w:w="2548" w:type="dxa"/>
            <w:shd w:val="clear" w:color="auto" w:fill="FFFFFF" w:themeFill="background1"/>
          </w:tcPr>
          <w:p w14:paraId="0B81B14A" w14:textId="77777777" w:rsidR="00DD3EFA" w:rsidRPr="00EC2A1C" w:rsidRDefault="00DD3EFA" w:rsidP="00B15ECB">
            <w:pPr>
              <w:rPr>
                <w:rFonts w:eastAsiaTheme="majorEastAsia"/>
                <w:b/>
              </w:rPr>
            </w:pPr>
            <w:r w:rsidRPr="00EC2A1C">
              <w:rPr>
                <w:rFonts w:eastAsiaTheme="majorEastAsia"/>
                <w:b/>
              </w:rPr>
              <w:t>Synergické a multiplikační efekty</w:t>
            </w:r>
          </w:p>
          <w:p w14:paraId="097B24ED" w14:textId="77777777" w:rsidR="00DD3EFA" w:rsidRPr="00EC2A1C" w:rsidRDefault="00DD3EFA" w:rsidP="00B15ECB">
            <w:pPr>
              <w:rPr>
                <w:rFonts w:eastAsiaTheme="majorEastAsia"/>
                <w:b/>
                <w:highlight w:val="yellow"/>
              </w:rPr>
            </w:pPr>
            <w:r w:rsidRPr="00EC2A1C">
              <w:rPr>
                <w:rFonts w:eastAsiaTheme="majorEastAsia"/>
                <w:b/>
              </w:rPr>
              <w:t>(tj. v období 2014 – 2020, příp. 2007 – 2013)</w:t>
            </w:r>
          </w:p>
        </w:tc>
        <w:tc>
          <w:tcPr>
            <w:tcW w:w="5978" w:type="dxa"/>
            <w:shd w:val="clear" w:color="auto" w:fill="FFFFFF" w:themeFill="background1"/>
          </w:tcPr>
          <w:p w14:paraId="54443EAF"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V období 2014-2020 se aktivita doplňuje na úrovni příjemců podpory: MPO – podnikatelské subjekty, včetně podnikatelských subjektů, které jsou ze 100 % vlastněné státem; MŽP – veřejný sektor.</w:t>
            </w:r>
            <w:r w:rsidRPr="00EC2A1C">
              <w:rPr>
                <w:rFonts w:ascii="Times New Roman" w:hAnsi="Times New Roman"/>
                <w:i/>
              </w:rPr>
              <w:t xml:space="preserve"> </w:t>
            </w:r>
          </w:p>
          <w:p w14:paraId="5925AE5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Od 1.2.2019 je platné aktualizované memorandum mezi MPO a MŽP, kdy rekonstrukce SZT ve vlastnictví veřejného sektoru budou také financovány z OPPIK.</w:t>
            </w:r>
          </w:p>
        </w:tc>
        <w:tc>
          <w:tcPr>
            <w:tcW w:w="249" w:type="dxa"/>
            <w:tcBorders>
              <w:top w:val="nil"/>
              <w:left w:val="nil"/>
              <w:bottom w:val="nil"/>
            </w:tcBorders>
            <w:shd w:val="clear" w:color="auto" w:fill="66CCFF"/>
          </w:tcPr>
          <w:p w14:paraId="159D451A" w14:textId="77777777" w:rsidR="00DD3EFA" w:rsidRPr="00EC2A1C" w:rsidRDefault="00DD3EFA" w:rsidP="00B15ECB">
            <w:pPr>
              <w:rPr>
                <w:b/>
              </w:rPr>
            </w:pPr>
          </w:p>
        </w:tc>
      </w:tr>
      <w:tr w:rsidR="00DD3EFA" w:rsidRPr="00EC2A1C" w14:paraId="1DFFC26E" w14:textId="77777777" w:rsidTr="00B15ECB">
        <w:trPr>
          <w:trHeight w:val="180"/>
        </w:trPr>
        <w:tc>
          <w:tcPr>
            <w:tcW w:w="249" w:type="dxa"/>
            <w:tcBorders>
              <w:top w:val="nil"/>
              <w:bottom w:val="nil"/>
              <w:right w:val="nil"/>
            </w:tcBorders>
            <w:shd w:val="clear" w:color="auto" w:fill="66CCFF"/>
          </w:tcPr>
          <w:p w14:paraId="764D733D"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144AEC31"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1953BF30" w14:textId="77777777" w:rsidR="00DD3EFA" w:rsidRPr="00EC2A1C" w:rsidRDefault="00DD3EFA" w:rsidP="00B15ECB">
            <w:pPr>
              <w:rPr>
                <w:b/>
              </w:rPr>
            </w:pPr>
          </w:p>
        </w:tc>
        <w:tc>
          <w:tcPr>
            <w:tcW w:w="249" w:type="dxa"/>
            <w:tcBorders>
              <w:top w:val="nil"/>
              <w:left w:val="nil"/>
              <w:bottom w:val="nil"/>
            </w:tcBorders>
            <w:shd w:val="clear" w:color="auto" w:fill="66CCFF"/>
          </w:tcPr>
          <w:p w14:paraId="3CDA4E6F" w14:textId="77777777" w:rsidR="00DD3EFA" w:rsidRPr="00EC2A1C" w:rsidRDefault="00DD3EFA" w:rsidP="00B15ECB">
            <w:pPr>
              <w:rPr>
                <w:b/>
              </w:rPr>
            </w:pPr>
          </w:p>
        </w:tc>
      </w:tr>
      <w:tr w:rsidR="00DD3EFA" w:rsidRPr="00EC2A1C" w14:paraId="0E7AC54D" w14:textId="77777777" w:rsidTr="00B15ECB">
        <w:trPr>
          <w:trHeight w:val="990"/>
        </w:trPr>
        <w:tc>
          <w:tcPr>
            <w:tcW w:w="249" w:type="dxa"/>
            <w:tcBorders>
              <w:top w:val="nil"/>
              <w:bottom w:val="nil"/>
            </w:tcBorders>
            <w:shd w:val="clear" w:color="auto" w:fill="66CCFF"/>
          </w:tcPr>
          <w:p w14:paraId="77D2C216" w14:textId="77777777" w:rsidR="00DD3EFA" w:rsidRPr="00EC2A1C" w:rsidRDefault="00DD3EFA" w:rsidP="00B15ECB">
            <w:pPr>
              <w:rPr>
                <w:b/>
              </w:rPr>
            </w:pPr>
          </w:p>
        </w:tc>
        <w:tc>
          <w:tcPr>
            <w:tcW w:w="8526" w:type="dxa"/>
            <w:gridSpan w:val="2"/>
            <w:tcBorders>
              <w:bottom w:val="single" w:sz="4" w:space="0" w:color="auto"/>
            </w:tcBorders>
            <w:shd w:val="clear" w:color="auto" w:fill="FFFFFF" w:themeFill="background1"/>
          </w:tcPr>
          <w:p w14:paraId="6B6CB4CF" w14:textId="77777777" w:rsidR="00DD3EFA" w:rsidRPr="00EC2A1C" w:rsidRDefault="00DD3EFA"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44615BEA" w14:textId="77777777" w:rsidR="00DD3EFA" w:rsidRPr="00EC2A1C" w:rsidRDefault="00DD3EFA">
            <w:pPr>
              <w:spacing w:before="60" w:after="60"/>
              <w:rPr>
                <w:rFonts w:eastAsiaTheme="majorEastAsia"/>
              </w:rPr>
            </w:pPr>
          </w:p>
        </w:tc>
        <w:tc>
          <w:tcPr>
            <w:tcW w:w="249" w:type="dxa"/>
            <w:tcBorders>
              <w:top w:val="nil"/>
              <w:bottom w:val="nil"/>
            </w:tcBorders>
            <w:shd w:val="clear" w:color="auto" w:fill="66CCFF"/>
          </w:tcPr>
          <w:p w14:paraId="660FFD71" w14:textId="77777777" w:rsidR="00DD3EFA" w:rsidRPr="00EC2A1C" w:rsidRDefault="00DD3EFA" w:rsidP="00B15ECB">
            <w:pPr>
              <w:rPr>
                <w:b/>
              </w:rPr>
            </w:pPr>
          </w:p>
        </w:tc>
      </w:tr>
      <w:tr w:rsidR="00DD3EFA" w:rsidRPr="00EC2A1C" w14:paraId="03FE3A7B" w14:textId="77777777" w:rsidTr="00B15ECB">
        <w:trPr>
          <w:trHeight w:val="1260"/>
        </w:trPr>
        <w:tc>
          <w:tcPr>
            <w:tcW w:w="249" w:type="dxa"/>
            <w:tcBorders>
              <w:top w:val="nil"/>
              <w:bottom w:val="nil"/>
            </w:tcBorders>
            <w:shd w:val="clear" w:color="auto" w:fill="66CCFF"/>
          </w:tcPr>
          <w:p w14:paraId="16EFC80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7D8AE93"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1EADF992" w14:textId="77777777" w:rsidR="00DD3EFA" w:rsidRPr="00EC2A1C" w:rsidRDefault="00DD3EFA" w:rsidP="00B15ECB">
            <w:pPr>
              <w:spacing w:before="60" w:after="60"/>
              <w:rPr>
                <w:rFonts w:eastAsiaTheme="majorEastAsia"/>
              </w:rPr>
            </w:pPr>
            <w:r w:rsidRPr="00EC2A1C">
              <w:rPr>
                <w:rFonts w:eastAsiaTheme="majorEastAsia"/>
              </w:rPr>
              <w:t xml:space="preserve">Specifický cíl je v období 2014 – 2020 podporována OP PIK prioritní osy 3, </w:t>
            </w:r>
            <w:bookmarkStart w:id="32" w:name="_Toc485032815"/>
            <w:r w:rsidRPr="00EC2A1C">
              <w:rPr>
                <w:rFonts w:eastAsiaTheme="majorEastAsia"/>
              </w:rPr>
              <w:t>investiční priority 5 „Podpora využívání vysoce účinné kombinované výroby tepla a elektřiny na základě poptávky po užitečném teple</w:t>
            </w:r>
            <w:bookmarkEnd w:id="32"/>
            <w:r w:rsidRPr="00EC2A1C">
              <w:rPr>
                <w:rFonts w:eastAsiaTheme="majorEastAsia"/>
              </w:rPr>
              <w:t>“, SC 3.5 „Zvýšit účinnost soustav zásobování teplem.“</w:t>
            </w:r>
          </w:p>
          <w:p w14:paraId="134C2A69" w14:textId="77777777" w:rsidR="00DD3EFA" w:rsidRPr="00EC2A1C" w:rsidRDefault="00DD3EFA" w:rsidP="00B15ECB">
            <w:pPr>
              <w:rPr>
                <w:rFonts w:eastAsiaTheme="majorEastAsia"/>
              </w:rPr>
            </w:pPr>
          </w:p>
          <w:p w14:paraId="6C03C5D9" w14:textId="77777777" w:rsidR="00DD3EFA" w:rsidRPr="00EC2A1C" w:rsidRDefault="00DD3EFA" w:rsidP="00B15ECB">
            <w:pPr>
              <w:rPr>
                <w:rFonts w:eastAsiaTheme="majorEastAsia"/>
              </w:rPr>
            </w:pPr>
            <w:r w:rsidRPr="00EC2A1C">
              <w:rPr>
                <w:rFonts w:eastAsiaTheme="majorEastAsia"/>
              </w:rPr>
              <w:t>Došlo ke snížení podílu ztrát tepelné energie v tepelných rozvodných zařízeních a rovněž k lepšímu využití potenciálu kombinované výroby elektřiny a tepla.</w:t>
            </w:r>
          </w:p>
          <w:p w14:paraId="67CA0F83" w14:textId="77777777" w:rsidR="00DD3EFA" w:rsidRPr="00EC2A1C" w:rsidRDefault="00DD3EFA" w:rsidP="00B15ECB">
            <w:pPr>
              <w:tabs>
                <w:tab w:val="left" w:pos="284"/>
              </w:tabs>
              <w:suppressAutoHyphens/>
              <w:spacing w:after="200"/>
              <w:rPr>
                <w:rFonts w:eastAsiaTheme="majorEastAsia"/>
              </w:rPr>
            </w:pPr>
            <w:r w:rsidRPr="00EC2A1C">
              <w:rPr>
                <w:rFonts w:eastAsiaTheme="majorEastAsia"/>
              </w:rPr>
              <w:t>Celková alokace na investiční dotace této investiční priority byla 142,861 mil. EUR podle programového dokumentu OP PIK. K 29.1.2019 bylo schváleno celkem 75 žádosti s celkovou investiční dotací ve výši 1 814 mil. Kč. U celkem 46 projektů byla vyplacená investiční dotace ve výši 372  mil. Kč.</w:t>
            </w:r>
          </w:p>
          <w:p w14:paraId="4DC21431" w14:textId="77777777" w:rsidR="00DD3EFA" w:rsidRPr="00EC2A1C" w:rsidRDefault="00DD3EFA" w:rsidP="00B15ECB">
            <w:pPr>
              <w:tabs>
                <w:tab w:val="left" w:pos="284"/>
              </w:tabs>
              <w:suppressAutoHyphens/>
              <w:spacing w:after="200"/>
              <w:rPr>
                <w:rFonts w:eastAsiaTheme="majorEastAsia"/>
              </w:rPr>
            </w:pPr>
            <w:bookmarkStart w:id="33" w:name="_Toc351464393"/>
            <w:r w:rsidRPr="00EC2A1C">
              <w:rPr>
                <w:rFonts w:eastAsiaTheme="majorEastAsia"/>
              </w:rPr>
              <w:t>V rámci této oblasti lze uvést, že zde existuje absorpční kapacita, která navíc byla posílena tím, že u tohoto SC3.5 již není omezen podíl velkých podniků. Žadatelé však mají o podporu zájema lze předpokládat, že i v rámci III. výzvy budou podány žádosti  v hodnotě několika stovek miliónů Kč. Úspěšné implementaci programu přispělo rozptýlení obavy současných a potenciálních žadatelů z výkladu článku 61 Nařízení 1303/2013, který byl bariérou pro proplácení žádostí u projektů se způsobilými výdaji nad 1 mil. Euro.</w:t>
            </w:r>
          </w:p>
          <w:p w14:paraId="298D8274" w14:textId="77777777" w:rsidR="00DD3EFA" w:rsidRPr="00EC2A1C" w:rsidRDefault="00DD3EFA" w:rsidP="00B15ECB">
            <w:pPr>
              <w:autoSpaceDE w:val="0"/>
              <w:autoSpaceDN w:val="0"/>
              <w:adjustRightInd w:val="0"/>
            </w:pPr>
            <w:r w:rsidRPr="00EC2A1C">
              <w:t>Existenci absorpční kapacity dokládá také dokument „Posouzení potenciálu vysoce účinné kombinované výroby tepla a elektřiny a účinného dálkového vytápění a chlazení za Českou republiku“ zpracovaný Ministerstvem průmyslu a obchodu v prosinci 2015, který mimo jiné uvádí celkové náklady na rekonstrukci všech parních sítí určených k rekonstrukci na úrovni 19 až 24 mld. Kč, přičemž v aktuálním programovém období bude proinvestována pouze menší část této sumy.</w:t>
            </w:r>
          </w:p>
          <w:bookmarkEnd w:id="33"/>
          <w:p w14:paraId="34D27023"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0824B9F2" w14:textId="77777777" w:rsidR="00DD3EFA" w:rsidRPr="00EC2A1C" w:rsidRDefault="00DD3EFA" w:rsidP="00B15ECB">
            <w:pPr>
              <w:rPr>
                <w:b/>
              </w:rPr>
            </w:pPr>
          </w:p>
        </w:tc>
      </w:tr>
      <w:tr w:rsidR="00DD3EFA" w:rsidRPr="00EC2A1C" w14:paraId="6D158A0F" w14:textId="77777777" w:rsidTr="00B15ECB">
        <w:trPr>
          <w:trHeight w:val="850"/>
        </w:trPr>
        <w:tc>
          <w:tcPr>
            <w:tcW w:w="249" w:type="dxa"/>
            <w:tcBorders>
              <w:top w:val="nil"/>
              <w:bottom w:val="nil"/>
            </w:tcBorders>
            <w:shd w:val="clear" w:color="auto" w:fill="66CCFF"/>
          </w:tcPr>
          <w:p w14:paraId="4B1631B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D7CFED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978" w:type="dxa"/>
            <w:tcBorders>
              <w:bottom w:val="single" w:sz="4" w:space="0" w:color="auto"/>
            </w:tcBorders>
            <w:shd w:val="clear" w:color="auto" w:fill="FFFFFF" w:themeFill="background1"/>
          </w:tcPr>
          <w:p w14:paraId="2F491FAD" w14:textId="77777777" w:rsidR="00DD3EFA" w:rsidRPr="00EC2A1C" w:rsidRDefault="00DD3EFA" w:rsidP="00B15ECB">
            <w:pPr>
              <w:spacing w:before="60" w:after="60"/>
              <w:rPr>
                <w:rFonts w:eastAsiaTheme="majorEastAsia"/>
              </w:rPr>
            </w:pPr>
            <w:r w:rsidRPr="00EC2A1C">
              <w:rPr>
                <w:rFonts w:eastAsiaTheme="majorEastAsia"/>
              </w:rPr>
              <w:t>Viz komentář oddíl Zhodnocení abs. kapacity v minulém a stávajícím období (tj. v období 2014 – 2020, příp. 2007 – 2013)</w:t>
            </w:r>
          </w:p>
          <w:p w14:paraId="2350F1B6" w14:textId="77777777" w:rsidR="00DD3EFA" w:rsidRPr="00EC2A1C" w:rsidRDefault="00DD3EFA" w:rsidP="00B15ECB">
            <w:pPr>
              <w:spacing w:before="60" w:after="60"/>
              <w:rPr>
                <w:rFonts w:eastAsiaTheme="majorEastAsia"/>
                <w:i/>
              </w:rPr>
            </w:pPr>
          </w:p>
          <w:p w14:paraId="73559FFE" w14:textId="77777777" w:rsidR="00DD3EFA" w:rsidRPr="00EC2A1C" w:rsidRDefault="00DD3EFA" w:rsidP="00B15ECB">
            <w:r w:rsidRPr="00EC2A1C">
              <w:rPr>
                <w:rFonts w:eastAsiaTheme="majorEastAsia"/>
              </w:rPr>
              <w:t xml:space="preserve">MPO v současnosti řeší/soutěží </w:t>
            </w:r>
            <w:r w:rsidRPr="00EC2A1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36E7BB0D" w14:textId="77777777" w:rsidR="00DD3EFA" w:rsidRPr="00EC2A1C" w:rsidRDefault="00DD3EFA" w:rsidP="00B15ECB">
            <w:r w:rsidRPr="00EC2A1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72FFAB39" w14:textId="77777777" w:rsidR="00DD3EFA" w:rsidRPr="00EC2A1C" w:rsidRDefault="00DD3EFA" w:rsidP="00B15ECB"/>
          <w:p w14:paraId="5558B12D" w14:textId="77777777" w:rsidR="00DD3EFA" w:rsidRPr="00EC2A1C" w:rsidRDefault="00DD3EFA" w:rsidP="00B15ECB">
            <w:pPr>
              <w:pStyle w:val="Nadpis2"/>
              <w:tabs>
                <w:tab w:val="left" w:pos="3945"/>
              </w:tabs>
              <w:spacing w:after="90"/>
              <w:outlineLvl w:val="1"/>
              <w:rPr>
                <w:rFonts w:ascii="Times New Roman" w:hAnsi="Times New Roman" w:cs="Times New Roman"/>
                <w:color w:val="auto"/>
                <w:sz w:val="20"/>
                <w:szCs w:val="20"/>
              </w:rPr>
            </w:pPr>
            <w:r w:rsidRPr="00EC2A1C">
              <w:rPr>
                <w:rFonts w:ascii="Times New Roman" w:hAnsi="Times New Roman" w:cs="Times New Roman"/>
                <w:color w:val="auto"/>
                <w:sz w:val="20"/>
                <w:szCs w:val="20"/>
              </w:rPr>
              <w:t>Analytické otázky studie:</w:t>
            </w:r>
          </w:p>
          <w:p w14:paraId="4691F4C6" w14:textId="77777777" w:rsidR="00DD3EFA" w:rsidRPr="00EC2A1C" w:rsidRDefault="00DD3EFA" w:rsidP="00B15ECB">
            <w:r w:rsidRPr="00EC2A1C">
              <w:t xml:space="preserve">1. Do jaké míry byla naplněna plánovaná absorpční kapacita v současném a minulém programovém období (tj. 2014 - 2020 a 2007 - 2013)? Očekávání vs. realita. </w:t>
            </w:r>
          </w:p>
          <w:p w14:paraId="68681935" w14:textId="77777777" w:rsidR="00DD3EFA" w:rsidRPr="00EC2A1C" w:rsidRDefault="00DD3EFA" w:rsidP="00B15ECB">
            <w:r w:rsidRPr="00EC2A1C">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7C9BF8D1" w14:textId="77777777" w:rsidR="00DD3EFA" w:rsidRPr="00EC2A1C" w:rsidRDefault="00DD3EFA" w:rsidP="00B15ECB">
            <w:r w:rsidRPr="00EC2A1C">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06A55FB8" w14:textId="77777777" w:rsidR="00DD3EFA" w:rsidRPr="00EC2A1C" w:rsidRDefault="00DD3EFA" w:rsidP="00B15ECB">
            <w:r w:rsidRPr="00EC2A1C">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1155B7A4" w14:textId="77777777" w:rsidR="00DD3EFA" w:rsidRPr="00EC2A1C" w:rsidRDefault="00DD3EFA" w:rsidP="00B15ECB">
            <w:r w:rsidRPr="00EC2A1C">
              <w:t>5. Jaké jsou návrhy opatření na odstranění bariér?</w:t>
            </w:r>
          </w:p>
        </w:tc>
        <w:tc>
          <w:tcPr>
            <w:tcW w:w="249" w:type="dxa"/>
            <w:tcBorders>
              <w:top w:val="nil"/>
              <w:bottom w:val="nil"/>
            </w:tcBorders>
            <w:shd w:val="clear" w:color="auto" w:fill="66CCFF"/>
          </w:tcPr>
          <w:p w14:paraId="2072BEFC" w14:textId="77777777" w:rsidR="00DD3EFA" w:rsidRPr="00EC2A1C" w:rsidRDefault="00DD3EFA" w:rsidP="00B15ECB">
            <w:pPr>
              <w:rPr>
                <w:b/>
              </w:rPr>
            </w:pPr>
          </w:p>
        </w:tc>
      </w:tr>
      <w:tr w:rsidR="00DD3EFA" w:rsidRPr="00EC2A1C" w14:paraId="45ECFF2C" w14:textId="77777777" w:rsidTr="00B15ECB">
        <w:trPr>
          <w:trHeight w:val="925"/>
        </w:trPr>
        <w:tc>
          <w:tcPr>
            <w:tcW w:w="249" w:type="dxa"/>
            <w:tcBorders>
              <w:top w:val="nil"/>
              <w:bottom w:val="nil"/>
            </w:tcBorders>
            <w:shd w:val="clear" w:color="auto" w:fill="66CCFF"/>
          </w:tcPr>
          <w:p w14:paraId="6E5E4A5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2571D90"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978" w:type="dxa"/>
            <w:tcBorders>
              <w:bottom w:val="single" w:sz="4" w:space="0" w:color="auto"/>
            </w:tcBorders>
            <w:shd w:val="clear" w:color="auto" w:fill="FFFFFF" w:themeFill="background1"/>
          </w:tcPr>
          <w:p w14:paraId="5315E013" w14:textId="77777777" w:rsidR="00DD3EFA" w:rsidRPr="00EC2A1C" w:rsidRDefault="00DD3EFA" w:rsidP="00B15ECB">
            <w:pPr>
              <w:spacing w:before="60" w:after="60"/>
              <w:rPr>
                <w:rFonts w:eastAsiaTheme="majorEastAsia"/>
                <w:i/>
              </w:rPr>
            </w:pPr>
            <w:r w:rsidRPr="00EC2A1C">
              <w:t>Zejména větší teplárenské společnosti mají zpravidla zpracovány dlouhodobé strategie modernizace tepelných sítí, které jsou postupně naplňovány. V rámci poslední novely stavebního zákona se podařilo dále zjednodušit povolovací procesy pro rekonstrukce tepelných sítí, bariérou tak zůstávají zejména nezbytné uzavírky komunikací, takže projekty je potřeba provádět postupně a plánovat je s významným časovým předstihem.</w:t>
            </w:r>
          </w:p>
        </w:tc>
        <w:tc>
          <w:tcPr>
            <w:tcW w:w="249" w:type="dxa"/>
            <w:tcBorders>
              <w:top w:val="nil"/>
              <w:bottom w:val="nil"/>
            </w:tcBorders>
            <w:shd w:val="clear" w:color="auto" w:fill="66CCFF"/>
          </w:tcPr>
          <w:p w14:paraId="09420CAD" w14:textId="77777777" w:rsidR="00DD3EFA" w:rsidRPr="00EC2A1C" w:rsidRDefault="00DD3EFA" w:rsidP="00B15ECB">
            <w:pPr>
              <w:rPr>
                <w:b/>
              </w:rPr>
            </w:pPr>
          </w:p>
        </w:tc>
      </w:tr>
      <w:tr w:rsidR="00DD3EFA" w:rsidRPr="00EC2A1C" w14:paraId="6FB6989F" w14:textId="77777777" w:rsidTr="00B15ECB">
        <w:trPr>
          <w:trHeight w:val="1001"/>
        </w:trPr>
        <w:tc>
          <w:tcPr>
            <w:tcW w:w="249" w:type="dxa"/>
            <w:tcBorders>
              <w:top w:val="nil"/>
              <w:bottom w:val="nil"/>
            </w:tcBorders>
            <w:shd w:val="clear" w:color="auto" w:fill="66CCFF"/>
          </w:tcPr>
          <w:p w14:paraId="300608E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290A8E2"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tcBorders>
              <w:bottom w:val="single" w:sz="4" w:space="0" w:color="auto"/>
            </w:tcBorders>
            <w:shd w:val="clear" w:color="auto" w:fill="FFFFFF" w:themeFill="background1"/>
          </w:tcPr>
          <w:p w14:paraId="32ABE8ED" w14:textId="77777777" w:rsidR="00DD3EFA" w:rsidRPr="00EC2A1C" w:rsidRDefault="00DD3EFA" w:rsidP="00B15ECB">
            <w:pPr>
              <w:spacing w:before="60" w:after="60"/>
            </w:pPr>
            <w:r w:rsidRPr="00EC2A1C">
              <w:t xml:space="preserve">Jednou z bariér je možnost podpory pouze rozvodů, které jsou pouze v tzv. účinných soustavách. Potenciál k podpoře je také v soustavách, které do kategorie tzv. účinných soustav nespadají. Týká se to zejména menších soustav, nebo soustav, kterým ekonomicko-technické parametry neumožňují splnění daných kriteríí pro účinné soustavy. </w:t>
            </w:r>
          </w:p>
          <w:p w14:paraId="0813ABA3" w14:textId="77777777" w:rsidR="00DD3EFA" w:rsidRPr="00EC2A1C" w:rsidRDefault="00DD3EFA" w:rsidP="00B15ECB">
            <w:pPr>
              <w:spacing w:before="60" w:after="60"/>
            </w:pPr>
            <w:r w:rsidRPr="00EC2A1C">
              <w:t xml:space="preserve">Další výzvamnou bariérou je, že není umožněno komplexní řešení celé soustavy zásobování tepelnou energií, to jest i zdroje energie, které spadají pod EU ETS. </w:t>
            </w:r>
          </w:p>
          <w:p w14:paraId="75AC3007" w14:textId="77777777" w:rsidR="00DD3EFA" w:rsidRPr="00EC2A1C" w:rsidRDefault="00DD3EFA" w:rsidP="00B15ECB">
            <w:pPr>
              <w:spacing w:before="60" w:after="60"/>
            </w:pPr>
            <w:r w:rsidRPr="00EC2A1C">
              <w:t>Návrh nového nařízení k ESIF nyní předpokládá, že nebude podporovat instalaci nových učinných plynových zdrojů za stávající plynové.</w:t>
            </w:r>
          </w:p>
          <w:p w14:paraId="69BB7600" w14:textId="77777777" w:rsidR="00DD3EFA" w:rsidRPr="00EC2A1C" w:rsidRDefault="00DD3EFA" w:rsidP="00B15ECB">
            <w:pPr>
              <w:spacing w:before="60" w:after="60"/>
              <w:rPr>
                <w:rFonts w:eastAsiaTheme="majorEastAsia"/>
              </w:rPr>
            </w:pPr>
            <w:r w:rsidRPr="00EC2A1C">
              <w:rPr>
                <w:rFonts w:eastAsiaTheme="majorEastAsia"/>
              </w:rPr>
              <w:t>Problémem se ukázaly podmínky nové notifikace provozní podpory a cenového rozhodnutí ERU - tyto podmínky předpokládají odečítání hrubého grantového ekvivalentu investiční podpory od poskytované provozní podpory a neumožňují zatím tedy efektivní podporu formou finančního nástroje.</w:t>
            </w:r>
          </w:p>
          <w:p w14:paraId="57AAC8C6" w14:textId="77777777" w:rsidR="00DD3EFA" w:rsidRPr="00EC2A1C" w:rsidRDefault="00DD3EFA" w:rsidP="00B15ECB">
            <w:pPr>
              <w:spacing w:before="60" w:after="60"/>
              <w:rPr>
                <w:rFonts w:eastAsiaTheme="majorEastAsia"/>
                <w:i/>
              </w:rPr>
            </w:pPr>
            <w:r w:rsidRPr="00EC2A1C">
              <w:t>V rámci vyjednávání nového nařízení k ESIF by bylo vhodné uplatnit takové připomínky, které se pokusí odstranit výše uvedené bariéry.</w:t>
            </w:r>
          </w:p>
          <w:p w14:paraId="4DE5278D"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6B2B1AF8" w14:textId="77777777" w:rsidR="00DD3EFA" w:rsidRPr="00EC2A1C" w:rsidRDefault="00DD3EFA" w:rsidP="00B15ECB">
            <w:pPr>
              <w:rPr>
                <w:b/>
              </w:rPr>
            </w:pPr>
          </w:p>
        </w:tc>
      </w:tr>
      <w:tr w:rsidR="00DD3EFA" w:rsidRPr="00EC2A1C" w14:paraId="20D5A7E4"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4B0A07C5"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AD8DBB8"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4C7202CD"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4CE24DF6" w14:textId="77777777" w:rsidR="00DD3EFA" w:rsidRPr="00EC2A1C" w:rsidRDefault="00DD3EFA" w:rsidP="00B15ECB">
            <w:pPr>
              <w:rPr>
                <w:b/>
              </w:rPr>
            </w:pPr>
          </w:p>
        </w:tc>
      </w:tr>
      <w:tr w:rsidR="00DD3EFA" w:rsidRPr="00EC2A1C" w14:paraId="0545FF76" w14:textId="77777777" w:rsidTr="00B15ECB">
        <w:trPr>
          <w:trHeight w:val="1559"/>
        </w:trPr>
        <w:tc>
          <w:tcPr>
            <w:tcW w:w="249" w:type="dxa"/>
            <w:tcBorders>
              <w:top w:val="single" w:sz="4" w:space="0" w:color="auto"/>
              <w:bottom w:val="nil"/>
            </w:tcBorders>
            <w:shd w:val="clear" w:color="auto" w:fill="66CCFF"/>
          </w:tcPr>
          <w:p w14:paraId="3F96A148" w14:textId="77777777" w:rsidR="00DD3EFA" w:rsidRPr="00EC2A1C" w:rsidRDefault="00DD3EFA" w:rsidP="00B15ECB">
            <w:pPr>
              <w:rPr>
                <w:b/>
              </w:rPr>
            </w:pPr>
          </w:p>
        </w:tc>
        <w:tc>
          <w:tcPr>
            <w:tcW w:w="8526" w:type="dxa"/>
            <w:gridSpan w:val="2"/>
            <w:tcBorders>
              <w:top w:val="single" w:sz="4" w:space="0" w:color="auto"/>
            </w:tcBorders>
            <w:shd w:val="clear" w:color="auto" w:fill="FFFFFF" w:themeFill="background1"/>
          </w:tcPr>
          <w:p w14:paraId="10B61DA0" w14:textId="77777777" w:rsidR="00DD3EFA" w:rsidRPr="00EC2A1C" w:rsidRDefault="00DD3EFA" w:rsidP="00B15ECB">
            <w:pPr>
              <w:spacing w:before="60" w:after="60"/>
              <w:rPr>
                <w:rFonts w:eastAsiaTheme="majorEastAsia"/>
                <w:b/>
              </w:rPr>
            </w:pPr>
            <w:r w:rsidRPr="00EC2A1C">
              <w:rPr>
                <w:rFonts w:eastAsiaTheme="majorEastAsia"/>
                <w:b/>
              </w:rPr>
              <w:t>Alternativní zdroje</w:t>
            </w:r>
          </w:p>
          <w:p w14:paraId="359B4E21" w14:textId="77777777" w:rsidR="00DD3EFA" w:rsidRPr="00EC2A1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22111B03" w14:textId="77777777" w:rsidR="00DD3EFA" w:rsidRPr="00EC2A1C" w:rsidRDefault="00DD3EFA" w:rsidP="00B15ECB">
            <w:pPr>
              <w:rPr>
                <w:b/>
              </w:rPr>
            </w:pPr>
          </w:p>
        </w:tc>
      </w:tr>
      <w:tr w:rsidR="00DD3EFA" w:rsidRPr="00EC2A1C" w14:paraId="2DBF47F8" w14:textId="77777777" w:rsidTr="00B15ECB">
        <w:trPr>
          <w:trHeight w:val="1968"/>
        </w:trPr>
        <w:tc>
          <w:tcPr>
            <w:tcW w:w="249" w:type="dxa"/>
            <w:tcBorders>
              <w:top w:val="nil"/>
              <w:bottom w:val="nil"/>
            </w:tcBorders>
            <w:shd w:val="clear" w:color="auto" w:fill="66CCFF"/>
          </w:tcPr>
          <w:p w14:paraId="6965FC46" w14:textId="77777777" w:rsidR="00DD3EFA" w:rsidRPr="00EC2A1C" w:rsidRDefault="00DD3EFA" w:rsidP="00B15ECB">
            <w:pPr>
              <w:rPr>
                <w:b/>
              </w:rPr>
            </w:pPr>
          </w:p>
        </w:tc>
        <w:tc>
          <w:tcPr>
            <w:tcW w:w="2548" w:type="dxa"/>
            <w:tcBorders>
              <w:top w:val="nil"/>
            </w:tcBorders>
            <w:shd w:val="clear" w:color="auto" w:fill="FFFFFF" w:themeFill="background1"/>
          </w:tcPr>
          <w:p w14:paraId="088C024B" w14:textId="77777777" w:rsidR="00DD3EFA" w:rsidRPr="00EC2A1C" w:rsidRDefault="00DD3EFA" w:rsidP="00B15ECB">
            <w:pPr>
              <w:spacing w:before="60" w:after="60"/>
              <w:rPr>
                <w:rFonts w:eastAsiaTheme="majorEastAsia"/>
                <w:b/>
              </w:rPr>
            </w:pPr>
            <w:r w:rsidRPr="00EC2A1C">
              <w:rPr>
                <w:rFonts w:eastAsiaTheme="majorEastAsia"/>
                <w:b/>
              </w:rPr>
              <w:t>Unijní programy</w:t>
            </w:r>
          </w:p>
        </w:tc>
        <w:tc>
          <w:tcPr>
            <w:tcW w:w="5978" w:type="dxa"/>
            <w:tcBorders>
              <w:top w:val="nil"/>
            </w:tcBorders>
            <w:shd w:val="clear" w:color="auto" w:fill="FFFFFF" w:themeFill="background1"/>
          </w:tcPr>
          <w:p w14:paraId="7E40AA32" w14:textId="77777777" w:rsidR="00DD3EFA" w:rsidRPr="00EC2A1C" w:rsidRDefault="00DD3EFA" w:rsidP="00B15ECB">
            <w:pPr>
              <w:spacing w:before="60" w:after="60"/>
              <w:rPr>
                <w:rFonts w:eastAsiaTheme="majorEastAsia"/>
                <w:i/>
              </w:rPr>
            </w:pPr>
            <w:r w:rsidRPr="00EC2A1C">
              <w:rPr>
                <w:rFonts w:eastAsiaTheme="majorEastAsia"/>
                <w:i/>
              </w:rPr>
              <w:t>-</w:t>
            </w:r>
          </w:p>
        </w:tc>
        <w:tc>
          <w:tcPr>
            <w:tcW w:w="249" w:type="dxa"/>
            <w:tcBorders>
              <w:top w:val="nil"/>
              <w:bottom w:val="nil"/>
            </w:tcBorders>
            <w:shd w:val="clear" w:color="auto" w:fill="66CCFF"/>
          </w:tcPr>
          <w:p w14:paraId="11CE2DCA" w14:textId="77777777" w:rsidR="00DD3EFA" w:rsidRPr="00EC2A1C" w:rsidRDefault="00DD3EFA" w:rsidP="00B15ECB">
            <w:pPr>
              <w:rPr>
                <w:b/>
              </w:rPr>
            </w:pPr>
          </w:p>
        </w:tc>
      </w:tr>
      <w:tr w:rsidR="00DD3EFA" w:rsidRPr="00EC2A1C" w14:paraId="6265E507" w14:textId="77777777" w:rsidTr="00B15ECB">
        <w:trPr>
          <w:trHeight w:val="1968"/>
        </w:trPr>
        <w:tc>
          <w:tcPr>
            <w:tcW w:w="249" w:type="dxa"/>
            <w:tcBorders>
              <w:top w:val="nil"/>
              <w:bottom w:val="nil"/>
            </w:tcBorders>
            <w:shd w:val="clear" w:color="auto" w:fill="66CCFF"/>
          </w:tcPr>
          <w:p w14:paraId="1E38C7AB" w14:textId="77777777" w:rsidR="00DD3EFA" w:rsidRPr="00EC2A1C" w:rsidRDefault="00DD3EFA" w:rsidP="00B15ECB">
            <w:pPr>
              <w:rPr>
                <w:b/>
              </w:rPr>
            </w:pPr>
          </w:p>
        </w:tc>
        <w:tc>
          <w:tcPr>
            <w:tcW w:w="2548" w:type="dxa"/>
            <w:tcBorders>
              <w:top w:val="nil"/>
            </w:tcBorders>
            <w:shd w:val="clear" w:color="auto" w:fill="FFFFFF" w:themeFill="background1"/>
          </w:tcPr>
          <w:p w14:paraId="0350A50B" w14:textId="77777777" w:rsidR="00DD3EFA" w:rsidRPr="00EC2A1C" w:rsidRDefault="00DD3EFA" w:rsidP="00B15ECB">
            <w:pPr>
              <w:spacing w:before="60" w:after="60"/>
              <w:rPr>
                <w:rFonts w:eastAsiaTheme="majorEastAsia"/>
                <w:b/>
              </w:rPr>
            </w:pPr>
            <w:r w:rsidRPr="00EC2A1C">
              <w:rPr>
                <w:rFonts w:eastAsiaTheme="majorEastAsia"/>
                <w:b/>
              </w:rPr>
              <w:t>Státní rozpočet a další národní zdroje</w:t>
            </w:r>
          </w:p>
        </w:tc>
        <w:tc>
          <w:tcPr>
            <w:tcW w:w="5978" w:type="dxa"/>
            <w:tcBorders>
              <w:top w:val="nil"/>
            </w:tcBorders>
            <w:shd w:val="clear" w:color="auto" w:fill="FFFFFF" w:themeFill="background1"/>
          </w:tcPr>
          <w:p w14:paraId="47D85A22" w14:textId="77777777" w:rsidR="00DD3EFA" w:rsidRPr="00EC2A1C" w:rsidRDefault="00DD3EFA" w:rsidP="00B15ECB">
            <w:pPr>
              <w:spacing w:before="60" w:after="60"/>
              <w:rPr>
                <w:rFonts w:eastAsiaTheme="majorEastAsia"/>
                <w:i/>
              </w:rPr>
            </w:pPr>
            <w:r w:rsidRPr="00EC2A1C">
              <w:rPr>
                <w:rFonts w:eastAsiaTheme="majorEastAsia"/>
              </w:rPr>
              <w:t>Pro aktivity, které nebude umožněno podporovat na základě přijaté legislativy EU týkající se pravidel poskytování prostředků ze strukturálních fondů, či nebudou nákladově optimální pro financování ze strukturálních fondů z důvodů vysokých transakčních nákladů, je potřebné pro tyto aktivity alokovat prostředky ze státního rozpočtu (např. „modernizační fond“).</w:t>
            </w:r>
          </w:p>
        </w:tc>
        <w:tc>
          <w:tcPr>
            <w:tcW w:w="249" w:type="dxa"/>
            <w:tcBorders>
              <w:top w:val="nil"/>
              <w:bottom w:val="nil"/>
            </w:tcBorders>
            <w:shd w:val="clear" w:color="auto" w:fill="66CCFF"/>
          </w:tcPr>
          <w:p w14:paraId="52069A9A" w14:textId="77777777" w:rsidR="00DD3EFA" w:rsidRPr="00EC2A1C" w:rsidRDefault="00DD3EFA" w:rsidP="00B15ECB">
            <w:pPr>
              <w:rPr>
                <w:b/>
              </w:rPr>
            </w:pPr>
          </w:p>
        </w:tc>
      </w:tr>
      <w:tr w:rsidR="00DD3EFA" w:rsidRPr="00EC2A1C" w14:paraId="23DE736E" w14:textId="77777777" w:rsidTr="00B15ECB">
        <w:trPr>
          <w:trHeight w:val="1968"/>
        </w:trPr>
        <w:tc>
          <w:tcPr>
            <w:tcW w:w="249" w:type="dxa"/>
            <w:tcBorders>
              <w:top w:val="nil"/>
              <w:bottom w:val="nil"/>
            </w:tcBorders>
            <w:shd w:val="clear" w:color="auto" w:fill="66CCFF"/>
          </w:tcPr>
          <w:p w14:paraId="7A102AA3" w14:textId="77777777" w:rsidR="00DD3EFA" w:rsidRPr="00EC2A1C" w:rsidRDefault="00DD3EFA" w:rsidP="00B15ECB">
            <w:pPr>
              <w:rPr>
                <w:b/>
              </w:rPr>
            </w:pPr>
          </w:p>
        </w:tc>
        <w:tc>
          <w:tcPr>
            <w:tcW w:w="2548" w:type="dxa"/>
            <w:tcBorders>
              <w:top w:val="nil"/>
            </w:tcBorders>
            <w:shd w:val="clear" w:color="auto" w:fill="FFFFFF" w:themeFill="background1"/>
          </w:tcPr>
          <w:p w14:paraId="59409B09" w14:textId="77777777" w:rsidR="00DD3EFA" w:rsidRPr="00EC2A1C" w:rsidRDefault="00DD3EFA" w:rsidP="00B15ECB">
            <w:pPr>
              <w:spacing w:before="60" w:after="60"/>
              <w:rPr>
                <w:rFonts w:eastAsiaTheme="majorEastAsia"/>
                <w:b/>
              </w:rPr>
            </w:pPr>
            <w:r w:rsidRPr="00EC2A1C">
              <w:rPr>
                <w:rFonts w:eastAsiaTheme="majorEastAsia"/>
                <w:b/>
              </w:rPr>
              <w:t>Další zdroje mimo veřejné rozpočty</w:t>
            </w:r>
          </w:p>
        </w:tc>
        <w:tc>
          <w:tcPr>
            <w:tcW w:w="5978" w:type="dxa"/>
            <w:tcBorders>
              <w:top w:val="nil"/>
            </w:tcBorders>
            <w:shd w:val="clear" w:color="auto" w:fill="FFFFFF" w:themeFill="background1"/>
          </w:tcPr>
          <w:p w14:paraId="1E8890CC" w14:textId="77777777" w:rsidR="00DD3EFA" w:rsidRPr="00EC2A1C" w:rsidRDefault="00DD3EFA" w:rsidP="00B15ECB">
            <w:pPr>
              <w:spacing w:before="60" w:after="60"/>
              <w:rPr>
                <w:rFonts w:eastAsiaTheme="majorEastAsia"/>
                <w:i/>
              </w:rPr>
            </w:pPr>
            <w:r w:rsidRPr="00EC2A1C">
              <w:rPr>
                <w:rFonts w:eastAsiaTheme="majorEastAsia"/>
                <w:i/>
              </w:rPr>
              <w:t>-</w:t>
            </w:r>
          </w:p>
        </w:tc>
        <w:tc>
          <w:tcPr>
            <w:tcW w:w="249" w:type="dxa"/>
            <w:tcBorders>
              <w:top w:val="nil"/>
              <w:bottom w:val="nil"/>
            </w:tcBorders>
            <w:shd w:val="clear" w:color="auto" w:fill="66CCFF"/>
          </w:tcPr>
          <w:p w14:paraId="7827A47E" w14:textId="77777777" w:rsidR="00DD3EFA" w:rsidRPr="00EC2A1C" w:rsidRDefault="00DD3EFA" w:rsidP="00B15ECB">
            <w:pPr>
              <w:rPr>
                <w:b/>
              </w:rPr>
            </w:pPr>
          </w:p>
        </w:tc>
      </w:tr>
      <w:tr w:rsidR="00DD3EFA" w:rsidRPr="00EC2A1C" w14:paraId="03ED99E0" w14:textId="77777777" w:rsidTr="00B15ECB">
        <w:trPr>
          <w:trHeight w:val="1968"/>
        </w:trPr>
        <w:tc>
          <w:tcPr>
            <w:tcW w:w="249" w:type="dxa"/>
            <w:tcBorders>
              <w:top w:val="nil"/>
              <w:bottom w:val="nil"/>
            </w:tcBorders>
            <w:shd w:val="clear" w:color="auto" w:fill="66CCFF"/>
          </w:tcPr>
          <w:p w14:paraId="27FF0DF7" w14:textId="77777777" w:rsidR="00DD3EFA" w:rsidRPr="00EC2A1C" w:rsidRDefault="00DD3EFA" w:rsidP="00B15ECB">
            <w:pPr>
              <w:rPr>
                <w:b/>
              </w:rPr>
            </w:pPr>
          </w:p>
        </w:tc>
        <w:tc>
          <w:tcPr>
            <w:tcW w:w="2548" w:type="dxa"/>
            <w:tcBorders>
              <w:top w:val="nil"/>
            </w:tcBorders>
            <w:shd w:val="clear" w:color="auto" w:fill="FFFFFF" w:themeFill="background1"/>
          </w:tcPr>
          <w:p w14:paraId="7EC78FBF" w14:textId="77777777" w:rsidR="00DD3EFA" w:rsidRPr="00EC2A1C" w:rsidRDefault="00DD3EFA" w:rsidP="00B15ECB">
            <w:pPr>
              <w:spacing w:before="60" w:after="60"/>
              <w:rPr>
                <w:rFonts w:eastAsiaTheme="majorEastAsia"/>
                <w:b/>
              </w:rPr>
            </w:pPr>
            <w:r w:rsidRPr="00EC2A1C">
              <w:rPr>
                <w:rFonts w:eastAsiaTheme="majorEastAsia"/>
                <w:b/>
              </w:rPr>
              <w:t>Možnost využití FN.</w:t>
            </w:r>
          </w:p>
        </w:tc>
        <w:tc>
          <w:tcPr>
            <w:tcW w:w="5978" w:type="dxa"/>
            <w:tcBorders>
              <w:top w:val="nil"/>
            </w:tcBorders>
            <w:shd w:val="clear" w:color="auto" w:fill="FFFFFF" w:themeFill="background1"/>
          </w:tcPr>
          <w:p w14:paraId="48E29C7B" w14:textId="77777777" w:rsidR="00DD3EFA" w:rsidRPr="00EC2A1C" w:rsidRDefault="00DD3EFA" w:rsidP="00B15ECB">
            <w:pPr>
              <w:spacing w:before="60" w:after="60"/>
              <w:rPr>
                <w:rFonts w:eastAsiaTheme="majorEastAsia"/>
              </w:rPr>
            </w:pPr>
            <w:r w:rsidRPr="00EC2A1C">
              <w:rPr>
                <w:rFonts w:eastAsiaTheme="majorEastAsia"/>
              </w:rPr>
              <w:t>Využití FN je možné zvážit, avšak jejich realizace je možná jen při legislativě umožňující efektivní nastavení v kombinaci s provozní podporou. Využití FN je možné zvážit u projektů generujících výnosy či úspory. Možné oblasti mohou být např. budování infrastruktury v rámci PPP projektů.</w:t>
            </w:r>
          </w:p>
        </w:tc>
        <w:tc>
          <w:tcPr>
            <w:tcW w:w="249" w:type="dxa"/>
            <w:tcBorders>
              <w:top w:val="nil"/>
              <w:bottom w:val="nil"/>
            </w:tcBorders>
            <w:shd w:val="clear" w:color="auto" w:fill="66CCFF"/>
          </w:tcPr>
          <w:p w14:paraId="3899EB88" w14:textId="77777777" w:rsidR="00DD3EFA" w:rsidRPr="00EC2A1C" w:rsidRDefault="00DD3EFA" w:rsidP="00B15ECB">
            <w:pPr>
              <w:rPr>
                <w:b/>
              </w:rPr>
            </w:pPr>
          </w:p>
        </w:tc>
      </w:tr>
      <w:tr w:rsidR="00DD3EFA" w:rsidRPr="00EC2A1C" w14:paraId="696F96AA" w14:textId="77777777" w:rsidTr="00B15ECB">
        <w:trPr>
          <w:trHeight w:val="150"/>
        </w:trPr>
        <w:tc>
          <w:tcPr>
            <w:tcW w:w="249" w:type="dxa"/>
            <w:tcBorders>
              <w:top w:val="nil"/>
              <w:right w:val="nil"/>
            </w:tcBorders>
            <w:shd w:val="clear" w:color="auto" w:fill="66CCFF"/>
          </w:tcPr>
          <w:p w14:paraId="4D34D534" w14:textId="77777777" w:rsidR="00DD3EFA" w:rsidRPr="00EC2A1C" w:rsidRDefault="00DD3EFA" w:rsidP="00B15ECB">
            <w:pPr>
              <w:rPr>
                <w:b/>
              </w:rPr>
            </w:pPr>
          </w:p>
        </w:tc>
        <w:tc>
          <w:tcPr>
            <w:tcW w:w="2548" w:type="dxa"/>
            <w:tcBorders>
              <w:left w:val="nil"/>
              <w:right w:val="nil"/>
            </w:tcBorders>
            <w:shd w:val="clear" w:color="auto" w:fill="66CCFF"/>
          </w:tcPr>
          <w:p w14:paraId="7EE419E2" w14:textId="77777777" w:rsidR="00DD3EFA" w:rsidRPr="00EC2A1C" w:rsidRDefault="00DD3EFA" w:rsidP="00B15ECB">
            <w:pPr>
              <w:rPr>
                <w:b/>
              </w:rPr>
            </w:pPr>
          </w:p>
        </w:tc>
        <w:tc>
          <w:tcPr>
            <w:tcW w:w="5978" w:type="dxa"/>
            <w:tcBorders>
              <w:left w:val="nil"/>
              <w:right w:val="nil"/>
            </w:tcBorders>
            <w:shd w:val="clear" w:color="auto" w:fill="66CCFF"/>
          </w:tcPr>
          <w:p w14:paraId="0FC1E5D2" w14:textId="77777777" w:rsidR="00DD3EFA" w:rsidRPr="00EC2A1C" w:rsidRDefault="00DD3EFA" w:rsidP="00B15ECB">
            <w:pPr>
              <w:rPr>
                <w:b/>
              </w:rPr>
            </w:pPr>
          </w:p>
        </w:tc>
        <w:tc>
          <w:tcPr>
            <w:tcW w:w="249" w:type="dxa"/>
            <w:tcBorders>
              <w:top w:val="nil"/>
              <w:left w:val="nil"/>
            </w:tcBorders>
            <w:shd w:val="clear" w:color="auto" w:fill="66CCFF"/>
          </w:tcPr>
          <w:p w14:paraId="1C9A605D" w14:textId="77777777" w:rsidR="00DD3EFA" w:rsidRPr="00EC2A1C" w:rsidRDefault="00DD3EFA" w:rsidP="00B15ECB">
            <w:pPr>
              <w:rPr>
                <w:b/>
              </w:rPr>
            </w:pPr>
          </w:p>
        </w:tc>
      </w:tr>
    </w:tbl>
    <w:p w14:paraId="78F3F183" w14:textId="77777777" w:rsidR="00DD3EFA" w:rsidRPr="00EC2A1C" w:rsidRDefault="00DD3EFA">
      <w:pPr>
        <w:rPr>
          <w:rFonts w:ascii="Times New Roman" w:hAnsi="Times New Roman" w:cs="Times New Roman"/>
          <w:b/>
          <w:sz w:val="20"/>
          <w:szCs w:val="20"/>
        </w:rPr>
      </w:pPr>
      <w:r w:rsidRPr="00EC2A1C">
        <w:rPr>
          <w:rFonts w:ascii="Times New Roman" w:hAnsi="Times New Roman" w:cs="Times New Roman"/>
          <w:b/>
          <w:sz w:val="20"/>
          <w:szCs w:val="20"/>
        </w:rPr>
        <w:br w:type="page"/>
      </w: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2E2AB1CB" w14:textId="77777777" w:rsidTr="00B15ECB">
        <w:trPr>
          <w:trHeight w:val="180"/>
        </w:trPr>
        <w:tc>
          <w:tcPr>
            <w:tcW w:w="249" w:type="dxa"/>
            <w:tcBorders>
              <w:bottom w:val="nil"/>
              <w:right w:val="nil"/>
            </w:tcBorders>
            <w:shd w:val="clear" w:color="auto" w:fill="66CCFF"/>
          </w:tcPr>
          <w:p w14:paraId="41853529" w14:textId="77777777" w:rsidR="00DD3EFA" w:rsidRPr="00EC2A1C" w:rsidRDefault="00DD3EFA" w:rsidP="00B15ECB">
            <w:pPr>
              <w:rPr>
                <w:b/>
              </w:rPr>
            </w:pPr>
          </w:p>
        </w:tc>
        <w:tc>
          <w:tcPr>
            <w:tcW w:w="2548" w:type="dxa"/>
            <w:tcBorders>
              <w:left w:val="nil"/>
              <w:right w:val="nil"/>
            </w:tcBorders>
            <w:shd w:val="clear" w:color="auto" w:fill="66CCFF"/>
          </w:tcPr>
          <w:p w14:paraId="2E55486D" w14:textId="77777777" w:rsidR="00DD3EFA" w:rsidRPr="00EC2A1C" w:rsidRDefault="00DD3EFA" w:rsidP="00B15ECB">
            <w:pPr>
              <w:rPr>
                <w:b/>
              </w:rPr>
            </w:pPr>
          </w:p>
        </w:tc>
        <w:tc>
          <w:tcPr>
            <w:tcW w:w="5978" w:type="dxa"/>
            <w:tcBorders>
              <w:left w:val="nil"/>
              <w:right w:val="nil"/>
            </w:tcBorders>
            <w:shd w:val="clear" w:color="auto" w:fill="66CCFF"/>
          </w:tcPr>
          <w:p w14:paraId="18C851F8" w14:textId="77777777" w:rsidR="00DD3EFA" w:rsidRPr="00EC2A1C" w:rsidRDefault="00DD3EFA" w:rsidP="00B15ECB">
            <w:pPr>
              <w:rPr>
                <w:b/>
              </w:rPr>
            </w:pPr>
          </w:p>
        </w:tc>
        <w:tc>
          <w:tcPr>
            <w:tcW w:w="249" w:type="dxa"/>
            <w:tcBorders>
              <w:left w:val="nil"/>
              <w:bottom w:val="nil"/>
            </w:tcBorders>
            <w:shd w:val="clear" w:color="auto" w:fill="66CCFF"/>
          </w:tcPr>
          <w:p w14:paraId="57FD5ECD" w14:textId="77777777" w:rsidR="00DD3EFA" w:rsidRPr="00EC2A1C" w:rsidRDefault="00DD3EFA" w:rsidP="00B15ECB">
            <w:pPr>
              <w:rPr>
                <w:b/>
              </w:rPr>
            </w:pPr>
          </w:p>
        </w:tc>
      </w:tr>
      <w:tr w:rsidR="00DD3EFA" w:rsidRPr="00EC2A1C" w14:paraId="732DFE74" w14:textId="77777777" w:rsidTr="00B15ECB">
        <w:trPr>
          <w:trHeight w:val="561"/>
        </w:trPr>
        <w:tc>
          <w:tcPr>
            <w:tcW w:w="249" w:type="dxa"/>
            <w:tcBorders>
              <w:top w:val="nil"/>
              <w:bottom w:val="nil"/>
            </w:tcBorders>
            <w:shd w:val="clear" w:color="auto" w:fill="66CCFF"/>
          </w:tcPr>
          <w:p w14:paraId="36F391FD" w14:textId="77777777" w:rsidR="00DD3EFA" w:rsidRPr="00EC2A1C" w:rsidRDefault="00DD3EFA" w:rsidP="00B15ECB">
            <w:pPr>
              <w:rPr>
                <w:b/>
              </w:rPr>
            </w:pPr>
          </w:p>
        </w:tc>
        <w:tc>
          <w:tcPr>
            <w:tcW w:w="2548" w:type="dxa"/>
            <w:shd w:val="clear" w:color="auto" w:fill="0070C0"/>
          </w:tcPr>
          <w:p w14:paraId="39345733"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Strategický cíl NKR:</w:t>
            </w:r>
          </w:p>
          <w:p w14:paraId="28021386" w14:textId="77777777" w:rsidR="00DD3EFA" w:rsidRPr="00EC2A1C" w:rsidRDefault="00DD3EFA" w:rsidP="00B15ECB">
            <w:pPr>
              <w:spacing w:before="60" w:after="60"/>
              <w:rPr>
                <w:rFonts w:eastAsiaTheme="majorEastAsia"/>
                <w:b/>
                <w:color w:val="FFFFFF" w:themeColor="background1"/>
              </w:rPr>
            </w:pPr>
            <w:r w:rsidRPr="00EC2A1C">
              <w:t>Zlepšení kvality životního prostředí, zavedení nízkouhlíkové ekonomiky a adaptace na změnu klimatu</w:t>
            </w:r>
          </w:p>
        </w:tc>
        <w:tc>
          <w:tcPr>
            <w:tcW w:w="5978" w:type="dxa"/>
            <w:shd w:val="clear" w:color="auto" w:fill="0070C0"/>
          </w:tcPr>
          <w:p w14:paraId="72B3C6E8"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48"/>
            </w:r>
            <w:r w:rsidRPr="00EC2A1C">
              <w:rPr>
                <w:rFonts w:eastAsiaTheme="majorEastAsia"/>
                <w:b/>
                <w:color w:val="FFFFFF" w:themeColor="background1"/>
                <w:u w:val="single"/>
              </w:rPr>
              <w:t xml:space="preserve">: </w:t>
            </w:r>
          </w:p>
          <w:p w14:paraId="1142BAB3" w14:textId="77777777" w:rsidR="00DD3EFA" w:rsidRPr="00EC2A1C" w:rsidRDefault="00DD3EFA" w:rsidP="00B15ECB">
            <w:pPr>
              <w:spacing w:before="60" w:after="60"/>
              <w:rPr>
                <w:rFonts w:eastAsiaTheme="majorEastAsia"/>
                <w:b/>
                <w:color w:val="FFFFFF" w:themeColor="background1"/>
                <w:u w:val="single"/>
              </w:rPr>
            </w:pPr>
          </w:p>
          <w:p w14:paraId="4801179B" w14:textId="77777777" w:rsidR="00DD3EFA" w:rsidRPr="00EC2A1C" w:rsidRDefault="00DD3EFA" w:rsidP="00B15ECB">
            <w:pPr>
              <w:spacing w:before="60" w:after="60"/>
              <w:rPr>
                <w:rFonts w:eastAsiaTheme="majorEastAsia"/>
                <w:i/>
              </w:rPr>
            </w:pPr>
            <w:r w:rsidRPr="00EC2A1C">
              <w:t>Zvýšení energetické účinnosti a úspory energie</w:t>
            </w:r>
            <w:r w:rsidRPr="00EC2A1C">
              <w:rPr>
                <w:rFonts w:eastAsiaTheme="majorEastAsia"/>
                <w:i/>
              </w:rPr>
              <w:t xml:space="preserve"> </w:t>
            </w:r>
          </w:p>
          <w:p w14:paraId="6CF36016" w14:textId="77777777" w:rsidR="00DD3EFA" w:rsidRPr="00EC2A1C" w:rsidRDefault="00DD3EFA" w:rsidP="00B15ECB">
            <w:pPr>
              <w:spacing w:before="60" w:after="60"/>
              <w:rPr>
                <w:rFonts w:eastAsiaTheme="majorEastAsia"/>
                <w:i/>
              </w:rPr>
            </w:pPr>
          </w:p>
          <w:p w14:paraId="4FBA1078" w14:textId="77777777" w:rsidR="00DD3EFA" w:rsidRPr="00EC2A1C" w:rsidRDefault="00DD3EFA" w:rsidP="00B15ECB">
            <w:pPr>
              <w:spacing w:before="60" w:after="60"/>
              <w:rPr>
                <w:rFonts w:eastAsiaTheme="majorEastAsia"/>
                <w:b/>
                <w:color w:val="FFFFFF" w:themeColor="background1"/>
                <w:u w:val="single"/>
              </w:rPr>
            </w:pPr>
          </w:p>
        </w:tc>
        <w:tc>
          <w:tcPr>
            <w:tcW w:w="249" w:type="dxa"/>
            <w:tcBorders>
              <w:top w:val="nil"/>
              <w:bottom w:val="nil"/>
            </w:tcBorders>
            <w:shd w:val="clear" w:color="auto" w:fill="66CCFF"/>
          </w:tcPr>
          <w:p w14:paraId="3016BBC3" w14:textId="77777777" w:rsidR="00DD3EFA" w:rsidRPr="00EC2A1C" w:rsidRDefault="00DD3EFA" w:rsidP="00B15ECB">
            <w:pPr>
              <w:rPr>
                <w:b/>
              </w:rPr>
            </w:pPr>
          </w:p>
        </w:tc>
      </w:tr>
      <w:tr w:rsidR="00DD3EFA" w:rsidRPr="00EC2A1C" w14:paraId="74925E50" w14:textId="77777777" w:rsidTr="00B15ECB">
        <w:trPr>
          <w:trHeight w:val="180"/>
        </w:trPr>
        <w:tc>
          <w:tcPr>
            <w:tcW w:w="249" w:type="dxa"/>
            <w:tcBorders>
              <w:top w:val="nil"/>
              <w:bottom w:val="nil"/>
              <w:right w:val="nil"/>
            </w:tcBorders>
            <w:shd w:val="clear" w:color="auto" w:fill="66CCFF"/>
          </w:tcPr>
          <w:p w14:paraId="4687A772" w14:textId="77777777" w:rsidR="00DD3EFA" w:rsidRPr="00EC2A1C" w:rsidRDefault="00DD3EFA" w:rsidP="00B15ECB">
            <w:pPr>
              <w:rPr>
                <w:b/>
              </w:rPr>
            </w:pPr>
          </w:p>
        </w:tc>
        <w:tc>
          <w:tcPr>
            <w:tcW w:w="2548" w:type="dxa"/>
            <w:tcBorders>
              <w:left w:val="nil"/>
              <w:right w:val="nil"/>
            </w:tcBorders>
            <w:shd w:val="clear" w:color="auto" w:fill="66CCFF"/>
          </w:tcPr>
          <w:p w14:paraId="5D2F8B44" w14:textId="77777777" w:rsidR="00DD3EFA" w:rsidRPr="00EC2A1C" w:rsidRDefault="00DD3EFA" w:rsidP="00B15ECB">
            <w:pPr>
              <w:rPr>
                <w:b/>
              </w:rPr>
            </w:pPr>
          </w:p>
        </w:tc>
        <w:tc>
          <w:tcPr>
            <w:tcW w:w="5978" w:type="dxa"/>
            <w:tcBorders>
              <w:left w:val="nil"/>
              <w:right w:val="nil"/>
            </w:tcBorders>
            <w:shd w:val="clear" w:color="auto" w:fill="66CCFF"/>
          </w:tcPr>
          <w:p w14:paraId="03FE9B27" w14:textId="77777777" w:rsidR="00DD3EFA" w:rsidRPr="00EC2A1C" w:rsidRDefault="00DD3EFA" w:rsidP="00B15ECB">
            <w:pPr>
              <w:rPr>
                <w:b/>
              </w:rPr>
            </w:pPr>
          </w:p>
        </w:tc>
        <w:tc>
          <w:tcPr>
            <w:tcW w:w="249" w:type="dxa"/>
            <w:tcBorders>
              <w:top w:val="nil"/>
              <w:left w:val="nil"/>
              <w:bottom w:val="nil"/>
            </w:tcBorders>
            <w:shd w:val="clear" w:color="auto" w:fill="66CCFF"/>
          </w:tcPr>
          <w:p w14:paraId="5992ECC6" w14:textId="77777777" w:rsidR="00DD3EFA" w:rsidRPr="00EC2A1C" w:rsidRDefault="00DD3EFA" w:rsidP="00B15ECB">
            <w:pPr>
              <w:rPr>
                <w:b/>
              </w:rPr>
            </w:pPr>
          </w:p>
        </w:tc>
      </w:tr>
      <w:tr w:rsidR="00DD3EFA" w:rsidRPr="00EC2A1C" w14:paraId="0BADBED7" w14:textId="77777777" w:rsidTr="00B15ECB">
        <w:trPr>
          <w:trHeight w:val="892"/>
        </w:trPr>
        <w:tc>
          <w:tcPr>
            <w:tcW w:w="249" w:type="dxa"/>
            <w:tcBorders>
              <w:top w:val="nil"/>
              <w:bottom w:val="nil"/>
            </w:tcBorders>
            <w:shd w:val="clear" w:color="auto" w:fill="66CCFF"/>
          </w:tcPr>
          <w:p w14:paraId="2E3922F7" w14:textId="77777777" w:rsidR="00DD3EFA" w:rsidRPr="00EC2A1C" w:rsidRDefault="00DD3EFA" w:rsidP="00B15ECB">
            <w:pPr>
              <w:rPr>
                <w:b/>
              </w:rPr>
            </w:pPr>
          </w:p>
        </w:tc>
        <w:tc>
          <w:tcPr>
            <w:tcW w:w="2548" w:type="dxa"/>
            <w:shd w:val="clear" w:color="auto" w:fill="FFFFFF" w:themeFill="background1"/>
          </w:tcPr>
          <w:p w14:paraId="60FF39F7"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shd w:val="clear" w:color="auto" w:fill="FFFFFF" w:themeFill="background1"/>
          </w:tcPr>
          <w:p w14:paraId="3A5FA993" w14:textId="77777777" w:rsidR="00DD3EFA" w:rsidRPr="00EC2A1C" w:rsidRDefault="00DD3EFA" w:rsidP="00B15ECB">
            <w:pPr>
              <w:tabs>
                <w:tab w:val="left" w:pos="567"/>
              </w:tabs>
              <w:spacing w:after="120"/>
            </w:pPr>
            <w:r w:rsidRPr="00EC2A1C">
              <w:t>Specifický cíl zvyšování energetické účinnosti resp. snížení konečné a primární spotřeby energie se zaměřuje na tyto aktivity:</w:t>
            </w:r>
          </w:p>
          <w:p w14:paraId="02F93503" w14:textId="77777777" w:rsidR="00DD3EFA" w:rsidRPr="00EC2A1C" w:rsidRDefault="00DD3EFA" w:rsidP="00391907">
            <w:pPr>
              <w:pStyle w:val="Odstavecseseznamem"/>
              <w:numPr>
                <w:ilvl w:val="0"/>
                <w:numId w:val="96"/>
              </w:numPr>
              <w:spacing w:before="40" w:after="80" w:line="276" w:lineRule="auto"/>
              <w:jc w:val="both"/>
            </w:pPr>
            <w:r w:rsidRPr="00EC2A1C">
              <w:t>snížení energetické náročnosti veřejných, státních a rezidenčních budov (rodinné a bytové domy) a budov podnikatelských/soukromých subjektů (</w:t>
            </w:r>
            <w:r w:rsidRPr="00EC2A1C">
              <w:rPr>
                <w:rFonts w:eastAsiaTheme="majorEastAsia"/>
              </w:rPr>
              <w:t>integrace OZE do budov, aplikace nových energeticky šetrných materiálů, využití druhotných surovin k udržitelné výstavbě</w:t>
            </w:r>
          </w:p>
          <w:p w14:paraId="2D7367F1" w14:textId="77777777" w:rsidR="00DD3EFA" w:rsidRPr="00EC2A1C" w:rsidRDefault="00DD3EFA" w:rsidP="00391907">
            <w:pPr>
              <w:pStyle w:val="Odstavecseseznamem"/>
              <w:numPr>
                <w:ilvl w:val="0"/>
                <w:numId w:val="96"/>
              </w:numPr>
              <w:spacing w:before="40" w:after="80" w:line="276" w:lineRule="auto"/>
              <w:jc w:val="both"/>
            </w:pPr>
            <w:r w:rsidRPr="00EC2A1C">
              <w:t>zvýšení energetické účinnosti technických zařízení budov a využívání obnovitelných zdrojů a KVET pro pokrytí vlastní potřeby energie budov a energetických hospodářství podnikatelských provozů,</w:t>
            </w:r>
          </w:p>
          <w:p w14:paraId="3F6756B4" w14:textId="77777777" w:rsidR="00DD3EFA" w:rsidRPr="00EC2A1C" w:rsidRDefault="00DD3EFA" w:rsidP="00391907">
            <w:pPr>
              <w:pStyle w:val="Odstavecseseznamem"/>
              <w:numPr>
                <w:ilvl w:val="0"/>
                <w:numId w:val="96"/>
              </w:numPr>
              <w:spacing w:before="40" w:after="80" w:line="276" w:lineRule="auto"/>
              <w:jc w:val="both"/>
            </w:pPr>
            <w:r w:rsidRPr="00EC2A1C">
              <w:t>dosažení úspor energie a zvýšení účinnosti technologie potřebné při dodávkách, přenosu či přepravě a distribuci energie</w:t>
            </w:r>
          </w:p>
          <w:p w14:paraId="7A76132D" w14:textId="77777777" w:rsidR="00DD3EFA" w:rsidRPr="00EC2A1C" w:rsidRDefault="00DD3EFA" w:rsidP="00391907">
            <w:pPr>
              <w:pStyle w:val="Odstavecseseznamem"/>
              <w:numPr>
                <w:ilvl w:val="0"/>
                <w:numId w:val="96"/>
              </w:numPr>
              <w:jc w:val="both"/>
            </w:pPr>
            <w:r w:rsidRPr="00EC2A1C">
              <w:t>modernizace a rekonstrukce rozvodů elektřiny, plynu a tepla v energetických hospodářstvích podniků za účelem zvýšení účinnosti,</w:t>
            </w:r>
          </w:p>
          <w:p w14:paraId="1ECA92BF" w14:textId="77777777" w:rsidR="00DD3EFA" w:rsidRPr="00EC2A1C" w:rsidRDefault="00DD3EFA" w:rsidP="00391907">
            <w:pPr>
              <w:pStyle w:val="Odstavecseseznamem"/>
              <w:numPr>
                <w:ilvl w:val="0"/>
                <w:numId w:val="96"/>
              </w:numPr>
              <w:spacing w:before="40" w:after="80" w:line="276" w:lineRule="auto"/>
              <w:jc w:val="both"/>
            </w:pPr>
            <w:r w:rsidRPr="00EC2A1C">
              <w:t>modernizace, rekonstrukce stávajících zařízení na výrobu energie pro vlastní spotřebu vedoucí ke zvýšení její účinnosti,</w:t>
            </w:r>
          </w:p>
          <w:p w14:paraId="5C6C645B" w14:textId="77777777" w:rsidR="00DD3EFA" w:rsidRPr="00EC2A1C" w:rsidRDefault="00DD3EFA" w:rsidP="00391907">
            <w:pPr>
              <w:pStyle w:val="Odstavecseseznamem"/>
              <w:numPr>
                <w:ilvl w:val="0"/>
                <w:numId w:val="96"/>
              </w:numPr>
              <w:spacing w:before="40" w:after="80" w:line="276" w:lineRule="auto"/>
              <w:jc w:val="both"/>
            </w:pPr>
            <w:r w:rsidRPr="00EC2A1C">
              <w:t>modernizace soustav osvětlení podnikatelských areálů,</w:t>
            </w:r>
          </w:p>
          <w:p w14:paraId="4552CF06" w14:textId="77777777" w:rsidR="00DD3EFA" w:rsidRPr="00EC2A1C" w:rsidRDefault="00DD3EFA" w:rsidP="00391907">
            <w:pPr>
              <w:pStyle w:val="Odstavecseseznamem"/>
              <w:numPr>
                <w:ilvl w:val="0"/>
                <w:numId w:val="96"/>
              </w:numPr>
              <w:spacing w:before="40" w:after="80" w:line="276" w:lineRule="auto"/>
              <w:jc w:val="both"/>
            </w:pPr>
            <w:r w:rsidRPr="00EC2A1C">
              <w:t>využití odpadní energie ve výrobních procesech,</w:t>
            </w:r>
          </w:p>
          <w:p w14:paraId="14DCFC76" w14:textId="77777777" w:rsidR="00DD3EFA" w:rsidRPr="00EC2A1C" w:rsidRDefault="00DD3EFA" w:rsidP="00391907">
            <w:pPr>
              <w:pStyle w:val="Odstavecseseznamem"/>
              <w:numPr>
                <w:ilvl w:val="0"/>
                <w:numId w:val="96"/>
              </w:numPr>
              <w:spacing w:before="40" w:after="80" w:line="276" w:lineRule="auto"/>
              <w:jc w:val="both"/>
            </w:pPr>
            <w:r w:rsidRPr="00EC2A1C">
              <w:t>snižování energetické náročnosti/zvyšování energetické účinnosti výrobních, technologických a logistických procesů,</w:t>
            </w:r>
          </w:p>
          <w:p w14:paraId="7CCE0831" w14:textId="77777777" w:rsidR="00DD3EFA" w:rsidRPr="00EC2A1C" w:rsidRDefault="00DD3EFA" w:rsidP="00391907">
            <w:pPr>
              <w:pStyle w:val="Odstavecseseznamem"/>
              <w:numPr>
                <w:ilvl w:val="0"/>
                <w:numId w:val="96"/>
              </w:numPr>
              <w:spacing w:before="40" w:after="80" w:line="276" w:lineRule="auto"/>
              <w:jc w:val="both"/>
            </w:pPr>
            <w:r w:rsidRPr="00EC2A1C">
              <w:t>zavádění „smart“ prvků v budovách (prvky řízení efektivního nakládání s energií např. měření a regulace),</w:t>
            </w:r>
          </w:p>
          <w:p w14:paraId="071D2B07" w14:textId="77777777" w:rsidR="00DD3EFA" w:rsidRPr="00EC2A1C" w:rsidRDefault="00DD3EFA" w:rsidP="00391907">
            <w:pPr>
              <w:pStyle w:val="Odstavecseseznamem"/>
              <w:numPr>
                <w:ilvl w:val="0"/>
                <w:numId w:val="96"/>
              </w:numPr>
              <w:spacing w:before="40" w:after="80" w:line="276" w:lineRule="auto"/>
              <w:jc w:val="both"/>
            </w:pPr>
            <w:r w:rsidRPr="00EC2A1C">
              <w:t>praktickou implementaci energetického managementu,</w:t>
            </w:r>
          </w:p>
          <w:p w14:paraId="05085C53" w14:textId="77777777" w:rsidR="00DD3EFA" w:rsidRPr="00EC2A1C" w:rsidRDefault="00DD3EFA" w:rsidP="00391907">
            <w:pPr>
              <w:pStyle w:val="Odstavecseseznamem"/>
              <w:numPr>
                <w:ilvl w:val="0"/>
                <w:numId w:val="96"/>
              </w:numPr>
              <w:spacing w:before="40" w:after="80" w:line="276" w:lineRule="auto"/>
              <w:jc w:val="both"/>
            </w:pPr>
            <w:r w:rsidRPr="00EC2A1C">
              <w:t>podpora výstavby budov v pasivním standardu a budov s téměř nulovou spotřebou využívající OZE v kombinaci s akumulací energie.</w:t>
            </w:r>
          </w:p>
          <w:p w14:paraId="2CCA9925" w14:textId="77777777" w:rsidR="00DD3EFA" w:rsidRPr="00EC2A1C" w:rsidRDefault="00DD3EFA" w:rsidP="00B15ECB">
            <w:pPr>
              <w:rPr>
                <w:rFonts w:eastAsia="Calibri"/>
              </w:rPr>
            </w:pPr>
            <w:r w:rsidRPr="00EC2A1C">
              <w:rPr>
                <w:rFonts w:eastAsia="Calibri"/>
              </w:rPr>
              <w:t>Výše uvedené zaměření na podoblasti je východiskem pro plnění cílů Evropského klimaticko-energetického rámce 2030 vyplývajícího především z následujících právních předpisů EU:</w:t>
            </w:r>
          </w:p>
          <w:p w14:paraId="7361F4BC" w14:textId="77777777" w:rsidR="00DD3EFA" w:rsidRPr="00EC2A1C" w:rsidRDefault="00DD3EFA" w:rsidP="00391907">
            <w:pPr>
              <w:pStyle w:val="Odstavecseseznamem"/>
              <w:numPr>
                <w:ilvl w:val="0"/>
                <w:numId w:val="96"/>
              </w:numPr>
              <w:jc w:val="both"/>
              <w:rPr>
                <w:rFonts w:eastAsia="Calibri"/>
              </w:rPr>
            </w:pPr>
            <w:r w:rsidRPr="00EC2A1C">
              <w:rPr>
                <w:rFonts w:eastAsia="Calibri"/>
              </w:rPr>
              <w:t>Směrnice Evropského parlamentu a Rady 2012/27/EU ze dne 25. října 2012 o energetické účinnosti,</w:t>
            </w:r>
          </w:p>
          <w:p w14:paraId="0FF6B767" w14:textId="77777777" w:rsidR="00DD3EFA" w:rsidRPr="00EC2A1C" w:rsidRDefault="00DD3EFA" w:rsidP="00391907">
            <w:pPr>
              <w:pStyle w:val="Odstavecseseznamem"/>
              <w:numPr>
                <w:ilvl w:val="0"/>
                <w:numId w:val="96"/>
              </w:numPr>
              <w:jc w:val="both"/>
              <w:rPr>
                <w:rFonts w:eastAsia="Calibri"/>
              </w:rPr>
            </w:pPr>
            <w:r w:rsidRPr="00EC2A1C">
              <w:rPr>
                <w:rFonts w:eastAsia="Calibri"/>
              </w:rPr>
              <w:t>Směrnice Evropského parlamentu a Rady 2010/31/EU ze dne 19. května 2010 o energetické náročnosti budov,</w:t>
            </w:r>
          </w:p>
          <w:p w14:paraId="06E69B80" w14:textId="77777777" w:rsidR="00DD3EFA" w:rsidRPr="00EC2A1C" w:rsidRDefault="00DD3EFA" w:rsidP="00391907">
            <w:pPr>
              <w:pStyle w:val="Odstavecseseznamem"/>
              <w:numPr>
                <w:ilvl w:val="0"/>
                <w:numId w:val="96"/>
              </w:numPr>
              <w:jc w:val="both"/>
              <w:rPr>
                <w:rFonts w:eastAsia="Calibri"/>
              </w:rPr>
            </w:pPr>
            <w:r w:rsidRPr="00EC2A1C">
              <w:rPr>
                <w:rFonts w:eastAsia="Calibri"/>
              </w:rPr>
              <w:t>Směrnice Evropského parlamentu a Rady 2009/125/ES o ekodesign,</w:t>
            </w:r>
          </w:p>
          <w:p w14:paraId="57E83000" w14:textId="77777777" w:rsidR="00DD3EFA" w:rsidRPr="00EC2A1C" w:rsidRDefault="00DD3EFA" w:rsidP="00391907">
            <w:pPr>
              <w:pStyle w:val="Odstavecseseznamem"/>
              <w:numPr>
                <w:ilvl w:val="0"/>
                <w:numId w:val="96"/>
              </w:numPr>
              <w:jc w:val="both"/>
              <w:rPr>
                <w:rFonts w:eastAsia="Calibri"/>
              </w:rPr>
            </w:pPr>
            <w:r w:rsidRPr="00EC2A1C">
              <w:rPr>
                <w:rFonts w:eastAsia="Calibri"/>
                <w:bCs/>
              </w:rPr>
              <w:t>Nařízení Evropského parlamentu a Rady 2017/1369 ze dne 4. července 2017, kterým se stanoví rámec pro označování energetickými štítky.</w:t>
            </w:r>
          </w:p>
          <w:p w14:paraId="01865A2D" w14:textId="77777777" w:rsidR="00DD3EFA" w:rsidRPr="00EC2A1C" w:rsidRDefault="00DD3EFA" w:rsidP="00391907">
            <w:pPr>
              <w:pStyle w:val="Odstavecseseznamem"/>
              <w:numPr>
                <w:ilvl w:val="0"/>
                <w:numId w:val="96"/>
              </w:numPr>
              <w:jc w:val="both"/>
              <w:rPr>
                <w:rFonts w:eastAsia="Calibri"/>
              </w:rPr>
            </w:pPr>
            <w:r w:rsidRPr="00EC2A1C">
              <w:rPr>
                <w:rFonts w:eastAsia="Calibri"/>
              </w:rPr>
              <w:t>Směrnice Evropského parlamentu a Rady 2018/844 ze dne 30. května 2018, kterou se mění směrnice 2010/31/EU o energetické náročnosti budov a směrnice 2012/27/EU o energetické účinnosti,</w:t>
            </w:r>
          </w:p>
          <w:p w14:paraId="1A3E3296" w14:textId="77777777" w:rsidR="00DD3EFA" w:rsidRPr="00EC2A1C" w:rsidRDefault="00DD3EFA" w:rsidP="00391907">
            <w:pPr>
              <w:pStyle w:val="Odstavecseseznamem"/>
              <w:numPr>
                <w:ilvl w:val="0"/>
                <w:numId w:val="96"/>
              </w:numPr>
              <w:jc w:val="both"/>
              <w:rPr>
                <w:rFonts w:eastAsia="Calibri"/>
              </w:rPr>
            </w:pPr>
            <w:r w:rsidRPr="00EC2A1C">
              <w:rPr>
                <w:rFonts w:eastAsia="Calibri"/>
              </w:rPr>
              <w:t>Směrnice Evropského parlamentu a Rady 2018/2002 ze dne 11. prosince 2018, kterou se mění směrnice 2012/27/EU o energetické účinnosti (dále jen „revize Směrnice o energetické účinnosti“)</w:t>
            </w:r>
            <w:r w:rsidRPr="00EC2A1C">
              <w:rPr>
                <w:rFonts w:eastAsia="Calibri"/>
                <w:bCs/>
              </w:rPr>
              <w:t>.</w:t>
            </w:r>
          </w:p>
          <w:p w14:paraId="5F276DD9" w14:textId="77777777" w:rsidR="00DD3EFA" w:rsidRPr="00EC2A1C" w:rsidRDefault="00DD3EFA" w:rsidP="00B15ECB">
            <w:pPr>
              <w:pStyle w:val="Odstavecseseznamem"/>
              <w:ind w:left="360"/>
              <w:rPr>
                <w:rFonts w:eastAsia="Calibri"/>
              </w:rPr>
            </w:pPr>
          </w:p>
          <w:p w14:paraId="06ADFC82" w14:textId="77777777" w:rsidR="00DD3EFA" w:rsidRPr="00EC2A1C" w:rsidRDefault="00DD3EFA" w:rsidP="00B15ECB">
            <w:pPr>
              <w:rPr>
                <w:rFonts w:eastAsia="Calibri"/>
              </w:rPr>
            </w:pPr>
          </w:p>
          <w:p w14:paraId="5BBCBAC7" w14:textId="77777777" w:rsidR="00DD3EFA" w:rsidRPr="00EC2A1C" w:rsidRDefault="00DD3EFA" w:rsidP="00B15ECB">
            <w:pPr>
              <w:rPr>
                <w:rFonts w:eastAsia="Calibri"/>
              </w:rPr>
            </w:pPr>
            <w:r w:rsidRPr="00EC2A1C">
              <w:rPr>
                <w:rFonts w:eastAsia="Calibri"/>
              </w:rPr>
              <w:t>Cíle a závazky pro členské státy jsou primárně stanoveny ve směrnici 2012/27/EU o energetické účinnosti, resp. revize této směrnice z 11. prosince 2018. Jedná se zejména o plnění vnitrostátního cíle energetické účinnosti do roku 2030 dle čl. 3 směrnice, plnění závazku nových úspor energie dle čl. 7 směrnice, povinnost každoročně renovovat část budov ústředních institucí státní správy dle čl. 5 směrnice (viz následující oddíl).</w:t>
            </w:r>
          </w:p>
          <w:p w14:paraId="72563CEE" w14:textId="77777777" w:rsidR="00DD3EFA" w:rsidRPr="00EC2A1C" w:rsidRDefault="00DD3EFA" w:rsidP="00B15ECB">
            <w:pPr>
              <w:rPr>
                <w:rFonts w:eastAsia="Calibri"/>
              </w:rPr>
            </w:pPr>
          </w:p>
          <w:p w14:paraId="716C7217" w14:textId="77777777" w:rsidR="00DD3EFA" w:rsidRPr="00EC2A1C" w:rsidRDefault="00DD3EFA" w:rsidP="00B15ECB">
            <w:pPr>
              <w:rPr>
                <w:u w:val="single"/>
              </w:rPr>
            </w:pPr>
            <w:r w:rsidRPr="00EC2A1C">
              <w:rPr>
                <w:rFonts w:eastAsia="Calibri"/>
              </w:rPr>
              <w:t>Další výše uvedené předpisy EU jsou zejména nástroji právě pro plnění těchto závazků a cílů. Nicméně i tyto předpisy obsahují další povinnosti a cíle. Dle směrnice 2010/31/EU o energetické náročnosti budov, resp. její revize ze dne 30. května 2018 je povinností od roku 2020 stavět budovy naplňující kritéria s téměř nulovou budovou.</w:t>
            </w:r>
          </w:p>
        </w:tc>
        <w:tc>
          <w:tcPr>
            <w:tcW w:w="249" w:type="dxa"/>
            <w:tcBorders>
              <w:top w:val="nil"/>
              <w:bottom w:val="nil"/>
            </w:tcBorders>
            <w:shd w:val="clear" w:color="auto" w:fill="66CCFF"/>
          </w:tcPr>
          <w:p w14:paraId="6861D177" w14:textId="77777777" w:rsidR="00DD3EFA" w:rsidRPr="00EC2A1C" w:rsidRDefault="00DD3EFA" w:rsidP="00B15ECB">
            <w:pPr>
              <w:rPr>
                <w:b/>
              </w:rPr>
            </w:pPr>
          </w:p>
        </w:tc>
      </w:tr>
      <w:tr w:rsidR="00DD3EFA" w:rsidRPr="00EC2A1C" w14:paraId="0B47EE43" w14:textId="77777777" w:rsidTr="00B15ECB">
        <w:trPr>
          <w:trHeight w:val="46"/>
        </w:trPr>
        <w:tc>
          <w:tcPr>
            <w:tcW w:w="249" w:type="dxa"/>
            <w:tcBorders>
              <w:top w:val="nil"/>
              <w:bottom w:val="nil"/>
              <w:right w:val="nil"/>
            </w:tcBorders>
            <w:shd w:val="clear" w:color="auto" w:fill="66CCFF"/>
          </w:tcPr>
          <w:p w14:paraId="237EF435"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586B4E46"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27A6B60A" w14:textId="77777777" w:rsidR="00DD3EFA" w:rsidRPr="00EC2A1C" w:rsidRDefault="00DD3EFA" w:rsidP="00B15ECB">
            <w:pPr>
              <w:rPr>
                <w:b/>
              </w:rPr>
            </w:pPr>
          </w:p>
        </w:tc>
        <w:tc>
          <w:tcPr>
            <w:tcW w:w="249" w:type="dxa"/>
            <w:tcBorders>
              <w:top w:val="nil"/>
              <w:left w:val="nil"/>
              <w:bottom w:val="nil"/>
            </w:tcBorders>
            <w:shd w:val="clear" w:color="auto" w:fill="66CCFF"/>
          </w:tcPr>
          <w:p w14:paraId="41A2529B" w14:textId="77777777" w:rsidR="00DD3EFA" w:rsidRPr="00EC2A1C" w:rsidRDefault="00DD3EFA" w:rsidP="00B15ECB">
            <w:pPr>
              <w:rPr>
                <w:b/>
              </w:rPr>
            </w:pPr>
          </w:p>
        </w:tc>
      </w:tr>
      <w:tr w:rsidR="00DD3EFA" w:rsidRPr="00EC2A1C" w14:paraId="38B2ED1A" w14:textId="77777777" w:rsidTr="00B15ECB">
        <w:trPr>
          <w:trHeight w:val="1274"/>
        </w:trPr>
        <w:tc>
          <w:tcPr>
            <w:tcW w:w="249" w:type="dxa"/>
            <w:tcBorders>
              <w:top w:val="nil"/>
              <w:bottom w:val="nil"/>
            </w:tcBorders>
            <w:shd w:val="clear" w:color="auto" w:fill="66CCFF"/>
          </w:tcPr>
          <w:p w14:paraId="618C2DA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9C0F533"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5A8B9DF0" w14:textId="77777777" w:rsidR="00DD3EFA" w:rsidRPr="00EC2A1C" w:rsidRDefault="00DD3EFA" w:rsidP="00B15ECB">
            <w:pPr>
              <w:rPr>
                <w:rFonts w:eastAsia="Calibri"/>
              </w:rPr>
            </w:pPr>
            <w:r w:rsidRPr="00EC2A1C">
              <w:rPr>
                <w:rFonts w:eastAsia="Calibri"/>
              </w:rPr>
              <w:t xml:space="preserve">Energetická náročnost je jedním z faktorů ovlivňujících konkurenceschopnost podniků. I přes zvyšující se energetickou účinnost je ČR z členských států EU na třetím místě v energetické náročnosti hospodářství, která dosahuje víc než dvojnásobek průměru EU. Největší podíl na energetické náročnosti hospodářství zaujímá průmysl, následován dopravou a bydlením. Přestože od roku 1989, kdy byla ekonomika výrazněji orientovaná na těžký průmysl, a energetické účinnosti budov nebyl přikládán patřičný význam, došlo k podstatnému zlepšení (přibližně o 2,5 % ročně) a je nezbytné i nadále podporovat investice do úspor energie a zvyšování energetické účinnosti jak při distribuci, tak při spotřebě energií. </w:t>
            </w:r>
          </w:p>
          <w:p w14:paraId="3936D60E" w14:textId="77777777" w:rsidR="00DD3EFA" w:rsidRPr="00EC2A1C" w:rsidRDefault="00DD3EFA" w:rsidP="00B15ECB">
            <w:pPr>
              <w:rPr>
                <w:rFonts w:eastAsia="Calibri"/>
              </w:rPr>
            </w:pPr>
          </w:p>
          <w:p w14:paraId="07BEB713" w14:textId="77777777" w:rsidR="00DD3EFA" w:rsidRPr="00EC2A1C" w:rsidRDefault="00DD3EFA" w:rsidP="00B15ECB">
            <w:pPr>
              <w:rPr>
                <w:rFonts w:eastAsia="Calibri"/>
              </w:rPr>
            </w:pPr>
            <w:r w:rsidRPr="00EC2A1C">
              <w:rPr>
                <w:rFonts w:eastAsia="Calibri"/>
              </w:rPr>
              <w:t xml:space="preserve">Mezi nejzásadnější makroekonomické dopady zvyšování energetické účinnosti patří dále růst HDP a příjmu státního rozpočtu způsobené přílivem investic do sektoru stavebnictví a jiných navázaných sektorů. Dále je zřejmý vliv na snižování závislostina dovozu energie (dle SEK dosahuje ukazatel dovozní energetické závislosti ČR (včetně zahrnutí jaderného paliva) dosahuje okolo 50 %). </w:t>
            </w:r>
          </w:p>
          <w:p w14:paraId="3A81FB2A" w14:textId="77777777" w:rsidR="00DD3EFA" w:rsidRPr="00EC2A1C" w:rsidRDefault="00DD3EFA" w:rsidP="00B15ECB">
            <w:pPr>
              <w:rPr>
                <w:rFonts w:eastAsia="Calibri"/>
              </w:rPr>
            </w:pPr>
          </w:p>
          <w:p w14:paraId="278D5AFE" w14:textId="77777777" w:rsidR="00DD3EFA" w:rsidRPr="00EC2A1C" w:rsidRDefault="00DD3EFA" w:rsidP="00B15ECB">
            <w:pPr>
              <w:rPr>
                <w:rFonts w:eastAsia="Calibri"/>
              </w:rPr>
            </w:pPr>
            <w:r w:rsidRPr="00EC2A1C">
              <w:rPr>
                <w:rFonts w:eastAsia="Calibri"/>
              </w:rPr>
              <w:t>Snižování energetické náročnosti má také přímý vliv na plnění cílů v oblasti dekarbonizace hospodářství ČR stanovených v rámci klimaticko-energetického rámce EU do roku 2030 a pro plnění cílů Pařížské dohody z roku 2015.</w:t>
            </w:r>
          </w:p>
          <w:p w14:paraId="74E888DA" w14:textId="77777777" w:rsidR="00DD3EFA" w:rsidRPr="00EC2A1C" w:rsidRDefault="00DD3EFA" w:rsidP="00B15ECB">
            <w:pPr>
              <w:rPr>
                <w:rFonts w:eastAsia="Calibri"/>
              </w:rPr>
            </w:pPr>
          </w:p>
          <w:p w14:paraId="17D71772" w14:textId="77777777" w:rsidR="00DD3EFA" w:rsidRPr="00EC2A1C" w:rsidRDefault="00DD3EFA" w:rsidP="00B15ECB">
            <w:pPr>
              <w:rPr>
                <w:rFonts w:eastAsia="Calibri"/>
              </w:rPr>
            </w:pPr>
            <w:r w:rsidRPr="00EC2A1C">
              <w:rPr>
                <w:rFonts w:eastAsia="Calibri"/>
              </w:rPr>
              <w:t>Energetické úspory lze vnímat jako zdroj pro pokrytí dodatečných energetických potřeb vyvolaných růstem ekonomiky a životní úrovně obyvatelstva. Realizace energeticky úsporných opatření v budovách má výrazné dopady na zvyšování kvality bydlení a zlepšování vnitřního prostředí v budovách s přímým vlivem na zdraví obyvatel.</w:t>
            </w:r>
          </w:p>
          <w:p w14:paraId="31AB3AD2" w14:textId="77777777" w:rsidR="00DD3EFA" w:rsidRPr="00EC2A1C" w:rsidRDefault="00DD3EFA" w:rsidP="00B15ECB">
            <w:pPr>
              <w:rPr>
                <w:rFonts w:eastAsia="Calibri"/>
              </w:rPr>
            </w:pPr>
          </w:p>
          <w:p w14:paraId="10FC4BEE" w14:textId="77777777" w:rsidR="00DD3EFA" w:rsidRPr="00EC2A1C" w:rsidRDefault="00DD3EFA" w:rsidP="00B15ECB">
            <w:pPr>
              <w:spacing w:before="60" w:after="60"/>
              <w:rPr>
                <w:rFonts w:eastAsiaTheme="majorEastAsia"/>
                <w:i/>
                <w:u w:val="single"/>
              </w:rPr>
            </w:pPr>
            <w:r w:rsidRPr="00EC2A1C">
              <w:rPr>
                <w:rFonts w:eastAsia="Calibri"/>
              </w:rPr>
              <w:t xml:space="preserve">Zvyšování energetické účinnosti bude v budoucnosti důležitým nástrojem pro řešení regionálních problémů, jako je například existence lokálních topenišť s negativními dopady na zdraví obyvatel anebo existence fenoménu energetické chudoby v regionech zasažených nízkými disponibilními příjmy domácností. </w:t>
            </w:r>
          </w:p>
        </w:tc>
        <w:tc>
          <w:tcPr>
            <w:tcW w:w="249" w:type="dxa"/>
            <w:tcBorders>
              <w:top w:val="nil"/>
              <w:bottom w:val="nil"/>
            </w:tcBorders>
            <w:shd w:val="clear" w:color="auto" w:fill="66CCFF"/>
          </w:tcPr>
          <w:p w14:paraId="39F9A16F" w14:textId="77777777" w:rsidR="00DD3EFA" w:rsidRPr="00EC2A1C" w:rsidRDefault="00DD3EFA" w:rsidP="00B15ECB">
            <w:pPr>
              <w:rPr>
                <w:b/>
              </w:rPr>
            </w:pPr>
          </w:p>
        </w:tc>
      </w:tr>
      <w:tr w:rsidR="00DD3EFA" w:rsidRPr="00EC2A1C" w14:paraId="2284A48E" w14:textId="77777777" w:rsidTr="00B15ECB">
        <w:trPr>
          <w:trHeight w:val="1274"/>
        </w:trPr>
        <w:tc>
          <w:tcPr>
            <w:tcW w:w="249" w:type="dxa"/>
            <w:tcBorders>
              <w:top w:val="nil"/>
              <w:bottom w:val="nil"/>
            </w:tcBorders>
            <w:shd w:val="clear" w:color="auto" w:fill="66CCFF"/>
          </w:tcPr>
          <w:p w14:paraId="433EC6C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A5B9874"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06F478C7" w14:textId="77777777" w:rsidR="00DD3EFA" w:rsidRPr="00EC2A1C" w:rsidRDefault="00DD3EFA" w:rsidP="00B15ECB">
            <w:pPr>
              <w:rPr>
                <w:rFonts w:eastAsia="Calibri"/>
              </w:rPr>
            </w:pPr>
            <w:r w:rsidRPr="00EC2A1C">
              <w:rPr>
                <w:rFonts w:eastAsia="Calibri"/>
              </w:rPr>
              <w:t>Dle již schválené revize Směrnice o energetické účinnosti je stanoven cíl zvýšení energetické účinnosti na úrovni EU dosáhnout do roku 2030 snížení úrovně konečné spotřeby energie o 32,5 % oproti referenčnímu scénáři (podle PRIMES 2007) „business as usual“ a dále povinnost realizovat úsporu energie do roku 2030, která odpovídá každoročnímu reálnému snížení konečné spotřeby energie o 0,8 %. V této oblasti zvyšování energetické účinnosti v podmínkách ČR zaostávají investice, kterých je třeba k naplnění veškerých výše uvedených závazků.ESIF budou významnou mírou přispívat k plnění stanovených cílů, tzn. k financování energeticky úsporných projektů, realizovaných v rámci nástrojů povinného zvyšování energetické účinnosti podle čl. 7 revize Směrnice o energetické účinnosti a v rámci povinnosti renovovat budovy ústředních institucí. Potřebné investice pro tyto opatření se budou pohybovat v celkovém objemu cca 400 - 640 mld. Kč za období 2021-2030. Tržní potenciál investic do této oblasti bude záviset na mnoha faktorech z nichž jedním bude i nastavení způsob a míra podpory pro tuto oblast po roce 2020.Pro následující období je důležité kromě zajištění dostatečných veřejných finančních zdrojů, které by měli zejména sloužit k iniciaci privátního investování, zajistit dostatečnou informovanost cílových skupin podpořenou technickou asistencí s cílem motivovat konečné spotřebitele efektivně nakládat s energií.</w:t>
            </w:r>
          </w:p>
          <w:p w14:paraId="6BCA2D94" w14:textId="77777777" w:rsidR="00DD3EFA" w:rsidRPr="00EC2A1C" w:rsidRDefault="00DD3EFA" w:rsidP="00B15ECB">
            <w:pPr>
              <w:spacing w:before="60" w:after="60"/>
              <w:rPr>
                <w:i/>
              </w:rPr>
            </w:pPr>
          </w:p>
        </w:tc>
        <w:tc>
          <w:tcPr>
            <w:tcW w:w="249" w:type="dxa"/>
            <w:tcBorders>
              <w:top w:val="nil"/>
              <w:bottom w:val="nil"/>
            </w:tcBorders>
            <w:shd w:val="clear" w:color="auto" w:fill="66CCFF"/>
          </w:tcPr>
          <w:p w14:paraId="464364F3" w14:textId="77777777" w:rsidR="00DD3EFA" w:rsidRPr="00EC2A1C" w:rsidRDefault="00DD3EFA" w:rsidP="00B15ECB">
            <w:pPr>
              <w:rPr>
                <w:b/>
              </w:rPr>
            </w:pPr>
          </w:p>
        </w:tc>
      </w:tr>
      <w:tr w:rsidR="00DD3EFA" w:rsidRPr="00EC2A1C" w14:paraId="5472C1BB" w14:textId="77777777" w:rsidTr="00B15ECB">
        <w:trPr>
          <w:trHeight w:val="1274"/>
        </w:trPr>
        <w:tc>
          <w:tcPr>
            <w:tcW w:w="249" w:type="dxa"/>
            <w:tcBorders>
              <w:top w:val="nil"/>
              <w:bottom w:val="nil"/>
            </w:tcBorders>
            <w:shd w:val="clear" w:color="auto" w:fill="66CCFF"/>
          </w:tcPr>
          <w:p w14:paraId="55A9B31A"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A48CC47" w14:textId="77777777" w:rsidR="00DD3EFA" w:rsidRPr="00EC2A1C" w:rsidRDefault="00DD3EFA" w:rsidP="00B15ECB">
            <w:pPr>
              <w:spacing w:before="60" w:after="60"/>
              <w:rPr>
                <w:rFonts w:eastAsiaTheme="majorEastAsia"/>
                <w:b/>
              </w:rPr>
            </w:pPr>
            <w:r w:rsidRPr="00EC2A1C">
              <w:rPr>
                <w:rFonts w:eastAsiaTheme="majorEastAsia"/>
                <w:b/>
              </w:rPr>
              <w:t>Definice cíle – změny, které chceme dosáhnout</w:t>
            </w:r>
          </w:p>
          <w:p w14:paraId="05D1A5D9"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6D43871" w14:textId="77777777" w:rsidR="00DD3EFA" w:rsidRPr="00EC2A1C" w:rsidRDefault="00DD3EFA" w:rsidP="00B15ECB">
            <w:pPr>
              <w:spacing w:before="60" w:after="240"/>
            </w:pPr>
            <w:r w:rsidRPr="00EC2A1C">
              <w:rPr>
                <w:rFonts w:eastAsiaTheme="majorEastAsia"/>
                <w:u w:val="single"/>
              </w:rPr>
              <w:t xml:space="preserve">Cílem je snížit konečnou spotřebu energie a energetickou náročnost hospodářství. </w:t>
            </w:r>
            <w:r w:rsidRPr="00EC2A1C">
              <w:t>Snížení energetické náročnosti ekonomiky přispívá ke snížení emisí skleníkových plynů a ostatních zničišťujících látek, snížení dovozní závislosti a výdajů na dovážená paliv a také potenciálně k vyšší konkurenceschopnosti národní ekonomiky. Obecným cílem je snížení energetické náročnosti srovnatelné s ostatními vyspělími státy EU při respektování specifik ČR, zejména rozvinutého průmyslu.</w:t>
            </w:r>
          </w:p>
          <w:p w14:paraId="26863340" w14:textId="77777777" w:rsidR="00DD3EFA" w:rsidRPr="00EC2A1C" w:rsidRDefault="00DD3EFA" w:rsidP="00B15ECB">
            <w:pPr>
              <w:spacing w:before="60" w:after="240"/>
            </w:pPr>
            <w:r w:rsidRPr="00EC2A1C">
              <w:t>Snižování energetické náročnosti, repspektive realizace energetických úspor také vyplývá z členství ČR v rámci EU.</w:t>
            </w:r>
          </w:p>
          <w:p w14:paraId="0568DCD2" w14:textId="77777777" w:rsidR="00DD3EFA" w:rsidRPr="00EC2A1C" w:rsidRDefault="00DD3EFA" w:rsidP="00B15ECB">
            <w:pPr>
              <w:spacing w:before="60" w:after="240"/>
              <w:rPr>
                <w:rFonts w:eastAsiaTheme="majorEastAsia"/>
                <w:i/>
              </w:rPr>
            </w:pPr>
            <w:r w:rsidRPr="00EC2A1C">
              <w:t xml:space="preserve"> </w:t>
            </w:r>
            <w:r w:rsidRPr="00EC2A1C">
              <w:rPr>
                <w:rFonts w:eastAsiaTheme="majorEastAsia"/>
              </w:rPr>
              <w:t>Naplnění povinnosti podle čl. 7 revize Směrnice o energetické účinnosti, tzn. realizovat kumulativní úsporu energie v období 2021 – 2030, která odpovídá každoročnímu snížení konečné spotřeby o 0,8 %, a tím přispět k příspěvku ČR k cíli EU snížit konečnou, resp. primární spotřebu energie o 32,5 % do roku 2030. Dle aktuálního trendu spotřeby energie je předpoklad, že 0,8 % odpovídá úspoře energie ve výši 8,4 PJ.</w:t>
            </w:r>
          </w:p>
        </w:tc>
        <w:tc>
          <w:tcPr>
            <w:tcW w:w="249" w:type="dxa"/>
            <w:tcBorders>
              <w:top w:val="nil"/>
              <w:bottom w:val="nil"/>
            </w:tcBorders>
            <w:shd w:val="clear" w:color="auto" w:fill="66CCFF"/>
          </w:tcPr>
          <w:p w14:paraId="22EC0B1B" w14:textId="77777777" w:rsidR="00DD3EFA" w:rsidRPr="00EC2A1C" w:rsidRDefault="00DD3EFA" w:rsidP="00B15ECB">
            <w:pPr>
              <w:rPr>
                <w:b/>
              </w:rPr>
            </w:pPr>
          </w:p>
        </w:tc>
      </w:tr>
      <w:tr w:rsidR="00DD3EFA" w:rsidRPr="00EC2A1C" w14:paraId="6850A2B5" w14:textId="77777777" w:rsidTr="00B15ECB">
        <w:trPr>
          <w:trHeight w:val="1274"/>
        </w:trPr>
        <w:tc>
          <w:tcPr>
            <w:tcW w:w="249" w:type="dxa"/>
            <w:tcBorders>
              <w:top w:val="nil"/>
              <w:bottom w:val="nil"/>
            </w:tcBorders>
            <w:shd w:val="clear" w:color="auto" w:fill="66CCFF"/>
          </w:tcPr>
          <w:p w14:paraId="517F023E"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085E02A" w14:textId="77777777" w:rsidR="00DD3EFA" w:rsidRPr="00EC2A1C" w:rsidRDefault="00DD3EFA" w:rsidP="00B15ECB">
            <w:pPr>
              <w:spacing w:before="60" w:after="60"/>
              <w:rPr>
                <w:rFonts w:eastAsiaTheme="majorEastAsia"/>
                <w:b/>
              </w:rPr>
            </w:pPr>
            <w:r w:rsidRPr="00EC2A1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7AF5645A" w14:textId="77777777" w:rsidR="00DD3EFA" w:rsidRPr="00EC2A1C" w:rsidRDefault="00DD3EFA" w:rsidP="00B15ECB">
            <w:pPr>
              <w:spacing w:before="60" w:after="60"/>
              <w:rPr>
                <w:u w:val="single"/>
              </w:rPr>
            </w:pPr>
            <w:r w:rsidRPr="00EC2A1C">
              <w:rPr>
                <w:u w:val="single"/>
              </w:rPr>
              <w:t xml:space="preserve">Výstup: </w:t>
            </w:r>
          </w:p>
          <w:p w14:paraId="3317BA45" w14:textId="77777777" w:rsidR="00DD3EFA" w:rsidRPr="00EC2A1C" w:rsidRDefault="00DD3EFA" w:rsidP="00391907">
            <w:pPr>
              <w:pStyle w:val="Odstavecseseznamem"/>
              <w:numPr>
                <w:ilvl w:val="0"/>
                <w:numId w:val="96"/>
              </w:numPr>
              <w:spacing w:before="60" w:after="60"/>
              <w:jc w:val="both"/>
            </w:pPr>
            <w:r w:rsidRPr="00EC2A1C">
              <w:t>Instalace technologie vedoucí k úspoře energie (ke snížení energetické náročnosti výrovku); Modernizovaná/rekonstruovaná budova/zařízení – dekarbonizace fondu budov ČR, efektivní řízení spotřeby energie.</w:t>
            </w:r>
          </w:p>
          <w:p w14:paraId="3051C05C" w14:textId="77777777" w:rsidR="00DD3EFA" w:rsidRPr="00EC2A1C" w:rsidRDefault="00DD3EFA" w:rsidP="00B15ECB">
            <w:pPr>
              <w:spacing w:before="60" w:after="60"/>
              <w:rPr>
                <w:rFonts w:eastAsiaTheme="majorEastAsia"/>
                <w:u w:val="single"/>
              </w:rPr>
            </w:pPr>
            <w:r w:rsidRPr="00EC2A1C">
              <w:rPr>
                <w:rFonts w:eastAsiaTheme="majorEastAsia"/>
                <w:u w:val="single"/>
              </w:rPr>
              <w:t xml:space="preserve">Výsledek: </w:t>
            </w:r>
          </w:p>
          <w:p w14:paraId="4B4D545A" w14:textId="77777777" w:rsidR="00DD3EFA" w:rsidRPr="00EC2A1C" w:rsidRDefault="00DD3EFA" w:rsidP="00391907">
            <w:pPr>
              <w:pStyle w:val="Odstavecseseznamem"/>
              <w:numPr>
                <w:ilvl w:val="0"/>
                <w:numId w:val="96"/>
              </w:numPr>
              <w:spacing w:before="60" w:after="60"/>
              <w:jc w:val="both"/>
              <w:rPr>
                <w:rFonts w:eastAsiaTheme="majorEastAsia"/>
              </w:rPr>
            </w:pPr>
            <w:r w:rsidRPr="00EC2A1C">
              <w:rPr>
                <w:rFonts w:eastAsiaTheme="majorEastAsia"/>
              </w:rPr>
              <w:t>V případě, že dojde k nastavení vhodného modelu financování oblasti energetické účinnosti (kombinace finančních nástrojů a dotací jak evropských tak národních prostředků) ČR očekává, že v důsledku investičních akcí by mělo dojít k realizaci projektů, které vygenerují 54 PJ (nových) úspor energie z 84 PJ, která má ČR stanovené jako závazné.</w:t>
            </w:r>
          </w:p>
          <w:p w14:paraId="70A9CCBF" w14:textId="77777777" w:rsidR="00DD3EFA" w:rsidRPr="00EC2A1C" w:rsidRDefault="00DD3EFA" w:rsidP="00B15ECB">
            <w:pPr>
              <w:spacing w:before="60" w:after="60"/>
              <w:rPr>
                <w:rFonts w:eastAsiaTheme="majorEastAsia"/>
                <w:u w:val="single"/>
              </w:rPr>
            </w:pPr>
            <w:r w:rsidRPr="00EC2A1C">
              <w:rPr>
                <w:rFonts w:eastAsiaTheme="majorEastAsia"/>
                <w:u w:val="single"/>
              </w:rPr>
              <w:t xml:space="preserve">Dopad: </w:t>
            </w:r>
          </w:p>
          <w:p w14:paraId="3D20A33D" w14:textId="77777777" w:rsidR="00DD3EFA" w:rsidRPr="00EC2A1C" w:rsidRDefault="00DD3EFA" w:rsidP="00391907">
            <w:pPr>
              <w:pStyle w:val="Odstavecseseznamem"/>
              <w:numPr>
                <w:ilvl w:val="0"/>
                <w:numId w:val="96"/>
              </w:numPr>
              <w:spacing w:before="60" w:after="60"/>
              <w:jc w:val="both"/>
              <w:rPr>
                <w:rFonts w:eastAsiaTheme="majorEastAsia"/>
                <w:i/>
                <w:u w:val="single"/>
              </w:rPr>
            </w:pPr>
            <w:r w:rsidRPr="00EC2A1C">
              <w:rPr>
                <w:rFonts w:eastAsiaTheme="majorEastAsia"/>
              </w:rPr>
              <w:t>Zvýšení konkureceschopnosti českých podniků a ČR jako celku, snížení konečné/primární spotřeby energie, sníženížení CO</w:t>
            </w:r>
            <w:r w:rsidRPr="00EC2A1C">
              <w:rPr>
                <w:rFonts w:eastAsiaTheme="majorEastAsia"/>
                <w:vertAlign w:val="subscript"/>
              </w:rPr>
              <w:t>2</w:t>
            </w:r>
            <w:r w:rsidRPr="00EC2A1C">
              <w:rPr>
                <w:rFonts w:eastAsiaTheme="majorEastAsia"/>
              </w:rPr>
              <w:t xml:space="preserve"> a snižení emisí znečišťujících látek do ovzduší. </w:t>
            </w:r>
          </w:p>
        </w:tc>
        <w:tc>
          <w:tcPr>
            <w:tcW w:w="249" w:type="dxa"/>
            <w:tcBorders>
              <w:top w:val="nil"/>
              <w:bottom w:val="nil"/>
            </w:tcBorders>
            <w:shd w:val="clear" w:color="auto" w:fill="66CCFF"/>
          </w:tcPr>
          <w:p w14:paraId="28232BB6" w14:textId="77777777" w:rsidR="00DD3EFA" w:rsidRPr="00EC2A1C" w:rsidRDefault="00DD3EFA" w:rsidP="00B15ECB">
            <w:pPr>
              <w:rPr>
                <w:b/>
              </w:rPr>
            </w:pPr>
          </w:p>
        </w:tc>
      </w:tr>
      <w:tr w:rsidR="00DD3EFA" w:rsidRPr="00EC2A1C" w14:paraId="269C83AF" w14:textId="77777777" w:rsidTr="00B15ECB">
        <w:trPr>
          <w:trHeight w:val="1274"/>
        </w:trPr>
        <w:tc>
          <w:tcPr>
            <w:tcW w:w="249" w:type="dxa"/>
            <w:tcBorders>
              <w:top w:val="nil"/>
              <w:bottom w:val="nil"/>
            </w:tcBorders>
            <w:shd w:val="clear" w:color="auto" w:fill="66CCFF"/>
          </w:tcPr>
          <w:p w14:paraId="787EDF6E"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64E6B75" w14:textId="77777777" w:rsidR="00DD3EFA" w:rsidRPr="00EC2A1C" w:rsidRDefault="00DD3EFA"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797D41F0"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ajorEastAsia" w:hAnsi="Times New Roman"/>
                <w:i/>
              </w:rPr>
            </w:pPr>
            <w:r w:rsidRPr="00EC2A1C">
              <w:rPr>
                <w:rFonts w:ascii="Times New Roman" w:eastAsiaTheme="majorEastAsia" w:hAnsi="Times New Roman"/>
              </w:rPr>
              <w:t>Uvažovaný scénář politiky plnění závazků energetické účinnosti v období 2021 – 2030 předpokládá podíl z politiky soudržnosti EU na úrovni 5-8 %, což představuje přibližně 30 mld. Kč</w:t>
            </w:r>
            <w:r w:rsidRPr="00EC2A1C">
              <w:rPr>
                <w:rFonts w:ascii="Times New Roman" w:eastAsiaTheme="majorEastAsia" w:hAnsi="Times New Roman"/>
                <w:vertAlign w:val="superscript"/>
              </w:rPr>
              <w:footnoteReference w:id="49"/>
            </w:r>
            <w:r w:rsidRPr="00EC2A1C">
              <w:rPr>
                <w:rFonts w:ascii="Times New Roman" w:eastAsiaTheme="majorEastAsia" w:hAnsi="Times New Roman"/>
              </w:rPr>
              <w:t>.</w:t>
            </w:r>
          </w:p>
        </w:tc>
        <w:tc>
          <w:tcPr>
            <w:tcW w:w="249" w:type="dxa"/>
            <w:tcBorders>
              <w:top w:val="nil"/>
              <w:bottom w:val="nil"/>
            </w:tcBorders>
            <w:shd w:val="clear" w:color="auto" w:fill="66CCFF"/>
          </w:tcPr>
          <w:p w14:paraId="1D46223F" w14:textId="77777777" w:rsidR="00DD3EFA" w:rsidRPr="00EC2A1C" w:rsidRDefault="00DD3EFA" w:rsidP="00B15ECB">
            <w:pPr>
              <w:rPr>
                <w:b/>
              </w:rPr>
            </w:pPr>
          </w:p>
        </w:tc>
      </w:tr>
      <w:tr w:rsidR="00DD3EFA" w:rsidRPr="00EC2A1C" w14:paraId="3A7CD71B" w14:textId="77777777" w:rsidTr="00B15ECB">
        <w:trPr>
          <w:trHeight w:val="1274"/>
        </w:trPr>
        <w:tc>
          <w:tcPr>
            <w:tcW w:w="249" w:type="dxa"/>
            <w:tcBorders>
              <w:top w:val="nil"/>
              <w:bottom w:val="nil"/>
            </w:tcBorders>
            <w:shd w:val="clear" w:color="auto" w:fill="66CCFF"/>
          </w:tcPr>
          <w:p w14:paraId="5D749E4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DE8CB21" w14:textId="77777777" w:rsidR="00DD3EFA" w:rsidRPr="00EC2A1C" w:rsidRDefault="00DD3EFA" w:rsidP="00B15ECB">
            <w:pPr>
              <w:spacing w:before="60" w:after="60"/>
              <w:rPr>
                <w:rFonts w:eastAsiaTheme="majorEastAsia"/>
                <w:b/>
              </w:rPr>
            </w:pPr>
            <w:r w:rsidRPr="00EC2A1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46C599D0" w14:textId="77777777" w:rsidR="00DD3EFA" w:rsidRPr="00EC2A1C" w:rsidRDefault="00DD3EFA" w:rsidP="00B15ECB">
            <w:pPr>
              <w:spacing w:before="60" w:after="60"/>
              <w:rPr>
                <w:rFonts w:eastAsiaTheme="majorEastAsia"/>
              </w:rPr>
            </w:pPr>
            <w:r w:rsidRPr="00EC2A1C">
              <w:rPr>
                <w:rFonts w:eastAsiaTheme="majorEastAsia"/>
              </w:rPr>
              <w:t xml:space="preserve">Oproti období 2014-2020 v následujícím období klade Evropská komise v souladu s principem „Energy Efficiency First“ ještě vyšší důraz na zvyšování energetické účinnosti. V rámci klimaticko-energetického rámce do roku 2030, potažmo revize Směrnice o energetické účinnosti si EU schválila cíl snížení konečné/primární spotřeby energie ve výši 32,5 % oproti 27%, který byl přijat Radou v roce 2014.. Kromě vyššího EU cíle jsou navyšovány i ambice u závazku povinného zvyšování energetické účinnosti dle čl. 7 (viz předchozí oddíl). </w:t>
            </w:r>
          </w:p>
          <w:p w14:paraId="25AA9ED3" w14:textId="77777777" w:rsidR="00DD3EFA" w:rsidRPr="00EC2A1C" w:rsidRDefault="00DD3EFA" w:rsidP="00B15ECB">
            <w:pPr>
              <w:spacing w:before="60" w:after="60"/>
              <w:rPr>
                <w:rFonts w:eastAsiaTheme="majorEastAsia"/>
              </w:rPr>
            </w:pPr>
          </w:p>
          <w:p w14:paraId="1D9BCB76" w14:textId="77777777" w:rsidR="00DD3EFA" w:rsidRPr="00EC2A1C" w:rsidRDefault="00DD3EFA" w:rsidP="00B15ECB">
            <w:pPr>
              <w:spacing w:before="60" w:after="60"/>
              <w:rPr>
                <w:rFonts w:eastAsiaTheme="majorEastAsia"/>
              </w:rPr>
            </w:pPr>
            <w:r w:rsidRPr="00EC2A1C">
              <w:rPr>
                <w:rFonts w:eastAsiaTheme="majorEastAsia"/>
              </w:rPr>
              <w:t>V následujícím období je stěžejní rozvinout podporu prostřednictvím finančních nástrojů ve formách navržených dle potřeb jednotlivých sektorů. Cílem je především zajistit nákladovou efektivitu systému podpory a snížit stávající administrativní náročnost systému poskytování dotací.</w:t>
            </w:r>
          </w:p>
          <w:p w14:paraId="7CD93A4A" w14:textId="77777777" w:rsidR="00DD3EFA" w:rsidRPr="00EC2A1C" w:rsidRDefault="00DD3EFA" w:rsidP="00B15ECB">
            <w:pPr>
              <w:spacing w:before="60" w:after="60"/>
              <w:rPr>
                <w:rFonts w:eastAsiaTheme="majorEastAsia"/>
              </w:rPr>
            </w:pPr>
          </w:p>
          <w:p w14:paraId="349E3393" w14:textId="77777777" w:rsidR="00DD3EFA" w:rsidRPr="00EC2A1C" w:rsidRDefault="00DD3EFA" w:rsidP="00B15ECB">
            <w:pPr>
              <w:spacing w:before="60" w:after="60"/>
              <w:rPr>
                <w:rFonts w:eastAsiaTheme="majorEastAsia"/>
              </w:rPr>
            </w:pPr>
            <w:r w:rsidRPr="00EC2A1C">
              <w:rPr>
                <w:rFonts w:eastAsiaTheme="majorEastAsia"/>
              </w:rPr>
              <w:t>Finanční podpora samotné realizace energeticky úsporných projektů musí být dále provázaná se zajištěním technické podpory žadatelů  ve fázi přípravy projektů a podávání žádosti.</w:t>
            </w:r>
          </w:p>
          <w:p w14:paraId="342D70A2" w14:textId="77777777" w:rsidR="00DD3EFA" w:rsidRPr="00EC2A1C" w:rsidRDefault="00DD3EFA" w:rsidP="00B15ECB">
            <w:pPr>
              <w:spacing w:before="60" w:after="60"/>
              <w:rPr>
                <w:rFonts w:eastAsiaTheme="majorEastAsia"/>
              </w:rPr>
            </w:pPr>
          </w:p>
          <w:p w14:paraId="4E46D5B6" w14:textId="77777777" w:rsidR="00DD3EFA" w:rsidRPr="00EC2A1C" w:rsidRDefault="00DD3EFA" w:rsidP="00B15ECB">
            <w:pPr>
              <w:spacing w:before="240"/>
              <w:rPr>
                <w:rFonts w:eastAsiaTheme="majorEastAsia"/>
              </w:rPr>
            </w:pPr>
            <w:r w:rsidRPr="00EC2A1C">
              <w:rPr>
                <w:rFonts w:eastAsiaTheme="majorEastAsia"/>
              </w:rPr>
              <w:t xml:space="preserve">V případě budov je potřebné zaměřit se na komplexní projekty, tzn. projekty, které v souladu s evropskou legislativou sníží energetickou náročnost budovy a zároveň zajistí dodržení parametrů kvality vnitřního prostředí. </w:t>
            </w:r>
          </w:p>
          <w:p w14:paraId="0E817F50" w14:textId="77777777" w:rsidR="00DD3EFA" w:rsidRPr="00EC2A1C" w:rsidRDefault="00DD3EFA" w:rsidP="00B15ECB">
            <w:pPr>
              <w:spacing w:before="240"/>
              <w:rPr>
                <w:rFonts w:eastAsiaTheme="majorEastAsia"/>
              </w:rPr>
            </w:pPr>
            <w:r w:rsidRPr="00EC2A1C">
              <w:rPr>
                <w:rFonts w:eastAsiaTheme="majorEastAsia"/>
              </w:rPr>
              <w:t>Větší důraz by měl být kladen zároveň na následný provoz, tzn. nutnost optimalizace provozu (regulace, automatický monitoring spotřeby energie a jeho vyhodnocování).</w:t>
            </w:r>
          </w:p>
          <w:p w14:paraId="18FDCB86" w14:textId="77777777" w:rsidR="00DD3EFA" w:rsidRPr="00EC2A1C" w:rsidRDefault="00DD3EFA" w:rsidP="00B15ECB">
            <w:pPr>
              <w:spacing w:before="60" w:after="60"/>
              <w:rPr>
                <w:rFonts w:eastAsiaTheme="majorEastAsia"/>
              </w:rPr>
            </w:pPr>
          </w:p>
          <w:p w14:paraId="5B7594A4" w14:textId="77777777" w:rsidR="00DD3EFA" w:rsidRPr="00EC2A1C" w:rsidRDefault="00DD3EFA" w:rsidP="00B15ECB">
            <w:pPr>
              <w:spacing w:before="240"/>
              <w:rPr>
                <w:rFonts w:eastAsiaTheme="majorEastAsia"/>
              </w:rPr>
            </w:pPr>
            <w:r w:rsidRPr="00EC2A1C">
              <w:rPr>
                <w:rFonts w:eastAsiaTheme="majorEastAsia"/>
              </w:rPr>
              <w:t>Dále by bylo vhodné po vzoru programu kotlíkové dotace v rámci OPŽP, který je určen pro sektor domácnosti nastavit obdobný program pro MSP a mikro podnikatele. Tento model představuje efektivní podporu „malých“ projektů. V rámci tohoto modelu financování bude umožněna realizace dílčích opatření (např. dodatečná instalace výroby OZE pro vlastní spotřebu, atp.)</w:t>
            </w:r>
          </w:p>
          <w:p w14:paraId="48D443ED" w14:textId="77777777" w:rsidR="00DD3EFA" w:rsidRPr="00EC2A1C" w:rsidRDefault="00DD3EFA" w:rsidP="00B15ECB">
            <w:pPr>
              <w:spacing w:before="60" w:after="60"/>
              <w:rPr>
                <w:rFonts w:eastAsiaTheme="majorEastAsia"/>
              </w:rPr>
            </w:pPr>
          </w:p>
          <w:p w14:paraId="123EA79A" w14:textId="77777777" w:rsidR="00DD3EFA" w:rsidRPr="00EC2A1C" w:rsidRDefault="00DD3EFA" w:rsidP="00B15ECB">
            <w:pPr>
              <w:spacing w:before="60" w:after="60"/>
              <w:rPr>
                <w:rFonts w:eastAsiaTheme="majorEastAsia"/>
              </w:rPr>
            </w:pPr>
          </w:p>
          <w:p w14:paraId="08B083E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eastAsiaTheme="majorEastAsia" w:hAnsi="Times New Roman"/>
              </w:rPr>
              <w:t>Důležitou součástí systému podpory zvyšování energetické účinnosti musí být podpora zvyšování povědomí o významu úspor energie a zvyšování motivovanosti pro realizaci kvalitních energeticky úsporných opatření.</w:t>
            </w:r>
          </w:p>
          <w:p w14:paraId="76C02CC5"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bottom w:val="nil"/>
            </w:tcBorders>
            <w:shd w:val="clear" w:color="auto" w:fill="66CCFF"/>
          </w:tcPr>
          <w:p w14:paraId="45828032" w14:textId="77777777" w:rsidR="00DD3EFA" w:rsidRPr="00EC2A1C" w:rsidRDefault="00DD3EFA" w:rsidP="00B15ECB">
            <w:pPr>
              <w:rPr>
                <w:b/>
              </w:rPr>
            </w:pPr>
          </w:p>
        </w:tc>
      </w:tr>
      <w:tr w:rsidR="00DD3EFA" w:rsidRPr="00EC2A1C" w14:paraId="5E738720" w14:textId="77777777" w:rsidTr="00B15ECB">
        <w:trPr>
          <w:trHeight w:val="272"/>
        </w:trPr>
        <w:tc>
          <w:tcPr>
            <w:tcW w:w="249" w:type="dxa"/>
            <w:tcBorders>
              <w:top w:val="nil"/>
              <w:bottom w:val="nil"/>
              <w:right w:val="nil"/>
            </w:tcBorders>
            <w:shd w:val="clear" w:color="auto" w:fill="66CCFF"/>
          </w:tcPr>
          <w:p w14:paraId="6254F196"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FC4EBF8"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09D792F"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643EF616" w14:textId="77777777" w:rsidR="00DD3EFA" w:rsidRPr="00EC2A1C" w:rsidRDefault="00DD3EFA" w:rsidP="00B15ECB">
            <w:pPr>
              <w:rPr>
                <w:b/>
              </w:rPr>
            </w:pPr>
          </w:p>
        </w:tc>
      </w:tr>
      <w:tr w:rsidR="00DD3EFA" w:rsidRPr="00EC2A1C" w14:paraId="1BF0E47D" w14:textId="77777777" w:rsidTr="00B15ECB">
        <w:trPr>
          <w:trHeight w:val="835"/>
        </w:trPr>
        <w:tc>
          <w:tcPr>
            <w:tcW w:w="249" w:type="dxa"/>
            <w:tcBorders>
              <w:top w:val="nil"/>
              <w:bottom w:val="nil"/>
            </w:tcBorders>
            <w:shd w:val="clear" w:color="auto" w:fill="66CCFF"/>
          </w:tcPr>
          <w:p w14:paraId="1113CE5D"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3FE0834D"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2319FFAF" w14:textId="77777777" w:rsidR="00DD3EFA" w:rsidRPr="00EC2A1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3772A6D4" w14:textId="77777777" w:rsidR="00DD3EFA" w:rsidRPr="00EC2A1C" w:rsidRDefault="00DD3EFA" w:rsidP="00391907">
            <w:pPr>
              <w:pStyle w:val="Odstavecseseznamem"/>
              <w:numPr>
                <w:ilvl w:val="0"/>
                <w:numId w:val="97"/>
              </w:numPr>
              <w:spacing w:before="60" w:after="60"/>
              <w:rPr>
                <w:rFonts w:eastAsiaTheme="majorEastAsia"/>
              </w:rPr>
            </w:pPr>
            <w:r w:rsidRPr="00EC2A1C">
              <w:rPr>
                <w:rFonts w:eastAsiaTheme="majorEastAsia"/>
              </w:rPr>
              <w:t xml:space="preserve">Zvýšení energetické účinnosti a dosahování úspor energie v podnikatelském sektoru  </w:t>
            </w:r>
          </w:p>
          <w:p w14:paraId="4476ED14" w14:textId="77777777" w:rsidR="00DD3EFA" w:rsidRPr="00EC2A1C" w:rsidRDefault="00DD3EFA" w:rsidP="00391907">
            <w:pPr>
              <w:pStyle w:val="Odstavecseseznamem"/>
              <w:numPr>
                <w:ilvl w:val="0"/>
                <w:numId w:val="97"/>
              </w:numPr>
              <w:spacing w:before="60" w:after="60"/>
              <w:rPr>
                <w:rFonts w:eastAsiaTheme="majorEastAsia"/>
              </w:rPr>
            </w:pPr>
            <w:r w:rsidRPr="00EC2A1C">
              <w:rPr>
                <w:rFonts w:eastAsiaTheme="majorEastAsia"/>
              </w:rPr>
              <w:t>Snížení energetické náročnosti budov  napříč sektory při zachování kvality vnitřního prostředí s využitím prvků adaptace budov na změnu klimatu</w:t>
            </w:r>
          </w:p>
          <w:p w14:paraId="2171FED8"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2D4A717F" w14:textId="77777777" w:rsidR="00DD3EFA" w:rsidRPr="00EC2A1C" w:rsidRDefault="00DD3EFA" w:rsidP="00B15ECB">
            <w:pPr>
              <w:rPr>
                <w:b/>
              </w:rPr>
            </w:pPr>
          </w:p>
        </w:tc>
      </w:tr>
      <w:tr w:rsidR="00DD3EFA" w:rsidRPr="00EC2A1C" w14:paraId="7AE8339F" w14:textId="77777777" w:rsidTr="00B15ECB">
        <w:trPr>
          <w:trHeight w:val="377"/>
        </w:trPr>
        <w:tc>
          <w:tcPr>
            <w:tcW w:w="249" w:type="dxa"/>
            <w:tcBorders>
              <w:top w:val="nil"/>
              <w:bottom w:val="nil"/>
              <w:right w:val="nil"/>
            </w:tcBorders>
            <w:shd w:val="clear" w:color="auto" w:fill="66CCFF"/>
          </w:tcPr>
          <w:p w14:paraId="037A509A"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672D879"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EE75A18"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0C783725" w14:textId="77777777" w:rsidR="00DD3EFA" w:rsidRPr="00EC2A1C" w:rsidRDefault="00DD3EFA" w:rsidP="00B15ECB">
            <w:pPr>
              <w:rPr>
                <w:b/>
              </w:rPr>
            </w:pPr>
          </w:p>
        </w:tc>
      </w:tr>
      <w:tr w:rsidR="00DD3EFA" w:rsidRPr="00EC2A1C" w14:paraId="7EA6D3D3" w14:textId="77777777" w:rsidTr="00B15ECB">
        <w:trPr>
          <w:trHeight w:val="1202"/>
        </w:trPr>
        <w:tc>
          <w:tcPr>
            <w:tcW w:w="249" w:type="dxa"/>
            <w:tcBorders>
              <w:top w:val="nil"/>
              <w:bottom w:val="nil"/>
            </w:tcBorders>
            <w:shd w:val="clear" w:color="auto" w:fill="66CCFF"/>
          </w:tcPr>
          <w:p w14:paraId="391148E8" w14:textId="77777777" w:rsidR="00DD3EFA" w:rsidRPr="00EC2A1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6726C6B8"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p w14:paraId="55A263E6"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51DF4D57" w14:textId="77777777" w:rsidR="00DD3EFA" w:rsidRPr="00EC2A1C" w:rsidRDefault="00DD3EFA" w:rsidP="00B15ECB">
            <w:pPr>
              <w:rPr>
                <w:b/>
              </w:rPr>
            </w:pPr>
          </w:p>
        </w:tc>
      </w:tr>
      <w:tr w:rsidR="00DD3EFA" w:rsidRPr="00EC2A1C" w14:paraId="59F9FD65" w14:textId="77777777" w:rsidTr="00B15ECB">
        <w:trPr>
          <w:trHeight w:val="1202"/>
        </w:trPr>
        <w:tc>
          <w:tcPr>
            <w:tcW w:w="249" w:type="dxa"/>
            <w:tcBorders>
              <w:top w:val="nil"/>
              <w:bottom w:val="nil"/>
            </w:tcBorders>
            <w:shd w:val="clear" w:color="auto" w:fill="66CCFF"/>
          </w:tcPr>
          <w:p w14:paraId="611941F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1043B08"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3A597261"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485D03A" w14:textId="77777777" w:rsidR="00DD3EFA" w:rsidRPr="00EC2A1C" w:rsidRDefault="00DD3EFA" w:rsidP="00B15ECB">
            <w:pPr>
              <w:spacing w:before="120" w:after="40"/>
              <w:rPr>
                <w:rFonts w:eastAsia="Calibri"/>
              </w:rPr>
            </w:pPr>
            <w:r w:rsidRPr="00EC2A1C">
              <w:t>K prioritám regionální</w:t>
            </w:r>
            <w:r w:rsidRPr="00EC2A1C">
              <w:rPr>
                <w:rFonts w:eastAsia="Calibri"/>
              </w:rPr>
              <w:t xml:space="preserve"> politiky patří rovněž environmentální politika, zahrnující také zvyšování energetické účinnosti a aplikaci inovativních technik v této oblasti. Tato opatření lze vnímat z pohledu konkurenceschopnosti regionálních ekonomik.</w:t>
            </w:r>
            <w:r w:rsidRPr="00EC2A1C" w:rsidDel="00674268">
              <w:rPr>
                <w:rFonts w:eastAsia="Calibri"/>
              </w:rPr>
              <w:t xml:space="preserve"> </w:t>
            </w:r>
            <w:r w:rsidRPr="00EC2A1C">
              <w:rPr>
                <w:rFonts w:eastAsia="Calibri"/>
              </w:rPr>
              <w:t xml:space="preserve">Na úrovni regionů zvyšování energetické účinnosti napomáhá snížování emisí znečišťujících látek v regionech se zhoršenou kvalitou ovzduší, a to nejenom v důsledků emisí lokálních topeništ, ale v důsledku průmyslových emisí. </w:t>
            </w:r>
          </w:p>
          <w:p w14:paraId="6C920481" w14:textId="77777777" w:rsidR="00DD3EFA" w:rsidRPr="00EC2A1C" w:rsidRDefault="00DD3EFA" w:rsidP="00B15ECB">
            <w:pPr>
              <w:spacing w:before="120" w:after="40"/>
              <w:rPr>
                <w:rFonts w:eastAsia="Calibri"/>
              </w:rPr>
            </w:pPr>
            <w:r w:rsidRPr="00EC2A1C">
              <w:rPr>
                <w:rFonts w:eastAsia="Calibri"/>
              </w:rPr>
              <w:t>Vhodně nastavená podpora zvyšování energetické účinnosti je vhodným nástrojem prevence a řešení již vzniklé energetické chudoby. Jedním z parametrů vymezující energetickou chudobu je příjmovost domácností, která se regionálně liší ve vazbě na pracovní příležitosti a průměrné příjmy</w:t>
            </w:r>
            <w:r w:rsidRPr="00EC2A1C">
              <w:t xml:space="preserve"> (tedy vazba na hospodářsky a sociálně ohrožená území dle SRR 2021+)</w:t>
            </w:r>
            <w:r w:rsidRPr="00EC2A1C">
              <w:rPr>
                <w:rFonts w:eastAsia="Calibri"/>
              </w:rPr>
              <w:t>.</w:t>
            </w:r>
          </w:p>
          <w:p w14:paraId="38C3B4FC" w14:textId="77777777" w:rsidR="00DD3EFA" w:rsidRPr="00EC2A1C" w:rsidRDefault="00DD3EFA" w:rsidP="00B15ECB">
            <w:pPr>
              <w:spacing w:before="120" w:after="40"/>
              <w:rPr>
                <w:rFonts w:eastAsiaTheme="majorEastAsia"/>
                <w:b/>
              </w:rPr>
            </w:pPr>
            <w:r w:rsidRPr="00EC2A1C">
              <w:rPr>
                <w:rFonts w:eastAsia="Calibri"/>
              </w:rPr>
              <w:t>Z hlediska konceptu „smart cities“, jenž prvky energeticky úsporných řešení obsahuje, lze rovněž předpokládat vazbu na metropolitní území  či další oblasti (dle kategorizace SRR 2021+).</w:t>
            </w:r>
          </w:p>
        </w:tc>
        <w:tc>
          <w:tcPr>
            <w:tcW w:w="249" w:type="dxa"/>
            <w:tcBorders>
              <w:top w:val="nil"/>
              <w:bottom w:val="nil"/>
            </w:tcBorders>
            <w:shd w:val="clear" w:color="auto" w:fill="66CCFF"/>
          </w:tcPr>
          <w:p w14:paraId="47030595" w14:textId="77777777" w:rsidR="00DD3EFA" w:rsidRPr="00EC2A1C" w:rsidRDefault="00DD3EFA" w:rsidP="00B15ECB">
            <w:pPr>
              <w:rPr>
                <w:b/>
              </w:rPr>
            </w:pPr>
          </w:p>
        </w:tc>
      </w:tr>
      <w:tr w:rsidR="00DD3EFA" w:rsidRPr="00EC2A1C" w14:paraId="128AAB39" w14:textId="77777777" w:rsidTr="00B15ECB">
        <w:trPr>
          <w:trHeight w:val="1202"/>
        </w:trPr>
        <w:tc>
          <w:tcPr>
            <w:tcW w:w="249" w:type="dxa"/>
            <w:tcBorders>
              <w:top w:val="nil"/>
              <w:bottom w:val="nil"/>
            </w:tcBorders>
            <w:shd w:val="clear" w:color="auto" w:fill="66CCFF"/>
          </w:tcPr>
          <w:p w14:paraId="667AE47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39C25E4"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6866622F"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AD1946B" w14:textId="77777777" w:rsidR="00DD3EFA" w:rsidRPr="00EC2A1C" w:rsidRDefault="00DD3EFA" w:rsidP="00B15ECB">
            <w:pPr>
              <w:spacing w:before="60" w:after="60"/>
              <w:rPr>
                <w:rFonts w:eastAsiaTheme="majorEastAsia"/>
                <w:i/>
              </w:rPr>
            </w:pPr>
            <w:r w:rsidRPr="00EC2A1C">
              <w:rPr>
                <w:rFonts w:eastAsia="Calibri"/>
              </w:rPr>
              <w:t xml:space="preserve">Energetické úspory mají mít značný vliv na snížení emisí skleníkových plynů a tím zmírnění dopadů na změnu klimatu. </w:t>
            </w:r>
          </w:p>
        </w:tc>
        <w:tc>
          <w:tcPr>
            <w:tcW w:w="249" w:type="dxa"/>
            <w:tcBorders>
              <w:top w:val="nil"/>
              <w:bottom w:val="nil"/>
            </w:tcBorders>
            <w:shd w:val="clear" w:color="auto" w:fill="66CCFF"/>
          </w:tcPr>
          <w:p w14:paraId="1537A391" w14:textId="77777777" w:rsidR="00DD3EFA" w:rsidRPr="00EC2A1C" w:rsidRDefault="00DD3EFA" w:rsidP="00B15ECB">
            <w:pPr>
              <w:rPr>
                <w:b/>
              </w:rPr>
            </w:pPr>
          </w:p>
        </w:tc>
      </w:tr>
      <w:tr w:rsidR="00DD3EFA" w:rsidRPr="00EC2A1C" w14:paraId="7AF95CF6" w14:textId="77777777" w:rsidTr="00B15ECB">
        <w:trPr>
          <w:trHeight w:val="1202"/>
        </w:trPr>
        <w:tc>
          <w:tcPr>
            <w:tcW w:w="249" w:type="dxa"/>
            <w:tcBorders>
              <w:top w:val="nil"/>
              <w:bottom w:val="nil"/>
            </w:tcBorders>
            <w:shd w:val="clear" w:color="auto" w:fill="66CCFF"/>
          </w:tcPr>
          <w:p w14:paraId="6CD7705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FFE84A4"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tc>
        <w:tc>
          <w:tcPr>
            <w:tcW w:w="5978" w:type="dxa"/>
            <w:tcBorders>
              <w:bottom w:val="single" w:sz="4" w:space="0" w:color="auto"/>
            </w:tcBorders>
            <w:shd w:val="clear" w:color="auto" w:fill="FFFFFF" w:themeFill="background1"/>
          </w:tcPr>
          <w:p w14:paraId="02334DF1" w14:textId="77777777" w:rsidR="00DD3EFA" w:rsidRPr="00EC2A1C" w:rsidRDefault="00DD3EFA" w:rsidP="00B15ECB">
            <w:pPr>
              <w:spacing w:before="120" w:after="40"/>
              <w:rPr>
                <w:rFonts w:eastAsia="Calibri"/>
              </w:rPr>
            </w:pPr>
            <w:r w:rsidRPr="00EC2A1C">
              <w:rPr>
                <w:rFonts w:eastAsia="Calibri"/>
              </w:rPr>
              <w:t>V rámci Iniciativy Průmysl 4.0 by mělo dojít ke snížení a energetické a surovinové náročnosti výroby. K energetickým úsporám dojde i optimalizací výroby a logistických tras při přepravě zboží. Koncept „smart cities“ rovněž počítá s energeticky účinnějšími řešeními než doposud při rekonstrukcích nebo nových výstavbách, případně automatickým monitoringem energetické účinnosti budov.</w:t>
            </w:r>
          </w:p>
          <w:p w14:paraId="0541B92C"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45697D51" w14:textId="77777777" w:rsidR="00DD3EFA" w:rsidRPr="00EC2A1C" w:rsidRDefault="00DD3EFA" w:rsidP="00B15ECB">
            <w:pPr>
              <w:rPr>
                <w:b/>
              </w:rPr>
            </w:pPr>
          </w:p>
        </w:tc>
      </w:tr>
      <w:tr w:rsidR="00DD3EFA" w:rsidRPr="00EC2A1C" w14:paraId="5DE9BA08" w14:textId="77777777" w:rsidTr="00B15ECB">
        <w:trPr>
          <w:trHeight w:val="1202"/>
        </w:trPr>
        <w:tc>
          <w:tcPr>
            <w:tcW w:w="249" w:type="dxa"/>
            <w:tcBorders>
              <w:top w:val="nil"/>
              <w:bottom w:val="nil"/>
            </w:tcBorders>
            <w:shd w:val="clear" w:color="auto" w:fill="66CCFF"/>
          </w:tcPr>
          <w:p w14:paraId="4B70446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CFCE0C9"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7C484FCA"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D29F13D" w14:textId="77777777" w:rsidR="00DD3EFA" w:rsidRPr="00EC2A1C" w:rsidRDefault="00DD3EFA" w:rsidP="00B15ECB">
            <w:pPr>
              <w:spacing w:before="60" w:after="60"/>
              <w:rPr>
                <w:rFonts w:eastAsiaTheme="majorEastAsia"/>
              </w:rPr>
            </w:pPr>
            <w:r w:rsidRPr="00EC2A1C">
              <w:rPr>
                <w:rFonts w:eastAsiaTheme="majorEastAsia"/>
              </w:rPr>
              <w:t>Zvyšování energetické účinnosti má přímou vazbu na následující megatrendy:</w:t>
            </w:r>
          </w:p>
          <w:p w14:paraId="4D18B0EA" w14:textId="77777777" w:rsidR="00DD3EFA" w:rsidRPr="00EC2A1C" w:rsidRDefault="00DD3EFA" w:rsidP="00391907">
            <w:pPr>
              <w:pStyle w:val="Odstavecseseznamem"/>
              <w:numPr>
                <w:ilvl w:val="0"/>
                <w:numId w:val="2"/>
              </w:numPr>
              <w:spacing w:before="60" w:after="60"/>
              <w:rPr>
                <w:rFonts w:eastAsiaTheme="majorEastAsia"/>
              </w:rPr>
            </w:pPr>
            <w:r w:rsidRPr="00EC2A1C">
              <w:rPr>
                <w:rFonts w:eastAsiaTheme="majorEastAsia"/>
              </w:rPr>
              <w:t>rostoucí nerovnosti (téma energetické chudoby)</w:t>
            </w:r>
          </w:p>
          <w:p w14:paraId="4747CF4F" w14:textId="77777777" w:rsidR="00DD3EFA" w:rsidRPr="00EC2A1C" w:rsidRDefault="00DD3EFA" w:rsidP="00391907">
            <w:pPr>
              <w:pStyle w:val="Odstavecseseznamem"/>
              <w:numPr>
                <w:ilvl w:val="0"/>
                <w:numId w:val="2"/>
              </w:numPr>
              <w:spacing w:before="60" w:after="60"/>
              <w:rPr>
                <w:rFonts w:eastAsiaTheme="majorEastAsia"/>
              </w:rPr>
            </w:pPr>
            <w:r w:rsidRPr="00EC2A1C">
              <w:rPr>
                <w:rFonts w:eastAsiaTheme="majorEastAsia"/>
              </w:rPr>
              <w:t>rostoucí spotřeba energie</w:t>
            </w:r>
          </w:p>
          <w:p w14:paraId="28E8DC6C" w14:textId="77777777" w:rsidR="00DD3EFA" w:rsidRPr="00EC2A1C" w:rsidRDefault="00DD3EFA" w:rsidP="00391907">
            <w:pPr>
              <w:pStyle w:val="Odstavecseseznamem"/>
              <w:numPr>
                <w:ilvl w:val="0"/>
                <w:numId w:val="2"/>
              </w:numPr>
              <w:spacing w:before="60" w:after="60"/>
              <w:rPr>
                <w:rFonts w:eastAsiaTheme="majorEastAsia"/>
              </w:rPr>
            </w:pPr>
            <w:r w:rsidRPr="00EC2A1C">
              <w:rPr>
                <w:rFonts w:eastAsiaTheme="majorEastAsia"/>
              </w:rPr>
              <w:t>změna klimatu a její dopady</w:t>
            </w:r>
          </w:p>
          <w:p w14:paraId="085CE318" w14:textId="77777777" w:rsidR="00DD3EFA" w:rsidRPr="00EC2A1C" w:rsidRDefault="00DD3EFA" w:rsidP="00B15ECB">
            <w:pPr>
              <w:spacing w:before="60" w:after="60"/>
              <w:rPr>
                <w:rFonts w:eastAsiaTheme="majorEastAsia"/>
                <w:i/>
              </w:rPr>
            </w:pPr>
            <w:r w:rsidRPr="00EC2A1C">
              <w:rPr>
                <w:rFonts w:eastAsiaTheme="majorEastAsia"/>
              </w:rPr>
              <w:t>Nepřímo však souvisí i s tématem urbanizace, zdravého životního stylu (kvalita vnitřního prostředí budov pro bydlení i pracovního prostředí), globální ekonomický růst, rostoucí objem regulací, tvyšující se rychlost technologické změny (štítkování a ekodesign – respektování požadavků na energetickou účinnost výrobků spojených se spotřebou energie, udržitelnost výrobků, atd.).</w:t>
            </w:r>
          </w:p>
        </w:tc>
        <w:tc>
          <w:tcPr>
            <w:tcW w:w="249" w:type="dxa"/>
            <w:tcBorders>
              <w:top w:val="nil"/>
              <w:bottom w:val="nil"/>
            </w:tcBorders>
            <w:shd w:val="clear" w:color="auto" w:fill="66CCFF"/>
          </w:tcPr>
          <w:p w14:paraId="6E80CA9C" w14:textId="77777777" w:rsidR="00DD3EFA" w:rsidRPr="00EC2A1C" w:rsidRDefault="00DD3EFA" w:rsidP="00B15ECB">
            <w:pPr>
              <w:rPr>
                <w:b/>
              </w:rPr>
            </w:pPr>
          </w:p>
        </w:tc>
      </w:tr>
      <w:tr w:rsidR="00DD3EFA" w:rsidRPr="00EC2A1C" w14:paraId="5EDA179E" w14:textId="77777777" w:rsidTr="00B15ECB">
        <w:trPr>
          <w:trHeight w:val="1202"/>
        </w:trPr>
        <w:tc>
          <w:tcPr>
            <w:tcW w:w="249" w:type="dxa"/>
            <w:tcBorders>
              <w:top w:val="nil"/>
              <w:bottom w:val="nil"/>
            </w:tcBorders>
            <w:shd w:val="clear" w:color="auto" w:fill="66CCFF"/>
          </w:tcPr>
          <w:p w14:paraId="6A92AC6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7EBFF8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53B67BF0" w14:textId="77777777" w:rsidR="00DD3EFA" w:rsidRPr="00EC2A1C" w:rsidRDefault="00DD3EFA" w:rsidP="00B15ECB">
            <w:pPr>
              <w:spacing w:before="60" w:after="60"/>
              <w:rPr>
                <w:lang w:eastAsia="en-GB"/>
              </w:rPr>
            </w:pPr>
            <w:r w:rsidRPr="00EC2A1C">
              <w:rPr>
                <w:u w:val="single"/>
                <w:lang w:eastAsia="en-GB"/>
              </w:rPr>
              <w:t>Článek 4 ON:</w:t>
            </w:r>
            <w:r w:rsidRPr="00EC2A1C">
              <w:rPr>
                <w:u w:val="single"/>
                <w:lang w:eastAsia="en-GB"/>
              </w:rPr>
              <w:br/>
              <w:t>Politický cíl:</w:t>
            </w:r>
            <w:r w:rsidRPr="00EC2A1C">
              <w:rPr>
                <w:lang w:eastAsia="en-GB"/>
              </w:rPr>
              <w:br/>
            </w:r>
            <w:r w:rsidRPr="00EC2A1C">
              <w:rPr>
                <w:b/>
                <w:lang w:eastAsia="en-GB"/>
              </w:rPr>
              <w:t>b) zelenější, nízkouhlíková Evropa díky podpoře přechodu na čistou a spravedlivou energii, zelených a modrých investic, oběhového hospodářství, přizpůsobení se změnám klimatu a prevence a řízení rizik</w:t>
            </w:r>
          </w:p>
          <w:p w14:paraId="1ABD923D" w14:textId="77777777" w:rsidR="00DD3EFA" w:rsidRPr="00EC2A1C" w:rsidRDefault="00DD3EFA" w:rsidP="00B15ECB">
            <w:pPr>
              <w:spacing w:before="60" w:after="60"/>
              <w:rPr>
                <w:lang w:eastAsia="en-GB"/>
              </w:rPr>
            </w:pPr>
          </w:p>
          <w:p w14:paraId="759FDEC9" w14:textId="77777777" w:rsidR="00DD3EFA" w:rsidRPr="00EC2A1C" w:rsidRDefault="00DD3EFA" w:rsidP="00B15ECB">
            <w:pPr>
              <w:spacing w:before="60" w:after="60"/>
              <w:rPr>
                <w:lang w:eastAsia="en-GB"/>
              </w:rPr>
            </w:pPr>
            <w:r w:rsidRPr="00EC2A1C">
              <w:rPr>
                <w:u w:val="single"/>
                <w:lang w:eastAsia="en-GB"/>
              </w:rPr>
              <w:t>Článek 2 Nařízení EFRR a FS:</w:t>
            </w:r>
            <w:r w:rsidRPr="00EC2A1C">
              <w:rPr>
                <w:lang w:eastAsia="en-GB"/>
              </w:rPr>
              <w:br/>
              <w:t>EFRR podporuje specifický cíl „zelenější, nízkouhlíková Evropa díky podpoře přechodu na čistou a spravedlivou energii, zelených a modrých investic, oběhového hospodářství, přizpůsobení se změnám klimatu a prevence a řízení rizik“ (dále jen CP 2“) prostřednictvím:</w:t>
            </w:r>
          </w:p>
          <w:p w14:paraId="1132C0CE" w14:textId="77777777" w:rsidR="00DD3EFA" w:rsidRPr="00EC2A1C" w:rsidRDefault="00DD3EFA" w:rsidP="00391907">
            <w:pPr>
              <w:pStyle w:val="Odstavecseseznamem"/>
              <w:numPr>
                <w:ilvl w:val="0"/>
                <w:numId w:val="96"/>
              </w:numPr>
              <w:spacing w:before="60" w:after="60"/>
              <w:rPr>
                <w:rFonts w:eastAsiaTheme="majorEastAsia"/>
                <w:b/>
              </w:rPr>
            </w:pPr>
            <w:r w:rsidRPr="00EC2A1C">
              <w:rPr>
                <w:rFonts w:eastAsiaTheme="majorEastAsia"/>
                <w:b/>
              </w:rPr>
              <w:t>podpora opatření v oblasti energetické účinnosti</w:t>
            </w:r>
          </w:p>
          <w:p w14:paraId="631B5502" w14:textId="77777777" w:rsidR="00DD3EFA" w:rsidRPr="00EC2A1C" w:rsidRDefault="00DD3EFA" w:rsidP="00B15ECB">
            <w:pPr>
              <w:pStyle w:val="Odstavecseseznamem"/>
              <w:spacing w:before="60" w:after="60"/>
              <w:ind w:left="360"/>
              <w:rPr>
                <w:rFonts w:eastAsiaTheme="majorEastAsia"/>
              </w:rPr>
            </w:pPr>
          </w:p>
          <w:p w14:paraId="2A991415" w14:textId="77777777" w:rsidR="00DD3EFA" w:rsidRPr="00EC2A1C" w:rsidRDefault="00DD3EFA" w:rsidP="00B15ECB">
            <w:pPr>
              <w:spacing w:before="60" w:after="60"/>
              <w:rPr>
                <w:rFonts w:eastAsiaTheme="majorEastAsia"/>
              </w:rPr>
            </w:pPr>
            <w:r w:rsidRPr="00EC2A1C">
              <w:rPr>
                <w:rFonts w:eastAsiaTheme="majorEastAsia"/>
              </w:rPr>
              <w:t xml:space="preserve">Komise ve stanovení víceletého rámce 2021 – 2027 akcentuje téma „klima“, které má být zohledňováno ve všech programech (Komise stanovila cíl,  aby 25 % výdajů EU přispívalo k cílům v oblasti klimatu). </w:t>
            </w:r>
          </w:p>
          <w:p w14:paraId="4DA421C0" w14:textId="77777777" w:rsidR="00DD3EFA" w:rsidRPr="00EC2A1C" w:rsidRDefault="00DD3EFA" w:rsidP="00B15ECB">
            <w:pPr>
              <w:spacing w:before="60" w:after="60"/>
              <w:rPr>
                <w:rFonts w:eastAsiaTheme="majorEastAsia"/>
              </w:rPr>
            </w:pPr>
            <w:r w:rsidRPr="00EC2A1C">
              <w:rPr>
                <w:rFonts w:eastAsiaTheme="majorEastAsia"/>
              </w:rPr>
              <w:t xml:space="preserve">Energetická účinnost je jedním z nástrojů politiky ochrany klimatu, což jasně zaznělo i při vydání zimního energetického balíčku z roku 2016 a provázelo toto téma celé vyjednávání nové EU legislativy v energetice. </w:t>
            </w:r>
          </w:p>
          <w:p w14:paraId="2CAF9E77" w14:textId="2C8CBFAA" w:rsidR="00DD3EFA" w:rsidRPr="00EC2A1C" w:rsidRDefault="00DD3EFA" w:rsidP="00B15ECB">
            <w:pPr>
              <w:spacing w:before="60" w:after="60"/>
              <w:rPr>
                <w:rFonts w:eastAsiaTheme="majorEastAsia"/>
              </w:rPr>
            </w:pPr>
            <w:r w:rsidRPr="00EC2A1C">
              <w:rPr>
                <w:rFonts w:eastAsiaTheme="majorEastAsia"/>
              </w:rPr>
              <w:t xml:space="preserve">Podle přílohy k ON se energetické </w:t>
            </w:r>
            <w:r w:rsidR="00730FC6" w:rsidRPr="00EC2A1C">
              <w:rPr>
                <w:rFonts w:eastAsiaTheme="majorEastAsia"/>
              </w:rPr>
              <w:t>účinnosti</w:t>
            </w:r>
            <w:r w:rsidRPr="00EC2A1C">
              <w:rPr>
                <w:rFonts w:eastAsiaTheme="majorEastAsia"/>
              </w:rPr>
              <w:t xml:space="preserve"> přímo týkají tyto oblasti intervence (kod): 024, 025, 026, 027. </w:t>
            </w:r>
          </w:p>
          <w:p w14:paraId="685EFB4B" w14:textId="15B7648A" w:rsidR="00DD3EFA" w:rsidRPr="00EC2A1C" w:rsidRDefault="00DD3EFA" w:rsidP="00B15ECB">
            <w:pPr>
              <w:spacing w:before="60" w:after="60"/>
              <w:rPr>
                <w:rFonts w:eastAsiaTheme="majorEastAsia"/>
              </w:rPr>
            </w:pPr>
            <w:r w:rsidRPr="00EC2A1C">
              <w:rPr>
                <w:rFonts w:eastAsiaTheme="majorEastAsia"/>
              </w:rPr>
              <w:t xml:space="preserve">A dále je průřezová k oblastem intervence (kod): 028 – 032 (využití OZE při </w:t>
            </w:r>
            <w:r w:rsidR="00730FC6" w:rsidRPr="00EC2A1C">
              <w:rPr>
                <w:rFonts w:eastAsiaTheme="majorEastAsia"/>
              </w:rPr>
              <w:t>renovaci</w:t>
            </w:r>
            <w:r w:rsidRPr="00EC2A1C">
              <w:rPr>
                <w:rFonts w:eastAsiaTheme="majorEastAsia"/>
              </w:rPr>
              <w:t xml:space="preserve"> budov), 034 (naplňování strategie vytápění a chlazení, snižování spotřeby primární energie), 048 (ochrana ovzduší).</w:t>
            </w:r>
          </w:p>
        </w:tc>
        <w:tc>
          <w:tcPr>
            <w:tcW w:w="249" w:type="dxa"/>
            <w:tcBorders>
              <w:top w:val="nil"/>
              <w:bottom w:val="nil"/>
            </w:tcBorders>
            <w:shd w:val="clear" w:color="auto" w:fill="66CCFF"/>
          </w:tcPr>
          <w:p w14:paraId="1EDB51B4" w14:textId="77777777" w:rsidR="00DD3EFA" w:rsidRPr="00EC2A1C" w:rsidRDefault="00DD3EFA" w:rsidP="00B15ECB">
            <w:pPr>
              <w:rPr>
                <w:b/>
              </w:rPr>
            </w:pPr>
          </w:p>
        </w:tc>
      </w:tr>
      <w:tr w:rsidR="00DD3EFA" w:rsidRPr="00EC2A1C" w14:paraId="3D738260" w14:textId="77777777" w:rsidTr="00B15ECB">
        <w:trPr>
          <w:trHeight w:val="1202"/>
        </w:trPr>
        <w:tc>
          <w:tcPr>
            <w:tcW w:w="249" w:type="dxa"/>
            <w:tcBorders>
              <w:top w:val="nil"/>
              <w:bottom w:val="nil"/>
            </w:tcBorders>
            <w:shd w:val="clear" w:color="auto" w:fill="66CCFF"/>
          </w:tcPr>
          <w:p w14:paraId="6FC8EF3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A8D597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bottom w:val="single" w:sz="4" w:space="0" w:color="auto"/>
            </w:tcBorders>
            <w:shd w:val="clear" w:color="auto" w:fill="FFFFFF" w:themeFill="background1"/>
          </w:tcPr>
          <w:p w14:paraId="6BADC6ED" w14:textId="77777777" w:rsidR="00DD3EFA" w:rsidRPr="00EC2A1C" w:rsidRDefault="00DD3EFA" w:rsidP="00B15ECB">
            <w:pPr>
              <w:rPr>
                <w:highlight w:val="yellow"/>
              </w:rPr>
            </w:pPr>
            <w:r w:rsidRPr="00EC2A1C">
              <w:rPr>
                <w:rFonts w:eastAsiaTheme="majorEastAsia"/>
              </w:rPr>
              <w:t>Aktuální znění SDR pro rok 2018 neobsahuje žádná doporučení relevantní pro tuto oblast.</w:t>
            </w:r>
          </w:p>
        </w:tc>
        <w:tc>
          <w:tcPr>
            <w:tcW w:w="249" w:type="dxa"/>
            <w:tcBorders>
              <w:top w:val="nil"/>
              <w:bottom w:val="nil"/>
            </w:tcBorders>
            <w:shd w:val="clear" w:color="auto" w:fill="66CCFF"/>
          </w:tcPr>
          <w:p w14:paraId="04B561BF" w14:textId="77777777" w:rsidR="00DD3EFA" w:rsidRPr="00EC2A1C" w:rsidRDefault="00DD3EFA" w:rsidP="00B15ECB">
            <w:pPr>
              <w:rPr>
                <w:b/>
              </w:rPr>
            </w:pPr>
          </w:p>
        </w:tc>
      </w:tr>
      <w:tr w:rsidR="00DD3EFA" w:rsidRPr="00EC2A1C" w14:paraId="1C4D6585" w14:textId="77777777" w:rsidTr="00B15ECB">
        <w:trPr>
          <w:trHeight w:val="180"/>
        </w:trPr>
        <w:tc>
          <w:tcPr>
            <w:tcW w:w="249" w:type="dxa"/>
            <w:tcBorders>
              <w:top w:val="nil"/>
              <w:bottom w:val="nil"/>
              <w:right w:val="nil"/>
            </w:tcBorders>
            <w:shd w:val="clear" w:color="auto" w:fill="66CCFF"/>
          </w:tcPr>
          <w:p w14:paraId="135D7A3D" w14:textId="77777777" w:rsidR="00DD3EFA" w:rsidRPr="00EC2A1C" w:rsidRDefault="00DD3EFA" w:rsidP="00B15ECB">
            <w:pPr>
              <w:rPr>
                <w:b/>
              </w:rPr>
            </w:pPr>
          </w:p>
        </w:tc>
        <w:tc>
          <w:tcPr>
            <w:tcW w:w="2548" w:type="dxa"/>
            <w:tcBorders>
              <w:left w:val="nil"/>
              <w:right w:val="nil"/>
            </w:tcBorders>
            <w:shd w:val="clear" w:color="auto" w:fill="66CCFF"/>
          </w:tcPr>
          <w:p w14:paraId="04273614" w14:textId="77777777" w:rsidR="00DD3EFA" w:rsidRPr="00EC2A1C" w:rsidRDefault="00DD3EFA" w:rsidP="00B15ECB">
            <w:pPr>
              <w:rPr>
                <w:b/>
              </w:rPr>
            </w:pPr>
          </w:p>
        </w:tc>
        <w:tc>
          <w:tcPr>
            <w:tcW w:w="5978" w:type="dxa"/>
            <w:tcBorders>
              <w:left w:val="nil"/>
              <w:right w:val="nil"/>
            </w:tcBorders>
            <w:shd w:val="clear" w:color="auto" w:fill="66CCFF"/>
          </w:tcPr>
          <w:p w14:paraId="6F524E6B" w14:textId="77777777" w:rsidR="00DD3EFA" w:rsidRPr="00EC2A1C" w:rsidRDefault="00DD3EFA" w:rsidP="00B15ECB">
            <w:pPr>
              <w:rPr>
                <w:b/>
              </w:rPr>
            </w:pPr>
          </w:p>
        </w:tc>
        <w:tc>
          <w:tcPr>
            <w:tcW w:w="249" w:type="dxa"/>
            <w:tcBorders>
              <w:top w:val="nil"/>
              <w:left w:val="nil"/>
              <w:bottom w:val="nil"/>
            </w:tcBorders>
            <w:shd w:val="clear" w:color="auto" w:fill="66CCFF"/>
          </w:tcPr>
          <w:p w14:paraId="43973EB4" w14:textId="77777777" w:rsidR="00DD3EFA" w:rsidRPr="00EC2A1C" w:rsidRDefault="00DD3EFA" w:rsidP="00B15ECB">
            <w:pPr>
              <w:rPr>
                <w:b/>
              </w:rPr>
            </w:pPr>
          </w:p>
        </w:tc>
      </w:tr>
      <w:tr w:rsidR="00DD3EFA" w:rsidRPr="00EC2A1C" w14:paraId="26B262B9" w14:textId="77777777" w:rsidTr="00B15ECB">
        <w:trPr>
          <w:trHeight w:val="938"/>
        </w:trPr>
        <w:tc>
          <w:tcPr>
            <w:tcW w:w="249" w:type="dxa"/>
            <w:tcBorders>
              <w:top w:val="nil"/>
              <w:bottom w:val="nil"/>
            </w:tcBorders>
            <w:shd w:val="clear" w:color="auto" w:fill="66CCFF"/>
          </w:tcPr>
          <w:p w14:paraId="603C68E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8910145"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3DEA7302" w14:textId="77777777" w:rsidR="00DD3EFA" w:rsidRPr="00EC2A1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664ADD61" w14:textId="77777777" w:rsidR="00DD3EFA" w:rsidRPr="00EC2A1C" w:rsidRDefault="00DD3EFA" w:rsidP="00B15ECB">
            <w:pPr>
              <w:rPr>
                <w:rFonts w:eastAsia="Calibri"/>
                <w:u w:val="single"/>
              </w:rPr>
            </w:pPr>
            <w:r w:rsidRPr="00EC2A1C">
              <w:rPr>
                <w:rFonts w:eastAsia="Calibri"/>
                <w:u w:val="single"/>
              </w:rPr>
              <w:t>Strategické dokumenty:</w:t>
            </w:r>
          </w:p>
          <w:p w14:paraId="611BC148" w14:textId="77777777" w:rsidR="00DD3EFA" w:rsidRPr="00EC2A1C" w:rsidRDefault="00DD3EFA" w:rsidP="00391907">
            <w:pPr>
              <w:pStyle w:val="Odstavecseseznamem"/>
              <w:numPr>
                <w:ilvl w:val="0"/>
                <w:numId w:val="2"/>
              </w:numPr>
              <w:jc w:val="both"/>
              <w:rPr>
                <w:rFonts w:eastAsia="Calibri"/>
              </w:rPr>
            </w:pPr>
            <w:r w:rsidRPr="00EC2A1C">
              <w:rPr>
                <w:rFonts w:eastAsia="Calibri"/>
              </w:rPr>
              <w:t xml:space="preserve">Vnitrostátní plán ČR v oblasti energetiky a klimatu (2019) – draf s návrhem cílů v oblasti energetické účinnosti bude předložen vládě ke schválení v týdnu 16. 1. 2019 – 1. 2. 2019 a následně zaslán Komisi k posouzení. Finální znění, které má být výsledkem diskuse s Komisí, má být předloženo do poloviny roku 2019. </w:t>
            </w:r>
          </w:p>
          <w:p w14:paraId="00D2C858" w14:textId="15C0712F" w:rsidR="00DD3EFA" w:rsidRPr="00EC2A1C" w:rsidRDefault="00DD3EFA" w:rsidP="00391907">
            <w:pPr>
              <w:pStyle w:val="Odstavecseseznamem"/>
              <w:numPr>
                <w:ilvl w:val="0"/>
                <w:numId w:val="2"/>
              </w:numPr>
              <w:jc w:val="both"/>
              <w:rPr>
                <w:rFonts w:eastAsia="Calibri"/>
              </w:rPr>
            </w:pPr>
            <w:r w:rsidRPr="00EC2A1C">
              <w:rPr>
                <w:rFonts w:eastAsia="Calibri"/>
              </w:rPr>
              <w:t xml:space="preserve">Dlouhodobá strategie renovací na podporu renovace vnitrostátního fondu obytných a jiných než obytných budov, veřejných i soukromých – aktuálně platná Strategie renovace budov (z roku 2017) bude aktualizována, tak aby splnila </w:t>
            </w:r>
            <w:r w:rsidR="00730FC6" w:rsidRPr="00EC2A1C">
              <w:rPr>
                <w:rFonts w:eastAsia="Calibri"/>
              </w:rPr>
              <w:t>požadavky</w:t>
            </w:r>
            <w:r w:rsidRPr="00EC2A1C">
              <w:rPr>
                <w:rFonts w:eastAsia="Calibri"/>
              </w:rPr>
              <w:t xml:space="preserve"> revize směrnice o energetické náročnosti budov, nejpozději do března 2020. Následně nejvhodnější scénář bude překlopen do Vnitrostátního plánu ČR v oblasti energetiky a klimatu a ze strany Komise bude vyžadováno prokazování jeho plnění.</w:t>
            </w:r>
          </w:p>
          <w:p w14:paraId="315C7BA3" w14:textId="77777777" w:rsidR="00DD3EFA" w:rsidRPr="00EC2A1C" w:rsidRDefault="00DD3EFA" w:rsidP="00391907">
            <w:pPr>
              <w:pStyle w:val="Odstavecseseznamem"/>
              <w:numPr>
                <w:ilvl w:val="0"/>
                <w:numId w:val="2"/>
              </w:numPr>
              <w:jc w:val="both"/>
              <w:rPr>
                <w:rFonts w:eastAsia="Calibri"/>
              </w:rPr>
            </w:pPr>
            <w:r w:rsidRPr="00EC2A1C">
              <w:rPr>
                <w:rFonts w:eastAsia="Calibri"/>
              </w:rPr>
              <w:t>Státní energetická koncepce České republiky (2015)</w:t>
            </w:r>
          </w:p>
          <w:p w14:paraId="43FFE160" w14:textId="77777777" w:rsidR="00DD3EFA" w:rsidRPr="00EC2A1C" w:rsidRDefault="00DD3EFA" w:rsidP="00391907">
            <w:pPr>
              <w:pStyle w:val="Odstavecseseznamem"/>
              <w:numPr>
                <w:ilvl w:val="0"/>
                <w:numId w:val="2"/>
              </w:numPr>
              <w:jc w:val="both"/>
              <w:rPr>
                <w:rFonts w:eastAsia="Calibri"/>
              </w:rPr>
            </w:pPr>
            <w:r w:rsidRPr="00EC2A1C">
              <w:rPr>
                <w:rFonts w:eastAsia="Calibri"/>
              </w:rPr>
              <w:t>Národní akční plán energetické účinnosti ČR (2017) včetně Strategie renovace budov, Posouzení potenciálu vysoce účinné KVET a účinného dálkového vytápění a chlazení za Českou republiku - – aktuálně platný a aktualizace bude provedena v roce 2020,</w:t>
            </w:r>
          </w:p>
          <w:p w14:paraId="4A75F7F4" w14:textId="77777777" w:rsidR="00DD3EFA" w:rsidRPr="00EC2A1C" w:rsidRDefault="00DD3EFA" w:rsidP="00B15ECB">
            <w:pPr>
              <w:rPr>
                <w:rFonts w:eastAsia="Calibri"/>
              </w:rPr>
            </w:pPr>
          </w:p>
          <w:p w14:paraId="2AB62628" w14:textId="567FA31D" w:rsidR="00DD3EFA" w:rsidRPr="00EC2A1C" w:rsidRDefault="00DD3EFA" w:rsidP="00391907">
            <w:pPr>
              <w:pStyle w:val="Odstavecseseznamem"/>
              <w:numPr>
                <w:ilvl w:val="0"/>
                <w:numId w:val="98"/>
              </w:numPr>
              <w:ind w:left="714" w:hanging="357"/>
              <w:contextualSpacing w:val="0"/>
              <w:jc w:val="both"/>
              <w:rPr>
                <w:rFonts w:eastAsia="Calibri"/>
              </w:rPr>
            </w:pPr>
            <w:r w:rsidRPr="00EC2A1C">
              <w:rPr>
                <w:rFonts w:eastAsia="Calibri"/>
              </w:rPr>
              <w:t>Vnitrostátní plán na zvýšení počtu budov s téměř nulov</w:t>
            </w:r>
            <w:r w:rsidR="00730FC6" w:rsidRPr="00EC2A1C">
              <w:rPr>
                <w:rFonts w:eastAsia="Calibri"/>
              </w:rPr>
              <w:t>ou spotřebou – aktuálně platný</w:t>
            </w:r>
            <w:r w:rsidRPr="00EC2A1C" w:rsidDel="001A643B">
              <w:rPr>
                <w:rFonts w:eastAsia="Calibri"/>
              </w:rPr>
              <w:t xml:space="preserve"> </w:t>
            </w:r>
          </w:p>
          <w:p w14:paraId="28E29031" w14:textId="77777777" w:rsidR="00DD3EFA" w:rsidRPr="00EC2A1C" w:rsidRDefault="00DD3EFA" w:rsidP="00391907">
            <w:pPr>
              <w:pStyle w:val="Odstavecseseznamem"/>
              <w:numPr>
                <w:ilvl w:val="0"/>
                <w:numId w:val="98"/>
              </w:numPr>
              <w:ind w:left="714" w:hanging="357"/>
              <w:contextualSpacing w:val="0"/>
              <w:jc w:val="both"/>
              <w:rPr>
                <w:rFonts w:eastAsia="Calibri"/>
              </w:rPr>
            </w:pPr>
            <w:r w:rsidRPr="00EC2A1C">
              <w:rPr>
                <w:rFonts w:eastAsia="Calibri"/>
              </w:rPr>
              <w:t>Politika ochrany klimatu v České republice (2017)</w:t>
            </w:r>
          </w:p>
          <w:p w14:paraId="16C28278" w14:textId="77777777" w:rsidR="00DD3EFA" w:rsidRPr="00EC2A1C" w:rsidRDefault="00DD3EFA" w:rsidP="00391907">
            <w:pPr>
              <w:pStyle w:val="slovanodstavec"/>
              <w:numPr>
                <w:ilvl w:val="0"/>
                <w:numId w:val="98"/>
              </w:numPr>
              <w:tabs>
                <w:tab w:val="clear" w:pos="567"/>
                <w:tab w:val="left" w:pos="284"/>
              </w:tabs>
              <w:suppressAutoHyphens/>
              <w:spacing w:after="0" w:line="240" w:lineRule="auto"/>
              <w:ind w:left="714" w:hanging="357"/>
              <w:jc w:val="left"/>
              <w:rPr>
                <w:rFonts w:ascii="Times New Roman" w:hAnsi="Times New Roman"/>
                <w:i/>
                <w:u w:val="single"/>
              </w:rPr>
            </w:pPr>
            <w:r w:rsidRPr="00EC2A1C">
              <w:rPr>
                <w:rFonts w:ascii="Times New Roman" w:eastAsiaTheme="majorEastAsia" w:hAnsi="Times New Roman"/>
              </w:rPr>
              <w:t>Národní program snižování emisí ČR</w:t>
            </w:r>
          </w:p>
          <w:p w14:paraId="3F13E0D4" w14:textId="77777777" w:rsidR="00DD3EFA" w:rsidRPr="00EC2A1C" w:rsidRDefault="00DD3EFA" w:rsidP="00391907">
            <w:pPr>
              <w:pStyle w:val="slovanodstavec"/>
              <w:numPr>
                <w:ilvl w:val="0"/>
                <w:numId w:val="98"/>
              </w:numPr>
              <w:tabs>
                <w:tab w:val="clear" w:pos="567"/>
                <w:tab w:val="left" w:pos="284"/>
              </w:tabs>
              <w:suppressAutoHyphens/>
              <w:spacing w:after="0" w:line="240" w:lineRule="auto"/>
              <w:ind w:left="714" w:hanging="357"/>
              <w:jc w:val="left"/>
              <w:rPr>
                <w:rFonts w:ascii="Times New Roman" w:hAnsi="Times New Roman"/>
                <w:i/>
                <w:u w:val="single"/>
              </w:rPr>
            </w:pPr>
            <w:r w:rsidRPr="00EC2A1C">
              <w:rPr>
                <w:rFonts w:ascii="Times New Roman" w:hAnsi="Times New Roman"/>
                <w:color w:val="000000"/>
              </w:rPr>
              <w:t>Plán rekonstrukce objektů v působnosti článku 5 směrnice Evropského parlamentu a Rady 2012/27/EU ze dne 25. října 2012 o energetické účinnosti</w:t>
            </w:r>
          </w:p>
          <w:p w14:paraId="78A4F76F" w14:textId="77777777" w:rsidR="00DD3EFA" w:rsidRPr="00EC2A1C" w:rsidRDefault="00DD3EFA" w:rsidP="00391907">
            <w:pPr>
              <w:pStyle w:val="slovanodstavec"/>
              <w:numPr>
                <w:ilvl w:val="0"/>
                <w:numId w:val="98"/>
              </w:numPr>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rPr>
              <w:t>Implementace Agendy 2030 pro udržitelný rozvoj v ČR: "SDG 7 Zajistit přístup k cenově dostupným, spolehlivým, udržitelným a moderním zdrojům energie pro všechny"</w:t>
            </w:r>
          </w:p>
        </w:tc>
        <w:tc>
          <w:tcPr>
            <w:tcW w:w="249" w:type="dxa"/>
            <w:tcBorders>
              <w:top w:val="nil"/>
              <w:bottom w:val="nil"/>
            </w:tcBorders>
            <w:shd w:val="clear" w:color="auto" w:fill="66CCFF"/>
          </w:tcPr>
          <w:p w14:paraId="6BB55608" w14:textId="77777777" w:rsidR="00DD3EFA" w:rsidRPr="00EC2A1C" w:rsidRDefault="00DD3EFA" w:rsidP="00B15ECB">
            <w:pPr>
              <w:rPr>
                <w:b/>
              </w:rPr>
            </w:pPr>
          </w:p>
        </w:tc>
      </w:tr>
      <w:tr w:rsidR="00DD3EFA" w:rsidRPr="00EC2A1C" w14:paraId="50CE27C5" w14:textId="77777777" w:rsidTr="00B15ECB">
        <w:trPr>
          <w:trHeight w:val="938"/>
        </w:trPr>
        <w:tc>
          <w:tcPr>
            <w:tcW w:w="249" w:type="dxa"/>
            <w:tcBorders>
              <w:top w:val="nil"/>
              <w:bottom w:val="nil"/>
            </w:tcBorders>
            <w:shd w:val="clear" w:color="auto" w:fill="66CCFF"/>
          </w:tcPr>
          <w:p w14:paraId="248229C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0887CB9"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7F25941A"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FAFB3E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I přes zvyšující se energetickou účinnost je ČR z členských států EU na třetím místě v energetické náročnosti hospodářství. Energetická náročnost české ekonomiky dosahuje víc než dvojnásobek průměru EU. Z analýzy dále vyplývá dlouhodobý trend rostoucí spotřeby energie v sektoru domácností a dopravy.</w:t>
            </w:r>
          </w:p>
          <w:p w14:paraId="7295E54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Povinnost plnit cíle vyplývající z revize směrnice o energetické účinnosti a energetické náročnosti budov ČR očekává, že tyto cíle napomohou kompenzovat nárůst spotřeby energie, ke kterému dochází v důsledku zvyšování životní úrovně ČR, a to zejména v sektoru domácností a dopravy.</w:t>
            </w:r>
          </w:p>
        </w:tc>
        <w:tc>
          <w:tcPr>
            <w:tcW w:w="249" w:type="dxa"/>
            <w:tcBorders>
              <w:top w:val="nil"/>
              <w:bottom w:val="nil"/>
            </w:tcBorders>
            <w:shd w:val="clear" w:color="auto" w:fill="66CCFF"/>
          </w:tcPr>
          <w:p w14:paraId="7B88F93A" w14:textId="77777777" w:rsidR="00DD3EFA" w:rsidRPr="00EC2A1C" w:rsidRDefault="00DD3EFA" w:rsidP="00B15ECB">
            <w:pPr>
              <w:rPr>
                <w:b/>
              </w:rPr>
            </w:pPr>
          </w:p>
        </w:tc>
      </w:tr>
      <w:tr w:rsidR="00DD3EFA" w:rsidRPr="00EC2A1C" w14:paraId="0FAC11AE" w14:textId="77777777" w:rsidTr="00B15ECB">
        <w:trPr>
          <w:trHeight w:val="938"/>
        </w:trPr>
        <w:tc>
          <w:tcPr>
            <w:tcW w:w="249" w:type="dxa"/>
            <w:tcBorders>
              <w:top w:val="nil"/>
              <w:bottom w:val="nil"/>
            </w:tcBorders>
            <w:shd w:val="clear" w:color="auto" w:fill="66CCFF"/>
          </w:tcPr>
          <w:p w14:paraId="0FD89A9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3AF6D86"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7C0958E9"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DA4DB6F"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EC2A1C">
              <w:rPr>
                <w:rFonts w:ascii="Times New Roman" w:hAnsi="Times New Roman"/>
                <w:u w:val="single"/>
              </w:rPr>
              <w:t>Cíle vyplývající z revize směrnice o energetické účinnosti:</w:t>
            </w:r>
          </w:p>
          <w:p w14:paraId="0882DD50" w14:textId="77777777" w:rsidR="00DD3EFA" w:rsidRPr="00EC2A1C" w:rsidRDefault="00DD3EFA" w:rsidP="00391907">
            <w:pPr>
              <w:pStyle w:val="slovanodstavec"/>
              <w:numPr>
                <w:ilvl w:val="0"/>
                <w:numId w:val="96"/>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naplnění povinnosti vyplývající z čl. 7 směrnice o energetické účinnosti, tzn. splnění cíle kumulovaných úspor energie ve výši 462 PJ, resp. 84 PJ nových ročních úspor energie v období 2021-2030</w:t>
            </w:r>
            <w:r w:rsidRPr="00EC2A1C">
              <w:rPr>
                <w:rStyle w:val="Znakapoznpodarou"/>
                <w:rFonts w:ascii="Times New Roman" w:hAnsi="Times New Roman"/>
              </w:rPr>
              <w:footnoteReference w:id="50"/>
            </w:r>
          </w:p>
          <w:p w14:paraId="49F72DC4" w14:textId="77777777" w:rsidR="00DD3EFA" w:rsidRPr="00EC2A1C" w:rsidRDefault="00DD3EFA" w:rsidP="00391907">
            <w:pPr>
              <w:pStyle w:val="slovanodstavec"/>
              <w:numPr>
                <w:ilvl w:val="0"/>
                <w:numId w:val="96"/>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snížení konečné spotřeby energie na úroveň 990 PJ v roce 2030</w:t>
            </w:r>
          </w:p>
          <w:p w14:paraId="2AA38754"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u w:val="single"/>
              </w:rPr>
              <w:t>Opatření</w:t>
            </w:r>
            <w:r w:rsidRPr="00EC2A1C">
              <w:rPr>
                <w:rFonts w:ascii="Times New Roman" w:hAnsi="Times New Roman"/>
              </w:rPr>
              <w:t>:</w:t>
            </w:r>
          </w:p>
          <w:p w14:paraId="5E8B742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Pro dosažení cílů budou využity legislativní a fiskální nástroje. Z pohledu fiskálních nástrojů se jedná zejména o podporu:</w:t>
            </w:r>
          </w:p>
          <w:p w14:paraId="26F43026" w14:textId="77777777" w:rsidR="00DD3EFA" w:rsidRPr="00EC2A1C" w:rsidRDefault="00DD3EFA" w:rsidP="00391907">
            <w:pPr>
              <w:pStyle w:val="slovanodstavec"/>
              <w:numPr>
                <w:ilvl w:val="0"/>
                <w:numId w:val="96"/>
              </w:numPr>
              <w:tabs>
                <w:tab w:val="left" w:pos="284"/>
              </w:tabs>
              <w:suppressAutoHyphens/>
              <w:spacing w:line="240" w:lineRule="auto"/>
              <w:jc w:val="left"/>
              <w:rPr>
                <w:rFonts w:ascii="Times New Roman" w:hAnsi="Times New Roman"/>
              </w:rPr>
            </w:pPr>
            <w:r w:rsidRPr="00EC2A1C">
              <w:rPr>
                <w:rFonts w:ascii="Times New Roman" w:hAnsi="Times New Roman"/>
              </w:rPr>
              <w:t>investičních opatření (např. zvýšení energetické účinnosti technických zařízení budov a využívání obnovitelných zdrojů a KVET pro pokrytí vlastní potřeby energie budov a energetických hospodářství podnikatelských provozů, modernizace a rekonstrukce rozvodů elektřiny, plynu a tepla v energetických hospodářstvích podniků za účelem zvýšení účinnosti, modernizace, rekonstrukce stávajících zařízení na výrobu energie pro vlastní spotřebu vedoucí ke zvýšení její účinnosti, modernizace soustav osvětlení podnikatelských areálů, využití odpadní energie ve výrobních procesech, snižování energetické náročnosti/zvyšování energetické účinnosti výrobních a technologických procesů, zařízení akumulace energie, zavádění nástrojů k optimalizace provozu na základě monitoringu hodnocení spotřeby energie, komplexní renovace budov s prvky adaptace budov na změny klimatu respektující požadavky na kvalitu vnitřní prostředí, optimalizace, regulace, monitoring a vyhodnocování spotřeby energie v budovách, podpora rozvoje infastruktury pro elektromobilitu v budovách, podpora alternativních paliv v dopravě),</w:t>
            </w:r>
          </w:p>
          <w:p w14:paraId="00E7E0D3" w14:textId="77777777" w:rsidR="00DD3EFA" w:rsidRPr="00EC2A1C" w:rsidRDefault="00DD3EFA" w:rsidP="00391907">
            <w:pPr>
              <w:pStyle w:val="slovanodstavec"/>
              <w:numPr>
                <w:ilvl w:val="0"/>
                <w:numId w:val="96"/>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podpora implementace nástrojů energetického managementu</w:t>
            </w:r>
          </w:p>
          <w:p w14:paraId="5AA8A8E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Konkrétními cíli – milníky:</w:t>
            </w:r>
          </w:p>
          <w:p w14:paraId="1364DD92" w14:textId="77777777" w:rsidR="00DD3EFA" w:rsidRPr="00EC2A1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snížení počtu budov nesplňujících požadavky na energetickou náročnost budov,</w:t>
            </w:r>
          </w:p>
          <w:p w14:paraId="1F94F0B3" w14:textId="77777777" w:rsidR="00DD3EFA" w:rsidRPr="00EC2A1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zvýšit počet komplexních renovací respektující kritéria zdravého vnitřního prostředí (tepelné pohodlím osvětlenost, koncentrace CO</w:t>
            </w:r>
            <w:r w:rsidRPr="00EC2A1C">
              <w:rPr>
                <w:rFonts w:ascii="Times New Roman" w:hAnsi="Times New Roman"/>
                <w:vertAlign w:val="subscript"/>
              </w:rPr>
              <w:t>2</w:t>
            </w:r>
            <w:r w:rsidRPr="00EC2A1C">
              <w:rPr>
                <w:rFonts w:ascii="Times New Roman" w:hAnsi="Times New Roman"/>
              </w:rPr>
              <w:t xml:space="preserve">) </w:t>
            </w:r>
          </w:p>
          <w:p w14:paraId="2FE2C185" w14:textId="77777777" w:rsidR="00DD3EFA" w:rsidRPr="00EC2A1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zvýšit počet OZE pro vlastní spotřebu</w:t>
            </w:r>
          </w:p>
          <w:p w14:paraId="2926D187" w14:textId="77777777" w:rsidR="00DD3EFA" w:rsidRPr="00EC2A1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snížit emise CO</w:t>
            </w:r>
            <w:r w:rsidRPr="00EC2A1C">
              <w:rPr>
                <w:rFonts w:ascii="Times New Roman" w:hAnsi="Times New Roman"/>
                <w:vertAlign w:val="subscript"/>
              </w:rPr>
              <w:t>2</w:t>
            </w:r>
            <w:r w:rsidRPr="00EC2A1C">
              <w:rPr>
                <w:rFonts w:ascii="Times New Roman" w:hAnsi="Times New Roman"/>
              </w:rPr>
              <w:t xml:space="preserve"> – cíle dekarbonizace budov</w:t>
            </w:r>
          </w:p>
          <w:p w14:paraId="5140E316" w14:textId="77777777" w:rsidR="00DD3EFA" w:rsidRPr="00EC2A1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snížit energetickou náročnost výroby a služeb středních, malých a mikropodniků. Snížit energetickou náročnost energetického hospodářství v souvisejících činnostech této skupiny podnikatelů (snížení energetické náročnosti budov, monitoring spotřeb, automatizace řízení spotřeby energie)</w:t>
            </w:r>
          </w:p>
          <w:p w14:paraId="4154A1ED" w14:textId="77777777" w:rsidR="00DD3EFA" w:rsidRPr="00EC2A1C" w:rsidRDefault="00DD3EFA" w:rsidP="00391907">
            <w:pPr>
              <w:pStyle w:val="slovanodstavec"/>
              <w:numPr>
                <w:ilvl w:val="0"/>
                <w:numId w:val="3"/>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snížení konečné spotřeby energie</w:t>
            </w:r>
          </w:p>
        </w:tc>
        <w:tc>
          <w:tcPr>
            <w:tcW w:w="249" w:type="dxa"/>
            <w:tcBorders>
              <w:top w:val="nil"/>
              <w:bottom w:val="nil"/>
            </w:tcBorders>
            <w:shd w:val="clear" w:color="auto" w:fill="66CCFF"/>
          </w:tcPr>
          <w:p w14:paraId="66D4E041" w14:textId="77777777" w:rsidR="00DD3EFA" w:rsidRPr="00EC2A1C" w:rsidRDefault="00DD3EFA" w:rsidP="00B15ECB">
            <w:pPr>
              <w:rPr>
                <w:b/>
              </w:rPr>
            </w:pPr>
          </w:p>
        </w:tc>
      </w:tr>
      <w:tr w:rsidR="00DD3EFA" w:rsidRPr="00EC2A1C" w14:paraId="324F28A3" w14:textId="77777777" w:rsidTr="00B15ECB">
        <w:trPr>
          <w:trHeight w:val="938"/>
        </w:trPr>
        <w:tc>
          <w:tcPr>
            <w:tcW w:w="249" w:type="dxa"/>
            <w:tcBorders>
              <w:top w:val="nil"/>
              <w:bottom w:val="nil"/>
            </w:tcBorders>
            <w:shd w:val="clear" w:color="auto" w:fill="66CCFF"/>
          </w:tcPr>
          <w:p w14:paraId="572F018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15B40AF"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64CD57D5" w14:textId="77777777" w:rsidR="00DD3EFA" w:rsidRPr="00EC2A1C" w:rsidRDefault="00DD3EFA" w:rsidP="00B15ECB">
            <w:pPr>
              <w:spacing w:before="60" w:after="60"/>
              <w:rPr>
                <w:rFonts w:eastAsiaTheme="majorEastAsia"/>
                <w:b/>
                <w:highlight w:val="yellow"/>
              </w:rPr>
            </w:pPr>
          </w:p>
        </w:tc>
        <w:tc>
          <w:tcPr>
            <w:tcW w:w="5978" w:type="dxa"/>
            <w:tcBorders>
              <w:bottom w:val="single" w:sz="4" w:space="0" w:color="auto"/>
            </w:tcBorders>
            <w:shd w:val="clear" w:color="auto" w:fill="FFFFFF" w:themeFill="background1"/>
          </w:tcPr>
          <w:p w14:paraId="34AF738D"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Cíle a závazky ČR jsou obsaženy ve strategických dokumentech viz výše. Vnitrostátní plán ČR v oblasti energetiky a klimatu (2019) obsahuje zároveň i opatření k dosažení těchto cílů. Pro oblast EE se jedná prozatím pouze o nástin možných politik, protože precizované dílčí vstupy budou aktualizovány v návaznosti na proces transpozice a implementace z EU legislativy schválené a zveřejněné na konci roku 2018 (transpozice do poloviny roku 2020). Tyto dílčí politiky budou schvalovány vládou ČR. Již v únoru 2019 bude do MPŘ předložen návrh schématu pro plnění závazku podle čl. 7. V případě, že vláda toto schéma schválí, budou zahájeny kroky pro úspěšnou implementaci tohoto schématu, který musí bát funkční nejpozději do konce roku 2030 (s ohledem na stávající neplnění závazků do roku 2020 je však vhodné provést implementaci dříve, ideálně do konce roku 2019). Navržené schéma počítá i s finanční podporou projektů z oblasti energetické účinnosti. Lze očekávat, že článek 7 se bude ve významné míře podílet na plnění dlouhodobé strategie renovace budov.</w:t>
            </w:r>
          </w:p>
        </w:tc>
        <w:tc>
          <w:tcPr>
            <w:tcW w:w="249" w:type="dxa"/>
            <w:tcBorders>
              <w:top w:val="nil"/>
              <w:bottom w:val="nil"/>
            </w:tcBorders>
            <w:shd w:val="clear" w:color="auto" w:fill="66CCFF"/>
          </w:tcPr>
          <w:p w14:paraId="49F0B4A6" w14:textId="77777777" w:rsidR="00DD3EFA" w:rsidRPr="00EC2A1C" w:rsidRDefault="00DD3EFA" w:rsidP="00B15ECB">
            <w:pPr>
              <w:rPr>
                <w:b/>
              </w:rPr>
            </w:pPr>
          </w:p>
        </w:tc>
      </w:tr>
      <w:tr w:rsidR="00DD3EFA" w:rsidRPr="00EC2A1C" w14:paraId="04D0A02A" w14:textId="77777777" w:rsidTr="00B15ECB">
        <w:trPr>
          <w:trHeight w:val="938"/>
        </w:trPr>
        <w:tc>
          <w:tcPr>
            <w:tcW w:w="249" w:type="dxa"/>
            <w:tcBorders>
              <w:top w:val="nil"/>
              <w:bottom w:val="nil"/>
            </w:tcBorders>
            <w:shd w:val="clear" w:color="auto" w:fill="66CCFF"/>
          </w:tcPr>
          <w:p w14:paraId="21D6B103"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451719E"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tcBorders>
              <w:bottom w:val="single" w:sz="4" w:space="0" w:color="auto"/>
            </w:tcBorders>
            <w:shd w:val="clear" w:color="auto" w:fill="FFFFFF" w:themeFill="background1"/>
          </w:tcPr>
          <w:p w14:paraId="038096B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Revize směrnice o energetické účinnosti přesně stanovuje, jaké prvky musí opatření splňovat, aby mohla být započitatelné do plnění závazku podle článku 7 (příloha V). Z tohoto důvodu MPO vytvořilo „Metodiku vykazování úspor energie z alternativních politických opatření“. Podle této metodiky dotčené subjekty (řídící orgány) vykazují realizovaná opatření. Tato metodiky bude aktualizována ve vazbě na zvolené schéma. Systém vykazování by bylo v následujícím období provázat na jednotnou evidenci projektů, aby došlo ke snížení zátěže administrátorů programů.</w:t>
            </w:r>
          </w:p>
        </w:tc>
        <w:tc>
          <w:tcPr>
            <w:tcW w:w="249" w:type="dxa"/>
            <w:tcBorders>
              <w:top w:val="nil"/>
              <w:bottom w:val="nil"/>
            </w:tcBorders>
            <w:shd w:val="clear" w:color="auto" w:fill="66CCFF"/>
          </w:tcPr>
          <w:p w14:paraId="77229590" w14:textId="77777777" w:rsidR="00DD3EFA" w:rsidRPr="00EC2A1C" w:rsidRDefault="00DD3EFA" w:rsidP="00B15ECB">
            <w:pPr>
              <w:rPr>
                <w:b/>
              </w:rPr>
            </w:pPr>
          </w:p>
        </w:tc>
      </w:tr>
      <w:tr w:rsidR="00DD3EFA" w:rsidRPr="00EC2A1C" w14:paraId="6F05028E" w14:textId="77777777" w:rsidTr="00B15ECB">
        <w:trPr>
          <w:trHeight w:val="130"/>
        </w:trPr>
        <w:tc>
          <w:tcPr>
            <w:tcW w:w="249" w:type="dxa"/>
            <w:tcBorders>
              <w:top w:val="nil"/>
              <w:bottom w:val="nil"/>
              <w:right w:val="nil"/>
            </w:tcBorders>
            <w:shd w:val="clear" w:color="auto" w:fill="66CCFF"/>
          </w:tcPr>
          <w:p w14:paraId="529D1FA2" w14:textId="77777777" w:rsidR="00DD3EFA" w:rsidRPr="00EC2A1C" w:rsidRDefault="00DD3EFA" w:rsidP="00B15ECB">
            <w:pPr>
              <w:rPr>
                <w:b/>
              </w:rPr>
            </w:pPr>
          </w:p>
        </w:tc>
        <w:tc>
          <w:tcPr>
            <w:tcW w:w="2548" w:type="dxa"/>
            <w:tcBorders>
              <w:left w:val="nil"/>
              <w:right w:val="nil"/>
            </w:tcBorders>
            <w:shd w:val="clear" w:color="auto" w:fill="66CCFF"/>
          </w:tcPr>
          <w:p w14:paraId="70D3626A" w14:textId="77777777" w:rsidR="00DD3EFA" w:rsidRPr="00EC2A1C" w:rsidRDefault="00DD3EFA" w:rsidP="00B15ECB">
            <w:pPr>
              <w:rPr>
                <w:b/>
              </w:rPr>
            </w:pPr>
          </w:p>
        </w:tc>
        <w:tc>
          <w:tcPr>
            <w:tcW w:w="5978" w:type="dxa"/>
            <w:tcBorders>
              <w:left w:val="nil"/>
              <w:right w:val="nil"/>
            </w:tcBorders>
            <w:shd w:val="clear" w:color="auto" w:fill="66CCFF"/>
          </w:tcPr>
          <w:p w14:paraId="7873712B"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7FC977C7" w14:textId="77777777" w:rsidR="00DD3EFA" w:rsidRPr="00EC2A1C" w:rsidRDefault="00DD3EFA" w:rsidP="00B15ECB">
            <w:pPr>
              <w:rPr>
                <w:b/>
              </w:rPr>
            </w:pPr>
          </w:p>
        </w:tc>
      </w:tr>
      <w:tr w:rsidR="00DD3EFA" w:rsidRPr="00EC2A1C" w14:paraId="72750D5F" w14:textId="77777777" w:rsidTr="00B15ECB">
        <w:trPr>
          <w:trHeight w:val="1258"/>
        </w:trPr>
        <w:tc>
          <w:tcPr>
            <w:tcW w:w="249" w:type="dxa"/>
            <w:tcBorders>
              <w:top w:val="nil"/>
              <w:bottom w:val="nil"/>
              <w:right w:val="nil"/>
            </w:tcBorders>
            <w:shd w:val="clear" w:color="auto" w:fill="66CCFF"/>
          </w:tcPr>
          <w:p w14:paraId="2E3FE5C4" w14:textId="77777777" w:rsidR="00DD3EFA" w:rsidRPr="00EC2A1C" w:rsidRDefault="00DD3EFA" w:rsidP="00B15ECB">
            <w:pPr>
              <w:rPr>
                <w:b/>
              </w:rPr>
            </w:pPr>
          </w:p>
        </w:tc>
        <w:tc>
          <w:tcPr>
            <w:tcW w:w="8526" w:type="dxa"/>
            <w:gridSpan w:val="2"/>
            <w:shd w:val="clear" w:color="auto" w:fill="FFFFFF" w:themeFill="background1"/>
          </w:tcPr>
          <w:p w14:paraId="645E647F"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1442433E" w14:textId="77777777" w:rsidR="00DD3EFA" w:rsidRPr="00EC2A1C" w:rsidRDefault="00DD3EFA" w:rsidP="00B15ECB">
            <w:pPr>
              <w:rPr>
                <w:rFonts w:eastAsiaTheme="majorEastAsia"/>
                <w:b/>
              </w:rPr>
            </w:pPr>
          </w:p>
          <w:p w14:paraId="4D1A529A"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05DFB6D0" w14:textId="77777777" w:rsidR="00DD3EFA" w:rsidRPr="00EC2A1C" w:rsidRDefault="00DD3EFA" w:rsidP="00B15ECB">
            <w:pPr>
              <w:rPr>
                <w:b/>
              </w:rPr>
            </w:pPr>
          </w:p>
        </w:tc>
      </w:tr>
      <w:tr w:rsidR="00DD3EFA" w:rsidRPr="00EC2A1C" w14:paraId="3DD6985B" w14:textId="77777777" w:rsidTr="00B15ECB">
        <w:trPr>
          <w:trHeight w:val="1258"/>
        </w:trPr>
        <w:tc>
          <w:tcPr>
            <w:tcW w:w="249" w:type="dxa"/>
            <w:tcBorders>
              <w:top w:val="nil"/>
              <w:bottom w:val="nil"/>
              <w:right w:val="nil"/>
            </w:tcBorders>
            <w:shd w:val="clear" w:color="auto" w:fill="66CCFF"/>
          </w:tcPr>
          <w:p w14:paraId="0F8EDE1D" w14:textId="77777777" w:rsidR="00DD3EFA" w:rsidRPr="00EC2A1C" w:rsidRDefault="00DD3EFA" w:rsidP="00B15ECB">
            <w:pPr>
              <w:rPr>
                <w:b/>
              </w:rPr>
            </w:pPr>
          </w:p>
        </w:tc>
        <w:tc>
          <w:tcPr>
            <w:tcW w:w="2548" w:type="dxa"/>
            <w:shd w:val="clear" w:color="auto" w:fill="FFFFFF" w:themeFill="background1"/>
          </w:tcPr>
          <w:p w14:paraId="76EBC7E3" w14:textId="77777777" w:rsidR="00DD3EFA" w:rsidRPr="00EC2A1C" w:rsidRDefault="00DD3EFA" w:rsidP="00B15ECB">
            <w:pPr>
              <w:rPr>
                <w:rFonts w:eastAsiaTheme="majorEastAsia"/>
                <w:b/>
              </w:rPr>
            </w:pPr>
            <w:r w:rsidRPr="00EC2A1C">
              <w:rPr>
                <w:rFonts w:eastAsiaTheme="majorEastAsia"/>
                <w:b/>
              </w:rPr>
              <w:t>Věcný posun oblasti</w:t>
            </w:r>
          </w:p>
          <w:p w14:paraId="4E6048FF"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5EDD5074" w14:textId="77777777" w:rsidR="00DD3EFA" w:rsidRPr="00EC2A1C" w:rsidRDefault="00DD3EFA" w:rsidP="00B15ECB">
            <w:pPr>
              <w:spacing w:before="60"/>
              <w:rPr>
                <w:rFonts w:eastAsiaTheme="majorEastAsia"/>
              </w:rPr>
            </w:pPr>
            <w:r w:rsidRPr="00EC2A1C">
              <w:rPr>
                <w:rFonts w:eastAsiaTheme="majorEastAsia"/>
              </w:rPr>
              <w:t>V období 2007–2013 nebyly opatření v OPPI předmětem podpory jako samostatná aktivita, ale byly součástí programu podpory Ekoenergie v Operačním cíli „Snižovat energetickou náročnost českého průmyslu a procesů spojených s výrobou přeměnou a užitím energie“ OPPI. Ten byl předmětem Ex-post evaluace OPPI jako celek: „Snižování energetické náročnosti českého průmyslu bylo dosaženo prostřednictvím širokého spektra aktivit. Došlo k realizaci plánovaného počtu projektů, které přinesly navýšení podílu energie vyrobené z obnovitelných zdrojů. Co se týče snižování energetické náročnosti průmyslu, ačkoliv nebylo dosaženo míry snížení odhadované v rámci programového dokumentu, je snížení poměrně výrazné. Závěr: Operační cíl byl v rámci realizace programu naplněn.“</w:t>
            </w:r>
          </w:p>
          <w:p w14:paraId="6B64489B" w14:textId="77777777" w:rsidR="00DD3EFA" w:rsidRPr="00EC2A1C" w:rsidRDefault="00DD3EFA" w:rsidP="00B15ECB">
            <w:pPr>
              <w:rPr>
                <w:rFonts w:eastAsiaTheme="majorEastAsia"/>
              </w:rPr>
            </w:pPr>
          </w:p>
          <w:p w14:paraId="014253AE" w14:textId="77777777" w:rsidR="00DD3EFA" w:rsidRPr="00EC2A1C" w:rsidRDefault="00DD3EFA" w:rsidP="00B15ECB">
            <w:pPr>
              <w:rPr>
                <w:rFonts w:eastAsiaTheme="majorEastAsia"/>
              </w:rPr>
            </w:pPr>
            <w:r w:rsidRPr="00EC2A1C">
              <w:rPr>
                <w:rFonts w:eastAsiaTheme="majorEastAsia"/>
              </w:rPr>
              <w:t>Za období 2014–2020 vyhodnocení probíhá v těchto dnech. Jde o Výsledkovou evaluaci SC 3.2 OP PIK</w:t>
            </w:r>
            <w:r w:rsidRPr="00EC2A1C">
              <w:t>.</w:t>
            </w:r>
            <w:r w:rsidRPr="00EC2A1C">
              <w:rPr>
                <w:rFonts w:eastAsiaTheme="majorEastAsia"/>
              </w:rPr>
              <w:t xml:space="preserve"> Dne 1. 2. 2019 byla předána Vstupní zpráva, Závěrečná zpráva se předpokládá v červnu 2019.</w:t>
            </w:r>
          </w:p>
          <w:p w14:paraId="6890E6F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p>
          <w:p w14:paraId="19F8964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Efekt dosavadní podpory je příspěvek ke snižování energetické náročnosti hospodářství, zejména sektoru průmyslu a budov soukromých, tak veřejných. Investiční podpora energeticky úsporných opatření v uplynulém období do značné míry neutralizovala vliv ekonomického růstu na míru spotřeby energie, tzn. zejména v sektoru průmyslu nedocházelo vlivem energetických úspor k nárůstu spotřeby energie.</w:t>
            </w:r>
          </w:p>
          <w:p w14:paraId="70A8ED5D"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Dosavadní podpora umožnila realizaci investiční opatření s delší dobou návratnosti (zejména v průmyslu), které by se na tržní bázi bez podpory státu nerealizovaly a tak by nedocházelo k plnění stanovených cílů v oblasti energetické účinnosti ani ke snižování energetické náročnosti v tak zásadní míře.</w:t>
            </w:r>
          </w:p>
          <w:p w14:paraId="1BA6FA0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rámci OPŽP 2007 – 2013 bylo podpořeno téměř 5,5 tis. projektů zvyšování energetické účinnosti veřejných budov s vykazovanou roční úsporou energie 3,4 PJ/rok (bez započtení projektů zaměřených pouze na obnovitelné zdroje energie, které byly podporovány samostatně na počátku programového období). Tento výsledek přesáhl původně předpokládaný efekt intervence ve výši 2 PJ/rok, přičemž je nutno přihlédnout k navýšení alokace v průběhu období. 1 GJ uspořené energie stál v průměru 7 026 Kč poskytnuté dotace z veřejných zdrojů. V rámci OPŽP 2014 – 2020 se předpokládá snížení spotřeby energie o 1,4 PJ/rok, přičemž nákladová efektivita by mohla být zhruba srovnatelná (v prvních výzvách byly měrné náklady nižší, ale s úpravami dotačních podmínek a zaměřením na budovy ústředních vládních institucí se náklady zvyšují).</w:t>
            </w:r>
          </w:p>
          <w:p w14:paraId="6FD1BD85" w14:textId="77777777" w:rsidR="00DD3EFA" w:rsidRPr="00EC2A1C" w:rsidRDefault="00DD3EFA" w:rsidP="00B15ECB">
            <w:pPr>
              <w:spacing w:before="60" w:after="60" w:line="276" w:lineRule="auto"/>
            </w:pPr>
            <w:r w:rsidRPr="00EC2A1C">
              <w:t>Opatření spadající do dané oblasti byla podporována v rámci Operačního programu Životní prostředí (OPŽP) jak v období 2007-2013, tak 2014–2020. I přes množství finančních prostředků vyčleněných pro tuto oblast je nutné i nadále pokračovat ve zvyšování energetických úspor a nacházet v tomto ohledu nové technologie a postupy, které bude nutné podpořit.  V poslední době, kdy je akcentována problematika změny klimatu, je realizace opatření přispívajících k adaptaci klíčová.</w:t>
            </w:r>
          </w:p>
          <w:p w14:paraId="5C608A41" w14:textId="77777777" w:rsidR="00DD3EFA" w:rsidRPr="00EC2A1C" w:rsidRDefault="00DD3EFA" w:rsidP="00B15ECB">
            <w:pPr>
              <w:spacing w:before="60" w:after="60" w:line="276" w:lineRule="auto"/>
            </w:pPr>
            <w:r w:rsidRPr="00EC2A1C">
              <w:t xml:space="preserve">V rámci OPŽP v programovém období 2014-2020 je podpora zvyšování energetických úspor uskutečňována pomocí prioritní osy 5 Energetické úspory. Prioritní osa se dělí momentálně na tři specifické cíle (SC): 5.1 Snížit energetickou náročnost veřejných budov a zvýšit využití obnovitelných zdrojů energie, 5.2 Dosáhnout vysokého energetického standardu nových veřejných budov a nově zavedený SC 5.3 Snížit energetickou náročnost a zvýšit využití obnovitelných zdrojů energie v budovách ústředních vládních institucí. </w:t>
            </w:r>
          </w:p>
          <w:p w14:paraId="7EA4D206" w14:textId="77777777" w:rsidR="00DD3EFA" w:rsidRPr="00EC2A1C" w:rsidRDefault="00DD3EFA" w:rsidP="00B15ECB">
            <w:pPr>
              <w:spacing w:before="60" w:after="60" w:line="276" w:lineRule="auto"/>
            </w:pPr>
            <w:r w:rsidRPr="00EC2A1C">
              <w:t>V rámci OPŽP 2014 – 2020 je na SC 5.1 alokováno cca 11,6 mld. Kč (450,5 mil. EUR) EU prostředků, na SC 5.2 je alokováno cca 516 mil. Kč (20 mil. EUR) EU prostředků, na SC 5.3 je alokováno cca 2 mld. Kč (79 mil. EUR) EU prostředků.</w:t>
            </w:r>
          </w:p>
          <w:p w14:paraId="141A3E66" w14:textId="77777777" w:rsidR="00DD3EFA" w:rsidRPr="00EC2A1C" w:rsidRDefault="00DD3EFA" w:rsidP="00B15ECB">
            <w:pPr>
              <w:spacing w:before="60" w:after="60" w:line="276" w:lineRule="auto"/>
            </w:pPr>
            <w:r w:rsidRPr="00EC2A1C">
              <w:t>V rámci OPŽP 2014 – 2020 bylo v rámci Programového dokumentu stanoveno 5 společných a specifických programových ukazatelů výstupů v prioritní ose 5:</w:t>
            </w:r>
          </w:p>
          <w:p w14:paraId="4DD8793D" w14:textId="6D0620DF" w:rsidR="00DD3EFA" w:rsidRPr="00EC2A1C" w:rsidRDefault="00730FC6" w:rsidP="00391907">
            <w:pPr>
              <w:pStyle w:val="Odstavecseseznamem"/>
              <w:widowControl w:val="0"/>
              <w:numPr>
                <w:ilvl w:val="0"/>
                <w:numId w:val="100"/>
              </w:numPr>
              <w:adjustRightInd w:val="0"/>
              <w:spacing w:before="60" w:after="60" w:line="276" w:lineRule="auto"/>
              <w:jc w:val="both"/>
              <w:textAlignment w:val="baseline"/>
            </w:pPr>
            <w:r w:rsidRPr="00EC2A1C">
              <w:t>Odhadované</w:t>
            </w:r>
            <w:r w:rsidR="00DD3EFA" w:rsidRPr="00EC2A1C">
              <w:t xml:space="preserve"> roční snížení emisí skleníkových plynů – cílová hodnota v r. 2023 je 265 234 t CO</w:t>
            </w:r>
            <w:r w:rsidR="00DD3EFA" w:rsidRPr="00EC2A1C">
              <w:rPr>
                <w:vertAlign w:val="subscript"/>
              </w:rPr>
              <w:t>2</w:t>
            </w:r>
            <w:r w:rsidR="00DD3EFA" w:rsidRPr="00EC2A1C">
              <w:t xml:space="preserve">ekv./rok </w:t>
            </w:r>
          </w:p>
          <w:p w14:paraId="04AFFD1E" w14:textId="77777777" w:rsidR="00DD3EFA" w:rsidRPr="00EC2A1C" w:rsidRDefault="00DD3EFA" w:rsidP="00391907">
            <w:pPr>
              <w:pStyle w:val="Odstavecseseznamem"/>
              <w:widowControl w:val="0"/>
              <w:numPr>
                <w:ilvl w:val="0"/>
                <w:numId w:val="100"/>
              </w:numPr>
              <w:adjustRightInd w:val="0"/>
              <w:spacing w:before="60" w:after="60" w:line="276" w:lineRule="auto"/>
              <w:jc w:val="both"/>
              <w:textAlignment w:val="baseline"/>
            </w:pPr>
            <w:r w:rsidRPr="00EC2A1C">
              <w:t>Nová kapacita zařízení pro výrobu energie z obnovitelných zdrojů – cílová hodnota v r. 2023 je 9 MW</w:t>
            </w:r>
          </w:p>
          <w:p w14:paraId="6E8E2736" w14:textId="77777777" w:rsidR="00DD3EFA" w:rsidRPr="00EC2A1C" w:rsidRDefault="00DD3EFA" w:rsidP="00391907">
            <w:pPr>
              <w:pStyle w:val="Odstavecseseznamem"/>
              <w:widowControl w:val="0"/>
              <w:numPr>
                <w:ilvl w:val="0"/>
                <w:numId w:val="100"/>
              </w:numPr>
              <w:adjustRightInd w:val="0"/>
              <w:spacing w:before="60" w:after="60" w:line="276" w:lineRule="auto"/>
              <w:jc w:val="both"/>
              <w:textAlignment w:val="baseline"/>
            </w:pPr>
            <w:r w:rsidRPr="00EC2A1C">
              <w:t>Výroba tepla z obnovitelných zdrojů – cílová hodnota v r. 2023 je 45 000 GJ</w:t>
            </w:r>
          </w:p>
          <w:p w14:paraId="5E832F1D" w14:textId="77777777" w:rsidR="00DD3EFA" w:rsidRPr="00EC2A1C" w:rsidRDefault="00DD3EFA" w:rsidP="00391907">
            <w:pPr>
              <w:pStyle w:val="Odstavecseseznamem"/>
              <w:widowControl w:val="0"/>
              <w:numPr>
                <w:ilvl w:val="0"/>
                <w:numId w:val="100"/>
              </w:numPr>
              <w:adjustRightInd w:val="0"/>
              <w:spacing w:before="60" w:after="60" w:line="276" w:lineRule="auto"/>
              <w:jc w:val="both"/>
              <w:textAlignment w:val="baseline"/>
            </w:pPr>
            <w:r w:rsidRPr="00EC2A1C">
              <w:t>Snížení konečné spotřeby energie ve veřejných budovách - cílová hodnota v r. 2023 je 1 400 000 Gj/rok</w:t>
            </w:r>
          </w:p>
          <w:p w14:paraId="69B345F9" w14:textId="77777777" w:rsidR="00DD3EFA" w:rsidRPr="00EC2A1C" w:rsidRDefault="00DD3EFA" w:rsidP="00391907">
            <w:pPr>
              <w:pStyle w:val="Odstavecseseznamem"/>
              <w:widowControl w:val="0"/>
              <w:numPr>
                <w:ilvl w:val="0"/>
                <w:numId w:val="100"/>
              </w:numPr>
              <w:adjustRightInd w:val="0"/>
              <w:spacing w:before="60" w:after="60" w:line="276" w:lineRule="auto"/>
              <w:jc w:val="both"/>
              <w:textAlignment w:val="baseline"/>
            </w:pPr>
            <w:r w:rsidRPr="00EC2A1C">
              <w:t>Snížení emisí tuhých znečišťujících látek - cílová hodnota v r. 2023 je 723 t/rok</w:t>
            </w:r>
          </w:p>
          <w:p w14:paraId="1D904484" w14:textId="77777777" w:rsidR="00DD3EFA" w:rsidRPr="00EC2A1C" w:rsidRDefault="00DD3EFA" w:rsidP="00B15ECB">
            <w:pPr>
              <w:spacing w:before="60" w:after="60" w:line="276" w:lineRule="auto"/>
            </w:pPr>
          </w:p>
          <w:p w14:paraId="42A13460" w14:textId="77777777" w:rsidR="00DD3EFA" w:rsidRPr="00EC2A1C" w:rsidRDefault="00DD3EFA" w:rsidP="00B15ECB">
            <w:pPr>
              <w:spacing w:before="60" w:after="60" w:line="276" w:lineRule="auto"/>
            </w:pPr>
            <w:r w:rsidRPr="00EC2A1C">
              <w:t xml:space="preserve">V rámci OPŽP 2007 – 2013 byla podpora úspor energie obsažena v prioritní ose 3 – Udržitelné využívání energie. Specifické cíle v této PO byly dva, a to SC 3.1 Výstavba nových zařízení a rekonstrukce stávajících zařízení s cílem zvýšení využívaní OZE pro výrobu tepla, elektřiny a kombinované výroby tepla a elektřiny a SC 3.2 Realizace úspor energie a využití odpadního tepla u nepodnikatelské sféry. Pro oblast podpory 3.1 bylo alokováno cca 2,260 mld. Kč (85 mil. EUR) EU prostředků a pro oblast 3.2 cca 25,5  mld. Kč (965 EUR) EU prostředků. </w:t>
            </w:r>
          </w:p>
          <w:p w14:paraId="3D631819" w14:textId="77777777" w:rsidR="00DD3EFA" w:rsidRPr="00EC2A1C" w:rsidRDefault="00DD3EFA" w:rsidP="00B15ECB">
            <w:pPr>
              <w:spacing w:before="60" w:after="60" w:line="276" w:lineRule="auto"/>
            </w:pPr>
            <w:r w:rsidRPr="00EC2A1C">
              <w:t>V rámci OPŽP 2007 – 2013 byly 3 indikátory, jejichž sledování bylo stanoveno v Programovém dokumentu OPŽP:</w:t>
            </w:r>
          </w:p>
          <w:p w14:paraId="1DA04D07" w14:textId="77777777" w:rsidR="00DD3EFA" w:rsidRPr="00EC2A1C" w:rsidRDefault="00DD3EFA" w:rsidP="00391907">
            <w:pPr>
              <w:pStyle w:val="Default"/>
              <w:widowControl w:val="0"/>
              <w:numPr>
                <w:ilvl w:val="0"/>
                <w:numId w:val="3"/>
              </w:numPr>
              <w:contextualSpacing/>
              <w:jc w:val="both"/>
              <w:textAlignment w:val="baseline"/>
              <w:rPr>
                <w:rFonts w:ascii="Times New Roman" w:hAnsi="Times New Roman" w:cs="Times New Roman"/>
                <w:sz w:val="20"/>
                <w:szCs w:val="20"/>
              </w:rPr>
            </w:pPr>
            <w:r w:rsidRPr="00EC2A1C">
              <w:rPr>
                <w:rFonts w:ascii="Times New Roman" w:hAnsi="Times New Roman" w:cs="Times New Roman"/>
                <w:sz w:val="20"/>
                <w:szCs w:val="20"/>
              </w:rPr>
              <w:t>Počet podpořených projektů zaměřených na zvýšení kapacit pro výrobu energie z obnovitelných zdrojů – počet podpořených projektů 6 024</w:t>
            </w:r>
          </w:p>
          <w:p w14:paraId="29B7C622" w14:textId="77777777" w:rsidR="00DD3EFA" w:rsidRPr="00EC2A1C" w:rsidRDefault="00DD3EFA" w:rsidP="00391907">
            <w:pPr>
              <w:pStyle w:val="Odstavecseseznamem"/>
              <w:widowControl w:val="0"/>
              <w:numPr>
                <w:ilvl w:val="0"/>
                <w:numId w:val="3"/>
              </w:numPr>
              <w:adjustRightInd w:val="0"/>
              <w:spacing w:before="60" w:after="60" w:line="276" w:lineRule="auto"/>
              <w:jc w:val="both"/>
              <w:textAlignment w:val="baseline"/>
              <w:rPr>
                <w:i/>
              </w:rPr>
            </w:pPr>
            <w:r w:rsidRPr="00EC2A1C">
              <w:rPr>
                <w:i/>
              </w:rPr>
              <w:t>Zvýšení kapacit na výrobu energie z obnovitelných zdrojů</w:t>
            </w:r>
            <w:r w:rsidRPr="00EC2A1C">
              <w:t xml:space="preserve"> – dosažená hodnota 58,69 MW </w:t>
            </w:r>
          </w:p>
          <w:p w14:paraId="0A38CFDC" w14:textId="77777777" w:rsidR="00DD3EFA" w:rsidRPr="00EC2A1C" w:rsidRDefault="00DD3EFA" w:rsidP="00391907">
            <w:pPr>
              <w:pStyle w:val="Odstavecseseznamem"/>
              <w:widowControl w:val="0"/>
              <w:numPr>
                <w:ilvl w:val="0"/>
                <w:numId w:val="3"/>
              </w:numPr>
              <w:adjustRightInd w:val="0"/>
              <w:spacing w:before="60" w:after="60" w:line="276" w:lineRule="auto"/>
              <w:jc w:val="both"/>
              <w:textAlignment w:val="baseline"/>
              <w:rPr>
                <w:i/>
              </w:rPr>
            </w:pPr>
            <w:r w:rsidRPr="00EC2A1C">
              <w:rPr>
                <w:i/>
              </w:rPr>
              <w:t xml:space="preserve">Snížení spotřeby energie </w:t>
            </w:r>
            <w:r w:rsidRPr="00EC2A1C">
              <w:t xml:space="preserve">– dosažená hodnota  3 719 062,71 GJ/rok </w:t>
            </w:r>
          </w:p>
          <w:p w14:paraId="408AE5AA"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left w:val="nil"/>
              <w:bottom w:val="nil"/>
            </w:tcBorders>
            <w:shd w:val="clear" w:color="auto" w:fill="66CCFF"/>
          </w:tcPr>
          <w:p w14:paraId="2B99942F" w14:textId="77777777" w:rsidR="00DD3EFA" w:rsidRPr="00EC2A1C" w:rsidRDefault="00DD3EFA" w:rsidP="00B15ECB">
            <w:pPr>
              <w:rPr>
                <w:b/>
              </w:rPr>
            </w:pPr>
          </w:p>
        </w:tc>
      </w:tr>
      <w:tr w:rsidR="00DD3EFA" w:rsidRPr="00EC2A1C" w14:paraId="77B80E44" w14:textId="77777777" w:rsidTr="00B15ECB">
        <w:trPr>
          <w:trHeight w:val="1258"/>
        </w:trPr>
        <w:tc>
          <w:tcPr>
            <w:tcW w:w="249" w:type="dxa"/>
            <w:tcBorders>
              <w:top w:val="nil"/>
              <w:bottom w:val="nil"/>
              <w:right w:val="nil"/>
            </w:tcBorders>
            <w:shd w:val="clear" w:color="auto" w:fill="66CCFF"/>
          </w:tcPr>
          <w:p w14:paraId="6C9FA742" w14:textId="77777777" w:rsidR="00DD3EFA" w:rsidRPr="002D2123" w:rsidRDefault="00DD3EFA" w:rsidP="00B15ECB">
            <w:pPr>
              <w:rPr>
                <w:b/>
                <w:sz w:val="10"/>
                <w:szCs w:val="10"/>
              </w:rPr>
            </w:pPr>
          </w:p>
        </w:tc>
        <w:tc>
          <w:tcPr>
            <w:tcW w:w="2548" w:type="dxa"/>
            <w:shd w:val="clear" w:color="auto" w:fill="FFFFFF" w:themeFill="background1"/>
          </w:tcPr>
          <w:p w14:paraId="43E084C4" w14:textId="77777777" w:rsidR="00DD3EFA" w:rsidRPr="002D2123" w:rsidRDefault="00DD3EFA" w:rsidP="00B15ECB">
            <w:pPr>
              <w:rPr>
                <w:rFonts w:eastAsiaTheme="majorEastAsia"/>
                <w:b/>
              </w:rPr>
            </w:pPr>
            <w:r w:rsidRPr="002D2123">
              <w:rPr>
                <w:rFonts w:eastAsiaTheme="majorEastAsia"/>
                <w:b/>
              </w:rPr>
              <w:t>Synergické a multiplikační efekty</w:t>
            </w:r>
          </w:p>
          <w:p w14:paraId="17521B5D" w14:textId="77777777" w:rsidR="00DD3EFA" w:rsidRPr="002D2123" w:rsidRDefault="00DD3EFA" w:rsidP="00B15ECB">
            <w:pPr>
              <w:rPr>
                <w:rFonts w:eastAsiaTheme="majorEastAsia"/>
                <w:b/>
              </w:rPr>
            </w:pPr>
            <w:r w:rsidRPr="002D2123">
              <w:rPr>
                <w:rFonts w:eastAsiaTheme="majorEastAsia"/>
                <w:b/>
              </w:rPr>
              <w:t>(tj. v období 2014 – 2020, příp. 2007 – 2013)</w:t>
            </w:r>
          </w:p>
        </w:tc>
        <w:tc>
          <w:tcPr>
            <w:tcW w:w="5978" w:type="dxa"/>
            <w:shd w:val="clear" w:color="auto" w:fill="FFFFFF" w:themeFill="background1"/>
          </w:tcPr>
          <w:p w14:paraId="43F06F30"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Oblast úspor energie byla v období 2014-2020 komplementární napříč několika operačními programy. Aktivita se průřezově doplňovala dle příjemců podpory: MPO – podnikatelské subjekty; OP ŽP – veřejný sektor; IROP – domácnosti; OP PPR – pilotní projekty ve veřejném sektoru na území Prahy; PRV – snižování energetické náročnosti v zemědělském podnikání u projektů, které svým charakterem nesplňují podmínky energetických úspor definovaných OP PIK; OP R – oblast akvakultury. </w:t>
            </w:r>
          </w:p>
          <w:p w14:paraId="79E66B50" w14:textId="77777777" w:rsidR="00DD3EFA" w:rsidRPr="00EC2A1C" w:rsidRDefault="00DD3EFA" w:rsidP="00B15ECB">
            <w:pPr>
              <w:pStyle w:val="Textkomente"/>
              <w:rPr>
                <w:rFonts w:eastAsia="Calibri"/>
                <w:noProof w:val="0"/>
              </w:rPr>
            </w:pPr>
            <w:r w:rsidRPr="00EC2A1C">
              <w:rPr>
                <w:rFonts w:eastAsia="Calibri"/>
                <w:noProof w:val="0"/>
              </w:rPr>
              <w:t xml:space="preserve">Další oblastí, kde je energetická účinnost řešena je doprava, která je v nynějším období podporována jak z IROP tak z OP Doprava. I v dalším období bude úspora energie vedlejším efektem mnoha oblastí, zejména v dopravě a v oblasti rozvoje venkova. </w:t>
            </w:r>
          </w:p>
          <w:p w14:paraId="17AFC4F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p>
        </w:tc>
        <w:tc>
          <w:tcPr>
            <w:tcW w:w="249" w:type="dxa"/>
            <w:tcBorders>
              <w:top w:val="nil"/>
              <w:left w:val="nil"/>
              <w:bottom w:val="nil"/>
            </w:tcBorders>
            <w:shd w:val="clear" w:color="auto" w:fill="66CCFF"/>
          </w:tcPr>
          <w:p w14:paraId="4D23F698" w14:textId="77777777" w:rsidR="00DD3EFA" w:rsidRPr="00EC2A1C" w:rsidRDefault="00DD3EFA" w:rsidP="00B15ECB">
            <w:pPr>
              <w:rPr>
                <w:b/>
              </w:rPr>
            </w:pPr>
          </w:p>
        </w:tc>
      </w:tr>
      <w:tr w:rsidR="00DD3EFA" w:rsidRPr="00EC2A1C" w14:paraId="57DDE1FE" w14:textId="77777777" w:rsidTr="00B15ECB">
        <w:trPr>
          <w:trHeight w:val="180"/>
        </w:trPr>
        <w:tc>
          <w:tcPr>
            <w:tcW w:w="249" w:type="dxa"/>
            <w:tcBorders>
              <w:top w:val="nil"/>
              <w:bottom w:val="nil"/>
              <w:right w:val="nil"/>
            </w:tcBorders>
            <w:shd w:val="clear" w:color="auto" w:fill="66CCFF"/>
          </w:tcPr>
          <w:p w14:paraId="6B0839DE" w14:textId="77777777" w:rsidR="00DD3EFA" w:rsidRPr="002D2123" w:rsidRDefault="00DD3EFA" w:rsidP="00B15ECB">
            <w:pPr>
              <w:rPr>
                <w:b/>
                <w:sz w:val="10"/>
                <w:szCs w:val="10"/>
              </w:rPr>
            </w:pPr>
          </w:p>
        </w:tc>
        <w:tc>
          <w:tcPr>
            <w:tcW w:w="2548" w:type="dxa"/>
            <w:tcBorders>
              <w:left w:val="nil"/>
              <w:bottom w:val="single" w:sz="4" w:space="0" w:color="auto"/>
              <w:right w:val="nil"/>
            </w:tcBorders>
            <w:shd w:val="clear" w:color="auto" w:fill="66CCFF"/>
          </w:tcPr>
          <w:p w14:paraId="35A0DA88" w14:textId="77777777" w:rsidR="00DD3EFA" w:rsidRPr="002D2123" w:rsidRDefault="00DD3EFA" w:rsidP="00B15ECB">
            <w:pPr>
              <w:rPr>
                <w:b/>
                <w:sz w:val="10"/>
                <w:szCs w:val="10"/>
              </w:rPr>
            </w:pPr>
          </w:p>
        </w:tc>
        <w:tc>
          <w:tcPr>
            <w:tcW w:w="5978" w:type="dxa"/>
            <w:tcBorders>
              <w:left w:val="nil"/>
              <w:bottom w:val="single" w:sz="4" w:space="0" w:color="auto"/>
              <w:right w:val="nil"/>
            </w:tcBorders>
            <w:shd w:val="clear" w:color="auto" w:fill="66CCFF"/>
          </w:tcPr>
          <w:p w14:paraId="76EC67FF" w14:textId="77777777" w:rsidR="00DD3EFA" w:rsidRPr="00EC2A1C" w:rsidRDefault="00DD3EFA" w:rsidP="00B15ECB">
            <w:pPr>
              <w:rPr>
                <w:b/>
              </w:rPr>
            </w:pPr>
          </w:p>
        </w:tc>
        <w:tc>
          <w:tcPr>
            <w:tcW w:w="249" w:type="dxa"/>
            <w:tcBorders>
              <w:top w:val="nil"/>
              <w:left w:val="nil"/>
              <w:bottom w:val="nil"/>
            </w:tcBorders>
            <w:shd w:val="clear" w:color="auto" w:fill="66CCFF"/>
          </w:tcPr>
          <w:p w14:paraId="665EA49C" w14:textId="77777777" w:rsidR="00DD3EFA" w:rsidRPr="00EC2A1C" w:rsidRDefault="00DD3EFA" w:rsidP="00B15ECB">
            <w:pPr>
              <w:rPr>
                <w:b/>
              </w:rPr>
            </w:pPr>
          </w:p>
        </w:tc>
      </w:tr>
      <w:tr w:rsidR="00DD3EFA" w:rsidRPr="00EC2A1C" w14:paraId="2F88B5D9" w14:textId="77777777" w:rsidTr="00B15ECB">
        <w:trPr>
          <w:trHeight w:val="990"/>
        </w:trPr>
        <w:tc>
          <w:tcPr>
            <w:tcW w:w="249" w:type="dxa"/>
            <w:tcBorders>
              <w:top w:val="nil"/>
              <w:bottom w:val="nil"/>
            </w:tcBorders>
            <w:shd w:val="clear" w:color="auto" w:fill="66CCFF"/>
          </w:tcPr>
          <w:p w14:paraId="7633A7A2" w14:textId="77777777" w:rsidR="00DD3EFA" w:rsidRPr="002D2123" w:rsidRDefault="00DD3EFA" w:rsidP="00B15ECB">
            <w:pPr>
              <w:rPr>
                <w:b/>
                <w:sz w:val="10"/>
                <w:szCs w:val="10"/>
              </w:rPr>
            </w:pPr>
          </w:p>
        </w:tc>
        <w:tc>
          <w:tcPr>
            <w:tcW w:w="8526" w:type="dxa"/>
            <w:gridSpan w:val="2"/>
            <w:tcBorders>
              <w:bottom w:val="single" w:sz="4" w:space="0" w:color="auto"/>
            </w:tcBorders>
            <w:shd w:val="clear" w:color="auto" w:fill="FFFFFF" w:themeFill="background1"/>
          </w:tcPr>
          <w:p w14:paraId="36B2F44D" w14:textId="77777777" w:rsidR="00DD3EFA" w:rsidRPr="00EC2A1C" w:rsidRDefault="00DD3EFA"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0A5310F5" w14:textId="77777777" w:rsidR="00DD3EFA" w:rsidRPr="00EC2A1C" w:rsidRDefault="00DD3EFA">
            <w:pPr>
              <w:spacing w:before="60" w:after="60"/>
              <w:rPr>
                <w:rFonts w:eastAsiaTheme="majorEastAsia"/>
              </w:rPr>
            </w:pPr>
          </w:p>
        </w:tc>
        <w:tc>
          <w:tcPr>
            <w:tcW w:w="249" w:type="dxa"/>
            <w:tcBorders>
              <w:top w:val="nil"/>
              <w:bottom w:val="nil"/>
            </w:tcBorders>
            <w:shd w:val="clear" w:color="auto" w:fill="66CCFF"/>
          </w:tcPr>
          <w:p w14:paraId="2FBE3875" w14:textId="77777777" w:rsidR="00DD3EFA" w:rsidRPr="00EC2A1C" w:rsidRDefault="00DD3EFA" w:rsidP="00B15ECB">
            <w:pPr>
              <w:rPr>
                <w:b/>
              </w:rPr>
            </w:pPr>
          </w:p>
        </w:tc>
      </w:tr>
      <w:tr w:rsidR="00DD3EFA" w:rsidRPr="00EC2A1C" w14:paraId="5630643C" w14:textId="77777777" w:rsidTr="00B15ECB">
        <w:trPr>
          <w:trHeight w:val="1260"/>
        </w:trPr>
        <w:tc>
          <w:tcPr>
            <w:tcW w:w="249" w:type="dxa"/>
            <w:tcBorders>
              <w:top w:val="nil"/>
              <w:bottom w:val="nil"/>
            </w:tcBorders>
            <w:shd w:val="clear" w:color="auto" w:fill="66CCFF"/>
          </w:tcPr>
          <w:p w14:paraId="2AB51B67"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00E90288"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0612D328" w14:textId="77777777" w:rsidR="00DD3EFA" w:rsidRPr="00EC2A1C" w:rsidRDefault="00DD3EFA" w:rsidP="00B15ECB">
            <w:pPr>
              <w:spacing w:before="60" w:after="60"/>
              <w:rPr>
                <w:rFonts w:eastAsia="Calibri"/>
              </w:rPr>
            </w:pPr>
            <w:r w:rsidRPr="00EC2A1C">
              <w:rPr>
                <w:rFonts w:eastAsia="Calibri"/>
              </w:rPr>
              <w:t xml:space="preserve">Z OP PIK je podoblast podporována v rámci PO 3, IP 2 „Podpora energetické účinnosti a využívání energie z obnovitelných zdrojů v podnicích“, SC 3.2 „Zvýšit energetickou účinnost podnikatelského sektoru“ </w:t>
            </w:r>
          </w:p>
          <w:p w14:paraId="1B3B5E68" w14:textId="77777777" w:rsidR="00DD3EFA" w:rsidRPr="00EC2A1C" w:rsidRDefault="00DD3EFA" w:rsidP="00B15ECB">
            <w:pPr>
              <w:spacing w:before="60" w:after="60"/>
              <w:rPr>
                <w:rFonts w:eastAsia="Calibri"/>
              </w:rPr>
            </w:pPr>
            <w:r w:rsidRPr="00EC2A1C">
              <w:rPr>
                <w:rFonts w:eastAsia="Calibri"/>
              </w:rPr>
              <w:t>Podpora se zaměřuje na podnikatelský sektor, v rámci tohoto programu jsou podporovány tyto aktivity:</w:t>
            </w:r>
          </w:p>
          <w:p w14:paraId="4FA17595" w14:textId="77777777" w:rsidR="00DD3EFA" w:rsidRPr="00EC2A1C" w:rsidRDefault="00DD3EFA" w:rsidP="00391907">
            <w:pPr>
              <w:pStyle w:val="Odstavecseseznamem"/>
              <w:numPr>
                <w:ilvl w:val="0"/>
                <w:numId w:val="96"/>
              </w:numPr>
              <w:spacing w:before="40" w:after="80" w:line="276" w:lineRule="auto"/>
              <w:jc w:val="both"/>
            </w:pPr>
            <w:r w:rsidRPr="00EC2A1C">
              <w:t xml:space="preserve">modernizace a rekonstrukce rozvodů elektřiny, plynu a tepla, </w:t>
            </w:r>
          </w:p>
          <w:p w14:paraId="0028BFB8" w14:textId="77777777" w:rsidR="00DD3EFA" w:rsidRPr="00EC2A1C" w:rsidRDefault="00DD3EFA" w:rsidP="00391907">
            <w:pPr>
              <w:pStyle w:val="Odstavecseseznamem"/>
              <w:numPr>
                <w:ilvl w:val="0"/>
                <w:numId w:val="96"/>
              </w:numPr>
              <w:spacing w:before="40" w:after="80" w:line="276" w:lineRule="auto"/>
              <w:jc w:val="both"/>
            </w:pPr>
            <w:r w:rsidRPr="00EC2A1C">
              <w:t xml:space="preserve">modernizace a rekonstrukce stávajících zařízení na výrobu energie pro vlastní spotřebu, </w:t>
            </w:r>
          </w:p>
          <w:p w14:paraId="364FA4E6" w14:textId="77777777" w:rsidR="00DD3EFA" w:rsidRPr="00EC2A1C" w:rsidRDefault="00DD3EFA" w:rsidP="00391907">
            <w:pPr>
              <w:pStyle w:val="Odstavecseseznamem"/>
              <w:numPr>
                <w:ilvl w:val="0"/>
                <w:numId w:val="96"/>
              </w:numPr>
              <w:spacing w:before="40" w:after="80" w:line="276" w:lineRule="auto"/>
              <w:jc w:val="both"/>
            </w:pPr>
            <w:r w:rsidRPr="00EC2A1C">
              <w:t>zavádění a modernizaci systémů měření a regulace,</w:t>
            </w:r>
          </w:p>
          <w:p w14:paraId="2875E818" w14:textId="77777777" w:rsidR="00DD3EFA" w:rsidRPr="00EC2A1C" w:rsidRDefault="00DD3EFA" w:rsidP="00391907">
            <w:pPr>
              <w:pStyle w:val="Odstavecseseznamem"/>
              <w:numPr>
                <w:ilvl w:val="0"/>
                <w:numId w:val="96"/>
              </w:numPr>
              <w:spacing w:before="40" w:after="80" w:line="276" w:lineRule="auto"/>
              <w:jc w:val="both"/>
            </w:pPr>
            <w:r w:rsidRPr="00EC2A1C">
              <w:t xml:space="preserve">modernizace soustav osvětlení, </w:t>
            </w:r>
          </w:p>
          <w:p w14:paraId="4E55AF18" w14:textId="77777777" w:rsidR="00DD3EFA" w:rsidRPr="00EC2A1C" w:rsidRDefault="00DD3EFA" w:rsidP="00391907">
            <w:pPr>
              <w:pStyle w:val="Odstavecseseznamem"/>
              <w:numPr>
                <w:ilvl w:val="0"/>
                <w:numId w:val="96"/>
              </w:numPr>
              <w:spacing w:before="40" w:after="80" w:line="276" w:lineRule="auto"/>
              <w:jc w:val="both"/>
            </w:pPr>
            <w:r w:rsidRPr="00EC2A1C">
              <w:t xml:space="preserve">snižování energetické náročnosti budov, </w:t>
            </w:r>
          </w:p>
          <w:p w14:paraId="482B0568" w14:textId="77777777" w:rsidR="00DD3EFA" w:rsidRPr="00EC2A1C" w:rsidRDefault="00DD3EFA" w:rsidP="00391907">
            <w:pPr>
              <w:pStyle w:val="Odstavecseseznamem"/>
              <w:numPr>
                <w:ilvl w:val="0"/>
                <w:numId w:val="96"/>
              </w:numPr>
              <w:spacing w:before="40" w:after="80" w:line="276" w:lineRule="auto"/>
              <w:jc w:val="both"/>
            </w:pPr>
            <w:r w:rsidRPr="00EC2A1C">
              <w:t>využití odpadní energie ve výrobních procesech,</w:t>
            </w:r>
          </w:p>
          <w:p w14:paraId="357B50E1" w14:textId="77777777" w:rsidR="00DD3EFA" w:rsidRPr="00EC2A1C" w:rsidRDefault="00DD3EFA" w:rsidP="00391907">
            <w:pPr>
              <w:pStyle w:val="Odstavecseseznamem"/>
              <w:numPr>
                <w:ilvl w:val="0"/>
                <w:numId w:val="96"/>
              </w:numPr>
              <w:spacing w:before="40" w:after="80" w:line="276" w:lineRule="auto"/>
              <w:jc w:val="both"/>
            </w:pPr>
            <w:r w:rsidRPr="00EC2A1C">
              <w:t xml:space="preserve">snižování energetické náročnosti výrobních a technologických procesů, </w:t>
            </w:r>
          </w:p>
          <w:p w14:paraId="56DAA95E" w14:textId="77777777" w:rsidR="00DD3EFA" w:rsidRPr="00EC2A1C" w:rsidRDefault="00DD3EFA" w:rsidP="00391907">
            <w:pPr>
              <w:pStyle w:val="Odstavecseseznamem"/>
              <w:numPr>
                <w:ilvl w:val="0"/>
                <w:numId w:val="96"/>
              </w:numPr>
              <w:spacing w:before="40" w:after="80" w:line="276" w:lineRule="auto"/>
              <w:jc w:val="both"/>
            </w:pPr>
            <w:r w:rsidRPr="00EC2A1C">
              <w:t xml:space="preserve">instalace OZE pro vlastní spotřebu, </w:t>
            </w:r>
          </w:p>
          <w:p w14:paraId="1DA06EFD" w14:textId="77777777" w:rsidR="00DD3EFA" w:rsidRPr="00EC2A1C" w:rsidRDefault="00DD3EFA" w:rsidP="00391907">
            <w:pPr>
              <w:pStyle w:val="Odstavecseseznamem"/>
              <w:numPr>
                <w:ilvl w:val="0"/>
                <w:numId w:val="96"/>
              </w:numPr>
              <w:spacing w:before="40" w:after="80" w:line="276" w:lineRule="auto"/>
              <w:jc w:val="both"/>
            </w:pPr>
            <w:r w:rsidRPr="00EC2A1C">
              <w:t>instalace KVET pro vlastní spotřebu,</w:t>
            </w:r>
          </w:p>
          <w:p w14:paraId="2ECEB2B5" w14:textId="77777777" w:rsidR="00DD3EFA" w:rsidRPr="00EC2A1C" w:rsidRDefault="00DD3EFA" w:rsidP="00391907">
            <w:pPr>
              <w:pStyle w:val="Odstavecseseznamem"/>
              <w:numPr>
                <w:ilvl w:val="0"/>
                <w:numId w:val="96"/>
              </w:numPr>
              <w:spacing w:before="40" w:after="80" w:line="276" w:lineRule="auto"/>
              <w:jc w:val="both"/>
            </w:pPr>
            <w:r w:rsidRPr="00EC2A1C">
              <w:t>akumulace elektrické energie v rámci komplexních projektů,</w:t>
            </w:r>
          </w:p>
          <w:p w14:paraId="4AAA9894" w14:textId="77777777" w:rsidR="00DD3EFA" w:rsidRPr="00EC2A1C" w:rsidRDefault="00DD3EFA" w:rsidP="00391907">
            <w:pPr>
              <w:pStyle w:val="Odstavecseseznamem"/>
              <w:numPr>
                <w:ilvl w:val="0"/>
                <w:numId w:val="96"/>
              </w:numPr>
              <w:spacing w:before="40" w:after="80" w:line="276" w:lineRule="auto"/>
              <w:jc w:val="both"/>
              <w:rPr>
                <w:rFonts w:eastAsia="Calibri"/>
              </w:rPr>
            </w:pPr>
            <w:r w:rsidRPr="00EC2A1C">
              <w:rPr>
                <w:rFonts w:eastAsia="Calibri"/>
              </w:rPr>
              <w:t xml:space="preserve">Dále je podporována výstavba budov s téměř </w:t>
            </w:r>
            <w:r w:rsidRPr="00EC2A1C">
              <w:t>nulovou</w:t>
            </w:r>
            <w:r w:rsidRPr="00EC2A1C">
              <w:rPr>
                <w:rFonts w:eastAsia="Calibri"/>
              </w:rPr>
              <w:t xml:space="preserve"> spotřebou energie.</w:t>
            </w:r>
          </w:p>
          <w:p w14:paraId="0DAC42E8" w14:textId="77777777" w:rsidR="00DD3EFA" w:rsidRPr="00EC2A1C" w:rsidRDefault="00DD3EFA" w:rsidP="00B15ECB">
            <w:pPr>
              <w:pStyle w:val="Standardntext"/>
              <w:rPr>
                <w:rFonts w:eastAsiaTheme="majorEastAsia"/>
                <w:sz w:val="20"/>
                <w:szCs w:val="20"/>
              </w:rPr>
            </w:pPr>
            <w:r w:rsidRPr="00EC2A1C">
              <w:rPr>
                <w:sz w:val="20"/>
                <w:szCs w:val="20"/>
              </w:rPr>
              <w:t xml:space="preserve">V PO 3 byly u I. výzvy Úspory energie zaznamenány problémy v čerpání a absorpční kapacitě. Alokace byla vyhlášena ve výši 184,9 mil. EUR, žádostí bylo podáno ve výši 122 mil. EUR. Důvodem nižšího zájmu žadatelů bylo omezení finanční alokace pro velké podniky a preference podnikatelských subjektů zaměřujících se na nákup strojů, inovací procesů a rozšiřování výroby a </w:t>
            </w:r>
            <w:r w:rsidRPr="00EC2A1C">
              <w:rPr>
                <w:rFonts w:eastAsia="Calibri"/>
                <w:sz w:val="20"/>
                <w:szCs w:val="20"/>
                <w:lang w:eastAsia="en-US"/>
              </w:rPr>
              <w:t xml:space="preserve">nikoliv na dlouhodobou strategii energetického hospodářství podniků. Tyto preference přinášejí v relativně krátkém čase vyšší efekty oproti dlouhodobé úspoře energie, potažmo provozních nákladů. 31. 8. 2017 byla EK pro PP Úspory energie definitivně schválena revize OP PIK, která obsahovala i navýšení podílu finanční alokace pro velké podniky z 20 % na 60 %. Tato změna by neměla znamenat omezení získání dotace pro malé a střední podniky, neboť prostředků je dostatek. Výzvy II programu Úspory energie k ukončení příjmu Žádostí o podporu ke dni 31. 10. 2017, výzva III - příjem žádostí zahájen od 1. 11. 2017 a byl ukončen ke dni 30. 4. 2018. Na základě přijatých žádostí v těchto dvou výzvách je možno konstatovat, že se zájem zvyšuje. </w:t>
            </w:r>
            <w:r w:rsidRPr="00EC2A1C">
              <w:rPr>
                <w:rFonts w:eastAsiaTheme="majorEastAsia"/>
                <w:sz w:val="20"/>
                <w:szCs w:val="20"/>
              </w:rPr>
              <w:t>K úspěšné implementaci programu přispělo rozptýlení obavy současných a potenciálních žadatelů z výkladu článku 61 Nařízení 1303/2013, který byl bariérou pro proplácení žádostí u projektů se způsobilými výdaji nad 1 mil. Euro.</w:t>
            </w:r>
          </w:p>
          <w:p w14:paraId="248F694B" w14:textId="77777777" w:rsidR="00DD3EFA" w:rsidRPr="00EC2A1C" w:rsidRDefault="00DD3EFA" w:rsidP="00B15ECB">
            <w:pPr>
              <w:pStyle w:val="Standardntext"/>
              <w:rPr>
                <w:rFonts w:eastAsiaTheme="majorEastAsia"/>
                <w:sz w:val="20"/>
                <w:szCs w:val="20"/>
              </w:rPr>
            </w:pPr>
            <w:r w:rsidRPr="00EC2A1C">
              <w:rPr>
                <w:rFonts w:eastAsiaTheme="majorEastAsia"/>
                <w:sz w:val="20"/>
                <w:szCs w:val="20"/>
              </w:rPr>
              <w:t>V rámci přípravy IV. výzvy byly na základě diskuse se sociálními partnery provedeny úpravy , který by měly vést ke zvýšení potenciálního zájmu ze strany žadatelů.</w:t>
            </w:r>
          </w:p>
          <w:p w14:paraId="2CC71FC4" w14:textId="77777777" w:rsidR="00DD3EFA" w:rsidRPr="00EC2A1C" w:rsidRDefault="00DD3EFA" w:rsidP="00B15ECB">
            <w:pPr>
              <w:pStyle w:val="Standardntext"/>
              <w:rPr>
                <w:rFonts w:eastAsiaTheme="majorEastAsia"/>
                <w:sz w:val="20"/>
                <w:szCs w:val="20"/>
              </w:rPr>
            </w:pPr>
            <w:r w:rsidRPr="00EC2A1C">
              <w:rPr>
                <w:rFonts w:eastAsiaTheme="majorEastAsia"/>
                <w:sz w:val="20"/>
                <w:szCs w:val="20"/>
              </w:rPr>
              <w:t xml:space="preserve">Zejména se jedná o tato opatření: a) nově je možné získat podporu i na organizaci výběrového řízení (v režimu de minimis) včetně navýšení podpory na zpracování energetické posudku či projektové dokumentace, b) byla snížena minimální bodová hranice z 60 na 50 bodů, které jsou nezbytné pro schválení projektu. </w:t>
            </w:r>
          </w:p>
          <w:p w14:paraId="6E1A5A8C" w14:textId="239AF1FD" w:rsidR="00DD3EFA" w:rsidRPr="00EC2A1C" w:rsidRDefault="00DD3EFA" w:rsidP="00B15ECB">
            <w:pPr>
              <w:rPr>
                <w:rFonts w:eastAsia="Calibri"/>
              </w:rPr>
            </w:pPr>
            <w:r w:rsidRPr="00EC2A1C">
              <w:rPr>
                <w:rFonts w:eastAsia="Calibri"/>
              </w:rPr>
              <w:t xml:space="preserve">Celková alokace na investiční dotace této investiční priority byla 746,247 mil. EUR podle programového dokumentu OP PIK. K </w:t>
            </w:r>
            <w:r w:rsidR="00730FC6" w:rsidRPr="00EC2A1C">
              <w:rPr>
                <w:rFonts w:eastAsia="Calibri"/>
              </w:rPr>
              <w:t>29. 1. 2019</w:t>
            </w:r>
            <w:r w:rsidRPr="00EC2A1C">
              <w:rPr>
                <w:rFonts w:eastAsia="Calibri"/>
              </w:rPr>
              <w:t xml:space="preserve"> bylo schváleno celkem 1 281 žádosti s celkovou investiční dotací ve výši 5 991 mil. Kč. U celkem 488 projektů byla vyplacená </w:t>
            </w:r>
            <w:r w:rsidR="00730FC6" w:rsidRPr="00EC2A1C">
              <w:rPr>
                <w:rFonts w:eastAsia="Calibri"/>
              </w:rPr>
              <w:t>investiční dotace ve výši 1 551</w:t>
            </w:r>
            <w:r w:rsidRPr="00EC2A1C">
              <w:rPr>
                <w:rFonts w:eastAsia="Calibri"/>
              </w:rPr>
              <w:t xml:space="preserve"> mil. Kč.</w:t>
            </w:r>
          </w:p>
          <w:p w14:paraId="04109D7B" w14:textId="77777777" w:rsidR="00DD3EFA" w:rsidRPr="00EC2A1C" w:rsidRDefault="00DD3EFA" w:rsidP="00B15ECB">
            <w:pPr>
              <w:pStyle w:val="Standardntext"/>
              <w:rPr>
                <w:rFonts w:eastAsia="Calibri"/>
                <w:sz w:val="20"/>
                <w:szCs w:val="20"/>
                <w:lang w:eastAsia="en-US"/>
              </w:rPr>
            </w:pPr>
          </w:p>
          <w:p w14:paraId="0C762B76" w14:textId="77777777" w:rsidR="00DD3EFA" w:rsidRPr="00EC2A1C" w:rsidRDefault="00DD3EFA" w:rsidP="00B15ECB">
            <w:pPr>
              <w:pStyle w:val="Standardntext"/>
              <w:rPr>
                <w:rFonts w:eastAsia="Calibri"/>
                <w:sz w:val="20"/>
                <w:szCs w:val="20"/>
                <w:lang w:eastAsia="en-US"/>
              </w:rPr>
            </w:pPr>
            <w:r w:rsidRPr="00EC2A1C">
              <w:rPr>
                <w:sz w:val="20"/>
                <w:szCs w:val="20"/>
              </w:rPr>
              <w:t>V rámci SC 3.2 OP PIK došlo též k pilotnímu spuštění úvěrového finančního nástroje. Omezený zájem v prvním roce ukázal na problematičnost paralelně spuštěného dotačního programu a FN a potřebu co nejjednodušších podmínek pro žadatele, které umožní flexibilně podpořit komplexní projekty odpovídající podnikatelským potřebám. Po úpravách a zjednodušení výzvy ČMZRB byly podpořeny první projekty, v plánu jsou další opatření na podpoření poptávky, které rozšíří absorpční kapacitu k vyčerpání vyčleněné alokace 49 mil EUR. V přípravě je též nástroj na podporu realizace investic do energetických úspor metodou EPC. Finanční nástroj lze efektivně využít i na podporu menších projektů v řádu statisíců a jednotek milionů, které vyžadují jednoduchou administraci. Pro nové období se jako zásadní jeví zajistit dostatečnou publicitu a kapacity k oslovení cílových skupin podnikatelů i technickou podporu žadatelů při přípravě jejich projektů. K výraznému navýšení absorpční kapacity může podstatně přispět kombinace s grantovou podporou v rámci nových legislativních možností.</w:t>
            </w:r>
          </w:p>
          <w:p w14:paraId="2C6E150D" w14:textId="77777777" w:rsidR="00DD3EFA" w:rsidRPr="00EC2A1C" w:rsidRDefault="00DD3EFA" w:rsidP="00B15ECB">
            <w:pPr>
              <w:pStyle w:val="Standardntext"/>
              <w:rPr>
                <w:rFonts w:eastAsia="Calibri"/>
                <w:sz w:val="20"/>
                <w:szCs w:val="20"/>
                <w:lang w:eastAsia="en-US"/>
              </w:rPr>
            </w:pPr>
          </w:p>
          <w:p w14:paraId="162A5CA1" w14:textId="77777777" w:rsidR="00DD3EFA" w:rsidRPr="00EC2A1C" w:rsidRDefault="00DD3EFA" w:rsidP="00B15ECB">
            <w:pPr>
              <w:spacing w:before="40" w:after="80"/>
              <w:rPr>
                <w:rFonts w:eastAsia="Calibri"/>
              </w:rPr>
            </w:pPr>
            <w:r w:rsidRPr="00EC2A1C">
              <w:rPr>
                <w:rFonts w:eastAsia="Calibri"/>
              </w:rPr>
              <w:t xml:space="preserve">Z IROP je podoblast financována prostřednictvím IROP PO 2 IP 4c „Podpora energetické účinnosti, inteligentních systémů hospodaření s energií a využívání energie z obnovitelných zdrojů ve veřejných infrastrukturách, mimo jiné ve veřejných budovách, a v oblasti bydlení“ SC 2.5 „Snížení energetické náročnosti v sektoru bydlení.“ SC se zaměřuje na zlepšení tepelných vlastností budov a ekologická zařízení pro vytápění tepla a teplé vody (případně kogenerační jednotky), které využívají OZE a zemní plyn. Zájem o podporu však není v IROP příliš vysoký. ŘO IROP se tak snaží zjednodušit podmínky žádostí o podporu a dále realizovat finanční nástroj, který by podpořil absorpční kapacitu. </w:t>
            </w:r>
          </w:p>
          <w:p w14:paraId="72305C36" w14:textId="77777777" w:rsidR="00DD3EFA" w:rsidRPr="00EC2A1C" w:rsidRDefault="00DD3EFA" w:rsidP="00B15ECB">
            <w:pPr>
              <w:spacing w:before="40" w:after="80"/>
              <w:rPr>
                <w:rFonts w:eastAsia="Calibri"/>
              </w:rPr>
            </w:pPr>
          </w:p>
          <w:p w14:paraId="444E67A6" w14:textId="77777777" w:rsidR="00DD3EFA" w:rsidRPr="00EC2A1C" w:rsidRDefault="00DD3EFA" w:rsidP="00B15ECB">
            <w:pPr>
              <w:spacing w:before="40" w:after="80"/>
              <w:rPr>
                <w:rFonts w:eastAsia="Calibri"/>
              </w:rPr>
            </w:pPr>
            <w:r w:rsidRPr="00EC2A1C">
              <w:rPr>
                <w:rFonts w:eastAsia="Calibri"/>
              </w:rPr>
              <w:t xml:space="preserve">OPŽP v programovém období 2014-2020 podporuje energetických úspor v rámci Prioritní osy 5, konkrétně pak v SC 5.1 Snížit energetickou náročnost veřejných budov a zvýšit využití obnovitelných zdrojů energie a SC 5.2 Dosáhnout vysokého energetického standardu nových veřejných budov a nově ve SC 5.3 </w:t>
            </w:r>
            <w:r w:rsidRPr="00EC2A1C">
              <w:t>Snížit energetickou náročnost a zvýšit využití obnovitelných zdrojů energie v budovách ústředních vládních institucí</w:t>
            </w:r>
            <w:r w:rsidRPr="00EC2A1C">
              <w:rPr>
                <w:rFonts w:eastAsia="Calibri"/>
              </w:rPr>
              <w:t>.</w:t>
            </w:r>
          </w:p>
          <w:p w14:paraId="0EEB11AA" w14:textId="77777777" w:rsidR="00DD3EFA" w:rsidRPr="00EC2A1C" w:rsidRDefault="00DD3EFA" w:rsidP="00B15ECB">
            <w:pPr>
              <w:spacing w:before="40" w:after="80"/>
              <w:rPr>
                <w:rFonts w:eastAsia="Calibri"/>
              </w:rPr>
            </w:pPr>
          </w:p>
          <w:p w14:paraId="6B116FBC" w14:textId="6C607534" w:rsidR="00DD3EFA" w:rsidRPr="00EC2A1C" w:rsidRDefault="00DD3EFA" w:rsidP="00B15ECB">
            <w:pPr>
              <w:spacing w:before="40" w:after="80"/>
              <w:rPr>
                <w:rFonts w:eastAsia="Calibri"/>
              </w:rPr>
            </w:pPr>
            <w:r w:rsidRPr="00EC2A1C">
              <w:rPr>
                <w:rFonts w:eastAsia="Calibri"/>
              </w:rPr>
              <w:t xml:space="preserve">Ke konci roku 2018 bylo v rámci SC 5.1 zaregistrováno celkem 2043 projektových žádostí s celkovým požadovaným příspěvkem EU </w:t>
            </w:r>
            <w:r w:rsidR="00730FC6" w:rsidRPr="00EC2A1C">
              <w:rPr>
                <w:rFonts w:eastAsia="Calibri"/>
              </w:rPr>
              <w:t>ve výši cca 7,3 mld. Kč, z toho</w:t>
            </w:r>
            <w:r w:rsidRPr="00EC2A1C">
              <w:rPr>
                <w:rFonts w:eastAsia="Calibri"/>
              </w:rPr>
              <w:t xml:space="preserve"> 1374 žádostí bylo schváleno (s příspěvkem EU ve výši cca 5,2 mld. Kč), z nichž ve fázi realizace se nachází již 1263 projektů s přispěvkem EU ve výši cca 3,7 mld. Kč</w:t>
            </w:r>
            <w:r w:rsidR="00730FC6" w:rsidRPr="00EC2A1C">
              <w:rPr>
                <w:rFonts w:eastAsia="Calibri"/>
              </w:rPr>
              <w:t>.</w:t>
            </w:r>
          </w:p>
          <w:p w14:paraId="16F87C5B" w14:textId="77777777" w:rsidR="00DD3EFA" w:rsidRPr="00EC2A1C" w:rsidRDefault="00DD3EFA" w:rsidP="00B15ECB">
            <w:pPr>
              <w:spacing w:before="40" w:after="80"/>
              <w:rPr>
                <w:rFonts w:eastAsia="Calibri"/>
              </w:rPr>
            </w:pPr>
            <w:r w:rsidRPr="00EC2A1C">
              <w:rPr>
                <w:rFonts w:eastAsia="Calibri"/>
              </w:rPr>
              <w:t>V rámci SC 5.2 byly zaregistrovány 22 projektové žádosti s celkovým požadovaným příspěvkem EU ve výši  téměř 600 mil. Kč, ke konci roku 2018 bylo v realizaci 6 projektů (s příspěvkem EU ve výši cca 178 mil. Kč) a schváleny byly další 3 žádosti s příspěvkem EU ve výši cca 24,5 mil. Kč</w:t>
            </w:r>
          </w:p>
          <w:p w14:paraId="55C768AD" w14:textId="59784A4C" w:rsidR="00DD3EFA" w:rsidRPr="00EC2A1C" w:rsidRDefault="00DD3EFA" w:rsidP="00B15ECB">
            <w:pPr>
              <w:autoSpaceDE w:val="0"/>
              <w:autoSpaceDN w:val="0"/>
              <w:rPr>
                <w:rFonts w:eastAsia="Calibri"/>
              </w:rPr>
            </w:pPr>
            <w:r w:rsidRPr="00EC2A1C">
              <w:rPr>
                <w:rFonts w:eastAsia="Calibri"/>
              </w:rPr>
              <w:t>Čerpání v SC 5.2 se po počátečních problémech výrazně zlepšilo. V rámci 61. výzvy OPŽP zájem ze strany žadate</w:t>
            </w:r>
            <w:r w:rsidR="00730FC6" w:rsidRPr="00EC2A1C">
              <w:rPr>
                <w:rFonts w:eastAsia="Calibri"/>
              </w:rPr>
              <w:t>lů překročil přidělenou alokaci</w:t>
            </w:r>
            <w:r w:rsidRPr="00EC2A1C">
              <w:rPr>
                <w:rFonts w:eastAsia="Calibri"/>
              </w:rPr>
              <w:t>.</w:t>
            </w:r>
          </w:p>
          <w:p w14:paraId="5E07A8D6" w14:textId="77777777" w:rsidR="00DD3EFA" w:rsidRPr="00EC2A1C" w:rsidRDefault="00DD3EFA" w:rsidP="00B15ECB">
            <w:pPr>
              <w:autoSpaceDE w:val="0"/>
              <w:autoSpaceDN w:val="0"/>
              <w:rPr>
                <w:rFonts w:eastAsia="Calibri"/>
              </w:rPr>
            </w:pPr>
            <w:r w:rsidRPr="00EC2A1C">
              <w:rPr>
                <w:rFonts w:eastAsiaTheme="majorEastAsia"/>
              </w:rPr>
              <w:t>Pro nový SC 5.3 je první výzva (č. 135) naplánována k vyhlášení na 1. 3. 2019 a bude se jednat o průběžnou výzvu. Alokace z příspěvku EU je ve výši 2 mld. Kč.</w:t>
            </w:r>
          </w:p>
          <w:p w14:paraId="66E4FA79" w14:textId="77777777" w:rsidR="00DD3EFA" w:rsidRPr="00EC2A1C" w:rsidRDefault="00DD3EFA" w:rsidP="00B15ECB">
            <w:pPr>
              <w:autoSpaceDE w:val="0"/>
              <w:autoSpaceDN w:val="0"/>
            </w:pPr>
            <w:r w:rsidRPr="00EC2A1C">
              <w:rPr>
                <w:rFonts w:eastAsia="Calibri"/>
              </w:rPr>
              <w:t>Podle dostupných informací, zejména ze Strategie renovace budov, značná část fondu veřejných budov a ústředních vládních institucí dosud neprošla energeticky úspornou renovací a absorpční kapacita v této oblasti tedy nadále existuje.</w:t>
            </w:r>
          </w:p>
          <w:p w14:paraId="7969E0E6" w14:textId="77777777" w:rsidR="00DD3EFA" w:rsidRPr="00EC2A1C" w:rsidRDefault="00DD3EFA" w:rsidP="00B15ECB">
            <w:pPr>
              <w:autoSpaceDE w:val="0"/>
              <w:autoSpaceDN w:val="0"/>
              <w:adjustRightInd w:val="0"/>
            </w:pPr>
          </w:p>
          <w:p w14:paraId="6DE5DBCD" w14:textId="77777777" w:rsidR="00DD3EFA" w:rsidRPr="00EC2A1C" w:rsidRDefault="00DD3EFA" w:rsidP="00B15ECB">
            <w:pPr>
              <w:spacing w:before="60" w:after="60"/>
              <w:rPr>
                <w:rFonts w:eastAsiaTheme="majorEastAsia"/>
                <w:i/>
              </w:rPr>
            </w:pPr>
            <w:r w:rsidRPr="00EC2A1C">
              <w:rPr>
                <w:rFonts w:eastAsia="Calibri"/>
              </w:rPr>
              <w:t>V</w:t>
            </w:r>
            <w:r w:rsidRPr="00EC2A1C">
              <w:t> </w:t>
            </w:r>
            <w:r w:rsidRPr="00EC2A1C">
              <w:rPr>
                <w:rFonts w:eastAsia="Calibri"/>
              </w:rPr>
              <w:t>rámci OP PPR je podporováno několik hlavních aktivit. Mezi aktivity, u kterých je realizován dostatek projektů, patří ty, které se zaměřují na energetické úspory v městských objektech</w:t>
            </w:r>
            <w:r w:rsidRPr="00EC2A1C">
              <w:t xml:space="preserve"> s využitím vhodných obnovitelných zdrojů energie, energeticky efektivních zařízení a inteligentních systémů řízení. Tyto projekty jsou realizovány především dopravním podnikem a výzvy jsou v této oblasti naplňovány. Naopak jako problematická se jeví realizace pilotních projektů přeměny energeticky náročných městských budov na budovy s téměř nulovou spotřebou energie. Aktuálně je vyhlášena výzva za 900 mil. Kč, nicméně je podán prozatím pouze 1 projekt. V této aktivitě rovněž hrozí nenaplnění věcných milníků, neboť není připraveno dostatek projektů, resp. budov, které by splňovali podmínky pro budovy s téměř nulovou spotřebou energie.</w:t>
            </w:r>
          </w:p>
        </w:tc>
        <w:tc>
          <w:tcPr>
            <w:tcW w:w="249" w:type="dxa"/>
            <w:tcBorders>
              <w:top w:val="nil"/>
              <w:bottom w:val="nil"/>
            </w:tcBorders>
            <w:shd w:val="clear" w:color="auto" w:fill="66CCFF"/>
          </w:tcPr>
          <w:p w14:paraId="262E383E" w14:textId="77777777" w:rsidR="00DD3EFA" w:rsidRPr="00EC2A1C" w:rsidRDefault="00DD3EFA" w:rsidP="00B15ECB">
            <w:pPr>
              <w:rPr>
                <w:b/>
              </w:rPr>
            </w:pPr>
          </w:p>
        </w:tc>
      </w:tr>
      <w:tr w:rsidR="00DD3EFA" w:rsidRPr="002D2123" w14:paraId="32A90401" w14:textId="77777777" w:rsidTr="00B15ECB">
        <w:trPr>
          <w:trHeight w:val="850"/>
        </w:trPr>
        <w:tc>
          <w:tcPr>
            <w:tcW w:w="249" w:type="dxa"/>
            <w:tcBorders>
              <w:top w:val="nil"/>
              <w:bottom w:val="nil"/>
            </w:tcBorders>
            <w:shd w:val="clear" w:color="auto" w:fill="66CCFF"/>
          </w:tcPr>
          <w:p w14:paraId="1982371A"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3388AA1A"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Poptávka příjemců</w:t>
            </w:r>
          </w:p>
        </w:tc>
        <w:tc>
          <w:tcPr>
            <w:tcW w:w="5978" w:type="dxa"/>
            <w:tcBorders>
              <w:bottom w:val="single" w:sz="4" w:space="0" w:color="auto"/>
            </w:tcBorders>
            <w:shd w:val="clear" w:color="auto" w:fill="FFFFFF" w:themeFill="background1"/>
          </w:tcPr>
          <w:p w14:paraId="1CF27021" w14:textId="5AD5A2D8" w:rsidR="00DD3EFA" w:rsidRPr="002D2123" w:rsidRDefault="00DD3EFA" w:rsidP="00B15ECB">
            <w:pPr>
              <w:spacing w:before="60" w:after="60"/>
              <w:rPr>
                <w:rFonts w:eastAsiaTheme="majorEastAsia"/>
              </w:rPr>
            </w:pPr>
            <w:r w:rsidRPr="002D2123">
              <w:rPr>
                <w:rFonts w:eastAsiaTheme="majorEastAsia"/>
              </w:rPr>
              <w:t xml:space="preserve">Budoucí poptávka závisí do jisté míry na nastavení podmínek čerpání dotací a finančních nástrojů a vhodného věcného nastavení požadavků a výzev, které bude reflektovat potřeby cílových skupin. Obecné analýzy stávajícího potenciálu zvyšování energetické účinnosti ukazují, že stále existuje technický potenciál, a to jak v průmyslu, budovách (napříč </w:t>
            </w:r>
            <w:r w:rsidR="005C7F05" w:rsidRPr="002D2123">
              <w:rPr>
                <w:rFonts w:eastAsiaTheme="majorEastAsia"/>
              </w:rPr>
              <w:t>všemi</w:t>
            </w:r>
            <w:r w:rsidRPr="002D2123">
              <w:rPr>
                <w:rFonts w:eastAsiaTheme="majorEastAsia"/>
              </w:rPr>
              <w:t xml:space="preserve"> sektory) a dopravě. Cílem politiky energetické účinnosti je v maximální míře tento potenciál využít. Limitní pro využití potenciálu je nákladová efektivnost opatření. </w:t>
            </w:r>
          </w:p>
          <w:p w14:paraId="1BC45CCF" w14:textId="59A2924D" w:rsidR="00DD3EFA" w:rsidRPr="002D2123" w:rsidRDefault="00DD3EFA" w:rsidP="00B15ECB">
            <w:pPr>
              <w:spacing w:before="60" w:after="60"/>
              <w:rPr>
                <w:rFonts w:eastAsiaTheme="majorEastAsia"/>
              </w:rPr>
            </w:pPr>
            <w:r w:rsidRPr="002D2123">
              <w:rPr>
                <w:rFonts w:eastAsiaTheme="majorEastAsia"/>
              </w:rPr>
              <w:t>Nastavení programů a výzev musí být doprovázeno odstraněním bariér a nastavení koordinované komu</w:t>
            </w:r>
            <w:r w:rsidR="005C7F05">
              <w:rPr>
                <w:rFonts w:eastAsiaTheme="majorEastAsia"/>
              </w:rPr>
              <w:t>ni</w:t>
            </w:r>
            <w:r w:rsidRPr="002D2123">
              <w:rPr>
                <w:rFonts w:eastAsiaTheme="majorEastAsia"/>
              </w:rPr>
              <w:t>kační kampaně zaměřené na téma zvyšování energetické účinnosti ještě před spuštěním programů.</w:t>
            </w:r>
          </w:p>
          <w:p w14:paraId="57293B3A" w14:textId="77777777" w:rsidR="00DD3EFA" w:rsidRPr="002D2123" w:rsidRDefault="00DD3EFA" w:rsidP="00B15ECB">
            <w:pPr>
              <w:spacing w:before="60" w:after="60"/>
              <w:rPr>
                <w:rFonts w:eastAsiaTheme="majorEastAsia"/>
              </w:rPr>
            </w:pPr>
          </w:p>
          <w:p w14:paraId="63D20B97" w14:textId="77777777" w:rsidR="00DD3EFA" w:rsidRPr="002D2123" w:rsidRDefault="00DD3EFA" w:rsidP="00B15ECB">
            <w:r w:rsidRPr="002D2123">
              <w:rPr>
                <w:rFonts w:eastAsiaTheme="majorEastAsia"/>
              </w:rPr>
              <w:t xml:space="preserve">MPO v současnosti řeší/soutěží </w:t>
            </w:r>
            <w:r w:rsidRPr="002D2123">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0C1392CD" w14:textId="77777777" w:rsidR="00DD3EFA" w:rsidRPr="002D2123" w:rsidRDefault="00DD3EFA" w:rsidP="00B15ECB">
            <w:r w:rsidRPr="002D2123">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45EA1501" w14:textId="77777777" w:rsidR="00DD3EFA" w:rsidRPr="002D2123" w:rsidRDefault="00DD3EFA" w:rsidP="00B15ECB">
            <w:pPr>
              <w:pStyle w:val="Nadpis2"/>
              <w:tabs>
                <w:tab w:val="left" w:pos="3945"/>
              </w:tabs>
              <w:spacing w:after="90"/>
              <w:outlineLvl w:val="1"/>
              <w:rPr>
                <w:rFonts w:ascii="Times New Roman" w:hAnsi="Times New Roman" w:cs="Times New Roman"/>
                <w:color w:val="auto"/>
                <w:sz w:val="22"/>
                <w:szCs w:val="20"/>
              </w:rPr>
            </w:pPr>
            <w:r w:rsidRPr="002D2123">
              <w:rPr>
                <w:rFonts w:ascii="Times New Roman" w:hAnsi="Times New Roman" w:cs="Times New Roman"/>
                <w:color w:val="auto"/>
                <w:sz w:val="22"/>
                <w:szCs w:val="20"/>
              </w:rPr>
              <w:t>Analytické otázky studie:</w:t>
            </w:r>
          </w:p>
          <w:p w14:paraId="4034A001" w14:textId="77777777" w:rsidR="00DD3EFA" w:rsidRPr="002D2123" w:rsidRDefault="00DD3EFA" w:rsidP="00B15ECB">
            <w:r w:rsidRPr="002D2123">
              <w:t xml:space="preserve">1. Do jaké míry byla naplněna plánovaná absorpční kapacita v současném a minulém programovém období (tj. 2014 - 2020 a 2007 - 2013)? Očekávání vs. realita. </w:t>
            </w:r>
          </w:p>
          <w:p w14:paraId="3DEB1BA2" w14:textId="77777777" w:rsidR="00DD3EFA" w:rsidRPr="002D2123" w:rsidRDefault="00DD3EFA" w:rsidP="00B15ECB">
            <w:r w:rsidRPr="002D2123">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7F8FE473" w14:textId="77777777" w:rsidR="00DD3EFA" w:rsidRPr="002D2123" w:rsidRDefault="00DD3EFA" w:rsidP="00B15ECB">
            <w:r w:rsidRPr="002D2123">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4E3BFE5F" w14:textId="77777777" w:rsidR="00DD3EFA" w:rsidRPr="002D2123" w:rsidRDefault="00DD3EFA" w:rsidP="00B15ECB">
            <w:r w:rsidRPr="002D2123">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6E9A603F" w14:textId="77777777" w:rsidR="00DD3EFA" w:rsidRPr="002D2123" w:rsidRDefault="00DD3EFA" w:rsidP="00B15ECB">
            <w:r w:rsidRPr="002D2123">
              <w:t>5. Jaké jsou návrhy opatření na odstranění bariér?</w:t>
            </w:r>
          </w:p>
        </w:tc>
        <w:tc>
          <w:tcPr>
            <w:tcW w:w="249" w:type="dxa"/>
            <w:tcBorders>
              <w:top w:val="nil"/>
              <w:bottom w:val="nil"/>
            </w:tcBorders>
            <w:shd w:val="clear" w:color="auto" w:fill="66CCFF"/>
          </w:tcPr>
          <w:p w14:paraId="336B33A5" w14:textId="77777777" w:rsidR="00DD3EFA" w:rsidRPr="002D2123" w:rsidRDefault="00DD3EFA" w:rsidP="00B15ECB">
            <w:pPr>
              <w:rPr>
                <w:b/>
                <w:sz w:val="10"/>
                <w:szCs w:val="10"/>
              </w:rPr>
            </w:pPr>
          </w:p>
        </w:tc>
      </w:tr>
      <w:tr w:rsidR="00DD3EFA" w:rsidRPr="002D2123" w14:paraId="76152CAD" w14:textId="77777777" w:rsidTr="00B15ECB">
        <w:trPr>
          <w:trHeight w:val="925"/>
        </w:trPr>
        <w:tc>
          <w:tcPr>
            <w:tcW w:w="249" w:type="dxa"/>
            <w:tcBorders>
              <w:top w:val="nil"/>
              <w:bottom w:val="nil"/>
            </w:tcBorders>
            <w:shd w:val="clear" w:color="auto" w:fill="66CCFF"/>
          </w:tcPr>
          <w:p w14:paraId="190B63A5" w14:textId="77777777" w:rsidR="00DD3EFA" w:rsidRPr="002D2123" w:rsidRDefault="00DD3EFA" w:rsidP="00B15ECB">
            <w:pPr>
              <w:rPr>
                <w:b/>
                <w:sz w:val="10"/>
                <w:szCs w:val="10"/>
              </w:rPr>
            </w:pPr>
          </w:p>
        </w:tc>
        <w:tc>
          <w:tcPr>
            <w:tcW w:w="2548" w:type="dxa"/>
            <w:tcBorders>
              <w:bottom w:val="single" w:sz="4" w:space="0" w:color="auto"/>
            </w:tcBorders>
            <w:shd w:val="clear" w:color="auto" w:fill="FFFFFF" w:themeFill="background1"/>
          </w:tcPr>
          <w:p w14:paraId="64FA7D24"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Příprava projektových záměrů</w:t>
            </w:r>
          </w:p>
        </w:tc>
        <w:tc>
          <w:tcPr>
            <w:tcW w:w="5978" w:type="dxa"/>
            <w:tcBorders>
              <w:bottom w:val="single" w:sz="4" w:space="0" w:color="auto"/>
            </w:tcBorders>
            <w:shd w:val="clear" w:color="auto" w:fill="FFFFFF" w:themeFill="background1"/>
          </w:tcPr>
          <w:p w14:paraId="789FC3DD" w14:textId="77777777" w:rsidR="00DD3EFA" w:rsidRPr="002D2123" w:rsidRDefault="00DD3EFA" w:rsidP="00B15ECB">
            <w:pPr>
              <w:spacing w:before="60" w:after="60"/>
              <w:rPr>
                <w:rFonts w:eastAsiaTheme="majorEastAsia"/>
                <w:i/>
              </w:rPr>
            </w:pPr>
            <w:r w:rsidRPr="002D2123">
              <w:rPr>
                <w:rFonts w:eastAsiaTheme="majorEastAsia"/>
              </w:rPr>
              <w:t>V současné chvíli neexistuje plán projektových záměrů ve vztahu k programovému období 2021 -2027.</w:t>
            </w:r>
          </w:p>
        </w:tc>
        <w:tc>
          <w:tcPr>
            <w:tcW w:w="249" w:type="dxa"/>
            <w:tcBorders>
              <w:top w:val="nil"/>
              <w:bottom w:val="nil"/>
            </w:tcBorders>
            <w:shd w:val="clear" w:color="auto" w:fill="66CCFF"/>
          </w:tcPr>
          <w:p w14:paraId="2429E3CE" w14:textId="77777777" w:rsidR="00DD3EFA" w:rsidRPr="002D2123" w:rsidRDefault="00DD3EFA" w:rsidP="00B15ECB">
            <w:pPr>
              <w:rPr>
                <w:b/>
                <w:sz w:val="10"/>
                <w:szCs w:val="10"/>
              </w:rPr>
            </w:pPr>
          </w:p>
        </w:tc>
      </w:tr>
      <w:tr w:rsidR="00DD3EFA" w:rsidRPr="00EC2A1C" w14:paraId="7ED9A19E" w14:textId="77777777" w:rsidTr="00B15ECB">
        <w:trPr>
          <w:trHeight w:val="1001"/>
        </w:trPr>
        <w:tc>
          <w:tcPr>
            <w:tcW w:w="249" w:type="dxa"/>
            <w:tcBorders>
              <w:top w:val="nil"/>
              <w:bottom w:val="nil"/>
            </w:tcBorders>
            <w:shd w:val="clear" w:color="auto" w:fill="66CCFF"/>
          </w:tcPr>
          <w:p w14:paraId="255FD6B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8BC293A"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tcBorders>
              <w:bottom w:val="single" w:sz="4" w:space="0" w:color="auto"/>
            </w:tcBorders>
            <w:shd w:val="clear" w:color="auto" w:fill="FFFFFF" w:themeFill="background1"/>
          </w:tcPr>
          <w:p w14:paraId="1586899D" w14:textId="77777777" w:rsidR="00DD3EFA" w:rsidRPr="00EC2A1C" w:rsidRDefault="00DD3EFA" w:rsidP="00B15ECB">
            <w:pPr>
              <w:spacing w:before="60" w:after="60"/>
              <w:rPr>
                <w:rFonts w:eastAsiaTheme="majorEastAsia"/>
              </w:rPr>
            </w:pPr>
            <w:r w:rsidRPr="00EC2A1C">
              <w:rPr>
                <w:rFonts w:eastAsiaTheme="majorEastAsia"/>
              </w:rPr>
              <w:t>Relativně nízké povědomí o širokých benefitech energeticky úsporných opatřeních a z toho plynoucí nízká motivace realizovat tyto projekty a čerpat na jejich realizaci dotace.</w:t>
            </w:r>
          </w:p>
          <w:p w14:paraId="655A02F5" w14:textId="77777777" w:rsidR="00DD3EFA" w:rsidRPr="00EC2A1C" w:rsidRDefault="00DD3EFA" w:rsidP="00B15ECB">
            <w:pPr>
              <w:spacing w:before="60" w:after="60"/>
              <w:rPr>
                <w:rFonts w:eastAsiaTheme="majorEastAsia"/>
              </w:rPr>
            </w:pPr>
          </w:p>
          <w:p w14:paraId="49305050" w14:textId="77777777" w:rsidR="00DD3EFA" w:rsidRPr="00EC2A1C" w:rsidRDefault="00DD3EFA" w:rsidP="00B15ECB">
            <w:pPr>
              <w:spacing w:before="60" w:after="60"/>
              <w:rPr>
                <w:rFonts w:eastAsiaTheme="majorEastAsia"/>
              </w:rPr>
            </w:pPr>
            <w:r w:rsidRPr="00EC2A1C">
              <w:rPr>
                <w:rFonts w:eastAsiaTheme="majorEastAsia"/>
              </w:rPr>
              <w:t>Složitá administrativa spojená s čerpáním dotací, která do jisté míry odrazuje žadatele.</w:t>
            </w:r>
          </w:p>
          <w:p w14:paraId="5D85E8B3" w14:textId="77777777" w:rsidR="00DD3EFA" w:rsidRPr="00EC2A1C" w:rsidRDefault="00DD3EFA" w:rsidP="00B15ECB">
            <w:pPr>
              <w:spacing w:before="60" w:after="60"/>
              <w:rPr>
                <w:rFonts w:eastAsiaTheme="majorEastAsia"/>
              </w:rPr>
            </w:pPr>
          </w:p>
          <w:p w14:paraId="753CFA7C" w14:textId="77777777" w:rsidR="00DD3EFA" w:rsidRPr="00EC2A1C" w:rsidRDefault="00DD3EFA" w:rsidP="00B15ECB">
            <w:pPr>
              <w:spacing w:before="60" w:after="60"/>
              <w:rPr>
                <w:rFonts w:eastAsiaTheme="majorEastAsia"/>
              </w:rPr>
            </w:pPr>
            <w:r w:rsidRPr="00EC2A1C">
              <w:rPr>
                <w:rFonts w:eastAsiaTheme="majorEastAsia"/>
              </w:rPr>
              <w:t>Potenciál efektivních úspor je zejména limitován podmínkou, že nebudou podpořeny investice, jejichž cílem je snižování emisí skleníkových plynů pocházejících z činností, které jsou uvedené v příloze I směrnice 2003/87/ES o vytvoření systému pro obchodování s povolenkami na emise skleníkových plynů ve Společenství a o změně směrnice Rady 96/61/ES.</w:t>
            </w:r>
          </w:p>
          <w:p w14:paraId="3F62509F" w14:textId="77777777" w:rsidR="00DD3EFA" w:rsidRPr="00EC2A1C" w:rsidRDefault="00DD3EFA" w:rsidP="005C7F05">
            <w:pPr>
              <w:spacing w:before="60" w:afterLines="60" w:after="144"/>
              <w:rPr>
                <w:rFonts w:eastAsiaTheme="majorEastAsia"/>
              </w:rPr>
            </w:pPr>
          </w:p>
          <w:p w14:paraId="39BBBB0E" w14:textId="0B9F14D8" w:rsidR="00DD3EFA" w:rsidRPr="00EC2A1C" w:rsidRDefault="00DD3EFA" w:rsidP="005C7F05">
            <w:pPr>
              <w:spacing w:before="60" w:afterLines="60" w:after="144"/>
              <w:rPr>
                <w:rFonts w:eastAsiaTheme="majorEastAsia"/>
              </w:rPr>
            </w:pPr>
            <w:r w:rsidRPr="00EC2A1C">
              <w:rPr>
                <w:rFonts w:eastAsiaTheme="majorEastAsia"/>
              </w:rPr>
              <w:t xml:space="preserve">Jako další barieru z hlediska efektivnější implementace programu je problematická možnost kombinace investiční dotace a finančního nástroje v oddělených operacích vzhledem na odlišné implementační subjekty a pravidla pro FN a dotace (např. pravidla pro výběr dodavatelů). Nová legislativa by pro příští programovací období měla umožnit výrazně efektivnější možnost kombinace, např. formou </w:t>
            </w:r>
            <w:r w:rsidR="00EC2A1C" w:rsidRPr="00EC2A1C">
              <w:rPr>
                <w:rFonts w:eastAsiaTheme="majorEastAsia"/>
              </w:rPr>
              <w:t>výkonnostně</w:t>
            </w:r>
            <w:r w:rsidRPr="00EC2A1C">
              <w:rPr>
                <w:rFonts w:eastAsiaTheme="majorEastAsia"/>
              </w:rPr>
              <w:t xml:space="preserve"> podmíněného odpuštění splátek.</w:t>
            </w:r>
          </w:p>
          <w:p w14:paraId="7203D303" w14:textId="77777777" w:rsidR="00DD3EFA" w:rsidRPr="00EC2A1C" w:rsidRDefault="00DD3EFA" w:rsidP="005C7F05">
            <w:pPr>
              <w:spacing w:before="60" w:afterLines="60" w:after="144"/>
              <w:rPr>
                <w:rFonts w:eastAsiaTheme="majorEastAsia"/>
              </w:rPr>
            </w:pPr>
          </w:p>
          <w:p w14:paraId="17C30C82" w14:textId="77777777" w:rsidR="00DD3EFA" w:rsidRPr="00EC2A1C" w:rsidRDefault="00DD3EFA" w:rsidP="005C7F05">
            <w:pPr>
              <w:spacing w:before="60" w:afterLines="60" w:after="144"/>
              <w:rPr>
                <w:rFonts w:eastAsiaTheme="majorEastAsia"/>
              </w:rPr>
            </w:pPr>
            <w:r w:rsidRPr="00EC2A1C">
              <w:rPr>
                <w:rFonts w:eastAsiaTheme="majorEastAsia"/>
              </w:rPr>
              <w:t>Jako další bariéru, která může být řešena v příštím období, lze identifikovat nedostatečnou technickou podporu při přípravě projektů žadatelů.</w:t>
            </w:r>
          </w:p>
          <w:p w14:paraId="30C398CA" w14:textId="7414A1A7" w:rsidR="00DD3EFA" w:rsidRPr="00EC2A1C" w:rsidRDefault="00DD3EFA" w:rsidP="005C7F05">
            <w:pPr>
              <w:spacing w:before="60" w:afterLines="60" w:after="144"/>
              <w:rPr>
                <w:rFonts w:eastAsiaTheme="majorEastAsia"/>
              </w:rPr>
            </w:pPr>
            <w:r w:rsidRPr="00EC2A1C">
              <w:rPr>
                <w:rFonts w:eastAsiaTheme="majorEastAsia"/>
              </w:rPr>
              <w:t>Stávající programové období ukazuje, že některá opatření s dlouhou dobou návratností nejsou pro podnikatele z pohledu investování zajímavá, a to zejména pokud jejich náklady na energie se pohybují v </w:t>
            </w:r>
            <w:r w:rsidR="00EC2A1C" w:rsidRPr="00EC2A1C">
              <w:rPr>
                <w:rFonts w:eastAsiaTheme="majorEastAsia"/>
              </w:rPr>
              <w:t>rozmezí</w:t>
            </w:r>
            <w:r w:rsidRPr="00EC2A1C">
              <w:rPr>
                <w:rFonts w:eastAsiaTheme="majorEastAsia"/>
              </w:rPr>
              <w:t xml:space="preserve">  5 – 10 % celkových nákladů. Míra dotace tato opatření nečiní atraktivnější, a to i z důvodu administrativní zátěže. </w:t>
            </w:r>
          </w:p>
          <w:p w14:paraId="5AC954BF" w14:textId="77777777" w:rsidR="00DD3EFA" w:rsidRPr="00EC2A1C" w:rsidRDefault="00DD3EFA" w:rsidP="005C7F05">
            <w:pPr>
              <w:spacing w:before="60" w:afterLines="60" w:after="144"/>
              <w:rPr>
                <w:rFonts w:eastAsiaTheme="majorEastAsia"/>
                <w:i/>
              </w:rPr>
            </w:pPr>
          </w:p>
          <w:p w14:paraId="78C51BA5" w14:textId="77777777" w:rsidR="00DD3EFA" w:rsidRPr="00EC2A1C" w:rsidRDefault="00DD3EFA" w:rsidP="005C7F05">
            <w:pPr>
              <w:spacing w:before="60" w:afterLines="60" w:after="144"/>
              <w:rPr>
                <w:rFonts w:eastAsiaTheme="majorEastAsia"/>
              </w:rPr>
            </w:pPr>
            <w:r w:rsidRPr="00EC2A1C">
              <w:rPr>
                <w:rFonts w:eastAsiaTheme="majorEastAsia"/>
              </w:rPr>
              <w:t>V případě rezidenčního sektoru je bariérou „energetická chudoba“: systém dotací je nastaven tak, že právě domácnosti, které potřebují snížit energetickou náročnost budovy, tzn. snížit spotřebu energie, spadají do skupiny s nižším příjmem nebo s průměrným příjmem, ale vysokými náklady např. v důsledku hypoték, tudíž na investice nemají prostředky a ani nemají možnost využití bankovních produktů.</w:t>
            </w:r>
          </w:p>
          <w:p w14:paraId="3CC2773D" w14:textId="77777777" w:rsidR="00DD3EFA" w:rsidRPr="00EC2A1C" w:rsidRDefault="00DD3EFA" w:rsidP="00B15ECB">
            <w:pPr>
              <w:spacing w:before="60" w:after="60"/>
              <w:rPr>
                <w:rFonts w:eastAsiaTheme="majorEastAsia"/>
              </w:rPr>
            </w:pPr>
          </w:p>
          <w:p w14:paraId="0B652107" w14:textId="4EF8065B" w:rsidR="00DD3EFA" w:rsidRPr="00EC2A1C" w:rsidRDefault="00DD3EFA" w:rsidP="00B15ECB">
            <w:pPr>
              <w:spacing w:before="60" w:after="60"/>
              <w:rPr>
                <w:rFonts w:eastAsiaTheme="majorEastAsia"/>
              </w:rPr>
            </w:pPr>
            <w:r w:rsidRPr="00EC2A1C">
              <w:rPr>
                <w:rFonts w:eastAsiaTheme="majorEastAsia"/>
              </w:rPr>
              <w:t>V rezidenčním sektoru se hraje velkou roli i vlastnictví a využití budovy. Majitelé domu, kteří zároveň pronajímají nejsou motivováni ke snížení energetické náročnosti budovy neboť náklady spojené se spotřebou energie se promítnou do nájmu, tzn. není jimi zatížen maji</w:t>
            </w:r>
            <w:r w:rsidR="005C7F05" w:rsidRPr="00EC2A1C">
              <w:rPr>
                <w:rFonts w:eastAsiaTheme="majorEastAsia"/>
              </w:rPr>
              <w:t>tel domu. Tato situace opět nej</w:t>
            </w:r>
            <w:r w:rsidRPr="00EC2A1C">
              <w:rPr>
                <w:rFonts w:eastAsiaTheme="majorEastAsia"/>
              </w:rPr>
              <w:t>více zasahuje nízkopříjmové skupiny.</w:t>
            </w:r>
          </w:p>
          <w:p w14:paraId="41B0B00E" w14:textId="77777777" w:rsidR="00DD3EFA" w:rsidRPr="00EC2A1C" w:rsidRDefault="00DD3EFA" w:rsidP="00B15ECB">
            <w:pPr>
              <w:spacing w:before="60" w:after="60"/>
              <w:rPr>
                <w:rFonts w:eastAsiaTheme="majorEastAsia"/>
              </w:rPr>
            </w:pPr>
          </w:p>
          <w:p w14:paraId="325EF0DD" w14:textId="474469E9" w:rsidR="00DD3EFA" w:rsidRPr="00EC2A1C" w:rsidRDefault="00DD3EFA" w:rsidP="00B15ECB">
            <w:pPr>
              <w:spacing w:before="60" w:after="60"/>
              <w:rPr>
                <w:rFonts w:eastAsiaTheme="majorEastAsia"/>
                <w:i/>
              </w:rPr>
            </w:pPr>
            <w:r w:rsidRPr="00EC2A1C">
              <w:rPr>
                <w:rFonts w:eastAsiaTheme="majorEastAsia"/>
              </w:rPr>
              <w:t xml:space="preserve">V rámci OP ŽP mohou určité bariéry mohou plynout především z náročnější přípravy projektové dokumentace a delších lhůt ve stavebním řízení. Také s rychle se vyvíjejícími technologiemi v této oblasti může nastat problém v optimálním využívání těchto technologií a postupů na straně projektantů. V případě zateplování vládních budov pak existuje problém v jednodušším čerpání finančních prostředků z rozpočtu ministerstev, kde mají tyto </w:t>
            </w:r>
            <w:r w:rsidR="005C7F05" w:rsidRPr="00EC2A1C">
              <w:rPr>
                <w:rFonts w:eastAsiaTheme="majorEastAsia"/>
              </w:rPr>
              <w:t>úpravy</w:t>
            </w:r>
            <w:r w:rsidRPr="00EC2A1C">
              <w:rPr>
                <w:rFonts w:eastAsiaTheme="majorEastAsia"/>
              </w:rPr>
              <w:t xml:space="preserve"> proběhnout, než požádat o podporu v rámci OPŽP, příp. jiného programu ESIF. Pro organizační složky státu existuje rovněž legislativní bariéra pro využití metody EPC k financování projektu (nemohou si vzít úvěr). To je v současné době řešeno poskytnutím dodatečného financování z programu Nová Zelená úsporám.</w:t>
            </w:r>
          </w:p>
        </w:tc>
        <w:tc>
          <w:tcPr>
            <w:tcW w:w="249" w:type="dxa"/>
            <w:tcBorders>
              <w:top w:val="nil"/>
              <w:bottom w:val="nil"/>
            </w:tcBorders>
            <w:shd w:val="clear" w:color="auto" w:fill="66CCFF"/>
          </w:tcPr>
          <w:p w14:paraId="7F4B17B6" w14:textId="77777777" w:rsidR="00DD3EFA" w:rsidRPr="00EC2A1C" w:rsidRDefault="00DD3EFA" w:rsidP="00B15ECB">
            <w:pPr>
              <w:rPr>
                <w:b/>
              </w:rPr>
            </w:pPr>
          </w:p>
        </w:tc>
      </w:tr>
      <w:tr w:rsidR="00DD3EFA" w:rsidRPr="00EC2A1C" w14:paraId="30D72302"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7E1A1804"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4A1847C4"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085FCDA"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4F41F815" w14:textId="77777777" w:rsidR="00DD3EFA" w:rsidRPr="00EC2A1C" w:rsidRDefault="00DD3EFA" w:rsidP="00B15ECB">
            <w:pPr>
              <w:rPr>
                <w:b/>
              </w:rPr>
            </w:pPr>
          </w:p>
        </w:tc>
      </w:tr>
      <w:tr w:rsidR="00DD3EFA" w:rsidRPr="00EC2A1C" w14:paraId="02CD0EB2" w14:textId="77777777" w:rsidTr="00B15ECB">
        <w:trPr>
          <w:trHeight w:val="1559"/>
        </w:trPr>
        <w:tc>
          <w:tcPr>
            <w:tcW w:w="249" w:type="dxa"/>
            <w:tcBorders>
              <w:top w:val="single" w:sz="4" w:space="0" w:color="auto"/>
              <w:bottom w:val="nil"/>
            </w:tcBorders>
            <w:shd w:val="clear" w:color="auto" w:fill="66CCFF"/>
          </w:tcPr>
          <w:p w14:paraId="4866D459" w14:textId="77777777" w:rsidR="00DD3EFA" w:rsidRPr="00EC2A1C" w:rsidRDefault="00DD3EFA" w:rsidP="00B15ECB">
            <w:pPr>
              <w:rPr>
                <w:b/>
              </w:rPr>
            </w:pPr>
          </w:p>
        </w:tc>
        <w:tc>
          <w:tcPr>
            <w:tcW w:w="8526" w:type="dxa"/>
            <w:gridSpan w:val="2"/>
            <w:tcBorders>
              <w:top w:val="single" w:sz="4" w:space="0" w:color="auto"/>
            </w:tcBorders>
            <w:shd w:val="clear" w:color="auto" w:fill="FFFFFF" w:themeFill="background1"/>
          </w:tcPr>
          <w:p w14:paraId="2BED4542" w14:textId="77777777" w:rsidR="00DD3EFA" w:rsidRPr="00EC2A1C" w:rsidRDefault="00DD3EFA" w:rsidP="00B15ECB">
            <w:pPr>
              <w:spacing w:before="60" w:after="60"/>
              <w:rPr>
                <w:rFonts w:eastAsiaTheme="majorEastAsia"/>
                <w:b/>
              </w:rPr>
            </w:pPr>
            <w:r w:rsidRPr="00EC2A1C">
              <w:rPr>
                <w:rFonts w:eastAsiaTheme="majorEastAsia"/>
                <w:b/>
              </w:rPr>
              <w:t>Alternativní zdroje</w:t>
            </w:r>
          </w:p>
          <w:p w14:paraId="4886B02B" w14:textId="77777777" w:rsidR="00DD3EFA" w:rsidRPr="00EC2A1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72214E7D" w14:textId="77777777" w:rsidR="00DD3EFA" w:rsidRPr="00EC2A1C" w:rsidRDefault="00DD3EFA" w:rsidP="00B15ECB">
            <w:pPr>
              <w:rPr>
                <w:b/>
              </w:rPr>
            </w:pPr>
          </w:p>
        </w:tc>
      </w:tr>
      <w:tr w:rsidR="00DD3EFA" w:rsidRPr="00EC2A1C" w14:paraId="071818AD" w14:textId="77777777" w:rsidTr="00B15ECB">
        <w:trPr>
          <w:trHeight w:val="1968"/>
        </w:trPr>
        <w:tc>
          <w:tcPr>
            <w:tcW w:w="249" w:type="dxa"/>
            <w:tcBorders>
              <w:top w:val="nil"/>
              <w:bottom w:val="nil"/>
            </w:tcBorders>
            <w:shd w:val="clear" w:color="auto" w:fill="66CCFF"/>
          </w:tcPr>
          <w:p w14:paraId="0FB96AC1" w14:textId="77777777" w:rsidR="00DD3EFA" w:rsidRPr="00EC2A1C" w:rsidRDefault="00DD3EFA" w:rsidP="00B15ECB">
            <w:pPr>
              <w:rPr>
                <w:b/>
              </w:rPr>
            </w:pPr>
          </w:p>
        </w:tc>
        <w:tc>
          <w:tcPr>
            <w:tcW w:w="2548" w:type="dxa"/>
            <w:tcBorders>
              <w:top w:val="nil"/>
            </w:tcBorders>
            <w:shd w:val="clear" w:color="auto" w:fill="FFFFFF" w:themeFill="background1"/>
          </w:tcPr>
          <w:p w14:paraId="57412869" w14:textId="77777777" w:rsidR="00DD3EFA" w:rsidRPr="00EC2A1C" w:rsidRDefault="00DD3EFA" w:rsidP="00B15ECB">
            <w:pPr>
              <w:spacing w:before="60" w:after="60"/>
              <w:rPr>
                <w:rFonts w:eastAsiaTheme="majorEastAsia"/>
                <w:b/>
              </w:rPr>
            </w:pPr>
            <w:r w:rsidRPr="00EC2A1C">
              <w:rPr>
                <w:rFonts w:eastAsiaTheme="majorEastAsia"/>
                <w:b/>
              </w:rPr>
              <w:t>Unijní programy</w:t>
            </w:r>
          </w:p>
        </w:tc>
        <w:tc>
          <w:tcPr>
            <w:tcW w:w="5978" w:type="dxa"/>
            <w:tcBorders>
              <w:top w:val="nil"/>
            </w:tcBorders>
            <w:shd w:val="clear" w:color="auto" w:fill="FFFFFF" w:themeFill="background1"/>
          </w:tcPr>
          <w:p w14:paraId="79B81AC2" w14:textId="77777777" w:rsidR="00DD3EFA" w:rsidRPr="00EC2A1C" w:rsidRDefault="00DD3EFA" w:rsidP="00B15ECB">
            <w:pPr>
              <w:spacing w:before="60" w:after="60"/>
              <w:rPr>
                <w:rFonts w:eastAsiaTheme="majorEastAsia"/>
              </w:rPr>
            </w:pPr>
            <w:r w:rsidRPr="00EC2A1C">
              <w:rPr>
                <w:rFonts w:eastAsiaTheme="majorEastAsia"/>
              </w:rPr>
              <w:t xml:space="preserve">Z programu LIFE je možné financovat demonstrační a pilotní projekty, je komplementární k podpoře z ESIF. Program LIFE nepodporuje projekty, které mohou být financovány v rámci jiných finančních nástrojů Evropské komise. </w:t>
            </w:r>
          </w:p>
          <w:p w14:paraId="26E783C8" w14:textId="77777777" w:rsidR="00DD3EFA" w:rsidRPr="00EC2A1C" w:rsidRDefault="00DD3EFA" w:rsidP="00B15ECB">
            <w:pPr>
              <w:spacing w:before="60" w:after="60"/>
              <w:rPr>
                <w:rFonts w:eastAsiaTheme="majorEastAsia"/>
                <w:i/>
              </w:rPr>
            </w:pPr>
            <w:r w:rsidRPr="00EC2A1C">
              <w:rPr>
                <w:rFonts w:eastAsiaTheme="majorEastAsia"/>
              </w:rPr>
              <w:t>Program Horizon 2020 obsahuje podporu aktivit spočívajících ve snižování spotřeby energie v budovách, ve službách a v průmyslu, účinné a obnovitelné systémy vytápění a chlazení.</w:t>
            </w:r>
          </w:p>
        </w:tc>
        <w:tc>
          <w:tcPr>
            <w:tcW w:w="249" w:type="dxa"/>
            <w:tcBorders>
              <w:top w:val="nil"/>
              <w:bottom w:val="nil"/>
            </w:tcBorders>
            <w:shd w:val="clear" w:color="auto" w:fill="66CCFF"/>
          </w:tcPr>
          <w:p w14:paraId="1AB75A83" w14:textId="77777777" w:rsidR="00DD3EFA" w:rsidRPr="00EC2A1C" w:rsidRDefault="00DD3EFA" w:rsidP="00B15ECB">
            <w:pPr>
              <w:rPr>
                <w:b/>
              </w:rPr>
            </w:pPr>
          </w:p>
        </w:tc>
      </w:tr>
      <w:tr w:rsidR="00DD3EFA" w:rsidRPr="00EC2A1C" w14:paraId="7FB1D69A" w14:textId="77777777" w:rsidTr="00B15ECB">
        <w:trPr>
          <w:trHeight w:val="1968"/>
        </w:trPr>
        <w:tc>
          <w:tcPr>
            <w:tcW w:w="249" w:type="dxa"/>
            <w:tcBorders>
              <w:top w:val="nil"/>
              <w:bottom w:val="nil"/>
            </w:tcBorders>
            <w:shd w:val="clear" w:color="auto" w:fill="66CCFF"/>
          </w:tcPr>
          <w:p w14:paraId="42776A75" w14:textId="77777777" w:rsidR="00DD3EFA" w:rsidRPr="00EC2A1C" w:rsidRDefault="00DD3EFA" w:rsidP="00B15ECB">
            <w:pPr>
              <w:rPr>
                <w:b/>
              </w:rPr>
            </w:pPr>
          </w:p>
        </w:tc>
        <w:tc>
          <w:tcPr>
            <w:tcW w:w="2548" w:type="dxa"/>
            <w:tcBorders>
              <w:top w:val="nil"/>
            </w:tcBorders>
            <w:shd w:val="clear" w:color="auto" w:fill="FFFFFF" w:themeFill="background1"/>
          </w:tcPr>
          <w:p w14:paraId="7A3BDA86" w14:textId="77777777" w:rsidR="00DD3EFA" w:rsidRPr="00EC2A1C" w:rsidRDefault="00DD3EFA" w:rsidP="00B15ECB">
            <w:pPr>
              <w:spacing w:before="60" w:after="60"/>
              <w:rPr>
                <w:rFonts w:eastAsiaTheme="majorEastAsia"/>
                <w:b/>
              </w:rPr>
            </w:pPr>
            <w:r w:rsidRPr="00EC2A1C">
              <w:rPr>
                <w:rFonts w:eastAsiaTheme="majorEastAsia"/>
                <w:b/>
              </w:rPr>
              <w:t>Státní rozpočet a další národní zdroje</w:t>
            </w:r>
          </w:p>
        </w:tc>
        <w:tc>
          <w:tcPr>
            <w:tcW w:w="5978" w:type="dxa"/>
            <w:tcBorders>
              <w:top w:val="nil"/>
            </w:tcBorders>
            <w:shd w:val="clear" w:color="auto" w:fill="FFFFFF" w:themeFill="background1"/>
          </w:tcPr>
          <w:p w14:paraId="653B4695" w14:textId="77777777" w:rsidR="00DD3EFA" w:rsidRPr="00EC2A1C" w:rsidRDefault="00DD3EFA" w:rsidP="00B15ECB">
            <w:pPr>
              <w:spacing w:before="60" w:after="60"/>
              <w:rPr>
                <w:rFonts w:eastAsiaTheme="majorEastAsia"/>
              </w:rPr>
            </w:pPr>
            <w:r w:rsidRPr="00EC2A1C">
              <w:rPr>
                <w:rFonts w:eastAsiaTheme="majorEastAsia"/>
              </w:rPr>
              <w:t>Program MPO EFEKT  – státní program na podporu úspor energie, jehož cílem je podílení se na naplňování Státní energetické koncepce .Jedná se o doplňkový program k jiným fondům.</w:t>
            </w:r>
          </w:p>
          <w:p w14:paraId="2E0F9E5E" w14:textId="77777777" w:rsidR="00DD3EFA" w:rsidRPr="00EC2A1C" w:rsidRDefault="00DD3EFA" w:rsidP="00391907">
            <w:pPr>
              <w:pStyle w:val="Odstavecseseznamem"/>
              <w:numPr>
                <w:ilvl w:val="0"/>
                <w:numId w:val="99"/>
              </w:numPr>
              <w:spacing w:before="60" w:after="60"/>
              <w:jc w:val="both"/>
              <w:rPr>
                <w:rFonts w:eastAsiaTheme="majorEastAsia"/>
              </w:rPr>
            </w:pPr>
            <w:r w:rsidRPr="00EC2A1C">
              <w:rPr>
                <w:rFonts w:eastAsiaTheme="majorEastAsia"/>
              </w:rPr>
              <w:t>prostředky z obchodování s povolenkami na emise skleníkových plynů a implementace příslušné legislativy (modernizační fond)</w:t>
            </w:r>
          </w:p>
          <w:p w14:paraId="283B46A1" w14:textId="77777777" w:rsidR="00DD3EFA" w:rsidRPr="00EC2A1C" w:rsidRDefault="00DD3EFA" w:rsidP="00391907">
            <w:pPr>
              <w:pStyle w:val="Odstavecseseznamem"/>
              <w:numPr>
                <w:ilvl w:val="0"/>
                <w:numId w:val="99"/>
              </w:numPr>
              <w:spacing w:before="60" w:after="60"/>
              <w:jc w:val="both"/>
              <w:rPr>
                <w:rFonts w:eastAsiaTheme="majorEastAsia"/>
              </w:rPr>
            </w:pPr>
            <w:r w:rsidRPr="00EC2A1C">
              <w:rPr>
                <w:rFonts w:eastAsiaTheme="majorEastAsia"/>
              </w:rPr>
              <w:t>státní rozpočet, zejména na renovace budov ve státním sektoru a měkká opatření (stávající program EFEKT).</w:t>
            </w:r>
          </w:p>
          <w:p w14:paraId="05115719" w14:textId="77777777" w:rsidR="00DD3EFA" w:rsidRPr="00EC2A1C" w:rsidRDefault="00DD3EFA" w:rsidP="00B15ECB">
            <w:pPr>
              <w:pStyle w:val="Odstavecseseznamem"/>
              <w:spacing w:before="60" w:after="60"/>
              <w:rPr>
                <w:rFonts w:eastAsiaTheme="majorEastAsia"/>
              </w:rPr>
            </w:pPr>
          </w:p>
          <w:p w14:paraId="05470DF0" w14:textId="77777777" w:rsidR="00DD3EFA" w:rsidRPr="00EC2A1C" w:rsidRDefault="00DD3EFA" w:rsidP="00B15ECB">
            <w:pPr>
              <w:spacing w:before="60" w:after="60"/>
              <w:rPr>
                <w:rFonts w:eastAsiaTheme="majorEastAsia"/>
                <w:i/>
              </w:rPr>
            </w:pPr>
            <w:r w:rsidRPr="00EC2A1C">
              <w:rPr>
                <w:rFonts w:eastAsiaTheme="majorEastAsia"/>
              </w:rPr>
              <w:t>Pro aktivity, které nebude umožněno podporovat na základě přijaté legislativy EU týkající se pravidel poskytování prostředků ze strukturálních fondů, či nebudou nákladově optimální pro financování ze strukturálních fondů z důvodů vysokých transakčních nákladů, je potřebné pro tyto aktivity alokovat prostředky ze státního rozpočtu.</w:t>
            </w:r>
          </w:p>
        </w:tc>
        <w:tc>
          <w:tcPr>
            <w:tcW w:w="249" w:type="dxa"/>
            <w:tcBorders>
              <w:top w:val="nil"/>
              <w:bottom w:val="nil"/>
            </w:tcBorders>
            <w:shd w:val="clear" w:color="auto" w:fill="66CCFF"/>
          </w:tcPr>
          <w:p w14:paraId="11EE57FA" w14:textId="77777777" w:rsidR="00DD3EFA" w:rsidRPr="00EC2A1C" w:rsidRDefault="00DD3EFA" w:rsidP="00B15ECB">
            <w:pPr>
              <w:rPr>
                <w:b/>
              </w:rPr>
            </w:pPr>
          </w:p>
        </w:tc>
      </w:tr>
      <w:tr w:rsidR="00DD3EFA" w:rsidRPr="00EC2A1C" w14:paraId="5F0E1BF4" w14:textId="77777777" w:rsidTr="00B15ECB">
        <w:trPr>
          <w:trHeight w:val="1968"/>
        </w:trPr>
        <w:tc>
          <w:tcPr>
            <w:tcW w:w="249" w:type="dxa"/>
            <w:tcBorders>
              <w:top w:val="nil"/>
              <w:bottom w:val="nil"/>
            </w:tcBorders>
            <w:shd w:val="clear" w:color="auto" w:fill="66CCFF"/>
          </w:tcPr>
          <w:p w14:paraId="6482C868" w14:textId="77777777" w:rsidR="00DD3EFA" w:rsidRPr="00EC2A1C" w:rsidRDefault="00DD3EFA" w:rsidP="00B15ECB">
            <w:pPr>
              <w:rPr>
                <w:b/>
              </w:rPr>
            </w:pPr>
          </w:p>
        </w:tc>
        <w:tc>
          <w:tcPr>
            <w:tcW w:w="2548" w:type="dxa"/>
            <w:tcBorders>
              <w:top w:val="nil"/>
            </w:tcBorders>
            <w:shd w:val="clear" w:color="auto" w:fill="FFFFFF" w:themeFill="background1"/>
          </w:tcPr>
          <w:p w14:paraId="084F1E5E" w14:textId="77777777" w:rsidR="00DD3EFA" w:rsidRPr="00EC2A1C" w:rsidRDefault="00DD3EFA" w:rsidP="00B15ECB">
            <w:pPr>
              <w:spacing w:before="60" w:after="60"/>
              <w:rPr>
                <w:rFonts w:eastAsiaTheme="majorEastAsia"/>
                <w:b/>
              </w:rPr>
            </w:pPr>
            <w:r w:rsidRPr="00EC2A1C">
              <w:rPr>
                <w:rFonts w:eastAsiaTheme="majorEastAsia"/>
                <w:b/>
              </w:rPr>
              <w:t>Další zdroje mimo veřejné rozpočty</w:t>
            </w:r>
          </w:p>
        </w:tc>
        <w:tc>
          <w:tcPr>
            <w:tcW w:w="5978" w:type="dxa"/>
            <w:tcBorders>
              <w:top w:val="nil"/>
            </w:tcBorders>
            <w:shd w:val="clear" w:color="auto" w:fill="FFFFFF" w:themeFill="background1"/>
          </w:tcPr>
          <w:p w14:paraId="5E4CB4CB" w14:textId="77777777" w:rsidR="00DD3EFA" w:rsidRPr="00EC2A1C" w:rsidRDefault="00DD3EFA" w:rsidP="00B15ECB">
            <w:pPr>
              <w:spacing w:before="60" w:after="60"/>
              <w:rPr>
                <w:rFonts w:eastAsiaTheme="majorEastAsia"/>
                <w:i/>
              </w:rPr>
            </w:pPr>
            <w:r w:rsidRPr="00EC2A1C">
              <w:rPr>
                <w:rFonts w:eastAsiaTheme="majorEastAsia"/>
                <w:i/>
              </w:rPr>
              <w:t>-</w:t>
            </w:r>
          </w:p>
        </w:tc>
        <w:tc>
          <w:tcPr>
            <w:tcW w:w="249" w:type="dxa"/>
            <w:tcBorders>
              <w:top w:val="nil"/>
              <w:bottom w:val="nil"/>
            </w:tcBorders>
            <w:shd w:val="clear" w:color="auto" w:fill="66CCFF"/>
          </w:tcPr>
          <w:p w14:paraId="3FC0B5E0" w14:textId="77777777" w:rsidR="00DD3EFA" w:rsidRPr="00EC2A1C" w:rsidRDefault="00DD3EFA" w:rsidP="00B15ECB">
            <w:pPr>
              <w:rPr>
                <w:b/>
              </w:rPr>
            </w:pPr>
          </w:p>
        </w:tc>
      </w:tr>
      <w:tr w:rsidR="00DD3EFA" w:rsidRPr="00EC2A1C" w14:paraId="5E312DB3" w14:textId="77777777" w:rsidTr="00B15ECB">
        <w:trPr>
          <w:trHeight w:val="1968"/>
        </w:trPr>
        <w:tc>
          <w:tcPr>
            <w:tcW w:w="249" w:type="dxa"/>
            <w:tcBorders>
              <w:top w:val="nil"/>
              <w:bottom w:val="nil"/>
            </w:tcBorders>
            <w:shd w:val="clear" w:color="auto" w:fill="66CCFF"/>
          </w:tcPr>
          <w:p w14:paraId="3B5347B7" w14:textId="77777777" w:rsidR="00DD3EFA" w:rsidRPr="00EC2A1C" w:rsidRDefault="00DD3EFA" w:rsidP="00B15ECB">
            <w:pPr>
              <w:rPr>
                <w:b/>
              </w:rPr>
            </w:pPr>
          </w:p>
        </w:tc>
        <w:tc>
          <w:tcPr>
            <w:tcW w:w="2548" w:type="dxa"/>
            <w:tcBorders>
              <w:top w:val="nil"/>
            </w:tcBorders>
            <w:shd w:val="clear" w:color="auto" w:fill="FFFFFF" w:themeFill="background1"/>
          </w:tcPr>
          <w:p w14:paraId="04F31CCA" w14:textId="77777777" w:rsidR="00DD3EFA" w:rsidRPr="00EC2A1C" w:rsidRDefault="00DD3EFA" w:rsidP="00B15ECB">
            <w:pPr>
              <w:spacing w:before="60" w:after="60"/>
              <w:rPr>
                <w:rFonts w:eastAsiaTheme="majorEastAsia"/>
                <w:b/>
              </w:rPr>
            </w:pPr>
            <w:r w:rsidRPr="00EC2A1C">
              <w:rPr>
                <w:rFonts w:eastAsiaTheme="majorEastAsia"/>
                <w:b/>
              </w:rPr>
              <w:t>Možnost využití FN.</w:t>
            </w:r>
          </w:p>
        </w:tc>
        <w:tc>
          <w:tcPr>
            <w:tcW w:w="5978" w:type="dxa"/>
            <w:tcBorders>
              <w:top w:val="nil"/>
            </w:tcBorders>
            <w:shd w:val="clear" w:color="auto" w:fill="FFFFFF" w:themeFill="background1"/>
          </w:tcPr>
          <w:p w14:paraId="7DA414AC" w14:textId="77777777" w:rsidR="00DD3EFA" w:rsidRPr="00EC2A1C" w:rsidRDefault="00DD3EFA" w:rsidP="00B15ECB">
            <w:pPr>
              <w:spacing w:before="60" w:after="60"/>
              <w:rPr>
                <w:rFonts w:eastAsiaTheme="majorEastAsia"/>
              </w:rPr>
            </w:pPr>
            <w:r w:rsidRPr="00EC2A1C">
              <w:rPr>
                <w:rFonts w:eastAsiaTheme="majorEastAsia"/>
              </w:rPr>
              <w:t>Stejně jako v současném období je žádoucí k využití FN. Podpora skrze FN  je oproti dotacím pro žadatele administrativně jednodušší, a finanční prostředky jsou návratné.  Jako efektivní se jeví využití v kombinaci s dotací, která zatraktivní finanční návratnost investice při zachování jednoduchosti výsledného produktu.</w:t>
            </w:r>
          </w:p>
          <w:p w14:paraId="1AB9F988" w14:textId="77777777" w:rsidR="00DD3EFA" w:rsidRPr="00EC2A1C" w:rsidRDefault="00DD3EFA" w:rsidP="00B15ECB">
            <w:pPr>
              <w:spacing w:before="60" w:after="60"/>
              <w:rPr>
                <w:rFonts w:eastAsiaTheme="majorEastAsia"/>
              </w:rPr>
            </w:pPr>
          </w:p>
          <w:p w14:paraId="6BA6915F" w14:textId="77777777" w:rsidR="00DD3EFA" w:rsidRPr="00EC2A1C" w:rsidRDefault="00DD3EFA" w:rsidP="00B15ECB">
            <w:pPr>
              <w:spacing w:before="60" w:after="60"/>
              <w:rPr>
                <w:rFonts w:eastAsiaTheme="majorEastAsia"/>
              </w:rPr>
            </w:pPr>
            <w:r w:rsidRPr="00EC2A1C">
              <w:rPr>
                <w:rFonts w:eastAsiaTheme="majorEastAsia"/>
              </w:rPr>
              <w:t>Ideální je možnost podpory skrze FN kombinovat s dalšími programy (např. na technickou podporu přípravy projektů) nebo s dotační podporou. FN lze využít též pro podporu EPC projektů, např. formou odkupu pohledávek ESCO firem.</w:t>
            </w:r>
          </w:p>
          <w:p w14:paraId="7023E7D7" w14:textId="77777777" w:rsidR="00DD3EFA" w:rsidRPr="00EC2A1C" w:rsidRDefault="00DD3EFA" w:rsidP="00B15ECB">
            <w:pPr>
              <w:spacing w:before="60" w:after="60"/>
              <w:rPr>
                <w:rFonts w:eastAsiaTheme="majorEastAsia"/>
              </w:rPr>
            </w:pPr>
          </w:p>
          <w:p w14:paraId="2C820689" w14:textId="77777777" w:rsidR="00DD3EFA" w:rsidRPr="00EC2A1C" w:rsidRDefault="00DD3EFA" w:rsidP="00B15ECB">
            <w:pPr>
              <w:spacing w:before="60" w:after="60"/>
              <w:rPr>
                <w:rFonts w:eastAsiaTheme="majorEastAsia"/>
              </w:rPr>
            </w:pPr>
            <w:r w:rsidRPr="00EC2A1C">
              <w:rPr>
                <w:rFonts w:eastAsiaTheme="majorEastAsia"/>
              </w:rPr>
              <w:t>Finanční nástroje by měly umožnit nabídku vhodných produktů pro jednotlivé typy žadatelů (domácnosti, podniky, státní a veřejná správa) s potenciálem zvyšování energetické účinnosti, které povedou ke zvýšení páky veřejných prostředků na indukované celkové investice. Možná je zde kombinace více finančních zdrojů při spolupráci se soukromými finančními institucemi či EIB.</w:t>
            </w:r>
          </w:p>
          <w:p w14:paraId="1341911C" w14:textId="77777777" w:rsidR="00DD3EFA" w:rsidRPr="00EC2A1C" w:rsidRDefault="00DD3EFA" w:rsidP="00B15ECB">
            <w:r w:rsidRPr="00EC2A1C">
              <w:t xml:space="preserve">Vhodné je rozvinout zejména úvěrové a záruční mechanismy v kombinaci s dotací. Bankovní záruky pomáhají omezit bariéru chybějícího ručení či rizikovosti klienta v rámci žádosti o úvěr u bank. </w:t>
            </w:r>
          </w:p>
          <w:p w14:paraId="5568A2C2" w14:textId="77777777" w:rsidR="00DD3EFA" w:rsidRPr="00EC2A1C" w:rsidRDefault="00DD3EFA" w:rsidP="00B15ECB">
            <w:r w:rsidRPr="00EC2A1C">
              <w:t>Technická podpora je zásadní pro oslovení žadatelů, kteří sami nejsou odborníky na energetickou účinnost a přípravě jejich projektů v náležité kvalitě.</w:t>
            </w:r>
          </w:p>
        </w:tc>
        <w:tc>
          <w:tcPr>
            <w:tcW w:w="249" w:type="dxa"/>
            <w:tcBorders>
              <w:top w:val="nil"/>
              <w:bottom w:val="nil"/>
            </w:tcBorders>
            <w:shd w:val="clear" w:color="auto" w:fill="66CCFF"/>
          </w:tcPr>
          <w:p w14:paraId="2A38C02C" w14:textId="77777777" w:rsidR="00DD3EFA" w:rsidRPr="00EC2A1C" w:rsidRDefault="00DD3EFA" w:rsidP="00B15ECB">
            <w:pPr>
              <w:rPr>
                <w:b/>
              </w:rPr>
            </w:pPr>
          </w:p>
        </w:tc>
      </w:tr>
      <w:tr w:rsidR="00DD3EFA" w:rsidRPr="00EC2A1C" w14:paraId="13EFA97E" w14:textId="77777777" w:rsidTr="00B15ECB">
        <w:trPr>
          <w:trHeight w:val="150"/>
        </w:trPr>
        <w:tc>
          <w:tcPr>
            <w:tcW w:w="249" w:type="dxa"/>
            <w:tcBorders>
              <w:top w:val="nil"/>
              <w:right w:val="nil"/>
            </w:tcBorders>
            <w:shd w:val="clear" w:color="auto" w:fill="66CCFF"/>
          </w:tcPr>
          <w:p w14:paraId="1FB32470" w14:textId="77777777" w:rsidR="00DD3EFA" w:rsidRPr="00EC2A1C" w:rsidRDefault="00DD3EFA" w:rsidP="00B15ECB">
            <w:pPr>
              <w:rPr>
                <w:b/>
              </w:rPr>
            </w:pPr>
          </w:p>
        </w:tc>
        <w:tc>
          <w:tcPr>
            <w:tcW w:w="2548" w:type="dxa"/>
            <w:tcBorders>
              <w:left w:val="nil"/>
              <w:right w:val="nil"/>
            </w:tcBorders>
            <w:shd w:val="clear" w:color="auto" w:fill="66CCFF"/>
          </w:tcPr>
          <w:p w14:paraId="3689B28E" w14:textId="77777777" w:rsidR="00DD3EFA" w:rsidRPr="00EC2A1C" w:rsidRDefault="00DD3EFA" w:rsidP="00B15ECB">
            <w:pPr>
              <w:rPr>
                <w:b/>
              </w:rPr>
            </w:pPr>
          </w:p>
        </w:tc>
        <w:tc>
          <w:tcPr>
            <w:tcW w:w="5978" w:type="dxa"/>
            <w:tcBorders>
              <w:left w:val="nil"/>
              <w:right w:val="nil"/>
            </w:tcBorders>
            <w:shd w:val="clear" w:color="auto" w:fill="66CCFF"/>
          </w:tcPr>
          <w:p w14:paraId="5B93D191" w14:textId="77777777" w:rsidR="00DD3EFA" w:rsidRPr="00EC2A1C" w:rsidRDefault="00DD3EFA" w:rsidP="00B15ECB">
            <w:pPr>
              <w:rPr>
                <w:b/>
              </w:rPr>
            </w:pPr>
          </w:p>
        </w:tc>
        <w:tc>
          <w:tcPr>
            <w:tcW w:w="249" w:type="dxa"/>
            <w:tcBorders>
              <w:top w:val="nil"/>
              <w:left w:val="nil"/>
            </w:tcBorders>
            <w:shd w:val="clear" w:color="auto" w:fill="66CCFF"/>
          </w:tcPr>
          <w:p w14:paraId="50DB9BAA" w14:textId="77777777" w:rsidR="00DD3EFA" w:rsidRPr="00EC2A1C" w:rsidRDefault="00DD3EFA" w:rsidP="00B15ECB">
            <w:pPr>
              <w:rPr>
                <w:b/>
              </w:rPr>
            </w:pPr>
          </w:p>
        </w:tc>
      </w:tr>
    </w:tbl>
    <w:p w14:paraId="6C460D5A" w14:textId="77777777" w:rsidR="00DD3EFA" w:rsidRPr="00EC2A1C" w:rsidRDefault="00DD3EFA" w:rsidP="00B15ECB">
      <w:pPr>
        <w:rPr>
          <w:rFonts w:ascii="Times New Roman" w:hAnsi="Times New Roman" w:cs="Times New Roman"/>
          <w:b/>
          <w:sz w:val="20"/>
          <w:szCs w:val="20"/>
        </w:rPr>
      </w:pPr>
    </w:p>
    <w:p w14:paraId="567B39F1" w14:textId="77777777" w:rsidR="00DD3EFA" w:rsidRPr="00EC2A1C" w:rsidRDefault="00DD3EFA">
      <w:pPr>
        <w:rPr>
          <w:rFonts w:ascii="Times New Roman" w:hAnsi="Times New Roman" w:cs="Times New Roman"/>
          <w:b/>
          <w:sz w:val="20"/>
          <w:szCs w:val="20"/>
        </w:rPr>
      </w:pPr>
      <w:r w:rsidRPr="00EC2A1C">
        <w:rPr>
          <w:rFonts w:ascii="Times New Roman" w:hAnsi="Times New Roman" w:cs="Times New Roman"/>
          <w:b/>
          <w:sz w:val="20"/>
          <w:szCs w:val="20"/>
        </w:rPr>
        <w:br w:type="page"/>
      </w:r>
    </w:p>
    <w:p w14:paraId="506AC351" w14:textId="77777777" w:rsidR="00DD3EFA" w:rsidRPr="00EC2A1C" w:rsidRDefault="00DD3EFA">
      <w:pPr>
        <w:rPr>
          <w:rFonts w:ascii="Times New Roman" w:hAnsi="Times New Roman" w:cs="Times New Roman"/>
          <w:b/>
          <w:sz w:val="20"/>
          <w:szCs w:val="20"/>
        </w:rPr>
      </w:pPr>
    </w:p>
    <w:tbl>
      <w:tblPr>
        <w:tblStyle w:val="Mkatabulky"/>
        <w:tblW w:w="9534" w:type="dxa"/>
        <w:tblInd w:w="-5" w:type="dxa"/>
        <w:shd w:val="clear" w:color="auto" w:fill="C7ECF1"/>
        <w:tblLayout w:type="fixed"/>
        <w:tblLook w:val="04A0" w:firstRow="1" w:lastRow="0" w:firstColumn="1" w:lastColumn="0" w:noHBand="0" w:noVBand="1"/>
      </w:tblPr>
      <w:tblGrid>
        <w:gridCol w:w="249"/>
        <w:gridCol w:w="2558"/>
        <w:gridCol w:w="6478"/>
        <w:gridCol w:w="249"/>
      </w:tblGrid>
      <w:tr w:rsidR="00DD3EFA" w:rsidRPr="00EC2A1C" w14:paraId="40EAF707" w14:textId="77777777" w:rsidTr="005C7F05">
        <w:trPr>
          <w:trHeight w:val="180"/>
        </w:trPr>
        <w:tc>
          <w:tcPr>
            <w:tcW w:w="249" w:type="dxa"/>
            <w:tcBorders>
              <w:bottom w:val="nil"/>
              <w:right w:val="nil"/>
            </w:tcBorders>
            <w:shd w:val="clear" w:color="auto" w:fill="66CCFF"/>
          </w:tcPr>
          <w:p w14:paraId="2AD3E26E" w14:textId="77777777" w:rsidR="00DD3EFA" w:rsidRPr="00EC2A1C" w:rsidRDefault="00DD3EFA" w:rsidP="00B15ECB">
            <w:pPr>
              <w:rPr>
                <w:b/>
              </w:rPr>
            </w:pPr>
          </w:p>
        </w:tc>
        <w:tc>
          <w:tcPr>
            <w:tcW w:w="2558" w:type="dxa"/>
            <w:tcBorders>
              <w:left w:val="nil"/>
              <w:right w:val="nil"/>
            </w:tcBorders>
            <w:shd w:val="clear" w:color="auto" w:fill="66CCFF"/>
          </w:tcPr>
          <w:p w14:paraId="1DA24DEF" w14:textId="77777777" w:rsidR="00DD3EFA" w:rsidRPr="00EC2A1C" w:rsidRDefault="00DD3EFA" w:rsidP="00B15ECB">
            <w:pPr>
              <w:rPr>
                <w:b/>
              </w:rPr>
            </w:pPr>
          </w:p>
        </w:tc>
        <w:tc>
          <w:tcPr>
            <w:tcW w:w="6478" w:type="dxa"/>
            <w:tcBorders>
              <w:left w:val="nil"/>
              <w:right w:val="nil"/>
            </w:tcBorders>
            <w:shd w:val="clear" w:color="auto" w:fill="66CCFF"/>
          </w:tcPr>
          <w:p w14:paraId="76949799" w14:textId="77777777" w:rsidR="00DD3EFA" w:rsidRPr="00EC2A1C" w:rsidRDefault="00DD3EFA" w:rsidP="00B15ECB">
            <w:pPr>
              <w:rPr>
                <w:b/>
              </w:rPr>
            </w:pPr>
          </w:p>
        </w:tc>
        <w:tc>
          <w:tcPr>
            <w:tcW w:w="249" w:type="dxa"/>
            <w:tcBorders>
              <w:left w:val="nil"/>
              <w:bottom w:val="nil"/>
            </w:tcBorders>
            <w:shd w:val="clear" w:color="auto" w:fill="66CCFF"/>
          </w:tcPr>
          <w:p w14:paraId="3D88B740" w14:textId="77777777" w:rsidR="00DD3EFA" w:rsidRPr="00EC2A1C" w:rsidRDefault="00DD3EFA" w:rsidP="00B15ECB">
            <w:pPr>
              <w:rPr>
                <w:b/>
              </w:rPr>
            </w:pPr>
          </w:p>
        </w:tc>
      </w:tr>
      <w:tr w:rsidR="00DD3EFA" w:rsidRPr="00EC2A1C" w14:paraId="7508B82A" w14:textId="77777777" w:rsidTr="005C7F05">
        <w:trPr>
          <w:trHeight w:val="561"/>
        </w:trPr>
        <w:tc>
          <w:tcPr>
            <w:tcW w:w="249" w:type="dxa"/>
            <w:tcBorders>
              <w:top w:val="nil"/>
              <w:bottom w:val="nil"/>
            </w:tcBorders>
            <w:shd w:val="clear" w:color="auto" w:fill="66CCFF"/>
          </w:tcPr>
          <w:p w14:paraId="1113AD26" w14:textId="77777777" w:rsidR="00DD3EFA" w:rsidRPr="00EC2A1C" w:rsidRDefault="00DD3EFA" w:rsidP="00B15ECB">
            <w:pPr>
              <w:rPr>
                <w:b/>
              </w:rPr>
            </w:pPr>
          </w:p>
        </w:tc>
        <w:tc>
          <w:tcPr>
            <w:tcW w:w="2558" w:type="dxa"/>
            <w:shd w:val="clear" w:color="auto" w:fill="0070C0"/>
          </w:tcPr>
          <w:p w14:paraId="3AE649F8"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Strategický cíl NKR:</w:t>
            </w:r>
          </w:p>
          <w:p w14:paraId="2FB08DA8" w14:textId="77777777" w:rsidR="00DD3EFA" w:rsidRPr="00EC2A1C" w:rsidRDefault="00DD3EFA" w:rsidP="00B15ECB">
            <w:pPr>
              <w:spacing w:before="60" w:after="60"/>
              <w:rPr>
                <w:rFonts w:eastAsiaTheme="majorEastAsia"/>
                <w:b/>
                <w:color w:val="FFFFFF" w:themeColor="background1"/>
              </w:rPr>
            </w:pPr>
            <w:r w:rsidRPr="00EC2A1C">
              <w:t>Zlepšení kvality životního prostředí, zavedení nízkouhlíkové ekonomiky a adaptace na změnu klimatu</w:t>
            </w:r>
          </w:p>
        </w:tc>
        <w:tc>
          <w:tcPr>
            <w:tcW w:w="6478" w:type="dxa"/>
            <w:shd w:val="clear" w:color="auto" w:fill="0070C0"/>
          </w:tcPr>
          <w:p w14:paraId="2337225A"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51"/>
            </w:r>
            <w:r w:rsidRPr="00EC2A1C">
              <w:rPr>
                <w:rFonts w:eastAsiaTheme="majorEastAsia"/>
                <w:b/>
                <w:color w:val="FFFFFF" w:themeColor="background1"/>
                <w:u w:val="single"/>
              </w:rPr>
              <w:t xml:space="preserve">: </w:t>
            </w:r>
          </w:p>
          <w:p w14:paraId="105F5D0C" w14:textId="77777777" w:rsidR="00DD3EFA" w:rsidRPr="00EC2A1C" w:rsidRDefault="00DD3EFA" w:rsidP="00B15ECB">
            <w:pPr>
              <w:spacing w:before="60" w:after="60"/>
            </w:pPr>
            <w:r w:rsidRPr="00EC2A1C">
              <w:t>Podpora vzniku a zavádění inovativních nízkouhlíkových technologií a efektivní a šetrné využívání obnovitelných zdrojů energie</w:t>
            </w:r>
          </w:p>
          <w:p w14:paraId="35814311" w14:textId="77777777" w:rsidR="00DD3EFA" w:rsidRPr="00EC2A1C" w:rsidRDefault="00DD3EFA" w:rsidP="00B15ECB">
            <w:pPr>
              <w:spacing w:before="60" w:after="60"/>
              <w:rPr>
                <w:rFonts w:eastAsiaTheme="majorEastAsia"/>
                <w:i/>
              </w:rPr>
            </w:pPr>
          </w:p>
          <w:p w14:paraId="3AF6B55F" w14:textId="77777777" w:rsidR="00DD3EFA" w:rsidRPr="00EC2A1C" w:rsidRDefault="00DD3EFA" w:rsidP="00B15ECB">
            <w:pPr>
              <w:spacing w:before="60" w:after="60"/>
              <w:rPr>
                <w:rFonts w:eastAsiaTheme="majorEastAsia"/>
                <w:b/>
                <w:color w:val="FFFFFF" w:themeColor="background1"/>
                <w:u w:val="single"/>
              </w:rPr>
            </w:pPr>
          </w:p>
        </w:tc>
        <w:tc>
          <w:tcPr>
            <w:tcW w:w="249" w:type="dxa"/>
            <w:tcBorders>
              <w:top w:val="nil"/>
              <w:bottom w:val="nil"/>
            </w:tcBorders>
            <w:shd w:val="clear" w:color="auto" w:fill="66CCFF"/>
          </w:tcPr>
          <w:p w14:paraId="2598E151" w14:textId="77777777" w:rsidR="00DD3EFA" w:rsidRPr="00EC2A1C" w:rsidRDefault="00DD3EFA" w:rsidP="00B15ECB">
            <w:pPr>
              <w:rPr>
                <w:b/>
              </w:rPr>
            </w:pPr>
          </w:p>
        </w:tc>
      </w:tr>
      <w:tr w:rsidR="00DD3EFA" w:rsidRPr="00EC2A1C" w14:paraId="18DBA4FC" w14:textId="77777777" w:rsidTr="005C7F05">
        <w:trPr>
          <w:trHeight w:val="180"/>
        </w:trPr>
        <w:tc>
          <w:tcPr>
            <w:tcW w:w="249" w:type="dxa"/>
            <w:tcBorders>
              <w:top w:val="nil"/>
              <w:bottom w:val="nil"/>
              <w:right w:val="nil"/>
            </w:tcBorders>
            <w:shd w:val="clear" w:color="auto" w:fill="66CCFF"/>
          </w:tcPr>
          <w:p w14:paraId="6A8E17FE" w14:textId="77777777" w:rsidR="00DD3EFA" w:rsidRPr="00EC2A1C" w:rsidRDefault="00DD3EFA" w:rsidP="00B15ECB">
            <w:pPr>
              <w:rPr>
                <w:b/>
              </w:rPr>
            </w:pPr>
          </w:p>
        </w:tc>
        <w:tc>
          <w:tcPr>
            <w:tcW w:w="2558" w:type="dxa"/>
            <w:tcBorders>
              <w:left w:val="nil"/>
              <w:right w:val="nil"/>
            </w:tcBorders>
            <w:shd w:val="clear" w:color="auto" w:fill="66CCFF"/>
          </w:tcPr>
          <w:p w14:paraId="683B6B79" w14:textId="77777777" w:rsidR="00DD3EFA" w:rsidRPr="00EC2A1C" w:rsidRDefault="00DD3EFA" w:rsidP="00B15ECB">
            <w:pPr>
              <w:rPr>
                <w:b/>
              </w:rPr>
            </w:pPr>
          </w:p>
        </w:tc>
        <w:tc>
          <w:tcPr>
            <w:tcW w:w="6478" w:type="dxa"/>
            <w:tcBorders>
              <w:left w:val="nil"/>
              <w:right w:val="nil"/>
            </w:tcBorders>
            <w:shd w:val="clear" w:color="auto" w:fill="66CCFF"/>
          </w:tcPr>
          <w:p w14:paraId="4A96F8FE" w14:textId="77777777" w:rsidR="00DD3EFA" w:rsidRPr="00EC2A1C" w:rsidRDefault="00DD3EFA" w:rsidP="00B15ECB">
            <w:pPr>
              <w:rPr>
                <w:b/>
              </w:rPr>
            </w:pPr>
          </w:p>
        </w:tc>
        <w:tc>
          <w:tcPr>
            <w:tcW w:w="249" w:type="dxa"/>
            <w:tcBorders>
              <w:top w:val="nil"/>
              <w:left w:val="nil"/>
              <w:bottom w:val="nil"/>
            </w:tcBorders>
            <w:shd w:val="clear" w:color="auto" w:fill="66CCFF"/>
          </w:tcPr>
          <w:p w14:paraId="1CDB01AA" w14:textId="77777777" w:rsidR="00DD3EFA" w:rsidRPr="00EC2A1C" w:rsidRDefault="00DD3EFA" w:rsidP="00B15ECB">
            <w:pPr>
              <w:rPr>
                <w:b/>
              </w:rPr>
            </w:pPr>
          </w:p>
        </w:tc>
      </w:tr>
      <w:tr w:rsidR="00DD3EFA" w:rsidRPr="00EC2A1C" w14:paraId="1339E785" w14:textId="77777777" w:rsidTr="005C7F05">
        <w:trPr>
          <w:trHeight w:val="892"/>
        </w:trPr>
        <w:tc>
          <w:tcPr>
            <w:tcW w:w="249" w:type="dxa"/>
            <w:tcBorders>
              <w:top w:val="nil"/>
              <w:bottom w:val="nil"/>
            </w:tcBorders>
            <w:shd w:val="clear" w:color="auto" w:fill="66CCFF"/>
          </w:tcPr>
          <w:p w14:paraId="3D55234D" w14:textId="77777777" w:rsidR="00DD3EFA" w:rsidRPr="00EC2A1C" w:rsidRDefault="00DD3EFA" w:rsidP="00B15ECB">
            <w:pPr>
              <w:rPr>
                <w:b/>
              </w:rPr>
            </w:pPr>
          </w:p>
        </w:tc>
        <w:tc>
          <w:tcPr>
            <w:tcW w:w="2558" w:type="dxa"/>
            <w:shd w:val="clear" w:color="auto" w:fill="FFFFFF" w:themeFill="background1"/>
          </w:tcPr>
          <w:p w14:paraId="06380CF4"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6478" w:type="dxa"/>
            <w:shd w:val="clear" w:color="auto" w:fill="FFFFFF" w:themeFill="background1"/>
          </w:tcPr>
          <w:p w14:paraId="2F55A729" w14:textId="77777777" w:rsidR="00DD3EFA" w:rsidRPr="00EC2A1C" w:rsidRDefault="00DD3EFA" w:rsidP="00B15ECB">
            <w:pPr>
              <w:tabs>
                <w:tab w:val="left" w:pos="284"/>
              </w:tabs>
              <w:suppressAutoHyphens/>
              <w:spacing w:after="200"/>
              <w:rPr>
                <w:rFonts w:eastAsiaTheme="majorEastAsia"/>
              </w:rPr>
            </w:pPr>
            <w:r w:rsidRPr="00EC2A1C">
              <w:rPr>
                <w:rFonts w:eastAsiaTheme="majorEastAsia"/>
              </w:rPr>
              <w:t>Hlavním cílem je přechod na nízkouhlíkovou ekonomiku a související podpora konkurenceschopnosti podniků , a to prostřednictvím zaváděním inovativních nízkouhlíkových technologií v oblasti nakládání energií. Významou roli v tomto ohledu hraje využití obnovitelných zdrojů energie.</w:t>
            </w:r>
          </w:p>
          <w:p w14:paraId="03FAA46B" w14:textId="77777777" w:rsidR="00DD3EFA" w:rsidRPr="00EC2A1C" w:rsidRDefault="00DD3EFA" w:rsidP="00B15ECB">
            <w:pPr>
              <w:tabs>
                <w:tab w:val="left" w:pos="284"/>
              </w:tabs>
              <w:suppressAutoHyphens/>
              <w:spacing w:after="200"/>
              <w:rPr>
                <w:rFonts w:eastAsiaTheme="majorEastAsia"/>
              </w:rPr>
            </w:pPr>
            <w:r w:rsidRPr="00EC2A1C">
              <w:rPr>
                <w:rFonts w:eastAsiaTheme="majorEastAsia"/>
              </w:rPr>
              <w:t>Spolu s jadernou energetikou a plynem představují obnovitelné zdroje energie (OZE) další alternativu k tepelným uhelným elektrárnám, jejichž podíl na výrobě elektřiny se bude i v budoucnu nadále snižovat. I do budoucna je nutné počítat s rozvojem fotovoltaických elektráren, a to jak v rámci využití malého či lokálního rozsahu (domácnosti, průmyslové a zemědělské areály, veřejné budovy), tak pro výrobu a dodávání elektrické energie do sítí. Při využití OZE je nutné posuzovat rovněž cenu vyrobené energie a jejich vliv životní prostředí, ráz krajiny a architektury. Důležitou roli hrají také inovace při zavádění a využívání obnovitelných zdrojů energie.</w:t>
            </w:r>
          </w:p>
          <w:p w14:paraId="41824C27" w14:textId="77777777" w:rsidR="00DD3EFA" w:rsidRPr="00EC2A1C" w:rsidRDefault="00DD3EFA" w:rsidP="00B15ECB">
            <w:pPr>
              <w:tabs>
                <w:tab w:val="left" w:pos="284"/>
              </w:tabs>
              <w:suppressAutoHyphens/>
              <w:spacing w:after="200"/>
              <w:rPr>
                <w:rFonts w:eastAsiaTheme="majorEastAsia"/>
              </w:rPr>
            </w:pPr>
            <w:r w:rsidRPr="00EC2A1C">
              <w:rPr>
                <w:rFonts w:eastAsia="Calibri"/>
              </w:rPr>
              <w:t>V rámci cíle budou podporovány tyto aktivity:</w:t>
            </w:r>
          </w:p>
          <w:p w14:paraId="3EB03F3F" w14:textId="77777777" w:rsidR="00DD3EFA" w:rsidRPr="00EC2A1C" w:rsidRDefault="00DD3EFA" w:rsidP="00391907">
            <w:pPr>
              <w:pStyle w:val="Odstavecseseznamem"/>
              <w:numPr>
                <w:ilvl w:val="0"/>
                <w:numId w:val="96"/>
              </w:numPr>
              <w:jc w:val="both"/>
              <w:rPr>
                <w:u w:val="single"/>
              </w:rPr>
            </w:pPr>
            <w:r w:rsidRPr="00EC2A1C">
              <w:rPr>
                <w:rFonts w:eastAsia="Calibri"/>
              </w:rPr>
              <w:t>zavádění nových nízkouhlíkových technologií v sektoru energetiky („power to x“, elektrolýza, metanizace, využití vodíku v plynárenské soustavě atd.)</w:t>
            </w:r>
          </w:p>
          <w:p w14:paraId="0A772DE1" w14:textId="6CC209A6" w:rsidR="00DD3EFA" w:rsidRPr="00EC2A1C" w:rsidRDefault="00DD3EFA" w:rsidP="00391907">
            <w:pPr>
              <w:numPr>
                <w:ilvl w:val="0"/>
                <w:numId w:val="96"/>
              </w:numPr>
              <w:spacing w:before="60" w:after="60" w:line="264" w:lineRule="auto"/>
              <w:jc w:val="both"/>
              <w:rPr>
                <w:rFonts w:eastAsia="Calibri"/>
              </w:rPr>
            </w:pPr>
            <w:r w:rsidRPr="00EC2A1C">
              <w:rPr>
                <w:rFonts w:eastAsia="Calibri"/>
              </w:rPr>
              <w:t>podpora solárních systémů a akumulace energie pro vlastní potřebu podniku,</w:t>
            </w:r>
            <w:r w:rsidR="005C7F05" w:rsidRPr="00EC2A1C">
              <w:rPr>
                <w:rFonts w:eastAsia="Calibri"/>
              </w:rPr>
              <w:t xml:space="preserve"> </w:t>
            </w:r>
            <w:r w:rsidRPr="00EC2A1C">
              <w:rPr>
                <w:rFonts w:eastAsia="Calibri"/>
              </w:rPr>
              <w:t>domácností a veřejného sektoru</w:t>
            </w:r>
          </w:p>
          <w:p w14:paraId="1927C9FC" w14:textId="77777777" w:rsidR="00DD3EFA" w:rsidRPr="00EC2A1C" w:rsidRDefault="00DD3EFA" w:rsidP="00391907">
            <w:pPr>
              <w:numPr>
                <w:ilvl w:val="0"/>
                <w:numId w:val="96"/>
              </w:numPr>
              <w:spacing w:before="60" w:after="60" w:line="264" w:lineRule="auto"/>
              <w:jc w:val="both"/>
              <w:rPr>
                <w:rFonts w:eastAsia="Calibri"/>
              </w:rPr>
            </w:pPr>
            <w:r w:rsidRPr="00EC2A1C">
              <w:rPr>
                <w:rFonts w:eastAsia="Calibri"/>
              </w:rPr>
              <w:t>podpora výstavby, rekonstrukce či modernizace malých vodních elektráren</w:t>
            </w:r>
          </w:p>
          <w:p w14:paraId="267C99B2" w14:textId="77777777" w:rsidR="00DD3EFA" w:rsidRPr="00EC2A1C" w:rsidRDefault="00DD3EFA" w:rsidP="00391907">
            <w:pPr>
              <w:numPr>
                <w:ilvl w:val="0"/>
                <w:numId w:val="96"/>
              </w:numPr>
              <w:spacing w:before="60" w:after="60" w:line="264" w:lineRule="auto"/>
              <w:jc w:val="both"/>
              <w:rPr>
                <w:rFonts w:eastAsia="Calibri"/>
              </w:rPr>
            </w:pPr>
            <w:r w:rsidRPr="00EC2A1C">
              <w:rPr>
                <w:rFonts w:eastAsia="Calibri"/>
              </w:rPr>
              <w:t>podpora solárních a větrných elektráren a tepelných čerpadel</w:t>
            </w:r>
          </w:p>
          <w:p w14:paraId="152110A4" w14:textId="77777777" w:rsidR="00DD3EFA" w:rsidRPr="00EC2A1C" w:rsidRDefault="00DD3EFA" w:rsidP="00391907">
            <w:pPr>
              <w:numPr>
                <w:ilvl w:val="0"/>
                <w:numId w:val="96"/>
              </w:numPr>
              <w:spacing w:before="60" w:after="60" w:line="264" w:lineRule="auto"/>
              <w:jc w:val="both"/>
              <w:rPr>
                <w:rFonts w:eastAsia="Calibri"/>
              </w:rPr>
            </w:pPr>
            <w:r w:rsidRPr="00EC2A1C">
              <w:rPr>
                <w:rFonts w:eastAsia="Calibri"/>
              </w:rPr>
              <w:t>podpora využití geotermální energie při výrobě elektřiny a tepla</w:t>
            </w:r>
          </w:p>
          <w:p w14:paraId="3088284A" w14:textId="77777777" w:rsidR="00DD3EFA" w:rsidRPr="00EC2A1C" w:rsidRDefault="00DD3EFA" w:rsidP="00391907">
            <w:pPr>
              <w:numPr>
                <w:ilvl w:val="0"/>
                <w:numId w:val="96"/>
              </w:numPr>
              <w:spacing w:before="60" w:after="60" w:line="264" w:lineRule="auto"/>
              <w:jc w:val="both"/>
              <w:rPr>
                <w:rFonts w:eastAsia="Calibri"/>
              </w:rPr>
            </w:pPr>
            <w:r w:rsidRPr="00EC2A1C">
              <w:rPr>
                <w:rFonts w:eastAsia="Calibri"/>
              </w:rPr>
              <w:t xml:space="preserve">podpora výstavby, rekonstrukce a modernizace využití bioplynu a biomasy při výrobě tepla a elektrické energie za podmínky kombinované výroby elektřiny a tepla </w:t>
            </w:r>
          </w:p>
          <w:p w14:paraId="727E6803" w14:textId="77777777" w:rsidR="00DD3EFA" w:rsidRPr="00EC2A1C" w:rsidRDefault="00DD3EFA" w:rsidP="00391907">
            <w:pPr>
              <w:numPr>
                <w:ilvl w:val="0"/>
                <w:numId w:val="96"/>
              </w:numPr>
              <w:spacing w:before="60" w:after="60" w:line="264" w:lineRule="auto"/>
              <w:jc w:val="both"/>
              <w:rPr>
                <w:rFonts w:eastAsia="Calibri"/>
              </w:rPr>
            </w:pPr>
            <w:r w:rsidRPr="00EC2A1C">
              <w:rPr>
                <w:rFonts w:eastAsia="Calibri"/>
              </w:rPr>
              <w:t>podpora využití bioplynu ve formě biometanu a syntetického metanu pro dopravní účely</w:t>
            </w:r>
          </w:p>
          <w:p w14:paraId="76691FB7" w14:textId="77777777" w:rsidR="00DD3EFA" w:rsidRPr="00EC2A1C" w:rsidRDefault="00DD3EFA" w:rsidP="00391907">
            <w:pPr>
              <w:numPr>
                <w:ilvl w:val="0"/>
                <w:numId w:val="96"/>
              </w:numPr>
              <w:spacing w:before="60" w:after="60" w:line="264" w:lineRule="auto"/>
              <w:jc w:val="both"/>
              <w:rPr>
                <w:rFonts w:eastAsia="Calibri"/>
              </w:rPr>
            </w:pPr>
            <w:r w:rsidRPr="00EC2A1C">
              <w:rPr>
                <w:rFonts w:eastAsia="Calibri"/>
              </w:rPr>
              <w:t xml:space="preserve">podpora výstavby zařízení na výrobu pokročilých biopaliv  pro jejich využití v dopravě </w:t>
            </w:r>
          </w:p>
          <w:p w14:paraId="39F2AD96" w14:textId="77777777" w:rsidR="00DD3EFA" w:rsidRPr="00EC2A1C" w:rsidRDefault="00DD3EFA" w:rsidP="00391907">
            <w:pPr>
              <w:pStyle w:val="Odstavecseseznamem"/>
              <w:numPr>
                <w:ilvl w:val="0"/>
                <w:numId w:val="96"/>
              </w:numPr>
              <w:jc w:val="both"/>
              <w:rPr>
                <w:rFonts w:eastAsia="Calibri"/>
              </w:rPr>
            </w:pPr>
            <w:r w:rsidRPr="00EC2A1C">
              <w:rPr>
                <w:rFonts w:eastAsia="Calibri"/>
              </w:rPr>
              <w:t>podpora výstavby zařízení umožňujících vyrovnávání časového profilu výroby energie z OZE a poptávky díky uskladnění přebytků (např. bateriová úložiště, zařízení na výrobu vodíku, syntetického metanu atd.)</w:t>
            </w:r>
          </w:p>
          <w:p w14:paraId="2DFA21F2" w14:textId="77777777" w:rsidR="00DD3EFA" w:rsidRPr="00EC2A1C" w:rsidRDefault="00DD3EFA" w:rsidP="00391907">
            <w:pPr>
              <w:pStyle w:val="Odstavecseseznamem"/>
              <w:numPr>
                <w:ilvl w:val="0"/>
                <w:numId w:val="96"/>
              </w:numPr>
              <w:jc w:val="both"/>
              <w:rPr>
                <w:u w:val="single"/>
              </w:rPr>
            </w:pPr>
            <w:r w:rsidRPr="00EC2A1C">
              <w:rPr>
                <w:rFonts w:eastAsia="Calibri"/>
              </w:rPr>
              <w:t>uskladnění či další využití CO</w:t>
            </w:r>
            <w:r w:rsidRPr="00EC2A1C">
              <w:rPr>
                <w:rFonts w:eastAsia="Calibri"/>
                <w:vertAlign w:val="subscript"/>
              </w:rPr>
              <w:t>2</w:t>
            </w:r>
            <w:r w:rsidRPr="00EC2A1C">
              <w:rPr>
                <w:rFonts w:eastAsia="Calibri"/>
              </w:rPr>
              <w:t xml:space="preserve"> (CCU a CCS - c</w:t>
            </w:r>
            <w:r w:rsidRPr="00EC2A1C">
              <w:rPr>
                <w:rFonts w:eastAsia="Calibri"/>
                <w:lang w:val="en-US"/>
              </w:rPr>
              <w:t>arbon capture and utilization, carbon capture and storage</w:t>
            </w:r>
            <w:r w:rsidRPr="00EC2A1C">
              <w:rPr>
                <w:rFonts w:eastAsia="Calibri"/>
              </w:rPr>
              <w:t>)</w:t>
            </w:r>
          </w:p>
          <w:p w14:paraId="6FF4FB35" w14:textId="77777777" w:rsidR="00DD3EFA" w:rsidRPr="00EC2A1C" w:rsidRDefault="00DD3EFA" w:rsidP="00391907">
            <w:pPr>
              <w:pStyle w:val="Odstavecseseznamem"/>
              <w:numPr>
                <w:ilvl w:val="0"/>
                <w:numId w:val="96"/>
              </w:numPr>
              <w:spacing w:before="40" w:after="80" w:line="276" w:lineRule="auto"/>
              <w:jc w:val="both"/>
              <w:rPr>
                <w:u w:val="single"/>
              </w:rPr>
            </w:pPr>
            <w:r w:rsidRPr="00EC2A1C">
              <w:rPr>
                <w:rFonts w:eastAsiaTheme="majorEastAsia"/>
              </w:rPr>
              <w:t>podpora výroby biometanu z bioplynu a vtláčení do distribučních soustav, čištění bioplynu</w:t>
            </w:r>
          </w:p>
        </w:tc>
        <w:tc>
          <w:tcPr>
            <w:tcW w:w="249" w:type="dxa"/>
            <w:tcBorders>
              <w:top w:val="nil"/>
              <w:bottom w:val="nil"/>
            </w:tcBorders>
            <w:shd w:val="clear" w:color="auto" w:fill="66CCFF"/>
          </w:tcPr>
          <w:p w14:paraId="2456063C" w14:textId="77777777" w:rsidR="00DD3EFA" w:rsidRPr="00EC2A1C" w:rsidRDefault="00DD3EFA" w:rsidP="00B15ECB">
            <w:pPr>
              <w:rPr>
                <w:b/>
              </w:rPr>
            </w:pPr>
          </w:p>
        </w:tc>
      </w:tr>
      <w:tr w:rsidR="00DD3EFA" w:rsidRPr="00EC2A1C" w14:paraId="4D719042" w14:textId="77777777" w:rsidTr="005C7F05">
        <w:trPr>
          <w:trHeight w:val="46"/>
        </w:trPr>
        <w:tc>
          <w:tcPr>
            <w:tcW w:w="249" w:type="dxa"/>
            <w:tcBorders>
              <w:top w:val="nil"/>
              <w:bottom w:val="nil"/>
              <w:right w:val="nil"/>
            </w:tcBorders>
            <w:shd w:val="clear" w:color="auto" w:fill="66CCFF"/>
          </w:tcPr>
          <w:p w14:paraId="2F7383E1" w14:textId="77777777" w:rsidR="00DD3EFA" w:rsidRPr="00EC2A1C" w:rsidRDefault="00DD3EFA" w:rsidP="00B15ECB">
            <w:pPr>
              <w:rPr>
                <w:b/>
              </w:rPr>
            </w:pPr>
          </w:p>
        </w:tc>
        <w:tc>
          <w:tcPr>
            <w:tcW w:w="2558" w:type="dxa"/>
            <w:tcBorders>
              <w:left w:val="nil"/>
              <w:bottom w:val="single" w:sz="4" w:space="0" w:color="auto"/>
              <w:right w:val="nil"/>
            </w:tcBorders>
            <w:shd w:val="clear" w:color="auto" w:fill="66CCFF"/>
          </w:tcPr>
          <w:p w14:paraId="7D9708CE" w14:textId="77777777" w:rsidR="00DD3EFA" w:rsidRPr="00EC2A1C" w:rsidRDefault="00DD3EFA" w:rsidP="00B15ECB">
            <w:pPr>
              <w:rPr>
                <w:b/>
              </w:rPr>
            </w:pPr>
          </w:p>
        </w:tc>
        <w:tc>
          <w:tcPr>
            <w:tcW w:w="6478" w:type="dxa"/>
            <w:tcBorders>
              <w:left w:val="nil"/>
              <w:bottom w:val="single" w:sz="4" w:space="0" w:color="auto"/>
              <w:right w:val="nil"/>
            </w:tcBorders>
            <w:shd w:val="clear" w:color="auto" w:fill="66CCFF"/>
          </w:tcPr>
          <w:p w14:paraId="2639BE46" w14:textId="77777777" w:rsidR="00DD3EFA" w:rsidRPr="00EC2A1C" w:rsidRDefault="00DD3EFA" w:rsidP="00B15ECB">
            <w:pPr>
              <w:rPr>
                <w:b/>
              </w:rPr>
            </w:pPr>
          </w:p>
        </w:tc>
        <w:tc>
          <w:tcPr>
            <w:tcW w:w="249" w:type="dxa"/>
            <w:tcBorders>
              <w:top w:val="nil"/>
              <w:left w:val="nil"/>
              <w:bottom w:val="nil"/>
            </w:tcBorders>
            <w:shd w:val="clear" w:color="auto" w:fill="66CCFF"/>
          </w:tcPr>
          <w:p w14:paraId="10454B97" w14:textId="77777777" w:rsidR="00DD3EFA" w:rsidRPr="00EC2A1C" w:rsidRDefault="00DD3EFA" w:rsidP="00B15ECB">
            <w:pPr>
              <w:rPr>
                <w:b/>
              </w:rPr>
            </w:pPr>
          </w:p>
        </w:tc>
      </w:tr>
      <w:tr w:rsidR="00DD3EFA" w:rsidRPr="00EC2A1C" w14:paraId="1A0CF794" w14:textId="77777777" w:rsidTr="005C7F05">
        <w:trPr>
          <w:trHeight w:val="1274"/>
        </w:trPr>
        <w:tc>
          <w:tcPr>
            <w:tcW w:w="249" w:type="dxa"/>
            <w:tcBorders>
              <w:top w:val="nil"/>
              <w:bottom w:val="nil"/>
            </w:tcBorders>
            <w:shd w:val="clear" w:color="auto" w:fill="66CCFF"/>
          </w:tcPr>
          <w:p w14:paraId="18B81AD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69EB0618"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6478" w:type="dxa"/>
            <w:tcBorders>
              <w:bottom w:val="single" w:sz="4" w:space="0" w:color="auto"/>
            </w:tcBorders>
            <w:shd w:val="clear" w:color="auto" w:fill="FFFFFF" w:themeFill="background1"/>
          </w:tcPr>
          <w:p w14:paraId="7855ABF2" w14:textId="77777777" w:rsidR="00DD3EFA" w:rsidRPr="00EC2A1C" w:rsidRDefault="00DD3EFA" w:rsidP="00B15ECB">
            <w:pPr>
              <w:spacing w:after="240"/>
              <w:rPr>
                <w:rFonts w:eastAsia="Calibri"/>
              </w:rPr>
            </w:pPr>
            <w:r w:rsidRPr="00EC2A1C">
              <w:rPr>
                <w:rFonts w:eastAsia="Calibri"/>
              </w:rPr>
              <w:t>Oblast souvisí s mezinárodními závazky v oblasti snižování emisí skleníkových plynů. V rámci EU dosáhly členské státy dohody o výši a závaznosti cílů pro klimaticko-energetický rámec evropské politiky na roky 2020-2030. Součástí balíčku je celoevropský závazný cíl pro redukci emisí skleníkových plynů ve výši 40 % vůči roku 1990, indikativní (nezávazný) cíl zvýšení energetické účinnosti o minimálně 32,5 %, závazný cíl pro podíl energie z OZE na konečné spotřebě minimálně 32 %, a cíl pro zvyšování přeshraničních propojení elektrizačních soustav na úrovni 15 %. Podpora oblasti nízkouhlíkových technologií přímo souvisí s cílem pro redukci emisí skleníkových plynů ve výši 40 % vůči roku 1990.</w:t>
            </w:r>
          </w:p>
          <w:p w14:paraId="09B24BF8" w14:textId="5379E3FD" w:rsidR="00DD3EFA" w:rsidRPr="00EC2A1C" w:rsidRDefault="00DD3EFA" w:rsidP="00B15ECB">
            <w:pPr>
              <w:spacing w:before="60" w:after="60"/>
              <w:rPr>
                <w:rFonts w:eastAsia="Calibri"/>
              </w:rPr>
            </w:pPr>
            <w:r w:rsidRPr="00EC2A1C">
              <w:rPr>
                <w:rFonts w:eastAsia="Calibri"/>
              </w:rPr>
              <w:t xml:space="preserve">Využití obnovitelných zdrojů pomáhá snižovat podíl fosilních paliv při výrobě energie a tím i znečištění ovzduší a dále snižuje energetickou závislost ČR na dovozu energií ze zahraničí a na omezených domácích fosilních palivech. Podle nových předpisů EU pro oblast OZE se mají členské státy soustředit od roku 2021 na </w:t>
            </w:r>
            <w:r w:rsidR="005C7F05" w:rsidRPr="00EC2A1C">
              <w:rPr>
                <w:rFonts w:eastAsia="Calibri"/>
              </w:rPr>
              <w:t>sektorový</w:t>
            </w:r>
            <w:r w:rsidRPr="00EC2A1C">
              <w:rPr>
                <w:rFonts w:eastAsia="Calibri"/>
              </w:rPr>
              <w:t xml:space="preserve"> cíl OZE ve vytápění a chlazení a na </w:t>
            </w:r>
            <w:r w:rsidR="005C7F05" w:rsidRPr="00EC2A1C">
              <w:rPr>
                <w:rFonts w:eastAsia="Calibri"/>
              </w:rPr>
              <w:t>sektorový</w:t>
            </w:r>
            <w:r w:rsidRPr="00EC2A1C">
              <w:rPr>
                <w:rFonts w:eastAsia="Calibri"/>
              </w:rPr>
              <w:t xml:space="preserve"> cíl OZE v dopravě. V případě sektoru elektroenergetiky má docházet především k podpoře tzv. samospotřebitelů (</w:t>
            </w:r>
            <w:r w:rsidR="005C7F05" w:rsidRPr="00EC2A1C">
              <w:rPr>
                <w:rFonts w:eastAsia="Calibri"/>
              </w:rPr>
              <w:t>výrobců</w:t>
            </w:r>
            <w:r w:rsidRPr="00EC2A1C">
              <w:rPr>
                <w:rFonts w:eastAsia="Calibri"/>
              </w:rPr>
              <w:t xml:space="preserve"> energie z OZE, kteří většinu vyrobené elektřiny využijí pro vlastní spotřebu – v tomto smyslu je třeba uvést, že cena technologií OZE celosvětově klesá a s tím roste jejich význam především pro lokální výrobu a spotřebu.</w:t>
            </w:r>
          </w:p>
          <w:p w14:paraId="18190FAF" w14:textId="77777777" w:rsidR="00DD3EFA" w:rsidRPr="00EC2A1C" w:rsidRDefault="00DD3EFA" w:rsidP="00B15ECB">
            <w:pPr>
              <w:spacing w:before="60" w:after="60"/>
              <w:rPr>
                <w:rFonts w:eastAsia="Calibri"/>
              </w:rPr>
            </w:pPr>
          </w:p>
          <w:p w14:paraId="147B74F5" w14:textId="106F5661" w:rsidR="00DD3EFA" w:rsidRPr="00EC2A1C" w:rsidRDefault="00DD3EFA" w:rsidP="00B15ECB">
            <w:pPr>
              <w:spacing w:before="60" w:after="60"/>
              <w:rPr>
                <w:rFonts w:eastAsiaTheme="majorEastAsia"/>
                <w:i/>
                <w:u w:val="single"/>
              </w:rPr>
            </w:pPr>
            <w:r w:rsidRPr="00EC2A1C">
              <w:rPr>
                <w:rFonts w:eastAsia="Calibri"/>
              </w:rPr>
              <w:t xml:space="preserve">Podpora bude zaměřena </w:t>
            </w:r>
            <w:r w:rsidR="005C7F05" w:rsidRPr="00EC2A1C">
              <w:rPr>
                <w:rFonts w:eastAsia="Calibri"/>
              </w:rPr>
              <w:t>technologicky</w:t>
            </w:r>
            <w:r w:rsidRPr="00EC2A1C">
              <w:rPr>
                <w:rFonts w:eastAsia="Calibri"/>
              </w:rPr>
              <w:t xml:space="preserve"> neutrálně na elektrickou energii, různé formy obnovitelných a uhlíkově neutrálních plynů a pokročilá biopaliva v dopravě.</w:t>
            </w:r>
          </w:p>
        </w:tc>
        <w:tc>
          <w:tcPr>
            <w:tcW w:w="249" w:type="dxa"/>
            <w:tcBorders>
              <w:top w:val="nil"/>
              <w:bottom w:val="nil"/>
            </w:tcBorders>
            <w:shd w:val="clear" w:color="auto" w:fill="66CCFF"/>
          </w:tcPr>
          <w:p w14:paraId="5F42A050" w14:textId="77777777" w:rsidR="00DD3EFA" w:rsidRPr="00EC2A1C" w:rsidRDefault="00DD3EFA" w:rsidP="00B15ECB">
            <w:pPr>
              <w:rPr>
                <w:b/>
              </w:rPr>
            </w:pPr>
          </w:p>
        </w:tc>
      </w:tr>
      <w:tr w:rsidR="00DD3EFA" w:rsidRPr="00EC2A1C" w14:paraId="3495EF10" w14:textId="77777777" w:rsidTr="005C7F05">
        <w:trPr>
          <w:trHeight w:val="1274"/>
        </w:trPr>
        <w:tc>
          <w:tcPr>
            <w:tcW w:w="249" w:type="dxa"/>
            <w:tcBorders>
              <w:top w:val="nil"/>
              <w:bottom w:val="nil"/>
            </w:tcBorders>
            <w:shd w:val="clear" w:color="auto" w:fill="66CCFF"/>
          </w:tcPr>
          <w:p w14:paraId="7E82AC6C"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761DAC42"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6478" w:type="dxa"/>
            <w:tcBorders>
              <w:bottom w:val="single" w:sz="4" w:space="0" w:color="auto"/>
            </w:tcBorders>
            <w:shd w:val="clear" w:color="auto" w:fill="FFFFFF" w:themeFill="background1"/>
          </w:tcPr>
          <w:p w14:paraId="6B665816" w14:textId="77777777" w:rsidR="00DD3EFA" w:rsidRPr="00EC2A1C" w:rsidRDefault="00DD3EFA" w:rsidP="00B15ECB">
            <w:pPr>
              <w:spacing w:before="60" w:after="60"/>
            </w:pPr>
            <w:r w:rsidRPr="00EC2A1C">
              <w:t xml:space="preserve">Česká republika má vzhledem ke svým geografickým a klimatickým podmínkám relativně omezené možnosti využití větrné a solární energie. Oblasti s pravidelným, dostatečně silným a stabilním větrem jsou relativně omezené a nacházejí se spíše v horských přírodních i chráněných oblastech. Využití sluneční energie pro výrobu elektřiny vzhledem k nepřiměřené finanční podpoře zaznamenalo prudký nárůst. Tento nárůst naráží na limity sítí, nehospodárné vynakládání prostředků státního rozpočtu a otázky ochrany zemědělské půdy a vyústil v omezení nákladů na podporu. </w:t>
            </w:r>
          </w:p>
          <w:p w14:paraId="504E246D" w14:textId="77777777" w:rsidR="00DD3EFA" w:rsidRPr="00EC2A1C" w:rsidRDefault="00DD3EFA" w:rsidP="00B15ECB">
            <w:pPr>
              <w:spacing w:before="60" w:after="60"/>
            </w:pPr>
            <w:r w:rsidRPr="00EC2A1C">
              <w:t>V budoucnu bude především možné a vhodné využít energii z:</w:t>
            </w:r>
          </w:p>
          <w:p w14:paraId="60D83ABE" w14:textId="77777777" w:rsidR="00DD3EFA" w:rsidRPr="00EC2A1C" w:rsidRDefault="00DD3EFA" w:rsidP="00391907">
            <w:pPr>
              <w:pStyle w:val="Odstavecseseznamem"/>
              <w:numPr>
                <w:ilvl w:val="0"/>
                <w:numId w:val="105"/>
              </w:numPr>
              <w:spacing w:before="60" w:after="60"/>
              <w:jc w:val="both"/>
            </w:pPr>
            <w:r w:rsidRPr="00EC2A1C">
              <w:t>efektivních monovýroben tepla z biomasy a bioplynu nebo kombinované výrobu elektřiny a tepla,</w:t>
            </w:r>
          </w:p>
          <w:p w14:paraId="6252805C" w14:textId="77777777" w:rsidR="00DD3EFA" w:rsidRPr="00EC2A1C" w:rsidRDefault="00DD3EFA" w:rsidP="00391907">
            <w:pPr>
              <w:pStyle w:val="Odstavecseseznamem"/>
              <w:numPr>
                <w:ilvl w:val="0"/>
                <w:numId w:val="105"/>
              </w:numPr>
              <w:spacing w:before="60" w:after="60"/>
              <w:jc w:val="both"/>
            </w:pPr>
            <w:r w:rsidRPr="00EC2A1C">
              <w:t>efektivních modernizovaných výroben elektřiny z bioplynu a nových výroben tepla z bioplynu</w:t>
            </w:r>
          </w:p>
          <w:p w14:paraId="1213347F" w14:textId="0CF4B563" w:rsidR="00DD3EFA" w:rsidRPr="00EC2A1C" w:rsidRDefault="00DD3EFA" w:rsidP="00391907">
            <w:pPr>
              <w:pStyle w:val="Odstavecseseznamem"/>
              <w:numPr>
                <w:ilvl w:val="0"/>
                <w:numId w:val="105"/>
              </w:numPr>
              <w:spacing w:before="60" w:after="60"/>
              <w:jc w:val="both"/>
            </w:pPr>
            <w:r w:rsidRPr="00EC2A1C">
              <w:t xml:space="preserve">výroben biometanu </w:t>
            </w:r>
            <w:r w:rsidR="005C7F05" w:rsidRPr="00EC2A1C">
              <w:t>zabezpečujících</w:t>
            </w:r>
            <w:r w:rsidRPr="00EC2A1C">
              <w:t xml:space="preserve"> cíle v sektoru dopravy,</w:t>
            </w:r>
          </w:p>
          <w:p w14:paraId="05D1B545" w14:textId="77777777" w:rsidR="00DD3EFA" w:rsidRPr="00EC2A1C" w:rsidRDefault="00DD3EFA" w:rsidP="00391907">
            <w:pPr>
              <w:pStyle w:val="Odstavecseseznamem"/>
              <w:numPr>
                <w:ilvl w:val="0"/>
                <w:numId w:val="105"/>
              </w:numPr>
              <w:spacing w:before="60" w:after="60"/>
              <w:jc w:val="both"/>
            </w:pPr>
            <w:r w:rsidRPr="00EC2A1C">
              <w:t>rozvoj tepelných čerpadel a solárních kolektorů</w:t>
            </w:r>
          </w:p>
          <w:p w14:paraId="5923D655" w14:textId="77777777" w:rsidR="00DD3EFA" w:rsidRPr="00EC2A1C" w:rsidRDefault="00DD3EFA" w:rsidP="00391907">
            <w:pPr>
              <w:pStyle w:val="Odstavecseseznamem"/>
              <w:numPr>
                <w:ilvl w:val="0"/>
                <w:numId w:val="105"/>
              </w:numPr>
              <w:spacing w:before="60" w:after="60"/>
              <w:jc w:val="both"/>
            </w:pPr>
            <w:r w:rsidRPr="00EC2A1C">
              <w:t>vhodné využití potenciálů geotermální energie, větrných a solárních elektráren,</w:t>
            </w:r>
          </w:p>
          <w:p w14:paraId="4EE2528B" w14:textId="2E983720" w:rsidR="00DD3EFA" w:rsidRPr="00EC2A1C" w:rsidRDefault="00DD3EFA" w:rsidP="00391907">
            <w:pPr>
              <w:pStyle w:val="Odstavecseseznamem"/>
              <w:numPr>
                <w:ilvl w:val="0"/>
                <w:numId w:val="105"/>
              </w:numPr>
              <w:spacing w:before="60" w:after="60"/>
              <w:jc w:val="both"/>
            </w:pPr>
            <w:r w:rsidRPr="00EC2A1C">
              <w:t xml:space="preserve">modernizace a rekonstrukce malých vodních elektráren, kde prostor pro výstavbu nových výroben již není značně </w:t>
            </w:r>
            <w:r w:rsidR="005C7F05" w:rsidRPr="00EC2A1C">
              <w:t>významný</w:t>
            </w:r>
            <w:r w:rsidRPr="00EC2A1C">
              <w:t xml:space="preserve"> (řádově 10 až 30 MW na období 2021 až 2030).</w:t>
            </w:r>
          </w:p>
          <w:p w14:paraId="5B858C44" w14:textId="77777777" w:rsidR="00DD3EFA" w:rsidRPr="00EC2A1C" w:rsidRDefault="00DD3EFA" w:rsidP="00B15ECB">
            <w:pPr>
              <w:spacing w:before="60" w:after="60"/>
            </w:pPr>
          </w:p>
          <w:p w14:paraId="2D62EA84" w14:textId="77777777" w:rsidR="00DD3EFA" w:rsidRPr="00EC2A1C" w:rsidRDefault="00DD3EFA" w:rsidP="00B15ECB">
            <w:pPr>
              <w:spacing w:before="60" w:after="60"/>
              <w:rPr>
                <w:rFonts w:eastAsiaTheme="majorEastAsia"/>
                <w:b/>
                <w:i/>
                <w:u w:val="single"/>
              </w:rPr>
            </w:pPr>
            <w:r w:rsidRPr="00EC2A1C">
              <w:t>Další možnou oblastí podpory by pak mohla být řešení zvyšující efektivitu využití stávajících zdrojů vyrovnáváním časových profilů nabídky a poptávky ukládáním přebytečné energie z OZE.</w:t>
            </w:r>
          </w:p>
          <w:p w14:paraId="46CB8D50" w14:textId="77777777" w:rsidR="00DD3EFA" w:rsidRPr="00EC2A1C" w:rsidRDefault="00DD3EFA" w:rsidP="00B15ECB">
            <w:pPr>
              <w:spacing w:before="60" w:after="60"/>
              <w:rPr>
                <w:i/>
              </w:rPr>
            </w:pPr>
          </w:p>
        </w:tc>
        <w:tc>
          <w:tcPr>
            <w:tcW w:w="249" w:type="dxa"/>
            <w:tcBorders>
              <w:top w:val="nil"/>
              <w:bottom w:val="nil"/>
            </w:tcBorders>
            <w:shd w:val="clear" w:color="auto" w:fill="66CCFF"/>
          </w:tcPr>
          <w:p w14:paraId="09F91B38" w14:textId="77777777" w:rsidR="00DD3EFA" w:rsidRPr="00EC2A1C" w:rsidRDefault="00DD3EFA" w:rsidP="00B15ECB">
            <w:pPr>
              <w:rPr>
                <w:b/>
              </w:rPr>
            </w:pPr>
          </w:p>
        </w:tc>
      </w:tr>
      <w:tr w:rsidR="00DD3EFA" w:rsidRPr="00EC2A1C" w14:paraId="3066C9A3" w14:textId="77777777" w:rsidTr="005C7F05">
        <w:trPr>
          <w:trHeight w:val="1274"/>
        </w:trPr>
        <w:tc>
          <w:tcPr>
            <w:tcW w:w="249" w:type="dxa"/>
            <w:tcBorders>
              <w:top w:val="nil"/>
              <w:bottom w:val="nil"/>
            </w:tcBorders>
            <w:shd w:val="clear" w:color="auto" w:fill="66CCFF"/>
          </w:tcPr>
          <w:p w14:paraId="770109B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7DDF51BA" w14:textId="77777777" w:rsidR="00DD3EFA" w:rsidRPr="00EC2A1C" w:rsidRDefault="00DD3EFA" w:rsidP="00B15ECB">
            <w:pPr>
              <w:spacing w:before="60" w:after="60"/>
              <w:rPr>
                <w:rFonts w:eastAsiaTheme="majorEastAsia"/>
                <w:b/>
              </w:rPr>
            </w:pPr>
            <w:r w:rsidRPr="00EC2A1C">
              <w:rPr>
                <w:rFonts w:eastAsiaTheme="majorEastAsia"/>
                <w:b/>
              </w:rPr>
              <w:t>Definice cíle – změny, které chceme dosáhnout</w:t>
            </w:r>
          </w:p>
          <w:p w14:paraId="7B4F4414" w14:textId="77777777" w:rsidR="00DD3EFA" w:rsidRPr="00EC2A1C" w:rsidRDefault="00DD3EFA" w:rsidP="00B15ECB">
            <w:pPr>
              <w:spacing w:before="60" w:after="60"/>
              <w:rPr>
                <w:rFonts w:eastAsiaTheme="majorEastAsia"/>
                <w:b/>
              </w:rPr>
            </w:pPr>
          </w:p>
        </w:tc>
        <w:tc>
          <w:tcPr>
            <w:tcW w:w="6478" w:type="dxa"/>
            <w:tcBorders>
              <w:bottom w:val="single" w:sz="4" w:space="0" w:color="auto"/>
            </w:tcBorders>
            <w:shd w:val="clear" w:color="auto" w:fill="FFFFFF" w:themeFill="background1"/>
          </w:tcPr>
          <w:p w14:paraId="2AF3A8AE" w14:textId="77777777" w:rsidR="00DD3EFA" w:rsidRPr="00EC2A1C" w:rsidRDefault="00DD3EFA" w:rsidP="00B15ECB">
            <w:pPr>
              <w:spacing w:after="240"/>
            </w:pPr>
            <w:r w:rsidRPr="00EC2A1C">
              <w:t>Cíle odpovídají hlavním klimaticko-energetickým cílům na úrovni EU. Jedná se o cíle v oblasti snižování emisí skleníkových plynů, zvýšení podílu obnovitelných zdrojů energie a zvýšení energetické účinnosti.</w:t>
            </w:r>
          </w:p>
          <w:p w14:paraId="609AE6F6" w14:textId="3697A889" w:rsidR="00DD3EFA" w:rsidRPr="00EC2A1C" w:rsidRDefault="00DD3EFA" w:rsidP="00B15ECB">
            <w:pPr>
              <w:spacing w:before="60" w:after="60"/>
              <w:rPr>
                <w:rFonts w:eastAsiaTheme="majorEastAsia"/>
                <w:u w:val="single"/>
              </w:rPr>
            </w:pPr>
            <w:r w:rsidRPr="00EC2A1C">
              <w:t xml:space="preserve">S ohledem na cíl b oblasti OZE, je v rámci směrnice Evropského parlamentu a Rady (EU) 2018/2001 ze dne 11. prosince 2018 o podpoře využívání energie z obnovitelných zdrojů a specificky v rámci článku 3 této směrnice určen závazný cíle Evropské unie pro rok 2030 na úrovni 32 % (podílu OZE na hrubé konečné spotřebě). ČR musí jako členský stát EU zajistit dostatečný příspěvek k tomuto cíli. Národní </w:t>
            </w:r>
            <w:r w:rsidR="005C7F05" w:rsidRPr="00EC2A1C">
              <w:t>přísavek</w:t>
            </w:r>
            <w:r w:rsidRPr="00EC2A1C">
              <w:t xml:space="preserve"> k Unijnímu cíli bude určen </w:t>
            </w:r>
            <w:r w:rsidR="005C7F05" w:rsidRPr="00EC2A1C">
              <w:t>prostřednictvím</w:t>
            </w:r>
            <w:r w:rsidRPr="00EC2A1C">
              <w:t xml:space="preserve"> Vnitrostátního plánu v oblasti energetiky a klimatu. Cílem je tedy zvýšení podílu obnovitelných zdrojů v souladu s pří</w:t>
            </w:r>
            <w:r w:rsidR="005C7F05" w:rsidRPr="00EC2A1C">
              <w:t>sp</w:t>
            </w:r>
            <w:r w:rsidRPr="00EC2A1C">
              <w:t xml:space="preserve">ěvkem ČR určeným </w:t>
            </w:r>
            <w:r w:rsidR="005C7F05" w:rsidRPr="00EC2A1C">
              <w:t>Vnitrostátním</w:t>
            </w:r>
            <w:r w:rsidRPr="00EC2A1C">
              <w:t xml:space="preserve"> plánem, a to při respektování dalších dílčích cílů výše uvedené směrnice (zejména cílů v oblasti využití OZE ve vytápění a chlazení a cíl v oblasti dopravy).</w:t>
            </w:r>
          </w:p>
        </w:tc>
        <w:tc>
          <w:tcPr>
            <w:tcW w:w="249" w:type="dxa"/>
            <w:tcBorders>
              <w:top w:val="nil"/>
              <w:bottom w:val="nil"/>
            </w:tcBorders>
            <w:shd w:val="clear" w:color="auto" w:fill="66CCFF"/>
          </w:tcPr>
          <w:p w14:paraId="319B5DB5" w14:textId="77777777" w:rsidR="00DD3EFA" w:rsidRPr="00EC2A1C" w:rsidRDefault="00DD3EFA" w:rsidP="00B15ECB">
            <w:pPr>
              <w:rPr>
                <w:b/>
              </w:rPr>
            </w:pPr>
          </w:p>
        </w:tc>
      </w:tr>
      <w:tr w:rsidR="00DD3EFA" w:rsidRPr="00EC2A1C" w14:paraId="36892B31" w14:textId="77777777" w:rsidTr="005C7F05">
        <w:trPr>
          <w:trHeight w:val="1274"/>
        </w:trPr>
        <w:tc>
          <w:tcPr>
            <w:tcW w:w="249" w:type="dxa"/>
            <w:tcBorders>
              <w:top w:val="nil"/>
              <w:bottom w:val="nil"/>
            </w:tcBorders>
            <w:shd w:val="clear" w:color="auto" w:fill="66CCFF"/>
          </w:tcPr>
          <w:p w14:paraId="725246B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59706FF0" w14:textId="77777777" w:rsidR="00DD3EFA" w:rsidRPr="00EC2A1C" w:rsidRDefault="00DD3EFA" w:rsidP="00B15ECB">
            <w:pPr>
              <w:spacing w:before="60" w:after="60"/>
              <w:rPr>
                <w:rFonts w:eastAsiaTheme="majorEastAsia"/>
                <w:b/>
              </w:rPr>
            </w:pPr>
            <w:r w:rsidRPr="00EC2A1C">
              <w:rPr>
                <w:rFonts w:eastAsiaTheme="majorEastAsia"/>
                <w:b/>
              </w:rPr>
              <w:t>Definice předpokládaných výstupů/výsledků/dopadů</w:t>
            </w:r>
          </w:p>
        </w:tc>
        <w:tc>
          <w:tcPr>
            <w:tcW w:w="6478" w:type="dxa"/>
            <w:tcBorders>
              <w:bottom w:val="single" w:sz="4" w:space="0" w:color="auto"/>
            </w:tcBorders>
            <w:shd w:val="clear" w:color="auto" w:fill="FFFFFF" w:themeFill="background1"/>
          </w:tcPr>
          <w:p w14:paraId="49833BB4" w14:textId="77777777" w:rsidR="00DD3EFA" w:rsidRPr="00EC2A1C" w:rsidRDefault="00DD3EFA" w:rsidP="00B15ECB">
            <w:pPr>
              <w:spacing w:after="240"/>
              <w:rPr>
                <w:u w:val="single"/>
              </w:rPr>
            </w:pPr>
            <w:r w:rsidRPr="00EC2A1C">
              <w:rPr>
                <w:u w:val="single"/>
              </w:rPr>
              <w:t xml:space="preserve">Výstupy: </w:t>
            </w:r>
          </w:p>
          <w:p w14:paraId="4A964959" w14:textId="77777777" w:rsidR="00DD3EFA" w:rsidRPr="00EC2A1C" w:rsidRDefault="00DD3EFA" w:rsidP="00B15ECB">
            <w:pPr>
              <w:spacing w:after="240"/>
            </w:pPr>
            <w:r w:rsidRPr="00EC2A1C">
              <w:t>Další rozvoj OZE (tedy další instalace OZE).</w:t>
            </w:r>
          </w:p>
          <w:p w14:paraId="0288B6D3" w14:textId="77777777" w:rsidR="00DD3EFA" w:rsidRPr="00EC2A1C" w:rsidRDefault="00DD3EFA" w:rsidP="00B15ECB">
            <w:pPr>
              <w:spacing w:after="240"/>
              <w:rPr>
                <w:u w:val="single"/>
              </w:rPr>
            </w:pPr>
            <w:r w:rsidRPr="00EC2A1C">
              <w:rPr>
                <w:u w:val="single"/>
              </w:rPr>
              <w:t xml:space="preserve">Výsledky: </w:t>
            </w:r>
          </w:p>
          <w:p w14:paraId="51DA67CF" w14:textId="4F02CEAF" w:rsidR="00DD3EFA" w:rsidRPr="00EC2A1C" w:rsidRDefault="00DD3EFA" w:rsidP="00B15ECB">
            <w:pPr>
              <w:spacing w:after="240"/>
            </w:pPr>
            <w:r w:rsidRPr="00EC2A1C">
              <w:t xml:space="preserve">Příspěvek ke snížení emisí skleníkových plynů a zvýšení podílu OZE do roku 2030 a tedy dílčí role při naplnění národního </w:t>
            </w:r>
            <w:r w:rsidR="005C7F05" w:rsidRPr="00EC2A1C">
              <w:t>příspěvku</w:t>
            </w:r>
            <w:r w:rsidRPr="00EC2A1C">
              <w:t xml:space="preserve"> k Unijnímu cíli v oblasti emisní skleníkových plynů a OZE.</w:t>
            </w:r>
          </w:p>
          <w:p w14:paraId="42CD6205" w14:textId="77777777" w:rsidR="00DD3EFA" w:rsidRPr="00EC2A1C" w:rsidRDefault="00DD3EFA" w:rsidP="00B15ECB">
            <w:pPr>
              <w:spacing w:after="240"/>
              <w:rPr>
                <w:u w:val="single"/>
              </w:rPr>
            </w:pPr>
            <w:r w:rsidRPr="00EC2A1C">
              <w:rPr>
                <w:u w:val="single"/>
              </w:rPr>
              <w:t xml:space="preserve">Dopady: </w:t>
            </w:r>
          </w:p>
          <w:p w14:paraId="5C3620EC" w14:textId="77777777" w:rsidR="00DD3EFA" w:rsidRPr="00EC2A1C" w:rsidRDefault="00DD3EFA" w:rsidP="00391907">
            <w:pPr>
              <w:pStyle w:val="Odstavecseseznamem"/>
              <w:numPr>
                <w:ilvl w:val="0"/>
                <w:numId w:val="106"/>
              </w:numPr>
              <w:spacing w:after="240"/>
              <w:jc w:val="both"/>
            </w:pPr>
            <w:r w:rsidRPr="00EC2A1C">
              <w:t xml:space="preserve">Snížení znečištění ovzduší v důsledku snížení podílu uhlí při výrobě elektrické energie; </w:t>
            </w:r>
          </w:p>
          <w:p w14:paraId="2399E609" w14:textId="77777777" w:rsidR="00DD3EFA" w:rsidRPr="00EC2A1C" w:rsidRDefault="00DD3EFA" w:rsidP="00391907">
            <w:pPr>
              <w:pStyle w:val="Odstavecseseznamem"/>
              <w:numPr>
                <w:ilvl w:val="0"/>
                <w:numId w:val="106"/>
              </w:numPr>
              <w:spacing w:after="240"/>
              <w:jc w:val="both"/>
              <w:rPr>
                <w:rFonts w:eastAsiaTheme="majorEastAsia"/>
                <w:u w:val="single"/>
              </w:rPr>
            </w:pPr>
            <w:r w:rsidRPr="00EC2A1C">
              <w:t>Snížení energetické závislosti ČR na dovozu energií ze zahraničí a na omezených domácích fosilních palivech.</w:t>
            </w:r>
          </w:p>
        </w:tc>
        <w:tc>
          <w:tcPr>
            <w:tcW w:w="249" w:type="dxa"/>
            <w:tcBorders>
              <w:top w:val="nil"/>
              <w:bottom w:val="nil"/>
            </w:tcBorders>
            <w:shd w:val="clear" w:color="auto" w:fill="66CCFF"/>
          </w:tcPr>
          <w:p w14:paraId="621ABB1D" w14:textId="77777777" w:rsidR="00DD3EFA" w:rsidRPr="00EC2A1C" w:rsidRDefault="00DD3EFA" w:rsidP="00B15ECB">
            <w:pPr>
              <w:rPr>
                <w:b/>
              </w:rPr>
            </w:pPr>
          </w:p>
        </w:tc>
      </w:tr>
      <w:tr w:rsidR="00DD3EFA" w:rsidRPr="00EC2A1C" w14:paraId="2A6697A0" w14:textId="77777777" w:rsidTr="005C7F05">
        <w:trPr>
          <w:trHeight w:val="1274"/>
        </w:trPr>
        <w:tc>
          <w:tcPr>
            <w:tcW w:w="249" w:type="dxa"/>
            <w:tcBorders>
              <w:top w:val="nil"/>
              <w:bottom w:val="nil"/>
            </w:tcBorders>
            <w:shd w:val="clear" w:color="auto" w:fill="66CCFF"/>
          </w:tcPr>
          <w:p w14:paraId="474AC09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19CBD0EE" w14:textId="77777777" w:rsidR="00DD3EFA" w:rsidRPr="00EC2A1C" w:rsidRDefault="00DD3EFA"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6478" w:type="dxa"/>
            <w:tcBorders>
              <w:bottom w:val="single" w:sz="4" w:space="0" w:color="auto"/>
            </w:tcBorders>
            <w:shd w:val="clear" w:color="auto" w:fill="FFFFFF" w:themeFill="background1"/>
          </w:tcPr>
          <w:p w14:paraId="3B1AED0A"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ajorEastAsia" w:hAnsi="Times New Roman"/>
                <w:u w:val="single"/>
              </w:rPr>
            </w:pPr>
            <w:r w:rsidRPr="00EC2A1C">
              <w:rPr>
                <w:rFonts w:ascii="Times New Roman" w:hAnsi="Times New Roman"/>
              </w:rPr>
              <w:t>Stanovení předpokládaného podílu ESIF není možné v tuto chvíli detailněji kvantifikovat. Očekávaný příspěvek ESIF k cíli v oblasti OZE je již nyní dílčím způsobem popsán v Návrhu vnitrostátního plánu v oblasti energetiky a klimatu. Detailnější stanovení podílu ESIF bude rozpracováno v rámci finalizace tohoto dokumentu (finální dokument bude předán Evropské komisi do konce roku 2019).</w:t>
            </w:r>
          </w:p>
        </w:tc>
        <w:tc>
          <w:tcPr>
            <w:tcW w:w="249" w:type="dxa"/>
            <w:tcBorders>
              <w:top w:val="nil"/>
              <w:bottom w:val="nil"/>
            </w:tcBorders>
            <w:shd w:val="clear" w:color="auto" w:fill="66CCFF"/>
          </w:tcPr>
          <w:p w14:paraId="1304636A" w14:textId="77777777" w:rsidR="00DD3EFA" w:rsidRPr="00EC2A1C" w:rsidRDefault="00DD3EFA" w:rsidP="00B15ECB">
            <w:pPr>
              <w:rPr>
                <w:b/>
              </w:rPr>
            </w:pPr>
          </w:p>
        </w:tc>
      </w:tr>
      <w:tr w:rsidR="00DD3EFA" w:rsidRPr="00EC2A1C" w14:paraId="65D6A704" w14:textId="77777777" w:rsidTr="005C7F05">
        <w:trPr>
          <w:trHeight w:val="1274"/>
        </w:trPr>
        <w:tc>
          <w:tcPr>
            <w:tcW w:w="249" w:type="dxa"/>
            <w:tcBorders>
              <w:top w:val="nil"/>
              <w:bottom w:val="nil"/>
            </w:tcBorders>
            <w:shd w:val="clear" w:color="auto" w:fill="66CCFF"/>
          </w:tcPr>
          <w:p w14:paraId="3CD39ED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1D820736" w14:textId="77777777" w:rsidR="00DD3EFA" w:rsidRPr="00EC2A1C" w:rsidRDefault="00DD3EFA" w:rsidP="00B15ECB">
            <w:pPr>
              <w:spacing w:before="60" w:after="60"/>
              <w:rPr>
                <w:rFonts w:eastAsiaTheme="majorEastAsia"/>
                <w:b/>
              </w:rPr>
            </w:pPr>
            <w:r w:rsidRPr="00EC2A1C">
              <w:rPr>
                <w:rFonts w:eastAsiaTheme="majorEastAsia"/>
                <w:b/>
              </w:rPr>
              <w:t>Posun intervencí oproti dosavadním obdobím</w:t>
            </w:r>
          </w:p>
        </w:tc>
        <w:tc>
          <w:tcPr>
            <w:tcW w:w="6478" w:type="dxa"/>
            <w:tcBorders>
              <w:bottom w:val="single" w:sz="4" w:space="0" w:color="auto"/>
            </w:tcBorders>
            <w:shd w:val="clear" w:color="auto" w:fill="FFFFFF" w:themeFill="background1"/>
          </w:tcPr>
          <w:p w14:paraId="205B595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eastAsiaTheme="minorHAnsi" w:hAnsi="Times New Roman"/>
                <w:noProof/>
              </w:rPr>
              <w:t>Oproti minulému období je třeba otevřít diskuze ohledně využití OZE s ohledem na dřívější nepřiměřenou finanční podporu především fotovoltaickým elektrárnám. OZE, včetně fotovoltaiky a výroby biometanu mají i do budoucna předpoklad využití jak v domácím či podnikovém měřítku, tak v dopravě či při výrobě elektrické energie pro dodávání do sítí, avšak je nutné nastavit jasná pravidla, aby nedocházelo ke spekulacím s negativními dopady na veřejné finance.</w:t>
            </w:r>
          </w:p>
        </w:tc>
        <w:tc>
          <w:tcPr>
            <w:tcW w:w="249" w:type="dxa"/>
            <w:tcBorders>
              <w:top w:val="nil"/>
              <w:bottom w:val="nil"/>
            </w:tcBorders>
            <w:shd w:val="clear" w:color="auto" w:fill="66CCFF"/>
          </w:tcPr>
          <w:p w14:paraId="6B7E42D4" w14:textId="77777777" w:rsidR="00DD3EFA" w:rsidRPr="00EC2A1C" w:rsidRDefault="00DD3EFA" w:rsidP="00B15ECB">
            <w:pPr>
              <w:rPr>
                <w:b/>
              </w:rPr>
            </w:pPr>
          </w:p>
        </w:tc>
      </w:tr>
      <w:tr w:rsidR="00DD3EFA" w:rsidRPr="00EC2A1C" w14:paraId="0D3164B9" w14:textId="77777777" w:rsidTr="005C7F05">
        <w:trPr>
          <w:trHeight w:val="272"/>
        </w:trPr>
        <w:tc>
          <w:tcPr>
            <w:tcW w:w="249" w:type="dxa"/>
            <w:tcBorders>
              <w:top w:val="nil"/>
              <w:bottom w:val="nil"/>
              <w:right w:val="nil"/>
            </w:tcBorders>
            <w:shd w:val="clear" w:color="auto" w:fill="66CCFF"/>
          </w:tcPr>
          <w:p w14:paraId="76D222C9" w14:textId="77777777" w:rsidR="00DD3EFA" w:rsidRPr="00EC2A1C" w:rsidRDefault="00DD3EFA" w:rsidP="00B15ECB">
            <w:pPr>
              <w:rPr>
                <w:b/>
              </w:rPr>
            </w:pPr>
          </w:p>
        </w:tc>
        <w:tc>
          <w:tcPr>
            <w:tcW w:w="2558" w:type="dxa"/>
            <w:tcBorders>
              <w:top w:val="single" w:sz="4" w:space="0" w:color="auto"/>
              <w:left w:val="nil"/>
              <w:bottom w:val="single" w:sz="4" w:space="0" w:color="auto"/>
              <w:right w:val="nil"/>
            </w:tcBorders>
            <w:shd w:val="clear" w:color="auto" w:fill="66CCFF"/>
          </w:tcPr>
          <w:p w14:paraId="768D6D28" w14:textId="77777777" w:rsidR="00DD3EFA" w:rsidRPr="00EC2A1C" w:rsidRDefault="00DD3EFA" w:rsidP="00B15ECB">
            <w:pPr>
              <w:spacing w:before="60" w:after="60"/>
              <w:rPr>
                <w:rFonts w:eastAsiaTheme="majorEastAsia"/>
                <w:b/>
              </w:rPr>
            </w:pPr>
          </w:p>
        </w:tc>
        <w:tc>
          <w:tcPr>
            <w:tcW w:w="6478" w:type="dxa"/>
            <w:tcBorders>
              <w:top w:val="single" w:sz="4" w:space="0" w:color="auto"/>
              <w:left w:val="nil"/>
              <w:bottom w:val="single" w:sz="4" w:space="0" w:color="auto"/>
              <w:right w:val="nil"/>
            </w:tcBorders>
            <w:shd w:val="clear" w:color="auto" w:fill="66CCFF"/>
          </w:tcPr>
          <w:p w14:paraId="2AA1865A"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11ABF70D" w14:textId="77777777" w:rsidR="00DD3EFA" w:rsidRPr="00EC2A1C" w:rsidRDefault="00DD3EFA" w:rsidP="00B15ECB">
            <w:pPr>
              <w:rPr>
                <w:b/>
              </w:rPr>
            </w:pPr>
          </w:p>
        </w:tc>
      </w:tr>
      <w:tr w:rsidR="00DD3EFA" w:rsidRPr="00EC2A1C" w14:paraId="17AA30BD" w14:textId="77777777" w:rsidTr="005C7F05">
        <w:trPr>
          <w:trHeight w:val="835"/>
        </w:trPr>
        <w:tc>
          <w:tcPr>
            <w:tcW w:w="249" w:type="dxa"/>
            <w:tcBorders>
              <w:top w:val="nil"/>
              <w:bottom w:val="nil"/>
            </w:tcBorders>
            <w:shd w:val="clear" w:color="auto" w:fill="66CCFF"/>
          </w:tcPr>
          <w:p w14:paraId="3AF1CD1F" w14:textId="77777777" w:rsidR="00DD3EFA" w:rsidRPr="00EC2A1C" w:rsidRDefault="00DD3EFA" w:rsidP="00B15ECB">
            <w:pPr>
              <w:rPr>
                <w:b/>
              </w:rPr>
            </w:pPr>
          </w:p>
        </w:tc>
        <w:tc>
          <w:tcPr>
            <w:tcW w:w="2558" w:type="dxa"/>
            <w:tcBorders>
              <w:top w:val="single" w:sz="4" w:space="0" w:color="auto"/>
              <w:bottom w:val="single" w:sz="4" w:space="0" w:color="auto"/>
            </w:tcBorders>
            <w:shd w:val="clear" w:color="auto" w:fill="auto"/>
          </w:tcPr>
          <w:p w14:paraId="6956F5C7"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481FB320" w14:textId="77777777" w:rsidR="00DD3EFA" w:rsidRPr="00EC2A1C" w:rsidRDefault="00DD3EFA" w:rsidP="00B15ECB">
            <w:pPr>
              <w:spacing w:before="60" w:after="60"/>
              <w:rPr>
                <w:rFonts w:eastAsiaTheme="majorEastAsia"/>
                <w:b/>
              </w:rPr>
            </w:pPr>
          </w:p>
        </w:tc>
        <w:tc>
          <w:tcPr>
            <w:tcW w:w="6478" w:type="dxa"/>
            <w:tcBorders>
              <w:top w:val="single" w:sz="4" w:space="0" w:color="auto"/>
              <w:bottom w:val="single" w:sz="4" w:space="0" w:color="auto"/>
            </w:tcBorders>
            <w:shd w:val="clear" w:color="auto" w:fill="auto"/>
          </w:tcPr>
          <w:p w14:paraId="0327B8AE" w14:textId="77777777" w:rsidR="00DD3EFA" w:rsidRPr="00EC2A1C" w:rsidRDefault="00DD3EFA" w:rsidP="00391907">
            <w:pPr>
              <w:pStyle w:val="Odstavecseseznamem"/>
              <w:numPr>
                <w:ilvl w:val="0"/>
                <w:numId w:val="97"/>
              </w:numPr>
              <w:spacing w:before="60" w:after="60" w:line="259" w:lineRule="auto"/>
              <w:jc w:val="both"/>
              <w:rPr>
                <w:rFonts w:eastAsiaTheme="majorEastAsia"/>
              </w:rPr>
            </w:pPr>
            <w:r w:rsidRPr="00EC2A1C">
              <w:rPr>
                <w:rFonts w:eastAsiaTheme="majorEastAsia"/>
              </w:rPr>
              <w:t>Zvýšení podílu obnovitelných zdrojů</w:t>
            </w:r>
          </w:p>
          <w:p w14:paraId="25E4ADD3" w14:textId="77777777" w:rsidR="00DD3EFA" w:rsidRPr="00EC2A1C" w:rsidRDefault="00DD3EFA" w:rsidP="00391907">
            <w:pPr>
              <w:pStyle w:val="Odstavecseseznamem"/>
              <w:numPr>
                <w:ilvl w:val="0"/>
                <w:numId w:val="97"/>
              </w:numPr>
              <w:spacing w:before="60" w:after="60" w:line="259" w:lineRule="auto"/>
              <w:jc w:val="both"/>
              <w:rPr>
                <w:rFonts w:eastAsiaTheme="majorEastAsia"/>
              </w:rPr>
            </w:pPr>
            <w:r w:rsidRPr="00EC2A1C">
              <w:rPr>
                <w:rFonts w:eastAsiaTheme="majorEastAsia"/>
              </w:rPr>
              <w:t>Zajištění plnění sektorových cílů podílu OZE ve vytápění a chlazení a v oblasti dopravy</w:t>
            </w:r>
          </w:p>
          <w:p w14:paraId="50ED3D7D" w14:textId="77777777" w:rsidR="00DD3EFA" w:rsidRPr="00EC2A1C" w:rsidRDefault="00DD3EFA" w:rsidP="00391907">
            <w:pPr>
              <w:pStyle w:val="Odstavecseseznamem"/>
              <w:numPr>
                <w:ilvl w:val="0"/>
                <w:numId w:val="97"/>
              </w:numPr>
              <w:spacing w:before="60" w:after="60" w:line="259" w:lineRule="auto"/>
              <w:jc w:val="both"/>
              <w:rPr>
                <w:rFonts w:eastAsiaTheme="majorEastAsia"/>
              </w:rPr>
            </w:pPr>
            <w:r w:rsidRPr="00EC2A1C">
              <w:rPr>
                <w:rFonts w:eastAsiaTheme="majorEastAsia"/>
              </w:rPr>
              <w:t xml:space="preserve">Zvýšení energetické účinnosti </w:t>
            </w:r>
          </w:p>
          <w:p w14:paraId="385CB9FB" w14:textId="77777777" w:rsidR="00DD3EFA" w:rsidRPr="00EC2A1C" w:rsidRDefault="00DD3EFA" w:rsidP="00391907">
            <w:pPr>
              <w:pStyle w:val="Odstavecseseznamem"/>
              <w:numPr>
                <w:ilvl w:val="0"/>
                <w:numId w:val="97"/>
              </w:numPr>
              <w:spacing w:before="60" w:after="60"/>
              <w:jc w:val="both"/>
            </w:pPr>
            <w:r w:rsidRPr="00EC2A1C">
              <w:rPr>
                <w:rFonts w:eastAsiaTheme="majorEastAsia"/>
              </w:rPr>
              <w:t xml:space="preserve">Snížení energetické náročnosti </w:t>
            </w:r>
          </w:p>
          <w:p w14:paraId="5857964B" w14:textId="77777777" w:rsidR="00DD3EFA" w:rsidRPr="00EC2A1C" w:rsidRDefault="00DD3EFA" w:rsidP="00391907">
            <w:pPr>
              <w:pStyle w:val="Odstavecseseznamem"/>
              <w:numPr>
                <w:ilvl w:val="0"/>
                <w:numId w:val="97"/>
              </w:numPr>
              <w:spacing w:before="60" w:after="60"/>
              <w:jc w:val="both"/>
            </w:pPr>
            <w:r w:rsidRPr="00EC2A1C">
              <w:rPr>
                <w:rFonts w:eastAsiaTheme="majorEastAsia"/>
              </w:rPr>
              <w:t>Snížení emisí skleníkových plynů</w:t>
            </w:r>
          </w:p>
          <w:p w14:paraId="332D995B" w14:textId="77777777" w:rsidR="00DD3EFA" w:rsidRPr="00EC2A1C" w:rsidRDefault="00DD3EFA" w:rsidP="00391907">
            <w:pPr>
              <w:pStyle w:val="Odstavecseseznamem"/>
              <w:numPr>
                <w:ilvl w:val="0"/>
                <w:numId w:val="97"/>
              </w:numPr>
              <w:spacing w:before="60" w:after="60"/>
              <w:jc w:val="both"/>
            </w:pPr>
            <w:r w:rsidRPr="00EC2A1C">
              <w:t>zvýšení využití druhotných energetických zdrojů</w:t>
            </w:r>
          </w:p>
          <w:p w14:paraId="7761174A" w14:textId="77777777" w:rsidR="00DD3EFA" w:rsidRPr="00EC2A1C" w:rsidRDefault="00DD3EFA" w:rsidP="00391907">
            <w:pPr>
              <w:pStyle w:val="Odstavecseseznamem"/>
              <w:numPr>
                <w:ilvl w:val="0"/>
                <w:numId w:val="97"/>
              </w:numPr>
              <w:spacing w:before="60" w:after="60"/>
              <w:jc w:val="both"/>
            </w:pPr>
            <w:r w:rsidRPr="00EC2A1C">
              <w:t>zvýšení využití alternativních paliv v dopravě</w:t>
            </w:r>
          </w:p>
        </w:tc>
        <w:tc>
          <w:tcPr>
            <w:tcW w:w="249" w:type="dxa"/>
            <w:tcBorders>
              <w:top w:val="nil"/>
              <w:bottom w:val="nil"/>
            </w:tcBorders>
            <w:shd w:val="clear" w:color="auto" w:fill="66CCFF"/>
          </w:tcPr>
          <w:p w14:paraId="62C76CEA" w14:textId="77777777" w:rsidR="00DD3EFA" w:rsidRPr="00EC2A1C" w:rsidRDefault="00DD3EFA" w:rsidP="00B15ECB">
            <w:pPr>
              <w:rPr>
                <w:b/>
              </w:rPr>
            </w:pPr>
          </w:p>
        </w:tc>
      </w:tr>
      <w:tr w:rsidR="00DD3EFA" w:rsidRPr="00EC2A1C" w14:paraId="7DE83170" w14:textId="77777777" w:rsidTr="005C7F05">
        <w:trPr>
          <w:trHeight w:val="377"/>
        </w:trPr>
        <w:tc>
          <w:tcPr>
            <w:tcW w:w="249" w:type="dxa"/>
            <w:tcBorders>
              <w:top w:val="nil"/>
              <w:bottom w:val="nil"/>
              <w:right w:val="nil"/>
            </w:tcBorders>
            <w:shd w:val="clear" w:color="auto" w:fill="66CCFF"/>
          </w:tcPr>
          <w:p w14:paraId="771C936E" w14:textId="77777777" w:rsidR="00DD3EFA" w:rsidRPr="00EC2A1C" w:rsidRDefault="00DD3EFA" w:rsidP="00B15ECB">
            <w:pPr>
              <w:rPr>
                <w:b/>
              </w:rPr>
            </w:pPr>
          </w:p>
        </w:tc>
        <w:tc>
          <w:tcPr>
            <w:tcW w:w="2558" w:type="dxa"/>
            <w:tcBorders>
              <w:top w:val="single" w:sz="4" w:space="0" w:color="auto"/>
              <w:left w:val="nil"/>
              <w:bottom w:val="single" w:sz="4" w:space="0" w:color="auto"/>
              <w:right w:val="nil"/>
            </w:tcBorders>
            <w:shd w:val="clear" w:color="auto" w:fill="66CCFF"/>
          </w:tcPr>
          <w:p w14:paraId="1E50DBD3" w14:textId="77777777" w:rsidR="00DD3EFA" w:rsidRPr="00EC2A1C" w:rsidRDefault="00DD3EFA" w:rsidP="00B15ECB">
            <w:pPr>
              <w:spacing w:before="60" w:after="60"/>
              <w:rPr>
                <w:rFonts w:eastAsiaTheme="majorEastAsia"/>
                <w:b/>
              </w:rPr>
            </w:pPr>
          </w:p>
        </w:tc>
        <w:tc>
          <w:tcPr>
            <w:tcW w:w="6478" w:type="dxa"/>
            <w:tcBorders>
              <w:top w:val="single" w:sz="4" w:space="0" w:color="auto"/>
              <w:left w:val="nil"/>
              <w:bottom w:val="single" w:sz="4" w:space="0" w:color="auto"/>
              <w:right w:val="nil"/>
            </w:tcBorders>
            <w:shd w:val="clear" w:color="auto" w:fill="66CCFF"/>
          </w:tcPr>
          <w:p w14:paraId="1F0DE0AE"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7271416F" w14:textId="77777777" w:rsidR="00DD3EFA" w:rsidRPr="00EC2A1C" w:rsidRDefault="00DD3EFA" w:rsidP="00B15ECB">
            <w:pPr>
              <w:rPr>
                <w:b/>
              </w:rPr>
            </w:pPr>
          </w:p>
        </w:tc>
      </w:tr>
      <w:tr w:rsidR="00DD3EFA" w:rsidRPr="00EC2A1C" w14:paraId="4F9BEE38" w14:textId="77777777" w:rsidTr="005C7F05">
        <w:trPr>
          <w:trHeight w:val="1202"/>
        </w:trPr>
        <w:tc>
          <w:tcPr>
            <w:tcW w:w="249" w:type="dxa"/>
            <w:tcBorders>
              <w:top w:val="nil"/>
              <w:bottom w:val="nil"/>
            </w:tcBorders>
            <w:shd w:val="clear" w:color="auto" w:fill="66CCFF"/>
          </w:tcPr>
          <w:p w14:paraId="4FBD881A" w14:textId="77777777" w:rsidR="00DD3EFA" w:rsidRPr="00EC2A1C" w:rsidRDefault="00DD3EFA" w:rsidP="00B15ECB">
            <w:pPr>
              <w:rPr>
                <w:b/>
              </w:rPr>
            </w:pPr>
          </w:p>
        </w:tc>
        <w:tc>
          <w:tcPr>
            <w:tcW w:w="9036" w:type="dxa"/>
            <w:gridSpan w:val="2"/>
            <w:tcBorders>
              <w:top w:val="single" w:sz="4" w:space="0" w:color="auto"/>
              <w:bottom w:val="single" w:sz="4" w:space="0" w:color="auto"/>
            </w:tcBorders>
            <w:shd w:val="clear" w:color="auto" w:fill="FFFFFF" w:themeFill="background1"/>
          </w:tcPr>
          <w:p w14:paraId="351B355F"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p w14:paraId="6FDB54E0"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4C540DA2" w14:textId="77777777" w:rsidR="00DD3EFA" w:rsidRPr="00EC2A1C" w:rsidRDefault="00DD3EFA" w:rsidP="00B15ECB">
            <w:pPr>
              <w:rPr>
                <w:b/>
              </w:rPr>
            </w:pPr>
          </w:p>
        </w:tc>
      </w:tr>
      <w:tr w:rsidR="00DD3EFA" w:rsidRPr="00EC2A1C" w14:paraId="022DBCDC" w14:textId="77777777" w:rsidTr="005C7F05">
        <w:trPr>
          <w:trHeight w:val="1202"/>
        </w:trPr>
        <w:tc>
          <w:tcPr>
            <w:tcW w:w="249" w:type="dxa"/>
            <w:tcBorders>
              <w:top w:val="nil"/>
              <w:bottom w:val="nil"/>
            </w:tcBorders>
            <w:shd w:val="clear" w:color="auto" w:fill="66CCFF"/>
          </w:tcPr>
          <w:p w14:paraId="2C0EC98A"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4E567BE3"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66DB9B9D" w14:textId="77777777" w:rsidR="00DD3EFA" w:rsidRPr="00EC2A1C" w:rsidRDefault="00DD3EFA" w:rsidP="00B15ECB">
            <w:pPr>
              <w:spacing w:before="60" w:after="60"/>
              <w:rPr>
                <w:rFonts w:eastAsiaTheme="majorEastAsia"/>
                <w:b/>
              </w:rPr>
            </w:pPr>
          </w:p>
        </w:tc>
        <w:tc>
          <w:tcPr>
            <w:tcW w:w="6478" w:type="dxa"/>
            <w:tcBorders>
              <w:bottom w:val="single" w:sz="4" w:space="0" w:color="auto"/>
            </w:tcBorders>
            <w:shd w:val="clear" w:color="auto" w:fill="FFFFFF" w:themeFill="background1"/>
          </w:tcPr>
          <w:p w14:paraId="11EDC24F" w14:textId="77777777" w:rsidR="00DD3EFA" w:rsidRPr="00EC2A1C" w:rsidRDefault="00DD3EFA" w:rsidP="00B15ECB">
            <w:pPr>
              <w:tabs>
                <w:tab w:val="left" w:pos="284"/>
                <w:tab w:val="left" w:pos="567"/>
              </w:tabs>
              <w:suppressAutoHyphens/>
              <w:spacing w:after="200"/>
              <w:rPr>
                <w:rFonts w:eastAsiaTheme="majorEastAsia"/>
              </w:rPr>
            </w:pPr>
            <w:r w:rsidRPr="00EC2A1C">
              <w:rPr>
                <w:rFonts w:eastAsiaTheme="majorEastAsia"/>
              </w:rPr>
              <w:t xml:space="preserve">Z hlediska územní dimenze je třeba citlivě přistupovat k využití obnovitelných zdrojů, konkrétně potenciálu biomasy (v udržitelném rozsahu potravinové bezpečnosti a ochrany půdního fondu a krajiny), větrné energie (s respektováním ochrany životního prostředí a krajiny) a solární energie na střechách a konstrukcích budov (s respektováním ochrany památek a měst). V některých regionech je významný potenciál geotermální energie – jedná se například o Litoměřicko, kde je plánováno i vybudování výzkumného centra geotermální energie. </w:t>
            </w:r>
          </w:p>
          <w:p w14:paraId="6944163B"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7415C4D9" w14:textId="77777777" w:rsidR="00DD3EFA" w:rsidRPr="00EC2A1C" w:rsidRDefault="00DD3EFA" w:rsidP="00B15ECB">
            <w:pPr>
              <w:rPr>
                <w:b/>
              </w:rPr>
            </w:pPr>
          </w:p>
        </w:tc>
      </w:tr>
      <w:tr w:rsidR="00DD3EFA" w:rsidRPr="00EC2A1C" w14:paraId="62E8F142" w14:textId="77777777" w:rsidTr="005C7F05">
        <w:trPr>
          <w:trHeight w:val="1202"/>
        </w:trPr>
        <w:tc>
          <w:tcPr>
            <w:tcW w:w="249" w:type="dxa"/>
            <w:tcBorders>
              <w:top w:val="nil"/>
              <w:bottom w:val="nil"/>
            </w:tcBorders>
            <w:shd w:val="clear" w:color="auto" w:fill="66CCFF"/>
          </w:tcPr>
          <w:p w14:paraId="2FB2F97F"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001A521D"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0CCCC5E8" w14:textId="77777777" w:rsidR="00DD3EFA" w:rsidRPr="00EC2A1C" w:rsidRDefault="00DD3EFA" w:rsidP="00B15ECB">
            <w:pPr>
              <w:spacing w:before="60" w:after="60"/>
              <w:rPr>
                <w:rFonts w:eastAsiaTheme="majorEastAsia"/>
                <w:b/>
              </w:rPr>
            </w:pPr>
          </w:p>
        </w:tc>
        <w:tc>
          <w:tcPr>
            <w:tcW w:w="6478" w:type="dxa"/>
            <w:tcBorders>
              <w:bottom w:val="single" w:sz="4" w:space="0" w:color="auto"/>
            </w:tcBorders>
            <w:shd w:val="clear" w:color="auto" w:fill="FFFFFF" w:themeFill="background1"/>
          </w:tcPr>
          <w:p w14:paraId="26D0FE92" w14:textId="77777777" w:rsidR="00DD3EFA" w:rsidRPr="00EC2A1C" w:rsidRDefault="00DD3EFA" w:rsidP="00B15ECB">
            <w:pPr>
              <w:spacing w:before="60" w:after="60"/>
              <w:rPr>
                <w:rFonts w:eastAsiaTheme="majorEastAsia"/>
                <w:i/>
              </w:rPr>
            </w:pPr>
            <w:r w:rsidRPr="00EC2A1C">
              <w:t>Změna klimatu má dopad dostupnost a efektivitu obnovitelných zdrojů energie. V NAP adaptace na změnu klimatu je sítím věnován specifický cíl „Obnovitelné zdroje energie odolávající dopadům změny klimatu.“ Pro NAP Čistá mobilita je zvyšování podílu biometanu případně syntetického metanu v PHM klíčové téma.</w:t>
            </w:r>
          </w:p>
        </w:tc>
        <w:tc>
          <w:tcPr>
            <w:tcW w:w="249" w:type="dxa"/>
            <w:tcBorders>
              <w:top w:val="nil"/>
              <w:bottom w:val="nil"/>
            </w:tcBorders>
            <w:shd w:val="clear" w:color="auto" w:fill="66CCFF"/>
          </w:tcPr>
          <w:p w14:paraId="3AC2EC1D" w14:textId="77777777" w:rsidR="00DD3EFA" w:rsidRPr="00EC2A1C" w:rsidRDefault="00DD3EFA" w:rsidP="00B15ECB">
            <w:pPr>
              <w:rPr>
                <w:b/>
              </w:rPr>
            </w:pPr>
          </w:p>
        </w:tc>
      </w:tr>
      <w:tr w:rsidR="00DD3EFA" w:rsidRPr="00EC2A1C" w14:paraId="435FC818" w14:textId="77777777" w:rsidTr="005C7F05">
        <w:trPr>
          <w:trHeight w:val="1202"/>
        </w:trPr>
        <w:tc>
          <w:tcPr>
            <w:tcW w:w="249" w:type="dxa"/>
            <w:tcBorders>
              <w:top w:val="nil"/>
              <w:bottom w:val="nil"/>
            </w:tcBorders>
            <w:shd w:val="clear" w:color="auto" w:fill="66CCFF"/>
          </w:tcPr>
          <w:p w14:paraId="1D7C5588"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45EA131B"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tc>
        <w:tc>
          <w:tcPr>
            <w:tcW w:w="6478" w:type="dxa"/>
            <w:tcBorders>
              <w:bottom w:val="single" w:sz="4" w:space="0" w:color="auto"/>
            </w:tcBorders>
            <w:shd w:val="clear" w:color="auto" w:fill="FFFFFF" w:themeFill="background1"/>
          </w:tcPr>
          <w:p w14:paraId="3FEBBE56" w14:textId="77777777" w:rsidR="00DD3EFA" w:rsidRPr="00EC2A1C" w:rsidRDefault="00DD3EFA" w:rsidP="00B15ECB">
            <w:pPr>
              <w:tabs>
                <w:tab w:val="left" w:pos="284"/>
                <w:tab w:val="left" w:pos="567"/>
              </w:tabs>
              <w:suppressAutoHyphens/>
              <w:rPr>
                <w:rFonts w:eastAsiaTheme="majorEastAsia"/>
                <w:i/>
              </w:rPr>
            </w:pPr>
            <w:r w:rsidRPr="00EC2A1C">
              <w:rPr>
                <w:rFonts w:eastAsiaTheme="majorEastAsia"/>
              </w:rPr>
              <w:t>Průmysl 4.0 a inteligentní prvky regulace v sítích sehrají významnou roli při napojení OZE do energetické soustavy a umožní jejich spolehlivé řízení.</w:t>
            </w:r>
          </w:p>
        </w:tc>
        <w:tc>
          <w:tcPr>
            <w:tcW w:w="249" w:type="dxa"/>
            <w:tcBorders>
              <w:top w:val="nil"/>
              <w:bottom w:val="nil"/>
            </w:tcBorders>
            <w:shd w:val="clear" w:color="auto" w:fill="66CCFF"/>
          </w:tcPr>
          <w:p w14:paraId="51F1C6AD" w14:textId="77777777" w:rsidR="00DD3EFA" w:rsidRPr="00EC2A1C" w:rsidRDefault="00DD3EFA" w:rsidP="00B15ECB">
            <w:pPr>
              <w:rPr>
                <w:b/>
              </w:rPr>
            </w:pPr>
          </w:p>
        </w:tc>
      </w:tr>
      <w:tr w:rsidR="00DD3EFA" w:rsidRPr="00EC2A1C" w14:paraId="00161ACB" w14:textId="77777777" w:rsidTr="005C7F05">
        <w:trPr>
          <w:trHeight w:val="1202"/>
        </w:trPr>
        <w:tc>
          <w:tcPr>
            <w:tcW w:w="249" w:type="dxa"/>
            <w:tcBorders>
              <w:top w:val="nil"/>
              <w:bottom w:val="nil"/>
            </w:tcBorders>
            <w:shd w:val="clear" w:color="auto" w:fill="66CCFF"/>
          </w:tcPr>
          <w:p w14:paraId="4C8C141D"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34EC7CBE"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6F7A678D" w14:textId="77777777" w:rsidR="00DD3EFA" w:rsidRPr="00EC2A1C" w:rsidRDefault="00DD3EFA" w:rsidP="00B15ECB">
            <w:pPr>
              <w:spacing w:before="60" w:after="60"/>
              <w:rPr>
                <w:rFonts w:eastAsiaTheme="majorEastAsia"/>
                <w:b/>
                <w:highlight w:val="yellow"/>
              </w:rPr>
            </w:pPr>
          </w:p>
        </w:tc>
        <w:tc>
          <w:tcPr>
            <w:tcW w:w="6478" w:type="dxa"/>
            <w:tcBorders>
              <w:bottom w:val="single" w:sz="4" w:space="0" w:color="auto"/>
            </w:tcBorders>
            <w:shd w:val="clear" w:color="auto" w:fill="FFFFFF" w:themeFill="background1"/>
          </w:tcPr>
          <w:p w14:paraId="45E386F5" w14:textId="77777777" w:rsidR="00DD3EFA" w:rsidRPr="00EC2A1C" w:rsidRDefault="00DD3EFA" w:rsidP="00B15ECB">
            <w:pPr>
              <w:spacing w:before="60" w:after="60"/>
              <w:rPr>
                <w:rFonts w:eastAsiaTheme="majorEastAsia"/>
              </w:rPr>
            </w:pPr>
            <w:r w:rsidRPr="00EC2A1C">
              <w:rPr>
                <w:rFonts w:eastAsiaTheme="majorEastAsia"/>
              </w:rPr>
              <w:t>Plnění Specifického cíle NKR souvisí zejména s následujícími megatrendy:</w:t>
            </w:r>
          </w:p>
          <w:p w14:paraId="44BD2CDC"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Rostoucí spotřeba energie</w:t>
            </w:r>
          </w:p>
          <w:p w14:paraId="286ED52E"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Rostoucí spotřeba</w:t>
            </w:r>
          </w:p>
          <w:p w14:paraId="3EF516B5"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Zvyšující se soutěž o zdroje</w:t>
            </w:r>
          </w:p>
          <w:p w14:paraId="5B750527"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Změna klimatu a její dopady</w:t>
            </w:r>
          </w:p>
          <w:p w14:paraId="33539C7C"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Zvyšující se dostupnost technologií</w:t>
            </w:r>
          </w:p>
          <w:p w14:paraId="29A7096E" w14:textId="77777777" w:rsidR="00DD3EFA" w:rsidRPr="00EC2A1C" w:rsidRDefault="00DD3EFA" w:rsidP="00B15ECB">
            <w:pPr>
              <w:spacing w:before="60" w:after="60"/>
              <w:rPr>
                <w:rFonts w:eastAsiaTheme="majorEastAsia"/>
              </w:rPr>
            </w:pPr>
            <w:r w:rsidRPr="00EC2A1C">
              <w:rPr>
                <w:rFonts w:eastAsiaTheme="majorEastAsia"/>
              </w:rPr>
              <w:t>•</w:t>
            </w:r>
            <w:r w:rsidRPr="00EC2A1C">
              <w:rPr>
                <w:rFonts w:eastAsiaTheme="majorEastAsia"/>
              </w:rPr>
              <w:tab/>
              <w:t>Zvyšující se rychlost technologické změny</w:t>
            </w:r>
          </w:p>
          <w:p w14:paraId="08218646" w14:textId="77777777" w:rsidR="00DD3EFA" w:rsidRPr="00EC2A1C" w:rsidRDefault="00DD3EFA" w:rsidP="00B15ECB">
            <w:pPr>
              <w:spacing w:before="60" w:after="60"/>
              <w:rPr>
                <w:rFonts w:eastAsiaTheme="majorEastAsia"/>
                <w:i/>
              </w:rPr>
            </w:pPr>
            <w:r w:rsidRPr="00EC2A1C">
              <w:rPr>
                <w:rFonts w:eastAsiaTheme="majorEastAsia"/>
              </w:rPr>
              <w:t>•</w:t>
            </w:r>
            <w:r w:rsidRPr="00EC2A1C">
              <w:rPr>
                <w:rFonts w:eastAsiaTheme="majorEastAsia"/>
              </w:rPr>
              <w:tab/>
              <w:t>Rostoucí mobilita</w:t>
            </w:r>
          </w:p>
        </w:tc>
        <w:tc>
          <w:tcPr>
            <w:tcW w:w="249" w:type="dxa"/>
            <w:tcBorders>
              <w:top w:val="nil"/>
              <w:bottom w:val="nil"/>
            </w:tcBorders>
            <w:shd w:val="clear" w:color="auto" w:fill="66CCFF"/>
          </w:tcPr>
          <w:p w14:paraId="0928DF95" w14:textId="77777777" w:rsidR="00DD3EFA" w:rsidRPr="00EC2A1C" w:rsidRDefault="00DD3EFA" w:rsidP="00B15ECB">
            <w:pPr>
              <w:rPr>
                <w:b/>
              </w:rPr>
            </w:pPr>
          </w:p>
        </w:tc>
      </w:tr>
      <w:tr w:rsidR="00DD3EFA" w:rsidRPr="00EC2A1C" w14:paraId="78606D50" w14:textId="77777777" w:rsidTr="005C7F05">
        <w:trPr>
          <w:trHeight w:val="1202"/>
        </w:trPr>
        <w:tc>
          <w:tcPr>
            <w:tcW w:w="249" w:type="dxa"/>
            <w:tcBorders>
              <w:top w:val="nil"/>
              <w:bottom w:val="nil"/>
            </w:tcBorders>
            <w:shd w:val="clear" w:color="auto" w:fill="66CCFF"/>
          </w:tcPr>
          <w:p w14:paraId="6B0E920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2905A7F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6478" w:type="dxa"/>
            <w:tcBorders>
              <w:bottom w:val="single" w:sz="4" w:space="0" w:color="auto"/>
            </w:tcBorders>
            <w:shd w:val="clear" w:color="auto" w:fill="FFFFFF" w:themeFill="background1"/>
          </w:tcPr>
          <w:p w14:paraId="59094223" w14:textId="77777777" w:rsidR="00DD3EFA" w:rsidRPr="00EC2A1C" w:rsidRDefault="00DD3EFA" w:rsidP="00B15ECB">
            <w:pPr>
              <w:spacing w:before="60" w:after="60"/>
              <w:rPr>
                <w:lang w:eastAsia="en-GB"/>
              </w:rPr>
            </w:pPr>
            <w:r w:rsidRPr="00EC2A1C">
              <w:rPr>
                <w:u w:val="single"/>
                <w:lang w:eastAsia="en-GB"/>
              </w:rPr>
              <w:t>Článek 4 ON:</w:t>
            </w:r>
            <w:r w:rsidRPr="00EC2A1C">
              <w:rPr>
                <w:u w:val="single"/>
                <w:lang w:eastAsia="en-GB"/>
              </w:rPr>
              <w:br/>
              <w:t>Politický cíl:</w:t>
            </w:r>
            <w:r w:rsidRPr="00EC2A1C">
              <w:rPr>
                <w:lang w:eastAsia="en-GB"/>
              </w:rPr>
              <w:br/>
            </w:r>
            <w:r w:rsidRPr="00EC2A1C">
              <w:rPr>
                <w:b/>
                <w:lang w:eastAsia="en-GB"/>
              </w:rPr>
              <w:t>b) zelenější, nízkouhlíková Evropa díky podpoře přechodu na čistou a spravedlivou energii, zelených a modrých investic, oběhového hospodářství, přizpůsobení se změnám klimatu a prevence a řízení rizik</w:t>
            </w:r>
          </w:p>
          <w:p w14:paraId="533B1447" w14:textId="77777777" w:rsidR="00DD3EFA" w:rsidRPr="00EC2A1C" w:rsidRDefault="00DD3EFA" w:rsidP="00B15ECB">
            <w:pPr>
              <w:spacing w:before="60" w:after="60"/>
              <w:rPr>
                <w:lang w:eastAsia="en-GB"/>
              </w:rPr>
            </w:pPr>
          </w:p>
          <w:p w14:paraId="1C85C049" w14:textId="77777777" w:rsidR="00DD3EFA" w:rsidRPr="00EC2A1C" w:rsidRDefault="00DD3EFA" w:rsidP="00B15ECB">
            <w:pPr>
              <w:spacing w:before="60" w:after="60"/>
              <w:rPr>
                <w:color w:val="000000" w:themeColor="text1"/>
                <w:lang w:eastAsia="en-GB"/>
              </w:rPr>
            </w:pPr>
            <w:r w:rsidRPr="00EC2A1C">
              <w:rPr>
                <w:u w:val="single"/>
                <w:lang w:eastAsia="en-GB"/>
              </w:rPr>
              <w:t>Článek 2 Nařízení EFRR a FS:</w:t>
            </w:r>
            <w:r w:rsidRPr="00EC2A1C">
              <w:rPr>
                <w:lang w:eastAsia="en-GB"/>
              </w:rPr>
              <w:br/>
              <w:t xml:space="preserve">EFRR podporuje specifický cíl „zelenější, nízkouhlíková Evropa díky podpoře přechodu na čistou a spravedlivou energii, zelených a modrých investic, oběhového hospodářství, přizpůsobení se změnám </w:t>
            </w:r>
            <w:r w:rsidRPr="00EC2A1C">
              <w:rPr>
                <w:color w:val="000000" w:themeColor="text1"/>
                <w:lang w:eastAsia="en-GB"/>
              </w:rPr>
              <w:t>klimatu a prevence a řízení rizik“ (dále jen CP 2“) prostřednictvím:</w:t>
            </w:r>
          </w:p>
          <w:p w14:paraId="522E77DA" w14:textId="77777777" w:rsidR="00DD3EFA" w:rsidRPr="00EC2A1C" w:rsidRDefault="00DD3EFA" w:rsidP="00391907">
            <w:pPr>
              <w:pStyle w:val="Odstavecseseznamem"/>
              <w:numPr>
                <w:ilvl w:val="0"/>
                <w:numId w:val="96"/>
              </w:numPr>
              <w:spacing w:before="60" w:after="60"/>
              <w:rPr>
                <w:b/>
                <w:color w:val="777777"/>
              </w:rPr>
            </w:pPr>
            <w:r w:rsidRPr="00EC2A1C">
              <w:rPr>
                <w:b/>
                <w:color w:val="000000" w:themeColor="text1"/>
                <w:lang w:eastAsia="en-GB"/>
              </w:rPr>
              <w:t xml:space="preserve">podpora energie z OZE </w:t>
            </w:r>
          </w:p>
          <w:p w14:paraId="5BB8BD09" w14:textId="77777777" w:rsidR="00DD3EFA" w:rsidRPr="00EC2A1C" w:rsidRDefault="00DD3EFA" w:rsidP="00B15ECB">
            <w:pPr>
              <w:spacing w:before="60" w:after="60"/>
              <w:rPr>
                <w:color w:val="777777"/>
              </w:rPr>
            </w:pPr>
            <w:r w:rsidRPr="00EC2A1C">
              <w:rPr>
                <w:color w:val="000000" w:themeColor="text1"/>
              </w:rPr>
              <w:t>Podle přílohy k ON se obnovitelných zdrojů energie přímo týkají tyto oblasti intervence (kod): 028-032.)</w:t>
            </w:r>
          </w:p>
        </w:tc>
        <w:tc>
          <w:tcPr>
            <w:tcW w:w="249" w:type="dxa"/>
            <w:tcBorders>
              <w:top w:val="nil"/>
              <w:bottom w:val="nil"/>
            </w:tcBorders>
            <w:shd w:val="clear" w:color="auto" w:fill="66CCFF"/>
          </w:tcPr>
          <w:p w14:paraId="5938F01D" w14:textId="77777777" w:rsidR="00DD3EFA" w:rsidRPr="00EC2A1C" w:rsidRDefault="00DD3EFA" w:rsidP="00B15ECB">
            <w:pPr>
              <w:rPr>
                <w:b/>
              </w:rPr>
            </w:pPr>
          </w:p>
        </w:tc>
      </w:tr>
      <w:tr w:rsidR="00DD3EFA" w:rsidRPr="00EC2A1C" w14:paraId="1E67B04C" w14:textId="77777777" w:rsidTr="005C7F05">
        <w:trPr>
          <w:trHeight w:val="1202"/>
        </w:trPr>
        <w:tc>
          <w:tcPr>
            <w:tcW w:w="249" w:type="dxa"/>
            <w:tcBorders>
              <w:top w:val="nil"/>
              <w:bottom w:val="nil"/>
            </w:tcBorders>
            <w:shd w:val="clear" w:color="auto" w:fill="66CCFF"/>
          </w:tcPr>
          <w:p w14:paraId="264E7BA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2BEB0E4A"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6478" w:type="dxa"/>
            <w:tcBorders>
              <w:bottom w:val="single" w:sz="4" w:space="0" w:color="auto"/>
            </w:tcBorders>
            <w:shd w:val="clear" w:color="auto" w:fill="FFFFFF" w:themeFill="background1"/>
          </w:tcPr>
          <w:p w14:paraId="738FE514" w14:textId="77777777" w:rsidR="00DD3EFA" w:rsidRPr="00EC2A1C" w:rsidRDefault="00DD3EFA" w:rsidP="00B15ECB">
            <w:pPr>
              <w:rPr>
                <w:highlight w:val="yellow"/>
              </w:rPr>
            </w:pPr>
            <w:r w:rsidRPr="00EC2A1C">
              <w:rPr>
                <w:rFonts w:eastAsiaTheme="majorEastAsia"/>
              </w:rPr>
              <w:t>Aktuální znění SDR pro rok 2018 neobsahuje žádná doporučení relevantní pro tuto oblast.</w:t>
            </w:r>
          </w:p>
        </w:tc>
        <w:tc>
          <w:tcPr>
            <w:tcW w:w="249" w:type="dxa"/>
            <w:tcBorders>
              <w:top w:val="nil"/>
              <w:bottom w:val="nil"/>
            </w:tcBorders>
            <w:shd w:val="clear" w:color="auto" w:fill="66CCFF"/>
          </w:tcPr>
          <w:p w14:paraId="725412F2" w14:textId="77777777" w:rsidR="00DD3EFA" w:rsidRPr="00EC2A1C" w:rsidRDefault="00DD3EFA" w:rsidP="00B15ECB">
            <w:pPr>
              <w:rPr>
                <w:b/>
              </w:rPr>
            </w:pPr>
          </w:p>
        </w:tc>
      </w:tr>
      <w:tr w:rsidR="00DD3EFA" w:rsidRPr="00EC2A1C" w14:paraId="6CDCA162" w14:textId="77777777" w:rsidTr="005C7F05">
        <w:trPr>
          <w:trHeight w:val="180"/>
        </w:trPr>
        <w:tc>
          <w:tcPr>
            <w:tcW w:w="249" w:type="dxa"/>
            <w:tcBorders>
              <w:top w:val="nil"/>
              <w:bottom w:val="nil"/>
              <w:right w:val="nil"/>
            </w:tcBorders>
            <w:shd w:val="clear" w:color="auto" w:fill="66CCFF"/>
          </w:tcPr>
          <w:p w14:paraId="0AE31A1F" w14:textId="77777777" w:rsidR="00DD3EFA" w:rsidRPr="00EC2A1C" w:rsidRDefault="00DD3EFA" w:rsidP="00B15ECB">
            <w:pPr>
              <w:rPr>
                <w:b/>
              </w:rPr>
            </w:pPr>
          </w:p>
        </w:tc>
        <w:tc>
          <w:tcPr>
            <w:tcW w:w="2558" w:type="dxa"/>
            <w:tcBorders>
              <w:left w:val="nil"/>
              <w:right w:val="nil"/>
            </w:tcBorders>
            <w:shd w:val="clear" w:color="auto" w:fill="66CCFF"/>
          </w:tcPr>
          <w:p w14:paraId="456DC7D1" w14:textId="77777777" w:rsidR="00DD3EFA" w:rsidRPr="00EC2A1C" w:rsidRDefault="00DD3EFA" w:rsidP="00B15ECB">
            <w:pPr>
              <w:rPr>
                <w:b/>
              </w:rPr>
            </w:pPr>
          </w:p>
        </w:tc>
        <w:tc>
          <w:tcPr>
            <w:tcW w:w="6478" w:type="dxa"/>
            <w:tcBorders>
              <w:left w:val="nil"/>
              <w:right w:val="nil"/>
            </w:tcBorders>
            <w:shd w:val="clear" w:color="auto" w:fill="66CCFF"/>
          </w:tcPr>
          <w:p w14:paraId="1F976B61" w14:textId="77777777" w:rsidR="00DD3EFA" w:rsidRPr="00EC2A1C" w:rsidRDefault="00DD3EFA" w:rsidP="00B15ECB">
            <w:pPr>
              <w:rPr>
                <w:b/>
              </w:rPr>
            </w:pPr>
          </w:p>
        </w:tc>
        <w:tc>
          <w:tcPr>
            <w:tcW w:w="249" w:type="dxa"/>
            <w:tcBorders>
              <w:top w:val="nil"/>
              <w:left w:val="nil"/>
              <w:bottom w:val="nil"/>
            </w:tcBorders>
            <w:shd w:val="clear" w:color="auto" w:fill="66CCFF"/>
          </w:tcPr>
          <w:p w14:paraId="0EFF2289" w14:textId="77777777" w:rsidR="00DD3EFA" w:rsidRPr="00EC2A1C" w:rsidRDefault="00DD3EFA" w:rsidP="00B15ECB">
            <w:pPr>
              <w:rPr>
                <w:b/>
              </w:rPr>
            </w:pPr>
          </w:p>
        </w:tc>
      </w:tr>
      <w:tr w:rsidR="00DD3EFA" w:rsidRPr="00EC2A1C" w14:paraId="51A48449" w14:textId="77777777" w:rsidTr="005C7F05">
        <w:trPr>
          <w:trHeight w:val="938"/>
        </w:trPr>
        <w:tc>
          <w:tcPr>
            <w:tcW w:w="249" w:type="dxa"/>
            <w:tcBorders>
              <w:top w:val="nil"/>
              <w:bottom w:val="nil"/>
            </w:tcBorders>
            <w:shd w:val="clear" w:color="auto" w:fill="66CCFF"/>
          </w:tcPr>
          <w:p w14:paraId="67280E9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06C540A1"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584D1EAD" w14:textId="77777777" w:rsidR="00DD3EFA" w:rsidRPr="00EC2A1C" w:rsidRDefault="00DD3EFA" w:rsidP="00B15ECB">
            <w:pPr>
              <w:pStyle w:val="Odstavecseseznamem"/>
              <w:spacing w:before="60" w:after="60"/>
              <w:ind w:left="360"/>
              <w:rPr>
                <w:rFonts w:eastAsiaTheme="majorEastAsia"/>
                <w:b/>
              </w:rPr>
            </w:pPr>
          </w:p>
        </w:tc>
        <w:tc>
          <w:tcPr>
            <w:tcW w:w="6478" w:type="dxa"/>
            <w:tcBorders>
              <w:bottom w:val="single" w:sz="4" w:space="0" w:color="auto"/>
            </w:tcBorders>
            <w:shd w:val="clear" w:color="auto" w:fill="FFFFFF" w:themeFill="background1"/>
          </w:tcPr>
          <w:p w14:paraId="219EC9E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u w:val="single"/>
              </w:rPr>
            </w:pPr>
            <w:r w:rsidRPr="00EC2A1C">
              <w:rPr>
                <w:rFonts w:ascii="Times New Roman" w:hAnsi="Times New Roman"/>
                <w:u w:val="single"/>
              </w:rPr>
              <w:t>Strategické dokumenty:</w:t>
            </w:r>
          </w:p>
          <w:p w14:paraId="63B4BB2C" w14:textId="77777777" w:rsidR="00DD3EFA" w:rsidRPr="00EC2A1C" w:rsidRDefault="00DD3EFA" w:rsidP="00B15ECB">
            <w:pPr>
              <w:rPr>
                <w:rFonts w:eastAsia="Calibri"/>
              </w:rPr>
            </w:pPr>
            <w:r w:rsidRPr="00EC2A1C">
              <w:rPr>
                <w:rFonts w:eastAsia="Calibri"/>
              </w:rPr>
              <w:t>Státní energetická koncepce České republiky (2015)</w:t>
            </w:r>
          </w:p>
          <w:p w14:paraId="277D646C" w14:textId="77777777" w:rsidR="00DD3EFA" w:rsidRPr="00EC2A1C" w:rsidRDefault="00DD3EFA" w:rsidP="00B15ECB">
            <w:pPr>
              <w:rPr>
                <w:rFonts w:eastAsia="Calibri"/>
              </w:rPr>
            </w:pPr>
            <w:r w:rsidRPr="00EC2A1C">
              <w:rPr>
                <w:rFonts w:eastAsia="Calibri"/>
              </w:rPr>
              <w:t>Národní akční plán ČR pro energii z obnovitelných zdrojů 2010-2020</w:t>
            </w:r>
          </w:p>
          <w:p w14:paraId="10824A1F" w14:textId="77777777" w:rsidR="00DD3EFA" w:rsidRPr="00EC2A1C" w:rsidRDefault="00DD3EFA" w:rsidP="00B15ECB">
            <w:r w:rsidRPr="00EC2A1C">
              <w:t>Akční plán pro biomasu</w:t>
            </w:r>
          </w:p>
          <w:p w14:paraId="7162344A" w14:textId="77777777" w:rsidR="00DD3EFA" w:rsidRPr="00EC2A1C" w:rsidRDefault="00DD3EFA" w:rsidP="00B15ECB">
            <w:pPr>
              <w:rPr>
                <w:rFonts w:eastAsia="Calibri"/>
              </w:rPr>
            </w:pPr>
            <w:r w:rsidRPr="00EC2A1C">
              <w:rPr>
                <w:rFonts w:eastAsia="Calibri"/>
              </w:rPr>
              <w:t>Politika ochrany klimatu v ČR (2017)</w:t>
            </w:r>
          </w:p>
          <w:p w14:paraId="5F7D0174" w14:textId="77777777" w:rsidR="00DD3EFA" w:rsidRPr="00EC2A1C" w:rsidRDefault="00DD3EFA" w:rsidP="00B15ECB">
            <w:pPr>
              <w:rPr>
                <w:rFonts w:eastAsia="Calibri"/>
              </w:rPr>
            </w:pPr>
            <w:r w:rsidRPr="00EC2A1C">
              <w:rPr>
                <w:rFonts w:eastAsia="Calibri"/>
              </w:rPr>
              <w:t>Strategie přizpůsobení se změně klimatu v podmínkách ČR</w:t>
            </w:r>
          </w:p>
          <w:p w14:paraId="59ADA1AC" w14:textId="77777777" w:rsidR="00DD3EFA" w:rsidRPr="00EC2A1C" w:rsidRDefault="00DD3EFA" w:rsidP="00B15ECB">
            <w:pPr>
              <w:rPr>
                <w:rFonts w:eastAsia="Calibri"/>
              </w:rPr>
            </w:pPr>
            <w:r w:rsidRPr="00EC2A1C">
              <w:rPr>
                <w:rFonts w:eastAsia="Calibri"/>
              </w:rPr>
              <w:t>Národní program snižování emisí ČR</w:t>
            </w:r>
          </w:p>
          <w:p w14:paraId="752017DA" w14:textId="77777777" w:rsidR="00DD3EFA" w:rsidRPr="00EC2A1C" w:rsidRDefault="00DD3EFA" w:rsidP="00B15ECB">
            <w:pPr>
              <w:spacing w:after="240"/>
              <w:rPr>
                <w:rFonts w:eastAsia="Calibri"/>
              </w:rPr>
            </w:pPr>
            <w:r w:rsidRPr="00EC2A1C">
              <w:rPr>
                <w:rFonts w:eastAsia="Calibri"/>
              </w:rPr>
              <w:t>Státní politika životního prostředí ČR</w:t>
            </w:r>
          </w:p>
          <w:p w14:paraId="6B3FF44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Cs/>
              </w:rPr>
            </w:pPr>
            <w:r w:rsidRPr="00EC2A1C">
              <w:rPr>
                <w:rFonts w:ascii="Times New Roman" w:hAnsi="Times New Roman"/>
                <w:iCs/>
              </w:rPr>
              <w:t>Důležitým strategickým dokumentem je Vnitrostátní plán v oblasti energetiky a klimatu, který mají členské státy povinnost připravit na základě nařízení o správě energetické unie a opatření v oblasti klimatu. Finální verze tohoto dokumentu musí být předána zástupcům Evropské komise do konce roku 2019. Dne 28. 1. 2018 vzala vláda ČR na vědomí návrh tohoto dokumentu. Vnitrostátní plán postihuje období 2021-2030 s výhledem do roku 2050. Tento dokument lze do určité míry označit za „dominantní“ strategii vzhledem k cílům v oblasti energetiky a klimatu vůči EU, to však ještě neznamená, že dojde k nahrazení dílčích národních strategií tímto dokumentem.</w:t>
            </w:r>
          </w:p>
          <w:p w14:paraId="0F8AA81A"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rPr>
              <w:t>Implementace Agendy 2030 pro udržitelný rozvoj v ČR: "SDG 7 Zajistit přístup k cenově dostupným, spolehlivým, udržitelným a moderním zdrojům energie pro všechny".</w:t>
            </w:r>
          </w:p>
        </w:tc>
        <w:tc>
          <w:tcPr>
            <w:tcW w:w="249" w:type="dxa"/>
            <w:tcBorders>
              <w:top w:val="nil"/>
              <w:bottom w:val="nil"/>
            </w:tcBorders>
            <w:shd w:val="clear" w:color="auto" w:fill="66CCFF"/>
          </w:tcPr>
          <w:p w14:paraId="555FA75D" w14:textId="77777777" w:rsidR="00DD3EFA" w:rsidRPr="00EC2A1C" w:rsidRDefault="00DD3EFA" w:rsidP="00B15ECB">
            <w:pPr>
              <w:rPr>
                <w:b/>
              </w:rPr>
            </w:pPr>
          </w:p>
        </w:tc>
      </w:tr>
      <w:tr w:rsidR="00DD3EFA" w:rsidRPr="00EC2A1C" w14:paraId="04374B77" w14:textId="77777777" w:rsidTr="005C7F05">
        <w:trPr>
          <w:trHeight w:val="938"/>
        </w:trPr>
        <w:tc>
          <w:tcPr>
            <w:tcW w:w="249" w:type="dxa"/>
            <w:tcBorders>
              <w:top w:val="nil"/>
              <w:bottom w:val="nil"/>
            </w:tcBorders>
            <w:shd w:val="clear" w:color="auto" w:fill="66CCFF"/>
          </w:tcPr>
          <w:p w14:paraId="2F73B4C5"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04EAB1A7"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3AADFD1B" w14:textId="77777777" w:rsidR="00DD3EFA" w:rsidRPr="00EC2A1C" w:rsidRDefault="00DD3EFA" w:rsidP="00B15ECB">
            <w:pPr>
              <w:spacing w:before="60" w:after="60"/>
              <w:rPr>
                <w:rFonts w:eastAsiaTheme="majorEastAsia"/>
                <w:b/>
              </w:rPr>
            </w:pPr>
          </w:p>
        </w:tc>
        <w:tc>
          <w:tcPr>
            <w:tcW w:w="6478" w:type="dxa"/>
            <w:tcBorders>
              <w:bottom w:val="single" w:sz="4" w:space="0" w:color="auto"/>
            </w:tcBorders>
            <w:shd w:val="clear" w:color="auto" w:fill="FFFFFF" w:themeFill="background1"/>
          </w:tcPr>
          <w:p w14:paraId="3FD3B97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Nízkouhlíkové technologie nejsou zatím konkurenceschopné v porovnání s konvenčními zdroji. Zároveň však dochází k stále většímu důrazu na ochranu klimatu v rámci energetické politiky, což dokládá i zvýšení cílů pro rok 2030 (v porovnání s rokem 2020). Dlouhodobou strategií EU, která však zatím není legislativně zakotvena, je dosažení snížení emisí v roce 2050 na úrovni 80-95 % a hovoří se také již i o dosažení emisní neutrality. Tyto dlouhodobé cíle, pokud budou dále zakotveny v evropské legislativě, znamenají nutnost významné transformace celého energetického sektoru, respektive celé ekonomiky.</w:t>
            </w:r>
          </w:p>
          <w:p w14:paraId="387E0C9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Specificky s ohledem na ohledem na obnovitelné zdroje energie Česká republika již splnila svůj cíl pro podíl obnovitelných zdrojů energie pro rok 2020 na úrovni 13 %. V posledních letech však dochází k relativní stagnaci podílu OZE, a to i v souvislosti s relativním útlumem veřejné podpory. I přes relativně významné snižování nákladů některých obnovitelných zdrojů energie stagnace podílu zatím neindikuje dosažení konkurenceschopnosti s ostatními zdroji energie. V rámci společné evropské politiky pak dochází k dalšímu zvyšování ambicí v této oblasti. Původně navržený cíl do roku 2030 na úrovni 27 % byl v průběhu vyjednávání příslušné evropské legislativy zvýšen na 32 %. ČR musí zajistit dostatečný příspěvek k závaznému cíli na úrovni EU.</w:t>
            </w:r>
          </w:p>
        </w:tc>
        <w:tc>
          <w:tcPr>
            <w:tcW w:w="249" w:type="dxa"/>
            <w:tcBorders>
              <w:top w:val="nil"/>
              <w:bottom w:val="nil"/>
            </w:tcBorders>
            <w:shd w:val="clear" w:color="auto" w:fill="66CCFF"/>
          </w:tcPr>
          <w:p w14:paraId="56B54C27" w14:textId="77777777" w:rsidR="00DD3EFA" w:rsidRPr="00EC2A1C" w:rsidRDefault="00DD3EFA" w:rsidP="00B15ECB">
            <w:pPr>
              <w:rPr>
                <w:b/>
              </w:rPr>
            </w:pPr>
          </w:p>
        </w:tc>
      </w:tr>
      <w:tr w:rsidR="00DD3EFA" w:rsidRPr="00EC2A1C" w14:paraId="4AE3C130" w14:textId="77777777" w:rsidTr="005C7F05">
        <w:trPr>
          <w:trHeight w:val="938"/>
        </w:trPr>
        <w:tc>
          <w:tcPr>
            <w:tcW w:w="249" w:type="dxa"/>
            <w:tcBorders>
              <w:top w:val="nil"/>
              <w:bottom w:val="nil"/>
            </w:tcBorders>
            <w:shd w:val="clear" w:color="auto" w:fill="66CCFF"/>
          </w:tcPr>
          <w:p w14:paraId="5856B8C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11FC362A"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13B6AAC0" w14:textId="77777777" w:rsidR="00DD3EFA" w:rsidRPr="00EC2A1C" w:rsidRDefault="00DD3EFA" w:rsidP="00B15ECB">
            <w:pPr>
              <w:spacing w:before="60" w:after="60"/>
              <w:rPr>
                <w:rFonts w:eastAsiaTheme="majorEastAsia"/>
                <w:b/>
              </w:rPr>
            </w:pPr>
          </w:p>
        </w:tc>
        <w:tc>
          <w:tcPr>
            <w:tcW w:w="6478" w:type="dxa"/>
            <w:tcBorders>
              <w:bottom w:val="single" w:sz="4" w:space="0" w:color="auto"/>
            </w:tcBorders>
            <w:shd w:val="clear" w:color="auto" w:fill="FFFFFF" w:themeFill="background1"/>
          </w:tcPr>
          <w:p w14:paraId="61C131C8"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Cílem je příspěvek ČR ke klimaticko-energetickým cílům EU na úrovni 40 % snížení emisí skleníkových plynů do roku 2030 oproti roku 1990 (dále se jedná o cíle v sektoru mimo EU ETS), respektive příspěvek k cíli podílu OZE na hrubé konečné spotřebě na úrovni 32 %, kdy národní příspěvek je uveden v Návrhu vnitrostátního plánu v oblasti energetiky a klimatu a bude stanoven v rámci finální verze tohoto dokumentu. Dále se jedná o cíle zvýšení meziročního podílu OZE v sektoru vytápění a chlazení a dosažení podílu OZE v dopravě na úrovni 14 % včetně dosažení 3,5 % podílu tzv. pokročilých biopaliv, které vyplývají ze směrnice o podpoře využívání energie z obnovitelných zdrojů.</w:t>
            </w:r>
          </w:p>
        </w:tc>
        <w:tc>
          <w:tcPr>
            <w:tcW w:w="249" w:type="dxa"/>
            <w:tcBorders>
              <w:top w:val="nil"/>
              <w:bottom w:val="nil"/>
            </w:tcBorders>
            <w:shd w:val="clear" w:color="auto" w:fill="66CCFF"/>
          </w:tcPr>
          <w:p w14:paraId="4B9FC209" w14:textId="77777777" w:rsidR="00DD3EFA" w:rsidRPr="00EC2A1C" w:rsidRDefault="00DD3EFA" w:rsidP="00B15ECB">
            <w:pPr>
              <w:rPr>
                <w:b/>
              </w:rPr>
            </w:pPr>
          </w:p>
        </w:tc>
      </w:tr>
      <w:tr w:rsidR="00DD3EFA" w:rsidRPr="00EC2A1C" w14:paraId="11FAD961" w14:textId="77777777" w:rsidTr="005C7F05">
        <w:trPr>
          <w:trHeight w:val="938"/>
        </w:trPr>
        <w:tc>
          <w:tcPr>
            <w:tcW w:w="249" w:type="dxa"/>
            <w:tcBorders>
              <w:top w:val="nil"/>
              <w:bottom w:val="nil"/>
            </w:tcBorders>
            <w:shd w:val="clear" w:color="auto" w:fill="66CCFF"/>
          </w:tcPr>
          <w:p w14:paraId="1E773A30"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5EFFFE8E"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1DD5737E" w14:textId="77777777" w:rsidR="00DD3EFA" w:rsidRPr="00EC2A1C" w:rsidRDefault="00DD3EFA" w:rsidP="00B15ECB">
            <w:pPr>
              <w:spacing w:before="60" w:after="60"/>
              <w:rPr>
                <w:rFonts w:eastAsiaTheme="majorEastAsia"/>
                <w:b/>
              </w:rPr>
            </w:pPr>
          </w:p>
        </w:tc>
        <w:tc>
          <w:tcPr>
            <w:tcW w:w="6478" w:type="dxa"/>
            <w:tcBorders>
              <w:bottom w:val="single" w:sz="4" w:space="0" w:color="auto"/>
            </w:tcBorders>
            <w:shd w:val="clear" w:color="auto" w:fill="FFFFFF" w:themeFill="background1"/>
          </w:tcPr>
          <w:p w14:paraId="20BC5D73"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Cíle a závazky ČR jsou obsaženy ve strategických dokumentech uvedených výše. Vnitrostátní plán ČR v oblasti energetiky a klimatu respektive jeho návrh obsahuje zároveň i opatření k dosažení těchto cílů. Důležitými mantinely dalšího rozvoje up provozní podpory jsou ustanovení v zákoně č. 165/2012 Sb. o podporovaných zdrojích energie a o změně některých zákonů.</w:t>
            </w:r>
          </w:p>
        </w:tc>
        <w:tc>
          <w:tcPr>
            <w:tcW w:w="249" w:type="dxa"/>
            <w:tcBorders>
              <w:top w:val="nil"/>
              <w:bottom w:val="nil"/>
            </w:tcBorders>
            <w:shd w:val="clear" w:color="auto" w:fill="66CCFF"/>
          </w:tcPr>
          <w:p w14:paraId="7559D2DA" w14:textId="77777777" w:rsidR="00DD3EFA" w:rsidRPr="00EC2A1C" w:rsidRDefault="00DD3EFA" w:rsidP="00B15ECB">
            <w:pPr>
              <w:rPr>
                <w:b/>
              </w:rPr>
            </w:pPr>
          </w:p>
        </w:tc>
      </w:tr>
      <w:tr w:rsidR="00DD3EFA" w:rsidRPr="00EC2A1C" w14:paraId="417724CB" w14:textId="77777777" w:rsidTr="005C7F05">
        <w:trPr>
          <w:trHeight w:val="938"/>
        </w:trPr>
        <w:tc>
          <w:tcPr>
            <w:tcW w:w="249" w:type="dxa"/>
            <w:tcBorders>
              <w:top w:val="nil"/>
              <w:bottom w:val="nil"/>
            </w:tcBorders>
            <w:shd w:val="clear" w:color="auto" w:fill="66CCFF"/>
          </w:tcPr>
          <w:p w14:paraId="5F720C2B"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3549B4B9"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6478" w:type="dxa"/>
            <w:tcBorders>
              <w:bottom w:val="single" w:sz="4" w:space="0" w:color="auto"/>
            </w:tcBorders>
            <w:shd w:val="clear" w:color="auto" w:fill="FFFFFF" w:themeFill="background1"/>
          </w:tcPr>
          <w:p w14:paraId="67A6F4A5"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Nařízení o správě energetické unie a opatření v oblasti klimatu definuje celkový proces správy, včetně plánovacích dokumentů a monitorovacích zpráv, které postihují všech pět dimenzí energetické unie. Periodicita předkládání zpráv a jejich náležitosti jsou určeny nařízením.</w:t>
            </w:r>
          </w:p>
        </w:tc>
        <w:tc>
          <w:tcPr>
            <w:tcW w:w="249" w:type="dxa"/>
            <w:tcBorders>
              <w:top w:val="nil"/>
              <w:bottom w:val="nil"/>
            </w:tcBorders>
            <w:shd w:val="clear" w:color="auto" w:fill="66CCFF"/>
          </w:tcPr>
          <w:p w14:paraId="0B045D2C" w14:textId="77777777" w:rsidR="00DD3EFA" w:rsidRPr="00EC2A1C" w:rsidRDefault="00DD3EFA" w:rsidP="00B15ECB">
            <w:pPr>
              <w:rPr>
                <w:b/>
              </w:rPr>
            </w:pPr>
          </w:p>
        </w:tc>
      </w:tr>
      <w:tr w:rsidR="00DD3EFA" w:rsidRPr="00EC2A1C" w14:paraId="70E987D9" w14:textId="77777777" w:rsidTr="005C7F05">
        <w:trPr>
          <w:trHeight w:val="130"/>
        </w:trPr>
        <w:tc>
          <w:tcPr>
            <w:tcW w:w="249" w:type="dxa"/>
            <w:tcBorders>
              <w:top w:val="nil"/>
              <w:bottom w:val="nil"/>
              <w:right w:val="nil"/>
            </w:tcBorders>
            <w:shd w:val="clear" w:color="auto" w:fill="66CCFF"/>
          </w:tcPr>
          <w:p w14:paraId="12CB6859" w14:textId="77777777" w:rsidR="00DD3EFA" w:rsidRPr="00EC2A1C" w:rsidRDefault="00DD3EFA" w:rsidP="00B15ECB">
            <w:pPr>
              <w:rPr>
                <w:b/>
              </w:rPr>
            </w:pPr>
          </w:p>
        </w:tc>
        <w:tc>
          <w:tcPr>
            <w:tcW w:w="2558" w:type="dxa"/>
            <w:tcBorders>
              <w:left w:val="nil"/>
              <w:right w:val="nil"/>
            </w:tcBorders>
            <w:shd w:val="clear" w:color="auto" w:fill="66CCFF"/>
          </w:tcPr>
          <w:p w14:paraId="206EE7B0" w14:textId="77777777" w:rsidR="00DD3EFA" w:rsidRPr="00EC2A1C" w:rsidRDefault="00DD3EFA" w:rsidP="00B15ECB">
            <w:pPr>
              <w:rPr>
                <w:b/>
              </w:rPr>
            </w:pPr>
          </w:p>
        </w:tc>
        <w:tc>
          <w:tcPr>
            <w:tcW w:w="6478" w:type="dxa"/>
            <w:tcBorders>
              <w:left w:val="nil"/>
              <w:right w:val="nil"/>
            </w:tcBorders>
            <w:shd w:val="clear" w:color="auto" w:fill="66CCFF"/>
          </w:tcPr>
          <w:p w14:paraId="59BB1E1B"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7A7EE379" w14:textId="77777777" w:rsidR="00DD3EFA" w:rsidRPr="00EC2A1C" w:rsidRDefault="00DD3EFA" w:rsidP="00B15ECB">
            <w:pPr>
              <w:rPr>
                <w:b/>
              </w:rPr>
            </w:pPr>
          </w:p>
        </w:tc>
      </w:tr>
      <w:tr w:rsidR="00DD3EFA" w:rsidRPr="00EC2A1C" w14:paraId="3448C0F1" w14:textId="77777777" w:rsidTr="005C7F05">
        <w:trPr>
          <w:trHeight w:val="1258"/>
        </w:trPr>
        <w:tc>
          <w:tcPr>
            <w:tcW w:w="249" w:type="dxa"/>
            <w:tcBorders>
              <w:top w:val="nil"/>
              <w:bottom w:val="nil"/>
              <w:right w:val="nil"/>
            </w:tcBorders>
            <w:shd w:val="clear" w:color="auto" w:fill="66CCFF"/>
          </w:tcPr>
          <w:p w14:paraId="4A0D8971" w14:textId="77777777" w:rsidR="00DD3EFA" w:rsidRPr="00EC2A1C" w:rsidRDefault="00DD3EFA" w:rsidP="00B15ECB">
            <w:pPr>
              <w:rPr>
                <w:b/>
              </w:rPr>
            </w:pPr>
          </w:p>
        </w:tc>
        <w:tc>
          <w:tcPr>
            <w:tcW w:w="9036" w:type="dxa"/>
            <w:gridSpan w:val="2"/>
            <w:shd w:val="clear" w:color="auto" w:fill="FFFFFF" w:themeFill="background1"/>
          </w:tcPr>
          <w:p w14:paraId="045E8667"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3956C26F" w14:textId="77777777" w:rsidR="00DD3EFA" w:rsidRPr="00EC2A1C" w:rsidRDefault="00DD3EFA" w:rsidP="00B15ECB">
            <w:pPr>
              <w:rPr>
                <w:rFonts w:eastAsiaTheme="majorEastAsia"/>
                <w:b/>
              </w:rPr>
            </w:pPr>
          </w:p>
          <w:p w14:paraId="506DEBD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tcBorders>
              <w:top w:val="nil"/>
              <w:left w:val="nil"/>
              <w:bottom w:val="nil"/>
            </w:tcBorders>
            <w:shd w:val="clear" w:color="auto" w:fill="66CCFF"/>
          </w:tcPr>
          <w:p w14:paraId="23FCCCC7" w14:textId="77777777" w:rsidR="00DD3EFA" w:rsidRPr="00EC2A1C" w:rsidRDefault="00DD3EFA" w:rsidP="00B15ECB">
            <w:pPr>
              <w:rPr>
                <w:b/>
              </w:rPr>
            </w:pPr>
          </w:p>
        </w:tc>
      </w:tr>
      <w:tr w:rsidR="00DD3EFA" w:rsidRPr="00EC2A1C" w14:paraId="3F058FB7" w14:textId="77777777" w:rsidTr="005C7F05">
        <w:trPr>
          <w:trHeight w:val="1258"/>
        </w:trPr>
        <w:tc>
          <w:tcPr>
            <w:tcW w:w="249" w:type="dxa"/>
            <w:tcBorders>
              <w:top w:val="nil"/>
              <w:bottom w:val="nil"/>
              <w:right w:val="nil"/>
            </w:tcBorders>
            <w:shd w:val="clear" w:color="auto" w:fill="66CCFF"/>
          </w:tcPr>
          <w:p w14:paraId="661E9E70" w14:textId="77777777" w:rsidR="00DD3EFA" w:rsidRPr="00EC2A1C" w:rsidRDefault="00DD3EFA" w:rsidP="00B15ECB">
            <w:pPr>
              <w:rPr>
                <w:b/>
              </w:rPr>
            </w:pPr>
          </w:p>
        </w:tc>
        <w:tc>
          <w:tcPr>
            <w:tcW w:w="2558" w:type="dxa"/>
            <w:shd w:val="clear" w:color="auto" w:fill="FFFFFF" w:themeFill="background1"/>
          </w:tcPr>
          <w:p w14:paraId="3FB11411" w14:textId="77777777" w:rsidR="00DD3EFA" w:rsidRPr="00EC2A1C" w:rsidRDefault="00DD3EFA" w:rsidP="00B15ECB">
            <w:pPr>
              <w:rPr>
                <w:rFonts w:eastAsiaTheme="majorEastAsia"/>
                <w:b/>
              </w:rPr>
            </w:pPr>
            <w:r w:rsidRPr="00EC2A1C">
              <w:rPr>
                <w:rFonts w:eastAsiaTheme="majorEastAsia"/>
                <w:b/>
              </w:rPr>
              <w:t>Věcný posun oblasti</w:t>
            </w:r>
          </w:p>
          <w:p w14:paraId="075BA0CD"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6478" w:type="dxa"/>
            <w:shd w:val="clear" w:color="auto" w:fill="FFFFFF" w:themeFill="background1"/>
          </w:tcPr>
          <w:p w14:paraId="61349D08" w14:textId="77777777" w:rsidR="00DD3EFA" w:rsidRPr="00EC2A1C" w:rsidRDefault="00DD3EFA" w:rsidP="00B15ECB">
            <w:pPr>
              <w:spacing w:before="60"/>
              <w:rPr>
                <w:rFonts w:eastAsiaTheme="majorEastAsia"/>
              </w:rPr>
            </w:pPr>
            <w:r w:rsidRPr="00EC2A1C">
              <w:rPr>
                <w:rFonts w:eastAsiaTheme="majorEastAsia"/>
              </w:rPr>
              <w:t>V období 2007–2013 nebyly předmětem podpory jako samostatná aktivita, ale byly součástí programu podpory Ekoenergie v Operačním cíli „Snižovat energetickou náročnost českého průmyslu a procesů spojených s výrobou přeměnou a užitím energie“ OPPI. Ten byl předmětem Ex-post evaluace OPPI jako celek: „Snižování energetické náročnosti českého průmyslu bylo dosaženo prostřednictvím širokého spektra aktivit. Došlo k realizaci plánovaného počtu projektů, které přinesly navýšení podílu energie vyrobené z obnovitelných zdrojů. Co se týče snižování energetické náročnosti průmyslu, ačkoliv nebylo dosažené míry snížení odhadované v rámci programového dokumentu, je snížení poměrně výrazné. Závěr: Operační cíl byl v rámci realizace programu naplněn.“</w:t>
            </w:r>
          </w:p>
          <w:p w14:paraId="3A791D77" w14:textId="77777777" w:rsidR="00DD3EFA" w:rsidRPr="00EC2A1C" w:rsidRDefault="00DD3EFA" w:rsidP="00B15ECB">
            <w:pPr>
              <w:rPr>
                <w:rFonts w:eastAsiaTheme="majorEastAsia"/>
              </w:rPr>
            </w:pPr>
          </w:p>
          <w:p w14:paraId="536C24BD" w14:textId="77777777" w:rsidR="00DD3EFA" w:rsidRPr="00EC2A1C" w:rsidRDefault="00DD3EFA" w:rsidP="00B15ECB">
            <w:pPr>
              <w:rPr>
                <w:rFonts w:eastAsiaTheme="majorEastAsia"/>
              </w:rPr>
            </w:pPr>
            <w:r w:rsidRPr="00EC2A1C">
              <w:rPr>
                <w:rFonts w:eastAsiaTheme="majorEastAsia"/>
              </w:rPr>
              <w:t>Za období 2014–2020 vyhodnocení probíhá v těchto dnech. Jde o Výsledkovou evaluaci SC 3.1 OP PIK</w:t>
            </w:r>
            <w:r w:rsidRPr="00EC2A1C">
              <w:t>.</w:t>
            </w:r>
            <w:r w:rsidRPr="00EC2A1C">
              <w:rPr>
                <w:rFonts w:eastAsiaTheme="majorEastAsia"/>
              </w:rPr>
              <w:t xml:space="preserve"> Dne 1. 2. 2019 byla předána Vstupní zpráva, Závěrečná zpráva se předpokládá v červnu 2019.</w:t>
            </w:r>
          </w:p>
          <w:p w14:paraId="76CA3D9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left w:val="nil"/>
              <w:bottom w:val="nil"/>
            </w:tcBorders>
            <w:shd w:val="clear" w:color="auto" w:fill="66CCFF"/>
          </w:tcPr>
          <w:p w14:paraId="47A92537" w14:textId="77777777" w:rsidR="00DD3EFA" w:rsidRPr="00EC2A1C" w:rsidRDefault="00DD3EFA" w:rsidP="00B15ECB">
            <w:pPr>
              <w:rPr>
                <w:b/>
              </w:rPr>
            </w:pPr>
          </w:p>
        </w:tc>
      </w:tr>
      <w:tr w:rsidR="00DD3EFA" w:rsidRPr="00EC2A1C" w14:paraId="7B1712F6" w14:textId="77777777" w:rsidTr="005C7F05">
        <w:trPr>
          <w:trHeight w:val="1258"/>
        </w:trPr>
        <w:tc>
          <w:tcPr>
            <w:tcW w:w="249" w:type="dxa"/>
            <w:tcBorders>
              <w:top w:val="nil"/>
              <w:bottom w:val="nil"/>
              <w:right w:val="nil"/>
            </w:tcBorders>
            <w:shd w:val="clear" w:color="auto" w:fill="66CCFF"/>
          </w:tcPr>
          <w:p w14:paraId="53672610" w14:textId="77777777" w:rsidR="00DD3EFA" w:rsidRPr="00EC2A1C" w:rsidRDefault="00DD3EFA" w:rsidP="00B15ECB">
            <w:pPr>
              <w:rPr>
                <w:b/>
              </w:rPr>
            </w:pPr>
          </w:p>
        </w:tc>
        <w:tc>
          <w:tcPr>
            <w:tcW w:w="2558" w:type="dxa"/>
            <w:shd w:val="clear" w:color="auto" w:fill="FFFFFF" w:themeFill="background1"/>
          </w:tcPr>
          <w:p w14:paraId="372C11B3" w14:textId="77777777" w:rsidR="00DD3EFA" w:rsidRPr="00EC2A1C" w:rsidRDefault="00DD3EFA" w:rsidP="00B15ECB">
            <w:pPr>
              <w:rPr>
                <w:rFonts w:eastAsiaTheme="majorEastAsia"/>
                <w:b/>
              </w:rPr>
            </w:pPr>
            <w:r w:rsidRPr="00EC2A1C">
              <w:rPr>
                <w:rFonts w:eastAsiaTheme="majorEastAsia"/>
                <w:b/>
              </w:rPr>
              <w:t>Synergické a multiplikační efekty</w:t>
            </w:r>
          </w:p>
          <w:p w14:paraId="30AFCA5C"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6478" w:type="dxa"/>
            <w:shd w:val="clear" w:color="auto" w:fill="FFFFFF" w:themeFill="background1"/>
          </w:tcPr>
          <w:p w14:paraId="62F2E61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Oblast bioplynových stanic, které spadají pod OZE, byla v období 2014-2020 komplementární mezi OP PIK, OPŽP a PRV.</w:t>
            </w:r>
          </w:p>
        </w:tc>
        <w:tc>
          <w:tcPr>
            <w:tcW w:w="249" w:type="dxa"/>
            <w:tcBorders>
              <w:top w:val="nil"/>
              <w:left w:val="nil"/>
              <w:bottom w:val="nil"/>
            </w:tcBorders>
            <w:shd w:val="clear" w:color="auto" w:fill="66CCFF"/>
          </w:tcPr>
          <w:p w14:paraId="1B71E2D0" w14:textId="77777777" w:rsidR="00DD3EFA" w:rsidRPr="00EC2A1C" w:rsidRDefault="00DD3EFA" w:rsidP="00B15ECB">
            <w:pPr>
              <w:rPr>
                <w:b/>
              </w:rPr>
            </w:pPr>
          </w:p>
        </w:tc>
      </w:tr>
      <w:tr w:rsidR="00DD3EFA" w:rsidRPr="00EC2A1C" w14:paraId="598C08A2" w14:textId="77777777" w:rsidTr="005C7F05">
        <w:trPr>
          <w:trHeight w:val="180"/>
        </w:trPr>
        <w:tc>
          <w:tcPr>
            <w:tcW w:w="249" w:type="dxa"/>
            <w:tcBorders>
              <w:top w:val="nil"/>
              <w:bottom w:val="nil"/>
              <w:right w:val="nil"/>
            </w:tcBorders>
            <w:shd w:val="clear" w:color="auto" w:fill="66CCFF"/>
          </w:tcPr>
          <w:p w14:paraId="3F3F598F" w14:textId="77777777" w:rsidR="00DD3EFA" w:rsidRPr="00EC2A1C" w:rsidRDefault="00DD3EFA" w:rsidP="00B15ECB">
            <w:pPr>
              <w:rPr>
                <w:b/>
              </w:rPr>
            </w:pPr>
          </w:p>
        </w:tc>
        <w:tc>
          <w:tcPr>
            <w:tcW w:w="2558" w:type="dxa"/>
            <w:tcBorders>
              <w:left w:val="nil"/>
              <w:bottom w:val="single" w:sz="4" w:space="0" w:color="auto"/>
              <w:right w:val="nil"/>
            </w:tcBorders>
            <w:shd w:val="clear" w:color="auto" w:fill="66CCFF"/>
          </w:tcPr>
          <w:p w14:paraId="7C5B95E4" w14:textId="77777777" w:rsidR="00DD3EFA" w:rsidRPr="00EC2A1C" w:rsidRDefault="00DD3EFA" w:rsidP="00B15ECB">
            <w:pPr>
              <w:rPr>
                <w:b/>
              </w:rPr>
            </w:pPr>
          </w:p>
        </w:tc>
        <w:tc>
          <w:tcPr>
            <w:tcW w:w="6478" w:type="dxa"/>
            <w:tcBorders>
              <w:left w:val="nil"/>
              <w:bottom w:val="single" w:sz="4" w:space="0" w:color="auto"/>
              <w:right w:val="nil"/>
            </w:tcBorders>
            <w:shd w:val="clear" w:color="auto" w:fill="66CCFF"/>
          </w:tcPr>
          <w:p w14:paraId="60924EF3" w14:textId="77777777" w:rsidR="00DD3EFA" w:rsidRPr="00EC2A1C" w:rsidRDefault="00DD3EFA" w:rsidP="00B15ECB">
            <w:pPr>
              <w:rPr>
                <w:b/>
              </w:rPr>
            </w:pPr>
          </w:p>
        </w:tc>
        <w:tc>
          <w:tcPr>
            <w:tcW w:w="249" w:type="dxa"/>
            <w:tcBorders>
              <w:top w:val="nil"/>
              <w:left w:val="nil"/>
              <w:bottom w:val="nil"/>
            </w:tcBorders>
            <w:shd w:val="clear" w:color="auto" w:fill="66CCFF"/>
          </w:tcPr>
          <w:p w14:paraId="67EBBBAF" w14:textId="77777777" w:rsidR="00DD3EFA" w:rsidRPr="00EC2A1C" w:rsidRDefault="00DD3EFA" w:rsidP="00B15ECB">
            <w:pPr>
              <w:rPr>
                <w:b/>
              </w:rPr>
            </w:pPr>
          </w:p>
        </w:tc>
      </w:tr>
      <w:tr w:rsidR="00DD3EFA" w:rsidRPr="00EC2A1C" w14:paraId="1CF3BA86" w14:textId="77777777" w:rsidTr="005C7F05">
        <w:trPr>
          <w:trHeight w:val="990"/>
        </w:trPr>
        <w:tc>
          <w:tcPr>
            <w:tcW w:w="249" w:type="dxa"/>
            <w:tcBorders>
              <w:top w:val="nil"/>
              <w:bottom w:val="nil"/>
            </w:tcBorders>
            <w:shd w:val="clear" w:color="auto" w:fill="66CCFF"/>
          </w:tcPr>
          <w:p w14:paraId="6C340371" w14:textId="77777777" w:rsidR="00DD3EFA" w:rsidRPr="00EC2A1C" w:rsidRDefault="00DD3EFA" w:rsidP="00B15ECB">
            <w:pPr>
              <w:rPr>
                <w:b/>
              </w:rPr>
            </w:pPr>
          </w:p>
        </w:tc>
        <w:tc>
          <w:tcPr>
            <w:tcW w:w="9036" w:type="dxa"/>
            <w:gridSpan w:val="2"/>
            <w:tcBorders>
              <w:bottom w:val="single" w:sz="4" w:space="0" w:color="auto"/>
            </w:tcBorders>
            <w:shd w:val="clear" w:color="auto" w:fill="FFFFFF" w:themeFill="background1"/>
          </w:tcPr>
          <w:p w14:paraId="22750907" w14:textId="77777777" w:rsidR="00DD3EFA" w:rsidRPr="00EC2A1C" w:rsidRDefault="00DD3EFA"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7EE8187F" w14:textId="77777777" w:rsidR="00DD3EFA" w:rsidRPr="00EC2A1C" w:rsidRDefault="00DD3EFA">
            <w:pPr>
              <w:spacing w:before="60" w:after="60"/>
              <w:rPr>
                <w:rFonts w:eastAsiaTheme="majorEastAsia"/>
              </w:rPr>
            </w:pPr>
          </w:p>
        </w:tc>
        <w:tc>
          <w:tcPr>
            <w:tcW w:w="249" w:type="dxa"/>
            <w:tcBorders>
              <w:top w:val="nil"/>
              <w:bottom w:val="nil"/>
            </w:tcBorders>
            <w:shd w:val="clear" w:color="auto" w:fill="66CCFF"/>
          </w:tcPr>
          <w:p w14:paraId="2900C0DE" w14:textId="77777777" w:rsidR="00DD3EFA" w:rsidRPr="00EC2A1C" w:rsidRDefault="00DD3EFA" w:rsidP="00B15ECB">
            <w:pPr>
              <w:rPr>
                <w:b/>
              </w:rPr>
            </w:pPr>
          </w:p>
        </w:tc>
      </w:tr>
      <w:tr w:rsidR="00DD3EFA" w:rsidRPr="00EC2A1C" w14:paraId="16FC679D" w14:textId="77777777" w:rsidTr="005C7F05">
        <w:trPr>
          <w:trHeight w:val="1260"/>
        </w:trPr>
        <w:tc>
          <w:tcPr>
            <w:tcW w:w="249" w:type="dxa"/>
            <w:tcBorders>
              <w:top w:val="nil"/>
              <w:bottom w:val="nil"/>
            </w:tcBorders>
            <w:shd w:val="clear" w:color="auto" w:fill="66CCFF"/>
          </w:tcPr>
          <w:p w14:paraId="4D477128"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48CCFA80"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6478" w:type="dxa"/>
            <w:tcBorders>
              <w:bottom w:val="single" w:sz="4" w:space="0" w:color="auto"/>
            </w:tcBorders>
            <w:shd w:val="clear" w:color="auto" w:fill="FFFFFF" w:themeFill="background1"/>
          </w:tcPr>
          <w:p w14:paraId="7AB2DAB6" w14:textId="77777777" w:rsidR="00DD3EFA" w:rsidRPr="00EC2A1C" w:rsidRDefault="00DD3EFA" w:rsidP="00B15ECB">
            <w:pPr>
              <w:spacing w:after="240"/>
            </w:pPr>
            <w:r w:rsidRPr="00EC2A1C">
              <w:t>Oblast je podporována z OP PIK v rámci PO 3, IP 4 „Podpora výzkumu a inovací a zavádění nízkouhlíkových technologií“ SC 3.4 „Uplatnit inovativní nízkouhlíkové technologie v oblasti nakládání energií a při využívání druhotných surovin“</w:t>
            </w:r>
          </w:p>
          <w:p w14:paraId="3A7D6CA2" w14:textId="77777777" w:rsidR="00DD3EFA" w:rsidRPr="00EC2A1C" w:rsidRDefault="00DD3EFA" w:rsidP="00B15ECB">
            <w:pPr>
              <w:spacing w:after="240"/>
            </w:pPr>
            <w:r w:rsidRPr="00EC2A1C">
              <w:t>Jedná se např. o pilotní projekty technologií řízení spotřeby a akumulace energií v rámci inteligentních sítí a v budovách, využití nových energeticky šetrných anebo recyklovaných materiálů, úprava bioplynu na biometan a další.</w:t>
            </w:r>
          </w:p>
          <w:p w14:paraId="78BD47B5" w14:textId="77777777" w:rsidR="00DD3EFA" w:rsidRPr="00EC2A1C" w:rsidRDefault="00DD3EFA" w:rsidP="00B15ECB">
            <w:pPr>
              <w:spacing w:after="240"/>
            </w:pPr>
            <w:r w:rsidRPr="00EC2A1C">
              <w:t>Celková alokace na investiční dotace této investiční priority byla z původní výše alokace 37,549 mil. EUR navýšena na 78,850 mil. EUR podle programového dokumentu OP PIK. K 29.1.2019 bylo schváleno celkem 322 žádosti s celkovou investiční dotací ve výši 812,817 mil. Kč. U celkem 73 projektů byla vyplacená investiční dotace ve výši 104,837 mil. Kč.</w:t>
            </w:r>
          </w:p>
          <w:p w14:paraId="1074E830" w14:textId="77777777" w:rsidR="00DD3EFA" w:rsidRPr="00EC2A1C" w:rsidRDefault="00DD3EFA" w:rsidP="00B15ECB">
            <w:pPr>
              <w:spacing w:after="240"/>
            </w:pPr>
            <w:r w:rsidRPr="00EC2A1C">
              <w:t>V rámci OP PIK a prioritní osy 3 zaměřené na účinné nakládání s energiemi lze uvést, že se jedná o nejúspěšnější specifický cíl, resp. program podpory (Nízkouhlíkové technologie), který je charakteristický převisy žádostí o podporu nad alokací vyhlášených výzev. I přesto se však program potýká s dílčími problémy, které se týkají např. nedostatku elektromobilů na českém trhu.</w:t>
            </w:r>
          </w:p>
          <w:p w14:paraId="6FFC2F9C" w14:textId="77777777" w:rsidR="00DD3EFA" w:rsidRPr="00EC2A1C" w:rsidRDefault="00DD3EFA" w:rsidP="00B15ECB">
            <w:pPr>
              <w:spacing w:after="240"/>
            </w:pPr>
            <w:r w:rsidRPr="00EC2A1C">
              <w:t>Nízkouhlíkové technologie v plynárenství jsou mladým oborem, který se rychle rozvíjí, proto je vhodné ponechat širší vymezení podporovaným aktivitám s ohledem na budoucí vývoj, ať v oblasti využití nadbytečné elektřiny ke konverzi a uskladnění, a přepravě této energie. Možný vývoj lze očekávat také v technologii CCU a CCS.</w:t>
            </w:r>
          </w:p>
          <w:p w14:paraId="38BB5A06" w14:textId="77777777" w:rsidR="00DD3EFA" w:rsidRPr="00EC2A1C" w:rsidRDefault="00DD3EFA" w:rsidP="00B15ECB">
            <w:pPr>
              <w:tabs>
                <w:tab w:val="left" w:pos="284"/>
              </w:tabs>
              <w:suppressAutoHyphens/>
              <w:spacing w:after="200"/>
              <w:rPr>
                <w:rFonts w:eastAsia="Calibri"/>
              </w:rPr>
            </w:pPr>
            <w:r w:rsidRPr="00EC2A1C">
              <w:rPr>
                <w:rFonts w:eastAsia="Calibri"/>
              </w:rPr>
              <w:t xml:space="preserve">Využívání OZE je podporováno z OP PIK a dále i z OP ŽP a IROP. </w:t>
            </w:r>
          </w:p>
          <w:p w14:paraId="067976D1" w14:textId="77777777" w:rsidR="00DD3EFA" w:rsidRPr="00EC2A1C" w:rsidRDefault="00DD3EFA" w:rsidP="00B15ECB">
            <w:pPr>
              <w:tabs>
                <w:tab w:val="left" w:pos="284"/>
              </w:tabs>
              <w:suppressAutoHyphens/>
              <w:spacing w:after="200"/>
            </w:pPr>
            <w:r w:rsidRPr="00EC2A1C">
              <w:t xml:space="preserve">Závazky z projektů na využívání obnovitelných zdrojů energie indikují problémy s čerpáním alokovaných prostředků a dosažením očekávaných výsledků. </w:t>
            </w:r>
          </w:p>
          <w:p w14:paraId="7CCFF335" w14:textId="77777777" w:rsidR="00DD3EFA" w:rsidRPr="00EC2A1C" w:rsidRDefault="00DD3EFA" w:rsidP="00B15ECB">
            <w:pPr>
              <w:tabs>
                <w:tab w:val="left" w:pos="284"/>
              </w:tabs>
              <w:suppressAutoHyphens/>
              <w:spacing w:after="200"/>
              <w:rPr>
                <w:rFonts w:eastAsia="Calibri"/>
              </w:rPr>
            </w:pPr>
            <w:r w:rsidRPr="00EC2A1C">
              <w:rPr>
                <w:rFonts w:eastAsia="Calibri"/>
              </w:rPr>
              <w:t>Celková alokace na investiční dotace této investiční priority byla 53,519 mil. EUR podle programového dokumentu OP PIK. K 29. 1. 2019 bylo schváleno celkem 32 žádosti s celkovou investiční dotací ve výši 378 mil. Kč. U celkem 6 projektů byla vyplacená investiční dotace ve výši 36 mil. Kč.</w:t>
            </w:r>
          </w:p>
          <w:p w14:paraId="50B23CCD" w14:textId="77777777" w:rsidR="00DD3EFA" w:rsidRPr="00EC2A1C" w:rsidRDefault="00DD3EFA" w:rsidP="00B15ECB">
            <w:pPr>
              <w:tabs>
                <w:tab w:val="left" w:pos="284"/>
              </w:tabs>
              <w:suppressAutoHyphens/>
              <w:spacing w:after="200"/>
              <w:rPr>
                <w:rFonts w:eastAsia="Calibri"/>
              </w:rPr>
            </w:pPr>
            <w:r w:rsidRPr="00EC2A1C">
              <w:t>Žadatelé však mají o podporu zájem, poněvadž předložili desítky žádostí o podporu v hodnotě několika stovek miliónů Kč.</w:t>
            </w:r>
          </w:p>
          <w:p w14:paraId="60D36AC0" w14:textId="77777777" w:rsidR="00DD3EFA" w:rsidRPr="00EC2A1C" w:rsidRDefault="00DD3EFA" w:rsidP="00B15ECB">
            <w:pPr>
              <w:autoSpaceDE w:val="0"/>
              <w:autoSpaceDN w:val="0"/>
              <w:adjustRightInd w:val="0"/>
            </w:pPr>
            <w:r w:rsidRPr="00EC2A1C">
              <w:t xml:space="preserve">Pokud jde o OP PIK, nižší zájem žadatelů se projevil v programu podpory Obnovitelné zdroje energie s alokací 535 mil. EUR. Podaných žádostí v rámci I. a II. výzvy bylo 159 mil. Kč. Důvodem nižšího zájmu byla zejména nemožnost kombinace provozní a investiční dotace v rámci I a II. výzvy, která snížila ekonomickou návratnost kapitálu, a tím nižší zájem podnikatelského sektoru. </w:t>
            </w:r>
          </w:p>
          <w:p w14:paraId="29B31F45" w14:textId="77777777" w:rsidR="00DD3EFA" w:rsidRPr="00EC2A1C" w:rsidRDefault="00DD3EFA" w:rsidP="00B15ECB">
            <w:pPr>
              <w:autoSpaceDE w:val="0"/>
              <w:autoSpaceDN w:val="0"/>
              <w:adjustRightInd w:val="0"/>
            </w:pPr>
            <w:r w:rsidRPr="00EC2A1C">
              <w:t>Od III. výzvy je již možno kombinovat investiční a provozní dotace ve formě krácení provozní podpory vzhledem na výsledky notifikace provozní podpory ze strany EK. Dále bylo ze strany EK umožněno podporovat výstavbu nového OZE pro vlastní spotřebu.  V rámci přijatých žádosti ve výši 220 mil Kč je vidět trend postupného vzrůstu, a pokud bude trend pokračovat, tak se dá očekávat vyčerpání příslušné alokace zejména z důvodu realizace projektů výtopen na biomasu a vyvedení tepla z BPS.</w:t>
            </w:r>
          </w:p>
          <w:p w14:paraId="57C35389" w14:textId="77777777" w:rsidR="00DD3EFA" w:rsidRPr="00EC2A1C" w:rsidRDefault="00DD3EFA" w:rsidP="00B15ECB">
            <w:pPr>
              <w:tabs>
                <w:tab w:val="left" w:pos="284"/>
              </w:tabs>
              <w:suppressAutoHyphens/>
              <w:spacing w:after="200"/>
            </w:pPr>
            <w:r w:rsidRPr="00EC2A1C">
              <w:t>V rámci připravovaných revizí by se měli rozšířit podporované aktivity o tepelná čerpadla a kolektory případně o větrné elektrárny.</w:t>
            </w:r>
          </w:p>
          <w:p w14:paraId="7B6894D2" w14:textId="77777777" w:rsidR="00DD3EFA" w:rsidRPr="00EC2A1C" w:rsidRDefault="00DD3EFA" w:rsidP="00B15ECB">
            <w:pPr>
              <w:spacing w:before="60" w:after="60"/>
              <w:rPr>
                <w:rFonts w:eastAsiaTheme="majorEastAsia"/>
                <w:i/>
              </w:rPr>
            </w:pPr>
            <w:r w:rsidRPr="00EC2A1C">
              <w:rPr>
                <w:rFonts w:eastAsia="Calibri"/>
              </w:rPr>
              <w:t>Současné možnosti čerpání na tuto podoblast v rámci OP ŽP: PO 2: Zlepšování kvality ovzduší v lidských sídlech SC 2.1 Snížit emise z lokálního vytápění domácností podílející se na expozici obyvatelstva koncentracím znečišťujících látek – Typy podporovaných aktivit: výměna zdrojů tepla na pevná paliva za tepelné čerpadlo; instalace solárně-termických soustav pro přitápění nebo přípravu TV – v současné době dochází na této prioritní ose k plnění věcných i finančních milníků.</w:t>
            </w:r>
          </w:p>
        </w:tc>
        <w:tc>
          <w:tcPr>
            <w:tcW w:w="249" w:type="dxa"/>
            <w:tcBorders>
              <w:top w:val="nil"/>
              <w:bottom w:val="nil"/>
            </w:tcBorders>
            <w:shd w:val="clear" w:color="auto" w:fill="66CCFF"/>
          </w:tcPr>
          <w:p w14:paraId="76222543" w14:textId="77777777" w:rsidR="00DD3EFA" w:rsidRPr="00EC2A1C" w:rsidRDefault="00DD3EFA" w:rsidP="00B15ECB">
            <w:pPr>
              <w:rPr>
                <w:b/>
              </w:rPr>
            </w:pPr>
          </w:p>
        </w:tc>
      </w:tr>
      <w:tr w:rsidR="00DD3EFA" w:rsidRPr="00EC2A1C" w14:paraId="3B0C26BA" w14:textId="77777777" w:rsidTr="005C7F05">
        <w:trPr>
          <w:trHeight w:val="850"/>
        </w:trPr>
        <w:tc>
          <w:tcPr>
            <w:tcW w:w="249" w:type="dxa"/>
            <w:tcBorders>
              <w:top w:val="nil"/>
              <w:bottom w:val="nil"/>
            </w:tcBorders>
            <w:shd w:val="clear" w:color="auto" w:fill="66CCFF"/>
          </w:tcPr>
          <w:p w14:paraId="6C1FB7A4"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17D504F8"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6478" w:type="dxa"/>
            <w:tcBorders>
              <w:bottom w:val="single" w:sz="4" w:space="0" w:color="auto"/>
            </w:tcBorders>
            <w:shd w:val="clear" w:color="auto" w:fill="FFFFFF" w:themeFill="background1"/>
          </w:tcPr>
          <w:p w14:paraId="622C5145" w14:textId="77777777" w:rsidR="00DD3EFA" w:rsidRPr="00EC2A1C" w:rsidRDefault="00DD3EFA" w:rsidP="00B15ECB">
            <w:pPr>
              <w:spacing w:before="60" w:after="60"/>
              <w:rPr>
                <w:rFonts w:eastAsiaTheme="majorEastAsia"/>
                <w:i/>
              </w:rPr>
            </w:pPr>
            <w:r w:rsidRPr="00EC2A1C">
              <w:t>Dá se očekávat zvýšený zájem o realizace projektů výtopen na biomasu.</w:t>
            </w:r>
          </w:p>
          <w:p w14:paraId="5936A03A" w14:textId="77777777" w:rsidR="00DD3EFA" w:rsidRPr="00EC2A1C" w:rsidRDefault="00DD3EFA" w:rsidP="00B15ECB">
            <w:pPr>
              <w:spacing w:before="60" w:after="60"/>
            </w:pPr>
            <w:r w:rsidRPr="00EC2A1C">
              <w:t>Lze očekávat nárůst zájmu o realizaci technologií a instalaci zařízení pro čištění bioplynu na biometan (jeho vstřikování do plynárenské soustavy a využití v dopravě).</w:t>
            </w:r>
          </w:p>
          <w:p w14:paraId="1FADBAF2" w14:textId="77777777" w:rsidR="00DD3EFA" w:rsidRPr="00EC2A1C" w:rsidRDefault="00DD3EFA" w:rsidP="00B15ECB">
            <w:pPr>
              <w:spacing w:before="60" w:after="60"/>
            </w:pPr>
            <w:r w:rsidRPr="00EC2A1C">
              <w:t>Také lze predikovat značný zájem o instalaci FV systému s/bez akumulace. Rozvoj OZE totiž počítá s provozní podporou jen u některých zdrojů energie. U všech vyloučených OZE z provozní podpory lze čekat zájem o investiční podporu.</w:t>
            </w:r>
          </w:p>
          <w:p w14:paraId="66E9A2A3" w14:textId="77777777" w:rsidR="00DD3EFA" w:rsidRPr="00EC2A1C" w:rsidRDefault="00DD3EFA" w:rsidP="00B15ECB">
            <w:pPr>
              <w:spacing w:before="60" w:after="60"/>
            </w:pPr>
          </w:p>
          <w:p w14:paraId="2C11476B" w14:textId="77777777" w:rsidR="00DD3EFA" w:rsidRPr="00EC2A1C" w:rsidRDefault="00DD3EFA" w:rsidP="00B15ECB">
            <w:r w:rsidRPr="00EC2A1C">
              <w:rPr>
                <w:rFonts w:eastAsiaTheme="majorEastAsia"/>
              </w:rPr>
              <w:t xml:space="preserve">MPO v současnosti řeší/soutěží </w:t>
            </w:r>
            <w:r w:rsidRPr="00EC2A1C">
              <w:t xml:space="preserve">veřejnou zakázku zaměřující se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Hlavní výstup bude představovat zpracovaná Závěrečná zpráva. V analýze se bude rovněž vycházet ze zkušeností z předchozích období, kdy relevance potřeb mohla být vysoká, ale projekty či celé oblasti aktivit nebyly na čerpání z různých důvodů dostatečně připraveny (důvodů může být hned několik, např. legislativní překážky, administrativní náročnost projektové žádosti, složitost projektů, nízká kapacita příjemců na přípravu, změna technologie aj.). V úvahu bude rovněž brána připravenost subjektů na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Analýza by měla zhodnotit absorpční kapacitu na straně podnikatelských subjektů (vč. těch vlastněných státem) a výzkumných organizací. </w:t>
            </w:r>
          </w:p>
          <w:p w14:paraId="2DEDA58B" w14:textId="77777777" w:rsidR="00DD3EFA" w:rsidRPr="00EC2A1C" w:rsidRDefault="00DD3EFA" w:rsidP="00B15ECB">
            <w:r w:rsidRPr="00EC2A1C">
              <w:t>Vyhodnocení každé z oblastí povede k následné syntéze závěrů a doporučení pro zaměření programového období 2021+. Součástí vyhodnocení budou závěry, výsledky a doporučení dodavatele, včetně zdůvodnění a potřebné argumentace za účelem jejich řádného využití při dalších pracích MPO na OPK. Analýza a z ní vyplývající závěry musí dosáhnout stanoveného výzkumného cíle pomocí zodpovězení zadaných analytických otázek, přičemž musí být brány do úvahy výše uvedené proměnné (viz zkušenosti z předchozích období a možné změny a omezení vycházející z návrhů evropské legislativy).</w:t>
            </w:r>
          </w:p>
          <w:p w14:paraId="10F49EE4" w14:textId="77777777" w:rsidR="00DD3EFA" w:rsidRPr="00EC2A1C" w:rsidRDefault="00DD3EFA" w:rsidP="00B15ECB"/>
          <w:p w14:paraId="138038B1" w14:textId="77777777" w:rsidR="00DD3EFA" w:rsidRPr="00EC2A1C" w:rsidRDefault="00DD3EFA" w:rsidP="00B15ECB">
            <w:pPr>
              <w:pStyle w:val="Nadpis2"/>
              <w:tabs>
                <w:tab w:val="left" w:pos="3945"/>
              </w:tabs>
              <w:spacing w:after="90"/>
              <w:outlineLvl w:val="1"/>
              <w:rPr>
                <w:rFonts w:ascii="Times New Roman" w:hAnsi="Times New Roman" w:cs="Times New Roman"/>
                <w:color w:val="auto"/>
                <w:sz w:val="20"/>
                <w:szCs w:val="20"/>
              </w:rPr>
            </w:pPr>
            <w:r w:rsidRPr="00EC2A1C">
              <w:rPr>
                <w:rFonts w:ascii="Times New Roman" w:hAnsi="Times New Roman" w:cs="Times New Roman"/>
                <w:color w:val="auto"/>
                <w:sz w:val="20"/>
                <w:szCs w:val="20"/>
              </w:rPr>
              <w:t>Analytické otázky studie:</w:t>
            </w:r>
          </w:p>
          <w:p w14:paraId="390BAA0E" w14:textId="77777777" w:rsidR="00DD3EFA" w:rsidRPr="00EC2A1C" w:rsidRDefault="00DD3EFA" w:rsidP="00B15ECB">
            <w:r w:rsidRPr="00EC2A1C">
              <w:t xml:space="preserve">1. Do jaké míry byla naplněna plánovaná absorpční kapacita v současném a minulém programovém období (tj. 2014 - 2020 a 2007 - 2013)? Očekávání vs. realita. </w:t>
            </w:r>
          </w:p>
          <w:p w14:paraId="0F87A711" w14:textId="77777777" w:rsidR="00DD3EFA" w:rsidRPr="00EC2A1C" w:rsidRDefault="00DD3EFA" w:rsidP="00B15ECB">
            <w:r w:rsidRPr="00EC2A1C">
              <w:t xml:space="preserve">2. Jaké je očekávání absorpční kapacity v budoucím programovém období 2021 - 2027 za jednotlivé oblasti a podoblasti (dle tematických karet – viz Příloha č. 1), resp. do jaké míry je o podporu dané oblasti, příp. podoblasti poptávka ze strany různých typů příjemců? Hodnotí se, zda již jsou nastíněny základní směry, kterými se příjemci chtějí ubírat. </w:t>
            </w:r>
          </w:p>
          <w:p w14:paraId="6220F1B1" w14:textId="77777777" w:rsidR="00DD3EFA" w:rsidRPr="00EC2A1C" w:rsidRDefault="00DD3EFA" w:rsidP="00B15ECB">
            <w:r w:rsidRPr="00EC2A1C">
              <w:t>3. Jsou připraveny projektové záměry, existuje plán zpracování takových projektů / investičních záměrů? Projekce současného stavu do budoucího období, co se týče zájmu různých typů příjemců o podporu v dané oblasti, resp. podoblasti (podoblast, která nebyla doposud podporována z ESI fondů bude ohodnocena expertním odhadem).</w:t>
            </w:r>
          </w:p>
          <w:p w14:paraId="24E50E2F" w14:textId="77777777" w:rsidR="00DD3EFA" w:rsidRPr="00EC2A1C" w:rsidRDefault="00DD3EFA" w:rsidP="00B15ECB">
            <w:r w:rsidRPr="00EC2A1C">
              <w:t xml:space="preserve">4. Existují významné bariéry, které zabraňují využití budoucí podpory v dané oblasti, podoblasti podpory? Jde o bariéry např. legislativní, technické, nezájem příjemců, obavy příjemců ze sankcí aj. (nově pravidlo N+2, nižší míra podpory, různá intenzita regionální podpory, omezení podpory pro velké podniky). Pokud zde nejsou bariéry uvedeny, vychází se z expertní znalosti situace v příslušné podoblasti podpory.   </w:t>
            </w:r>
          </w:p>
          <w:p w14:paraId="025DF6B9" w14:textId="77777777" w:rsidR="00DD3EFA" w:rsidRPr="00EC2A1C" w:rsidRDefault="00DD3EFA" w:rsidP="00B15ECB">
            <w:r w:rsidRPr="00EC2A1C">
              <w:t>5. Jaké jsou návrhy opatření na odstranění bariér?</w:t>
            </w:r>
          </w:p>
        </w:tc>
        <w:tc>
          <w:tcPr>
            <w:tcW w:w="249" w:type="dxa"/>
            <w:tcBorders>
              <w:top w:val="nil"/>
              <w:bottom w:val="nil"/>
            </w:tcBorders>
            <w:shd w:val="clear" w:color="auto" w:fill="66CCFF"/>
          </w:tcPr>
          <w:p w14:paraId="69CEBBEB" w14:textId="77777777" w:rsidR="00DD3EFA" w:rsidRPr="00EC2A1C" w:rsidRDefault="00DD3EFA" w:rsidP="00B15ECB">
            <w:pPr>
              <w:rPr>
                <w:b/>
              </w:rPr>
            </w:pPr>
          </w:p>
        </w:tc>
      </w:tr>
      <w:tr w:rsidR="00DD3EFA" w:rsidRPr="00EC2A1C" w14:paraId="76587DBA" w14:textId="77777777" w:rsidTr="005C7F05">
        <w:trPr>
          <w:trHeight w:val="925"/>
        </w:trPr>
        <w:tc>
          <w:tcPr>
            <w:tcW w:w="249" w:type="dxa"/>
            <w:tcBorders>
              <w:top w:val="nil"/>
              <w:bottom w:val="nil"/>
            </w:tcBorders>
            <w:shd w:val="clear" w:color="auto" w:fill="66CCFF"/>
          </w:tcPr>
          <w:p w14:paraId="5C367DD1"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3185A95F"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6478" w:type="dxa"/>
            <w:tcBorders>
              <w:bottom w:val="single" w:sz="4" w:space="0" w:color="auto"/>
            </w:tcBorders>
            <w:shd w:val="clear" w:color="auto" w:fill="FFFFFF" w:themeFill="background1"/>
          </w:tcPr>
          <w:p w14:paraId="6FBF714F" w14:textId="77777777" w:rsidR="00DD3EFA" w:rsidRPr="00EC2A1C" w:rsidRDefault="00DD3EFA" w:rsidP="00B15ECB">
            <w:pPr>
              <w:spacing w:before="60" w:after="60"/>
              <w:rPr>
                <w:rFonts w:eastAsiaTheme="majorEastAsia"/>
              </w:rPr>
            </w:pPr>
            <w:r w:rsidRPr="00EC2A1C">
              <w:rPr>
                <w:rFonts w:eastAsiaTheme="majorEastAsia"/>
              </w:rPr>
              <w:t>Příprava projektových záměrů není známa, nicméně upozorňujeme, že v případě mnohých zdrojů, především FVE převládají menší a střední projekty ve velkém počtu.</w:t>
            </w:r>
          </w:p>
          <w:p w14:paraId="1E6ACEB3" w14:textId="66CD7503" w:rsidR="00DD3EFA" w:rsidRPr="00EC2A1C" w:rsidRDefault="00DD3EFA" w:rsidP="00B15ECB">
            <w:pPr>
              <w:spacing w:before="40" w:after="80" w:line="276" w:lineRule="auto"/>
              <w:rPr>
                <w:rFonts w:eastAsia="Calibri"/>
              </w:rPr>
            </w:pPr>
            <w:r w:rsidRPr="00EC2A1C">
              <w:rPr>
                <w:rFonts w:eastAsiaTheme="majorEastAsia"/>
              </w:rPr>
              <w:t>Rovněž lze předpokládat projekty na realizaci výroben biometanu a modernizaci bioplynových stanic k připojení na plynárenskou distribuční soustav</w:t>
            </w:r>
            <w:r w:rsidRPr="00EC2A1C">
              <w:rPr>
                <w:rFonts w:eastAsiaTheme="majorEastAsia"/>
                <w:i/>
              </w:rPr>
              <w:t xml:space="preserve">u. </w:t>
            </w:r>
            <w:r w:rsidRPr="00EC2A1C">
              <w:t>Bude potřeba zajistit výrobu biometanu v přibližně 70 stanicích, přičemž na podporu transformace stávajících bioplynových stanic na výrobny biometanu a nových biometanových stanic (tj. čistění, měření kvality, komprese atd</w:t>
            </w:r>
            <w:r w:rsidR="005C7F05" w:rsidRPr="00EC2A1C">
              <w:t>.</w:t>
            </w:r>
            <w:r w:rsidRPr="00EC2A1C">
              <w:t xml:space="preserve">) bude třeba vynaložit investice ve výši cca 1,8 mld. Kč. </w:t>
            </w:r>
            <w:r w:rsidRPr="00EC2A1C">
              <w:rPr>
                <w:rFonts w:eastAsia="Calibri"/>
              </w:rPr>
              <w:t xml:space="preserve">Na výrobu syntetického metanu z elektrické energie a konverzi vodíku na metan s potenciálem pro využití CCU technologie lze ve sledovaném období uvažovat s několika projekty v úhrnné částce 680 mil. Kč. </w:t>
            </w:r>
          </w:p>
          <w:p w14:paraId="02886B31" w14:textId="77777777" w:rsidR="00DD3EFA" w:rsidRPr="00EC2A1C" w:rsidRDefault="00DD3EFA" w:rsidP="00B15ECB">
            <w:pPr>
              <w:spacing w:before="40" w:after="80" w:line="276" w:lineRule="auto"/>
              <w:rPr>
                <w:rFonts w:eastAsiaTheme="majorEastAsia"/>
              </w:rPr>
            </w:pPr>
            <w:r w:rsidRPr="00EC2A1C">
              <w:rPr>
                <w:rFonts w:eastAsia="Calibri"/>
              </w:rPr>
              <w:t xml:space="preserve">U výroby vodíku z elektrické energie pak lze předpokládat čerpání ve výši 500 mil. Kč. </w:t>
            </w:r>
          </w:p>
        </w:tc>
        <w:tc>
          <w:tcPr>
            <w:tcW w:w="249" w:type="dxa"/>
            <w:tcBorders>
              <w:top w:val="nil"/>
              <w:bottom w:val="nil"/>
            </w:tcBorders>
            <w:shd w:val="clear" w:color="auto" w:fill="66CCFF"/>
          </w:tcPr>
          <w:p w14:paraId="4684F930" w14:textId="77777777" w:rsidR="00DD3EFA" w:rsidRPr="00EC2A1C" w:rsidRDefault="00DD3EFA" w:rsidP="00B15ECB">
            <w:pPr>
              <w:rPr>
                <w:b/>
              </w:rPr>
            </w:pPr>
          </w:p>
        </w:tc>
      </w:tr>
      <w:tr w:rsidR="00DD3EFA" w:rsidRPr="00EC2A1C" w14:paraId="4B7C573E" w14:textId="77777777" w:rsidTr="005C7F05">
        <w:trPr>
          <w:trHeight w:val="1001"/>
        </w:trPr>
        <w:tc>
          <w:tcPr>
            <w:tcW w:w="249" w:type="dxa"/>
            <w:tcBorders>
              <w:top w:val="nil"/>
              <w:bottom w:val="nil"/>
            </w:tcBorders>
            <w:shd w:val="clear" w:color="auto" w:fill="66CCFF"/>
          </w:tcPr>
          <w:p w14:paraId="3BDC50DE" w14:textId="77777777" w:rsidR="00DD3EFA" w:rsidRPr="00EC2A1C" w:rsidRDefault="00DD3EFA" w:rsidP="00B15ECB">
            <w:pPr>
              <w:rPr>
                <w:b/>
              </w:rPr>
            </w:pPr>
          </w:p>
        </w:tc>
        <w:tc>
          <w:tcPr>
            <w:tcW w:w="2558" w:type="dxa"/>
            <w:tcBorders>
              <w:bottom w:val="single" w:sz="4" w:space="0" w:color="auto"/>
            </w:tcBorders>
            <w:shd w:val="clear" w:color="auto" w:fill="FFFFFF" w:themeFill="background1"/>
          </w:tcPr>
          <w:p w14:paraId="0E1717B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6478" w:type="dxa"/>
            <w:tcBorders>
              <w:bottom w:val="single" w:sz="4" w:space="0" w:color="auto"/>
            </w:tcBorders>
            <w:shd w:val="clear" w:color="auto" w:fill="FFFFFF" w:themeFill="background1"/>
          </w:tcPr>
          <w:p w14:paraId="26F56A66" w14:textId="77777777" w:rsidR="00DD3EFA" w:rsidRPr="00EC2A1C" w:rsidRDefault="00DD3EFA" w:rsidP="00B15ECB">
            <w:pPr>
              <w:spacing w:before="60" w:after="60"/>
            </w:pPr>
            <w:r w:rsidRPr="00EC2A1C">
              <w:t>Od začátku programového období je nastaven podíl 20 % pro velké podniky. Tato bariéra se začíná projevovat zejména ve IV. výzvě, kdy významně vzrůstá poptávka ze strany velkých podniků, a to i zejména z důvodu vzrůstající ceny emisní povolenky a zdražování cen energií.</w:t>
            </w:r>
          </w:p>
          <w:p w14:paraId="2FFF9742" w14:textId="173E5EF2" w:rsidR="00DD3EFA" w:rsidRPr="00EC2A1C" w:rsidRDefault="00DD3EFA" w:rsidP="00B15ECB">
            <w:pPr>
              <w:spacing w:before="60" w:after="60"/>
              <w:rPr>
                <w:rFonts w:eastAsiaTheme="majorEastAsia"/>
                <w:i/>
              </w:rPr>
            </w:pPr>
            <w:r w:rsidRPr="00EC2A1C">
              <w:t xml:space="preserve">Pokud nové ON bude obsahovat </w:t>
            </w:r>
            <w:r w:rsidR="005C7F05" w:rsidRPr="00EC2A1C">
              <w:t>výjimku</w:t>
            </w:r>
            <w:r w:rsidRPr="00EC2A1C">
              <w:t xml:space="preserve"> pro velké podniky pro oblast OZE, absorpční kapacita bude značná. To platí i v kontextu provozní podpory.</w:t>
            </w:r>
          </w:p>
          <w:p w14:paraId="7B5A8E66"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5C15CD93" w14:textId="77777777" w:rsidR="00DD3EFA" w:rsidRPr="00EC2A1C" w:rsidRDefault="00DD3EFA" w:rsidP="00B15ECB">
            <w:pPr>
              <w:rPr>
                <w:b/>
              </w:rPr>
            </w:pPr>
          </w:p>
        </w:tc>
      </w:tr>
      <w:tr w:rsidR="00DD3EFA" w:rsidRPr="00EC2A1C" w14:paraId="4430FE09" w14:textId="77777777" w:rsidTr="005C7F05">
        <w:trPr>
          <w:trHeight w:val="613"/>
        </w:trPr>
        <w:tc>
          <w:tcPr>
            <w:tcW w:w="249" w:type="dxa"/>
            <w:tcBorders>
              <w:top w:val="nil"/>
              <w:left w:val="single" w:sz="4" w:space="0" w:color="auto"/>
              <w:bottom w:val="single" w:sz="4" w:space="0" w:color="auto"/>
              <w:right w:val="nil"/>
            </w:tcBorders>
            <w:shd w:val="clear" w:color="auto" w:fill="66CCFF"/>
          </w:tcPr>
          <w:p w14:paraId="7C2BD35D" w14:textId="77777777" w:rsidR="00DD3EFA" w:rsidRPr="00EC2A1C" w:rsidRDefault="00DD3EFA" w:rsidP="00B15ECB">
            <w:pPr>
              <w:rPr>
                <w:b/>
              </w:rPr>
            </w:pPr>
          </w:p>
        </w:tc>
        <w:tc>
          <w:tcPr>
            <w:tcW w:w="2558" w:type="dxa"/>
            <w:tcBorders>
              <w:top w:val="single" w:sz="4" w:space="0" w:color="auto"/>
              <w:left w:val="nil"/>
              <w:bottom w:val="single" w:sz="4" w:space="0" w:color="auto"/>
              <w:right w:val="nil"/>
            </w:tcBorders>
            <w:shd w:val="clear" w:color="auto" w:fill="66CCFF"/>
          </w:tcPr>
          <w:p w14:paraId="3858A1EE" w14:textId="77777777" w:rsidR="00DD3EFA" w:rsidRPr="00EC2A1C" w:rsidRDefault="00DD3EFA" w:rsidP="00B15ECB">
            <w:pPr>
              <w:spacing w:before="60" w:after="60"/>
              <w:rPr>
                <w:rFonts w:eastAsiaTheme="majorEastAsia"/>
                <w:b/>
              </w:rPr>
            </w:pPr>
          </w:p>
        </w:tc>
        <w:tc>
          <w:tcPr>
            <w:tcW w:w="6478" w:type="dxa"/>
            <w:tcBorders>
              <w:top w:val="single" w:sz="4" w:space="0" w:color="auto"/>
              <w:left w:val="nil"/>
              <w:bottom w:val="single" w:sz="4" w:space="0" w:color="auto"/>
              <w:right w:val="nil"/>
            </w:tcBorders>
            <w:shd w:val="clear" w:color="auto" w:fill="66CCFF"/>
          </w:tcPr>
          <w:p w14:paraId="3B48E6C7"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76CA266C" w14:textId="77777777" w:rsidR="00DD3EFA" w:rsidRPr="00EC2A1C" w:rsidRDefault="00DD3EFA" w:rsidP="00B15ECB">
            <w:pPr>
              <w:rPr>
                <w:b/>
              </w:rPr>
            </w:pPr>
          </w:p>
        </w:tc>
      </w:tr>
      <w:tr w:rsidR="00DD3EFA" w:rsidRPr="00EC2A1C" w14:paraId="74C7C44F" w14:textId="77777777" w:rsidTr="005C7F05">
        <w:trPr>
          <w:trHeight w:val="1559"/>
        </w:trPr>
        <w:tc>
          <w:tcPr>
            <w:tcW w:w="249" w:type="dxa"/>
            <w:tcBorders>
              <w:top w:val="single" w:sz="4" w:space="0" w:color="auto"/>
              <w:bottom w:val="nil"/>
            </w:tcBorders>
            <w:shd w:val="clear" w:color="auto" w:fill="66CCFF"/>
          </w:tcPr>
          <w:p w14:paraId="268E8267" w14:textId="77777777" w:rsidR="00DD3EFA" w:rsidRPr="00EC2A1C" w:rsidRDefault="00DD3EFA" w:rsidP="00B15ECB">
            <w:pPr>
              <w:rPr>
                <w:b/>
              </w:rPr>
            </w:pPr>
          </w:p>
        </w:tc>
        <w:tc>
          <w:tcPr>
            <w:tcW w:w="9036" w:type="dxa"/>
            <w:gridSpan w:val="2"/>
            <w:tcBorders>
              <w:top w:val="single" w:sz="4" w:space="0" w:color="auto"/>
            </w:tcBorders>
            <w:shd w:val="clear" w:color="auto" w:fill="FFFFFF" w:themeFill="background1"/>
          </w:tcPr>
          <w:p w14:paraId="442D68CF" w14:textId="77777777" w:rsidR="00DD3EFA" w:rsidRPr="00EC2A1C" w:rsidRDefault="00DD3EFA" w:rsidP="00B15ECB">
            <w:pPr>
              <w:spacing w:before="60" w:after="60"/>
              <w:rPr>
                <w:rFonts w:eastAsiaTheme="majorEastAsia"/>
                <w:b/>
              </w:rPr>
            </w:pPr>
            <w:r w:rsidRPr="00EC2A1C">
              <w:rPr>
                <w:rFonts w:eastAsiaTheme="majorEastAsia"/>
                <w:b/>
              </w:rPr>
              <w:t>Alternativní zdroje</w:t>
            </w:r>
          </w:p>
          <w:p w14:paraId="1D1A9A4E" w14:textId="77777777" w:rsidR="00DD3EFA" w:rsidRPr="00EC2A1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209E524B" w14:textId="77777777" w:rsidR="00DD3EFA" w:rsidRPr="00EC2A1C" w:rsidRDefault="00DD3EFA" w:rsidP="00B15ECB">
            <w:pPr>
              <w:rPr>
                <w:b/>
              </w:rPr>
            </w:pPr>
          </w:p>
        </w:tc>
      </w:tr>
      <w:tr w:rsidR="00DD3EFA" w:rsidRPr="00EC2A1C" w14:paraId="60C956D2" w14:textId="77777777" w:rsidTr="005C7F05">
        <w:trPr>
          <w:trHeight w:val="1968"/>
        </w:trPr>
        <w:tc>
          <w:tcPr>
            <w:tcW w:w="249" w:type="dxa"/>
            <w:tcBorders>
              <w:top w:val="nil"/>
              <w:bottom w:val="nil"/>
            </w:tcBorders>
            <w:shd w:val="clear" w:color="auto" w:fill="66CCFF"/>
          </w:tcPr>
          <w:p w14:paraId="2EC30C54" w14:textId="77777777" w:rsidR="00DD3EFA" w:rsidRPr="00EC2A1C" w:rsidRDefault="00DD3EFA" w:rsidP="00B15ECB">
            <w:pPr>
              <w:rPr>
                <w:b/>
              </w:rPr>
            </w:pPr>
          </w:p>
        </w:tc>
        <w:tc>
          <w:tcPr>
            <w:tcW w:w="2558" w:type="dxa"/>
            <w:tcBorders>
              <w:top w:val="nil"/>
            </w:tcBorders>
            <w:shd w:val="clear" w:color="auto" w:fill="FFFFFF" w:themeFill="background1"/>
          </w:tcPr>
          <w:p w14:paraId="0BBCAF49" w14:textId="77777777" w:rsidR="00DD3EFA" w:rsidRPr="00EC2A1C" w:rsidRDefault="00DD3EFA" w:rsidP="00B15ECB">
            <w:pPr>
              <w:spacing w:before="60" w:after="60"/>
              <w:rPr>
                <w:rFonts w:eastAsiaTheme="majorEastAsia"/>
                <w:b/>
              </w:rPr>
            </w:pPr>
            <w:r w:rsidRPr="00EC2A1C">
              <w:rPr>
                <w:rFonts w:eastAsiaTheme="majorEastAsia"/>
                <w:b/>
              </w:rPr>
              <w:t>Unijní programy</w:t>
            </w:r>
          </w:p>
        </w:tc>
        <w:tc>
          <w:tcPr>
            <w:tcW w:w="6478" w:type="dxa"/>
            <w:tcBorders>
              <w:top w:val="nil"/>
            </w:tcBorders>
            <w:shd w:val="clear" w:color="auto" w:fill="FFFFFF" w:themeFill="background1"/>
          </w:tcPr>
          <w:p w14:paraId="609D42E8" w14:textId="77777777" w:rsidR="00DD3EFA" w:rsidRPr="00EC2A1C" w:rsidRDefault="00DD3EFA" w:rsidP="00B15ECB">
            <w:pPr>
              <w:spacing w:before="60" w:after="60"/>
              <w:rPr>
                <w:rFonts w:eastAsiaTheme="majorEastAsia"/>
              </w:rPr>
            </w:pPr>
            <w:r w:rsidRPr="00EC2A1C">
              <w:rPr>
                <w:rFonts w:eastAsiaTheme="majorEastAsia"/>
              </w:rPr>
              <w:t>Program LIFE - finanční nástroj EU pro životní prostředí a klima.</w:t>
            </w:r>
          </w:p>
          <w:p w14:paraId="0C1CB1C0" w14:textId="77777777" w:rsidR="00DD3EFA" w:rsidRPr="00EC2A1C" w:rsidRDefault="00DD3EFA" w:rsidP="00B15ECB">
            <w:pPr>
              <w:spacing w:before="60" w:after="60"/>
              <w:rPr>
                <w:rFonts w:eastAsiaTheme="majorEastAsia"/>
              </w:rPr>
            </w:pPr>
            <w:r w:rsidRPr="00EC2A1C">
              <w:rPr>
                <w:rFonts w:eastAsiaTheme="majorEastAsia"/>
              </w:rPr>
              <w:t>Program Horizon 2020 obsahuje aktivity orientované na obnovitelné systémy vytápění a chlazení, využití vodní energie a další.</w:t>
            </w:r>
          </w:p>
        </w:tc>
        <w:tc>
          <w:tcPr>
            <w:tcW w:w="249" w:type="dxa"/>
            <w:tcBorders>
              <w:top w:val="nil"/>
              <w:bottom w:val="nil"/>
            </w:tcBorders>
            <w:shd w:val="clear" w:color="auto" w:fill="66CCFF"/>
          </w:tcPr>
          <w:p w14:paraId="43DBC2B4" w14:textId="77777777" w:rsidR="00DD3EFA" w:rsidRPr="00EC2A1C" w:rsidRDefault="00DD3EFA" w:rsidP="00B15ECB">
            <w:pPr>
              <w:rPr>
                <w:b/>
              </w:rPr>
            </w:pPr>
          </w:p>
        </w:tc>
      </w:tr>
      <w:tr w:rsidR="00DD3EFA" w:rsidRPr="00EC2A1C" w14:paraId="78AB3CA6" w14:textId="77777777" w:rsidTr="005C7F05">
        <w:trPr>
          <w:trHeight w:val="1968"/>
        </w:trPr>
        <w:tc>
          <w:tcPr>
            <w:tcW w:w="249" w:type="dxa"/>
            <w:tcBorders>
              <w:top w:val="nil"/>
              <w:bottom w:val="nil"/>
            </w:tcBorders>
            <w:shd w:val="clear" w:color="auto" w:fill="66CCFF"/>
          </w:tcPr>
          <w:p w14:paraId="2714918E" w14:textId="77777777" w:rsidR="00DD3EFA" w:rsidRPr="00EC2A1C" w:rsidRDefault="00DD3EFA" w:rsidP="00B15ECB">
            <w:pPr>
              <w:rPr>
                <w:b/>
              </w:rPr>
            </w:pPr>
          </w:p>
        </w:tc>
        <w:tc>
          <w:tcPr>
            <w:tcW w:w="2558" w:type="dxa"/>
            <w:tcBorders>
              <w:top w:val="nil"/>
            </w:tcBorders>
            <w:shd w:val="clear" w:color="auto" w:fill="FFFFFF" w:themeFill="background1"/>
          </w:tcPr>
          <w:p w14:paraId="5B20B134" w14:textId="77777777" w:rsidR="00DD3EFA" w:rsidRPr="00EC2A1C" w:rsidRDefault="00DD3EFA" w:rsidP="00B15ECB">
            <w:pPr>
              <w:spacing w:before="60" w:after="60"/>
              <w:rPr>
                <w:rFonts w:eastAsiaTheme="majorEastAsia"/>
                <w:b/>
              </w:rPr>
            </w:pPr>
            <w:r w:rsidRPr="00EC2A1C">
              <w:rPr>
                <w:rFonts w:eastAsiaTheme="majorEastAsia"/>
                <w:b/>
              </w:rPr>
              <w:t>Státní rozpočet a další národní zdroje</w:t>
            </w:r>
          </w:p>
        </w:tc>
        <w:tc>
          <w:tcPr>
            <w:tcW w:w="6478" w:type="dxa"/>
            <w:tcBorders>
              <w:top w:val="nil"/>
            </w:tcBorders>
            <w:shd w:val="clear" w:color="auto" w:fill="FFFFFF" w:themeFill="background1"/>
          </w:tcPr>
          <w:p w14:paraId="103AEFB6" w14:textId="77777777" w:rsidR="00DD3EFA" w:rsidRPr="00EC2A1C" w:rsidRDefault="00DD3EFA" w:rsidP="00B15ECB">
            <w:pPr>
              <w:spacing w:before="60" w:after="60"/>
              <w:rPr>
                <w:rFonts w:eastAsiaTheme="majorEastAsia"/>
                <w:i/>
              </w:rPr>
            </w:pPr>
            <w:r w:rsidRPr="00EC2A1C">
              <w:rPr>
                <w:rFonts w:eastAsiaTheme="majorEastAsia"/>
                <w:i/>
              </w:rPr>
              <w:t>-</w:t>
            </w:r>
          </w:p>
        </w:tc>
        <w:tc>
          <w:tcPr>
            <w:tcW w:w="249" w:type="dxa"/>
            <w:tcBorders>
              <w:top w:val="nil"/>
              <w:bottom w:val="nil"/>
            </w:tcBorders>
            <w:shd w:val="clear" w:color="auto" w:fill="66CCFF"/>
          </w:tcPr>
          <w:p w14:paraId="400AC819" w14:textId="77777777" w:rsidR="00DD3EFA" w:rsidRPr="00EC2A1C" w:rsidRDefault="00DD3EFA" w:rsidP="00B15ECB">
            <w:pPr>
              <w:rPr>
                <w:b/>
              </w:rPr>
            </w:pPr>
          </w:p>
        </w:tc>
      </w:tr>
      <w:tr w:rsidR="00DD3EFA" w:rsidRPr="00EC2A1C" w14:paraId="4883D57D" w14:textId="77777777" w:rsidTr="005C7F05">
        <w:trPr>
          <w:trHeight w:val="1968"/>
        </w:trPr>
        <w:tc>
          <w:tcPr>
            <w:tcW w:w="249" w:type="dxa"/>
            <w:tcBorders>
              <w:top w:val="nil"/>
              <w:bottom w:val="nil"/>
            </w:tcBorders>
            <w:shd w:val="clear" w:color="auto" w:fill="66CCFF"/>
          </w:tcPr>
          <w:p w14:paraId="5C4296C7" w14:textId="77777777" w:rsidR="00DD3EFA" w:rsidRPr="00EC2A1C" w:rsidRDefault="00DD3EFA" w:rsidP="00B15ECB">
            <w:pPr>
              <w:rPr>
                <w:b/>
              </w:rPr>
            </w:pPr>
          </w:p>
        </w:tc>
        <w:tc>
          <w:tcPr>
            <w:tcW w:w="2558" w:type="dxa"/>
            <w:tcBorders>
              <w:top w:val="nil"/>
            </w:tcBorders>
            <w:shd w:val="clear" w:color="auto" w:fill="FFFFFF" w:themeFill="background1"/>
          </w:tcPr>
          <w:p w14:paraId="019F2E7B" w14:textId="77777777" w:rsidR="00DD3EFA" w:rsidRPr="00EC2A1C" w:rsidRDefault="00DD3EFA" w:rsidP="00B15ECB">
            <w:pPr>
              <w:spacing w:before="60" w:after="60"/>
              <w:rPr>
                <w:rFonts w:eastAsiaTheme="majorEastAsia"/>
                <w:b/>
              </w:rPr>
            </w:pPr>
            <w:r w:rsidRPr="00EC2A1C">
              <w:rPr>
                <w:rFonts w:eastAsiaTheme="majorEastAsia"/>
                <w:b/>
              </w:rPr>
              <w:t>Další zdroje mimo veřejné rozpočty</w:t>
            </w:r>
          </w:p>
        </w:tc>
        <w:tc>
          <w:tcPr>
            <w:tcW w:w="6478" w:type="dxa"/>
            <w:tcBorders>
              <w:top w:val="nil"/>
            </w:tcBorders>
            <w:shd w:val="clear" w:color="auto" w:fill="FFFFFF" w:themeFill="background1"/>
          </w:tcPr>
          <w:p w14:paraId="52C6E486" w14:textId="22B4886D" w:rsidR="00DD3EFA" w:rsidRPr="00EC2A1C" w:rsidRDefault="00DD3EFA" w:rsidP="00B15ECB">
            <w:pPr>
              <w:spacing w:before="60" w:after="60"/>
              <w:rPr>
                <w:rFonts w:eastAsiaTheme="majorEastAsia"/>
              </w:rPr>
            </w:pPr>
            <w:r w:rsidRPr="00EC2A1C">
              <w:rPr>
                <w:rFonts w:eastAsiaTheme="majorEastAsia"/>
              </w:rPr>
              <w:t xml:space="preserve">Mělo by dojít k postupnému dosažení konkurenceschopnosti těchto zdrojů s konvenčními zdroji energie, část </w:t>
            </w:r>
            <w:r w:rsidR="005C7F05" w:rsidRPr="00EC2A1C">
              <w:rPr>
                <w:rFonts w:eastAsiaTheme="majorEastAsia"/>
              </w:rPr>
              <w:t>prostředků</w:t>
            </w:r>
            <w:r w:rsidRPr="00EC2A1C">
              <w:rPr>
                <w:rFonts w:eastAsiaTheme="majorEastAsia"/>
              </w:rPr>
              <w:t xml:space="preserve"> by tedy měla být čerpána ze soukromých zdrojů. Investiční dotace také často požadují určitou míru kofinancování. Provozní podpora je také hrazena příspěvky spotřebitelů v konečné ceně elektřiny.</w:t>
            </w:r>
          </w:p>
        </w:tc>
        <w:tc>
          <w:tcPr>
            <w:tcW w:w="249" w:type="dxa"/>
            <w:tcBorders>
              <w:top w:val="nil"/>
              <w:bottom w:val="nil"/>
            </w:tcBorders>
            <w:shd w:val="clear" w:color="auto" w:fill="66CCFF"/>
          </w:tcPr>
          <w:p w14:paraId="3339B93B" w14:textId="77777777" w:rsidR="00DD3EFA" w:rsidRPr="00EC2A1C" w:rsidRDefault="00DD3EFA" w:rsidP="00B15ECB">
            <w:pPr>
              <w:rPr>
                <w:b/>
              </w:rPr>
            </w:pPr>
          </w:p>
        </w:tc>
      </w:tr>
      <w:tr w:rsidR="00DD3EFA" w:rsidRPr="00EC2A1C" w14:paraId="1A60C644" w14:textId="77777777" w:rsidTr="005C7F05">
        <w:trPr>
          <w:trHeight w:val="1968"/>
        </w:trPr>
        <w:tc>
          <w:tcPr>
            <w:tcW w:w="249" w:type="dxa"/>
            <w:tcBorders>
              <w:top w:val="nil"/>
              <w:bottom w:val="nil"/>
            </w:tcBorders>
            <w:shd w:val="clear" w:color="auto" w:fill="66CCFF"/>
          </w:tcPr>
          <w:p w14:paraId="04A1FA13" w14:textId="77777777" w:rsidR="00DD3EFA" w:rsidRPr="00EC2A1C" w:rsidRDefault="00DD3EFA" w:rsidP="00B15ECB">
            <w:pPr>
              <w:rPr>
                <w:b/>
              </w:rPr>
            </w:pPr>
          </w:p>
        </w:tc>
        <w:tc>
          <w:tcPr>
            <w:tcW w:w="2558" w:type="dxa"/>
            <w:tcBorders>
              <w:top w:val="nil"/>
            </w:tcBorders>
            <w:shd w:val="clear" w:color="auto" w:fill="FFFFFF" w:themeFill="background1"/>
          </w:tcPr>
          <w:p w14:paraId="55036053" w14:textId="77777777" w:rsidR="00DD3EFA" w:rsidRPr="00EC2A1C" w:rsidRDefault="00DD3EFA" w:rsidP="00B15ECB">
            <w:pPr>
              <w:spacing w:before="60" w:after="60"/>
              <w:rPr>
                <w:rFonts w:eastAsiaTheme="majorEastAsia"/>
                <w:b/>
              </w:rPr>
            </w:pPr>
            <w:r w:rsidRPr="00EC2A1C">
              <w:rPr>
                <w:rFonts w:eastAsiaTheme="majorEastAsia"/>
                <w:b/>
              </w:rPr>
              <w:t>Možnost využití FN.</w:t>
            </w:r>
          </w:p>
        </w:tc>
        <w:tc>
          <w:tcPr>
            <w:tcW w:w="6478" w:type="dxa"/>
            <w:tcBorders>
              <w:top w:val="nil"/>
            </w:tcBorders>
            <w:shd w:val="clear" w:color="auto" w:fill="FFFFFF" w:themeFill="background1"/>
          </w:tcPr>
          <w:p w14:paraId="7D933D8B" w14:textId="77777777" w:rsidR="00DD3EFA" w:rsidRPr="00EC2A1C" w:rsidRDefault="00DD3EFA" w:rsidP="00B15ECB">
            <w:pPr>
              <w:spacing w:before="60" w:after="60"/>
              <w:rPr>
                <w:rFonts w:eastAsiaTheme="majorEastAsia"/>
              </w:rPr>
            </w:pPr>
            <w:r w:rsidRPr="00EC2A1C">
              <w:rPr>
                <w:rFonts w:eastAsiaTheme="majorEastAsia"/>
              </w:rPr>
              <w:t>Využití FN je možné zvážit u projektů generujících výnosy či úspory, a to v závislosti na posouzení návratnosti investic a kombinovatelnosti s provozní podporou. Cíl může být vhodný pro kombinaci FN s dotací. Jednodušší administrace FN může umožnit realizaci i menších projektů.</w:t>
            </w:r>
          </w:p>
          <w:p w14:paraId="14AD0532" w14:textId="77777777" w:rsidR="00DD3EFA" w:rsidRPr="00EC2A1C" w:rsidRDefault="00DD3EFA" w:rsidP="00B15ECB">
            <w:pPr>
              <w:spacing w:before="60" w:after="60"/>
              <w:rPr>
                <w:rFonts w:eastAsiaTheme="majorEastAsia"/>
              </w:rPr>
            </w:pPr>
          </w:p>
          <w:p w14:paraId="4CAD00D7" w14:textId="77777777" w:rsidR="00DD3EFA" w:rsidRPr="00EC2A1C" w:rsidRDefault="00DD3EFA" w:rsidP="00B15ECB">
            <w:pPr>
              <w:spacing w:before="60" w:after="60"/>
              <w:rPr>
                <w:rFonts w:eastAsiaTheme="majorEastAsia"/>
              </w:rPr>
            </w:pPr>
          </w:p>
        </w:tc>
        <w:tc>
          <w:tcPr>
            <w:tcW w:w="249" w:type="dxa"/>
            <w:tcBorders>
              <w:top w:val="nil"/>
              <w:bottom w:val="nil"/>
            </w:tcBorders>
            <w:shd w:val="clear" w:color="auto" w:fill="66CCFF"/>
          </w:tcPr>
          <w:p w14:paraId="2406225B" w14:textId="77777777" w:rsidR="00DD3EFA" w:rsidRPr="00EC2A1C" w:rsidRDefault="00DD3EFA" w:rsidP="00B15ECB">
            <w:pPr>
              <w:rPr>
                <w:b/>
              </w:rPr>
            </w:pPr>
          </w:p>
        </w:tc>
      </w:tr>
      <w:tr w:rsidR="00DD3EFA" w:rsidRPr="00EC2A1C" w14:paraId="1479CAB5" w14:textId="77777777" w:rsidTr="005C7F05">
        <w:trPr>
          <w:trHeight w:val="150"/>
        </w:trPr>
        <w:tc>
          <w:tcPr>
            <w:tcW w:w="249" w:type="dxa"/>
            <w:tcBorders>
              <w:top w:val="nil"/>
              <w:right w:val="nil"/>
            </w:tcBorders>
            <w:shd w:val="clear" w:color="auto" w:fill="66CCFF"/>
          </w:tcPr>
          <w:p w14:paraId="0DA2E3F1" w14:textId="77777777" w:rsidR="00DD3EFA" w:rsidRPr="00EC2A1C" w:rsidRDefault="00DD3EFA" w:rsidP="00B15ECB">
            <w:pPr>
              <w:rPr>
                <w:b/>
              </w:rPr>
            </w:pPr>
          </w:p>
        </w:tc>
        <w:tc>
          <w:tcPr>
            <w:tcW w:w="2558" w:type="dxa"/>
            <w:tcBorders>
              <w:left w:val="nil"/>
              <w:right w:val="nil"/>
            </w:tcBorders>
            <w:shd w:val="clear" w:color="auto" w:fill="66CCFF"/>
          </w:tcPr>
          <w:p w14:paraId="3D0F41BC" w14:textId="77777777" w:rsidR="00DD3EFA" w:rsidRPr="00EC2A1C" w:rsidRDefault="00DD3EFA" w:rsidP="00B15ECB">
            <w:pPr>
              <w:rPr>
                <w:b/>
              </w:rPr>
            </w:pPr>
          </w:p>
        </w:tc>
        <w:tc>
          <w:tcPr>
            <w:tcW w:w="6478" w:type="dxa"/>
            <w:tcBorders>
              <w:left w:val="nil"/>
              <w:right w:val="nil"/>
            </w:tcBorders>
            <w:shd w:val="clear" w:color="auto" w:fill="66CCFF"/>
          </w:tcPr>
          <w:p w14:paraId="0D599115" w14:textId="77777777" w:rsidR="00DD3EFA" w:rsidRPr="00EC2A1C" w:rsidRDefault="00DD3EFA" w:rsidP="00B15ECB">
            <w:pPr>
              <w:rPr>
                <w:b/>
              </w:rPr>
            </w:pPr>
          </w:p>
        </w:tc>
        <w:tc>
          <w:tcPr>
            <w:tcW w:w="249" w:type="dxa"/>
            <w:tcBorders>
              <w:top w:val="nil"/>
              <w:left w:val="nil"/>
            </w:tcBorders>
            <w:shd w:val="clear" w:color="auto" w:fill="66CCFF"/>
          </w:tcPr>
          <w:p w14:paraId="401F868E" w14:textId="77777777" w:rsidR="00DD3EFA" w:rsidRPr="00EC2A1C" w:rsidRDefault="00DD3EFA" w:rsidP="00B15ECB">
            <w:pPr>
              <w:rPr>
                <w:b/>
              </w:rPr>
            </w:pPr>
          </w:p>
        </w:tc>
      </w:tr>
    </w:tbl>
    <w:p w14:paraId="1F62426B" w14:textId="77777777" w:rsidR="00DD3EFA" w:rsidRPr="00EC2A1C" w:rsidRDefault="00DD3EFA" w:rsidP="00B15ECB">
      <w:pPr>
        <w:rPr>
          <w:rFonts w:ascii="Times New Roman" w:hAnsi="Times New Roman" w:cs="Times New Roman"/>
          <w:b/>
          <w:sz w:val="20"/>
          <w:szCs w:val="20"/>
        </w:rPr>
      </w:pPr>
    </w:p>
    <w:p w14:paraId="179AD359" w14:textId="77777777" w:rsidR="00DD3EFA" w:rsidRPr="00EC2A1C" w:rsidRDefault="00DD3EFA">
      <w:pPr>
        <w:rPr>
          <w:rFonts w:ascii="Times New Roman" w:hAnsi="Times New Roman" w:cs="Times New Roman"/>
          <w:sz w:val="20"/>
          <w:szCs w:val="20"/>
        </w:rPr>
      </w:pPr>
      <w:r w:rsidRPr="00EC2A1C">
        <w:rPr>
          <w:rFonts w:ascii="Times New Roman" w:hAnsi="Times New Roman" w:cs="Times New Roman"/>
          <w:sz w:val="20"/>
          <w:szCs w:val="20"/>
        </w:rPr>
        <w:br w:type="page"/>
      </w:r>
    </w:p>
    <w:p w14:paraId="29AAB3F5" w14:textId="71171476" w:rsidR="00D762E9" w:rsidRPr="00C107A7" w:rsidRDefault="00D762E9" w:rsidP="00391907">
      <w:pPr>
        <w:pStyle w:val="Nadpis1"/>
        <w:numPr>
          <w:ilvl w:val="0"/>
          <w:numId w:val="1"/>
        </w:numPr>
        <w:rPr>
          <w:rFonts w:ascii="Times New Roman" w:hAnsi="Times New Roman" w:cs="Times New Roman"/>
        </w:rPr>
      </w:pPr>
      <w:bookmarkStart w:id="34" w:name="_Toc9511888"/>
      <w:r w:rsidRPr="00C107A7">
        <w:rPr>
          <w:rFonts w:ascii="Times New Roman" w:hAnsi="Times New Roman" w:cs="Times New Roman"/>
        </w:rPr>
        <w:t>Ochrana životního prostředí a oběhové hospodářství</w:t>
      </w:r>
      <w:bookmarkEnd w:id="34"/>
    </w:p>
    <w:tbl>
      <w:tblPr>
        <w:tblStyle w:val="Mkatabulky1"/>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66B2A2C9" w14:textId="77777777" w:rsidTr="00B15ECB">
        <w:trPr>
          <w:trHeight w:val="180"/>
        </w:trPr>
        <w:tc>
          <w:tcPr>
            <w:tcW w:w="249" w:type="dxa"/>
            <w:tcBorders>
              <w:bottom w:val="nil"/>
              <w:right w:val="nil"/>
            </w:tcBorders>
            <w:shd w:val="clear" w:color="auto" w:fill="66CCFF"/>
          </w:tcPr>
          <w:p w14:paraId="14C68171"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1E6091D0"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79C69028" w14:textId="77777777" w:rsidR="00DD3EFA" w:rsidRPr="00EC2A1C" w:rsidRDefault="00DD3EFA" w:rsidP="00B15ECB">
            <w:pPr>
              <w:rPr>
                <w:rFonts w:ascii="Times New Roman" w:hAnsi="Times New Roman" w:cs="Times New Roman"/>
                <w:b/>
                <w:sz w:val="20"/>
                <w:szCs w:val="20"/>
              </w:rPr>
            </w:pPr>
          </w:p>
        </w:tc>
        <w:tc>
          <w:tcPr>
            <w:tcW w:w="249" w:type="dxa"/>
            <w:tcBorders>
              <w:left w:val="nil"/>
              <w:bottom w:val="nil"/>
            </w:tcBorders>
            <w:shd w:val="clear" w:color="auto" w:fill="66CCFF"/>
          </w:tcPr>
          <w:p w14:paraId="51954631" w14:textId="77777777" w:rsidR="00DD3EFA" w:rsidRPr="00EC2A1C" w:rsidRDefault="00DD3EFA" w:rsidP="00B15ECB">
            <w:pPr>
              <w:rPr>
                <w:rFonts w:ascii="Times New Roman" w:hAnsi="Times New Roman" w:cs="Times New Roman"/>
                <w:b/>
                <w:sz w:val="20"/>
                <w:szCs w:val="20"/>
              </w:rPr>
            </w:pPr>
          </w:p>
        </w:tc>
      </w:tr>
      <w:tr w:rsidR="00DD3EFA" w:rsidRPr="00EC2A1C" w14:paraId="5EBB80FB" w14:textId="77777777" w:rsidTr="00B15ECB">
        <w:trPr>
          <w:trHeight w:val="561"/>
        </w:trPr>
        <w:tc>
          <w:tcPr>
            <w:tcW w:w="249" w:type="dxa"/>
            <w:tcBorders>
              <w:top w:val="nil"/>
              <w:bottom w:val="nil"/>
            </w:tcBorders>
            <w:shd w:val="clear" w:color="auto" w:fill="66CCFF"/>
          </w:tcPr>
          <w:p w14:paraId="6E1BE2D1" w14:textId="77777777" w:rsidR="00DD3EFA" w:rsidRPr="00EC2A1C" w:rsidRDefault="00DD3EFA" w:rsidP="00B15ECB">
            <w:pPr>
              <w:rPr>
                <w:rFonts w:ascii="Times New Roman" w:hAnsi="Times New Roman" w:cs="Times New Roman"/>
                <w:b/>
                <w:sz w:val="20"/>
                <w:szCs w:val="20"/>
              </w:rPr>
            </w:pPr>
          </w:p>
        </w:tc>
        <w:tc>
          <w:tcPr>
            <w:tcW w:w="2548" w:type="dxa"/>
            <w:shd w:val="clear" w:color="auto" w:fill="0070C0"/>
          </w:tcPr>
          <w:p w14:paraId="3ED9580C" w14:textId="77777777" w:rsidR="00DD3EFA" w:rsidRPr="00EC2A1C" w:rsidRDefault="00DD3EFA" w:rsidP="00B15ECB">
            <w:pPr>
              <w:spacing w:before="60" w:after="60"/>
              <w:rPr>
                <w:rFonts w:ascii="Times New Roman" w:eastAsiaTheme="majorEastAsia" w:hAnsi="Times New Roman" w:cs="Times New Roman"/>
                <w:b/>
                <w:color w:val="FFFFFF" w:themeColor="background1"/>
                <w:sz w:val="20"/>
                <w:szCs w:val="20"/>
              </w:rPr>
            </w:pPr>
            <w:r w:rsidRPr="00EC2A1C">
              <w:rPr>
                <w:rFonts w:ascii="Times New Roman" w:eastAsiaTheme="majorEastAsia" w:hAnsi="Times New Roman" w:cs="Times New Roman"/>
                <w:b/>
                <w:color w:val="FFFFFF" w:themeColor="background1"/>
                <w:sz w:val="20"/>
                <w:szCs w:val="20"/>
              </w:rPr>
              <w:t xml:space="preserve">Strategický cíl NKR: </w:t>
            </w:r>
            <w:r w:rsidRPr="00EC2A1C">
              <w:rPr>
                <w:rFonts w:ascii="Times New Roman" w:hAnsi="Times New Roman" w:cs="Times New Roman"/>
                <w:sz w:val="20"/>
                <w:szCs w:val="20"/>
              </w:rPr>
              <w:t>Zlepšení kvality životního prostředí, zavedení nízkouhlíkové ekonomiky a adaptace na změnu klimatu</w:t>
            </w:r>
          </w:p>
        </w:tc>
        <w:tc>
          <w:tcPr>
            <w:tcW w:w="5978" w:type="dxa"/>
            <w:shd w:val="clear" w:color="auto" w:fill="0070C0"/>
          </w:tcPr>
          <w:p w14:paraId="3313A265" w14:textId="77777777" w:rsidR="00DD3EFA" w:rsidRPr="00EC2A1C" w:rsidRDefault="00DD3EFA" w:rsidP="00B15ECB">
            <w:pPr>
              <w:spacing w:after="60"/>
              <w:rPr>
                <w:rFonts w:ascii="Times New Roman" w:eastAsiaTheme="majorEastAsia" w:hAnsi="Times New Roman" w:cs="Times New Roman"/>
                <w:b/>
                <w:color w:val="FFFFFF" w:themeColor="background1"/>
                <w:sz w:val="20"/>
                <w:szCs w:val="20"/>
                <w:u w:val="single"/>
              </w:rPr>
            </w:pPr>
            <w:r w:rsidRPr="00EC2A1C">
              <w:rPr>
                <w:rFonts w:ascii="Times New Roman" w:eastAsiaTheme="majorEastAsia" w:hAnsi="Times New Roman" w:cs="Times New Roman"/>
                <w:b/>
                <w:color w:val="FFFFFF" w:themeColor="background1"/>
                <w:sz w:val="20"/>
                <w:szCs w:val="20"/>
                <w:u w:val="single"/>
              </w:rPr>
              <w:t>Specifický cíl NKR</w:t>
            </w:r>
            <w:r w:rsidRPr="00EC2A1C">
              <w:rPr>
                <w:rStyle w:val="Znakapoznpodarou"/>
                <w:rFonts w:ascii="Times New Roman" w:eastAsiaTheme="majorEastAsia" w:hAnsi="Times New Roman" w:cs="Times New Roman"/>
                <w:color w:val="FFFFFF" w:themeColor="background1"/>
                <w:sz w:val="20"/>
                <w:szCs w:val="20"/>
                <w:u w:val="single"/>
              </w:rPr>
              <w:footnoteReference w:id="52"/>
            </w:r>
            <w:r w:rsidRPr="00EC2A1C">
              <w:rPr>
                <w:rFonts w:ascii="Times New Roman" w:eastAsiaTheme="majorEastAsia" w:hAnsi="Times New Roman" w:cs="Times New Roman"/>
                <w:b/>
                <w:color w:val="FFFFFF" w:themeColor="background1"/>
                <w:sz w:val="20"/>
                <w:szCs w:val="20"/>
                <w:u w:val="single"/>
              </w:rPr>
              <w:t xml:space="preserve">: </w:t>
            </w:r>
          </w:p>
          <w:p w14:paraId="127B93CC" w14:textId="77777777" w:rsidR="00DD3EFA" w:rsidRPr="00EC2A1C" w:rsidRDefault="00DD3EFA" w:rsidP="00B15ECB">
            <w:pPr>
              <w:pStyle w:val="Nadpis1"/>
              <w:outlineLvl w:val="0"/>
              <w:rPr>
                <w:rFonts w:ascii="Times New Roman" w:hAnsi="Times New Roman" w:cs="Times New Roman"/>
                <w:b/>
                <w:color w:val="FFFFFF" w:themeColor="background1"/>
                <w:sz w:val="20"/>
                <w:szCs w:val="20"/>
              </w:rPr>
            </w:pPr>
            <w:bookmarkStart w:id="35" w:name="_Toc1491416"/>
            <w:r w:rsidRPr="00EC2A1C">
              <w:rPr>
                <w:rFonts w:ascii="Times New Roman" w:hAnsi="Times New Roman" w:cs="Times New Roman"/>
                <w:b/>
                <w:color w:val="FFFFFF" w:themeColor="background1"/>
                <w:sz w:val="20"/>
                <w:szCs w:val="20"/>
              </w:rPr>
              <w:t>Ochrana a péče o přírodu a krajinu</w:t>
            </w:r>
            <w:bookmarkEnd w:id="35"/>
            <w:r w:rsidRPr="00EC2A1C">
              <w:rPr>
                <w:rFonts w:ascii="Times New Roman" w:hAnsi="Times New Roman" w:cs="Times New Roman"/>
                <w:b/>
                <w:color w:val="FFFFFF" w:themeColor="background1"/>
                <w:sz w:val="20"/>
                <w:szCs w:val="20"/>
              </w:rPr>
              <w:t xml:space="preserve"> </w:t>
            </w:r>
          </w:p>
          <w:p w14:paraId="29E1B5F4" w14:textId="77777777" w:rsidR="00DD3EFA" w:rsidRPr="00EC2A1C" w:rsidRDefault="00DD3EFA" w:rsidP="00B15ECB">
            <w:pPr>
              <w:spacing w:before="60" w:after="60"/>
              <w:rPr>
                <w:rFonts w:ascii="Times New Roman" w:eastAsiaTheme="majorEastAsia" w:hAnsi="Times New Roman" w:cs="Times New Roman"/>
                <w:b/>
                <w:color w:val="FFFFFF" w:themeColor="background1"/>
                <w:sz w:val="20"/>
                <w:szCs w:val="20"/>
                <w:u w:val="single"/>
              </w:rPr>
            </w:pPr>
          </w:p>
        </w:tc>
        <w:tc>
          <w:tcPr>
            <w:tcW w:w="249" w:type="dxa"/>
            <w:tcBorders>
              <w:top w:val="nil"/>
              <w:bottom w:val="nil"/>
            </w:tcBorders>
            <w:shd w:val="clear" w:color="auto" w:fill="66CCFF"/>
          </w:tcPr>
          <w:p w14:paraId="530E17FF" w14:textId="77777777" w:rsidR="00DD3EFA" w:rsidRPr="00EC2A1C" w:rsidRDefault="00DD3EFA" w:rsidP="00B15ECB">
            <w:pPr>
              <w:rPr>
                <w:rFonts w:ascii="Times New Roman" w:hAnsi="Times New Roman" w:cs="Times New Roman"/>
                <w:b/>
                <w:sz w:val="20"/>
                <w:szCs w:val="20"/>
              </w:rPr>
            </w:pPr>
          </w:p>
        </w:tc>
      </w:tr>
      <w:tr w:rsidR="00DD3EFA" w:rsidRPr="00EC2A1C" w14:paraId="655D0F19" w14:textId="77777777" w:rsidTr="00B15ECB">
        <w:trPr>
          <w:trHeight w:val="180"/>
        </w:trPr>
        <w:tc>
          <w:tcPr>
            <w:tcW w:w="249" w:type="dxa"/>
            <w:tcBorders>
              <w:top w:val="nil"/>
              <w:bottom w:val="nil"/>
              <w:right w:val="nil"/>
            </w:tcBorders>
            <w:shd w:val="clear" w:color="auto" w:fill="66CCFF"/>
          </w:tcPr>
          <w:p w14:paraId="5A4FF3E0"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484BB848"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1BE98F2E"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6A269633" w14:textId="77777777" w:rsidR="00DD3EFA" w:rsidRPr="00EC2A1C" w:rsidRDefault="00DD3EFA" w:rsidP="00B15ECB">
            <w:pPr>
              <w:rPr>
                <w:rFonts w:ascii="Times New Roman" w:hAnsi="Times New Roman" w:cs="Times New Roman"/>
                <w:b/>
                <w:sz w:val="20"/>
                <w:szCs w:val="20"/>
              </w:rPr>
            </w:pPr>
          </w:p>
        </w:tc>
      </w:tr>
      <w:tr w:rsidR="00DD3EFA" w:rsidRPr="00EC2A1C" w14:paraId="5A9C5054" w14:textId="77777777" w:rsidTr="00B15ECB">
        <w:trPr>
          <w:trHeight w:val="892"/>
        </w:trPr>
        <w:tc>
          <w:tcPr>
            <w:tcW w:w="249" w:type="dxa"/>
            <w:tcBorders>
              <w:top w:val="nil"/>
              <w:bottom w:val="nil"/>
            </w:tcBorders>
            <w:shd w:val="clear" w:color="auto" w:fill="66CCFF"/>
          </w:tcPr>
          <w:p w14:paraId="3E19137D" w14:textId="77777777" w:rsidR="00DD3EFA" w:rsidRPr="00EC2A1C" w:rsidRDefault="00DD3EFA" w:rsidP="00B15ECB">
            <w:pPr>
              <w:rPr>
                <w:rFonts w:ascii="Times New Roman" w:hAnsi="Times New Roman" w:cs="Times New Roman"/>
                <w:b/>
                <w:sz w:val="20"/>
                <w:szCs w:val="20"/>
              </w:rPr>
            </w:pPr>
          </w:p>
        </w:tc>
        <w:tc>
          <w:tcPr>
            <w:tcW w:w="2548" w:type="dxa"/>
            <w:shd w:val="clear" w:color="auto" w:fill="FFFFFF" w:themeFill="background1"/>
          </w:tcPr>
          <w:p w14:paraId="630D8158"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Věcné vymezení specifického cíle NKR</w:t>
            </w:r>
          </w:p>
        </w:tc>
        <w:tc>
          <w:tcPr>
            <w:tcW w:w="5978" w:type="dxa"/>
            <w:shd w:val="clear" w:color="auto" w:fill="FFFFFF" w:themeFill="background1"/>
          </w:tcPr>
          <w:p w14:paraId="1827EC21" w14:textId="77777777" w:rsidR="00DD3EFA" w:rsidRPr="00EC2A1C" w:rsidRDefault="00DD3EFA" w:rsidP="00B15ECB">
            <w:pPr>
              <w:spacing w:before="60" w:after="60" w:line="264" w:lineRule="auto"/>
              <w:rPr>
                <w:rFonts w:ascii="Times New Roman" w:hAnsi="Times New Roman" w:cs="Times New Roman"/>
                <w:b/>
                <w:sz w:val="20"/>
                <w:szCs w:val="20"/>
              </w:rPr>
            </w:pPr>
            <w:r w:rsidRPr="00EC2A1C">
              <w:rPr>
                <w:rFonts w:ascii="Times New Roman" w:hAnsi="Times New Roman" w:cs="Times New Roman"/>
                <w:b/>
                <w:sz w:val="20"/>
                <w:szCs w:val="20"/>
              </w:rPr>
              <w:t>Zachování přírodních hodnot a biodiverzity</w:t>
            </w:r>
          </w:p>
          <w:p w14:paraId="4E9A7BB0"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V rámci podoblasti budou realizována opatření vedoucí k ochraně, zachování či obnově biodiverzity (zachováním a obnovou druhové a stanovištní rozmanitosti rostlin a živočichů, eliminací šíření invazních druhů, zprůchodňování migračních bariér pro živočichy, předcházením a nápravou škod způsobených zvláště chráněnými druhy živočichů na majetku) a fenoménů zvláště chráněných území a lokalit soustavy Natura 2000. </w:t>
            </w:r>
          </w:p>
          <w:p w14:paraId="1787F6A4" w14:textId="77777777" w:rsidR="00DD3EFA" w:rsidRPr="00EC2A1C" w:rsidRDefault="00DD3EFA" w:rsidP="00B15ECB">
            <w:pPr>
              <w:spacing w:before="60" w:after="60" w:line="276" w:lineRule="auto"/>
              <w:rPr>
                <w:rFonts w:ascii="Times New Roman" w:hAnsi="Times New Roman" w:cs="Times New Roman"/>
                <w:sz w:val="20"/>
                <w:szCs w:val="20"/>
              </w:rPr>
            </w:pPr>
          </w:p>
          <w:p w14:paraId="560DB40A" w14:textId="77777777" w:rsidR="00DD3EFA" w:rsidRPr="00EC2A1C" w:rsidRDefault="00DD3EFA" w:rsidP="00B15ECB">
            <w:pPr>
              <w:pStyle w:val="slovanodstavec"/>
              <w:tabs>
                <w:tab w:val="clear" w:pos="567"/>
                <w:tab w:val="left" w:pos="284"/>
              </w:tabs>
              <w:suppressAutoHyphens/>
              <w:contextualSpacing/>
              <w:rPr>
                <w:rFonts w:ascii="Times New Roman" w:eastAsiaTheme="minorHAnsi" w:hAnsi="Times New Roman"/>
                <w:b/>
                <w:sz w:val="20"/>
                <w:szCs w:val="20"/>
              </w:rPr>
            </w:pPr>
            <w:r w:rsidRPr="00EC2A1C">
              <w:rPr>
                <w:rFonts w:ascii="Times New Roman" w:eastAsiaTheme="minorHAnsi" w:hAnsi="Times New Roman"/>
                <w:b/>
                <w:sz w:val="20"/>
                <w:szCs w:val="20"/>
              </w:rPr>
              <w:t xml:space="preserve">Obnova a rozvoj ekologické stability krajiny a ekosystémů </w:t>
            </w:r>
          </w:p>
          <w:p w14:paraId="66C0C1E4"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podoblasti budou realizována opatření k posílení ekosystémových funkcí a služeb krajiny vytvářením a obnovou krajinných prvků, budováním prvků územních systémů ekologické stability, zvyšováním stability lesních ekosystémů, obnovou přirozeného vodního režimu, zlepšením hospodaření s půdou a zvyšováním podílu prvků a ploch funkční sídelní zeleně včetně propojení s volnou krajinou. Dále budou realizována opatření v oblasti environmentální bezpečnosti.</w:t>
            </w:r>
          </w:p>
          <w:p w14:paraId="0BDB3501" w14:textId="77777777" w:rsidR="00DD3EFA" w:rsidRPr="00EC2A1C" w:rsidRDefault="00DD3EFA" w:rsidP="00B15ECB">
            <w:pPr>
              <w:spacing w:before="60" w:after="60"/>
              <w:rPr>
                <w:rFonts w:ascii="Times New Roman" w:eastAsiaTheme="majorEastAsia" w:hAnsi="Times New Roman" w:cs="Times New Roman"/>
                <w:i/>
                <w:sz w:val="20"/>
                <w:szCs w:val="20"/>
              </w:rPr>
            </w:pPr>
          </w:p>
          <w:p w14:paraId="738D0D6D" w14:textId="77777777" w:rsidR="00DD3EFA" w:rsidRPr="00EC2A1C" w:rsidRDefault="00DD3EFA" w:rsidP="00B15ECB">
            <w:pPr>
              <w:spacing w:before="60" w:after="60"/>
              <w:rPr>
                <w:rFonts w:ascii="Times New Roman" w:hAnsi="Times New Roman" w:cs="Times New Roman"/>
                <w:sz w:val="20"/>
                <w:szCs w:val="20"/>
                <w:u w:val="single"/>
              </w:rPr>
            </w:pPr>
          </w:p>
        </w:tc>
        <w:tc>
          <w:tcPr>
            <w:tcW w:w="249" w:type="dxa"/>
            <w:tcBorders>
              <w:top w:val="nil"/>
              <w:bottom w:val="nil"/>
            </w:tcBorders>
            <w:shd w:val="clear" w:color="auto" w:fill="66CCFF"/>
          </w:tcPr>
          <w:p w14:paraId="0548F2EE" w14:textId="77777777" w:rsidR="00DD3EFA" w:rsidRPr="00EC2A1C" w:rsidRDefault="00DD3EFA" w:rsidP="00B15ECB">
            <w:pPr>
              <w:rPr>
                <w:rFonts w:ascii="Times New Roman" w:hAnsi="Times New Roman" w:cs="Times New Roman"/>
                <w:b/>
                <w:sz w:val="20"/>
                <w:szCs w:val="20"/>
              </w:rPr>
            </w:pPr>
          </w:p>
        </w:tc>
      </w:tr>
      <w:tr w:rsidR="00DD3EFA" w:rsidRPr="00EC2A1C" w14:paraId="06BC13B8" w14:textId="77777777" w:rsidTr="00B15ECB">
        <w:trPr>
          <w:trHeight w:val="46"/>
        </w:trPr>
        <w:tc>
          <w:tcPr>
            <w:tcW w:w="249" w:type="dxa"/>
            <w:tcBorders>
              <w:top w:val="nil"/>
              <w:bottom w:val="nil"/>
              <w:right w:val="nil"/>
            </w:tcBorders>
            <w:shd w:val="clear" w:color="auto" w:fill="66CCFF"/>
          </w:tcPr>
          <w:p w14:paraId="39C28560" w14:textId="77777777" w:rsidR="00DD3EFA" w:rsidRPr="00EC2A1C" w:rsidRDefault="00DD3EFA" w:rsidP="00B15ECB">
            <w:pPr>
              <w:rPr>
                <w:rFonts w:ascii="Times New Roman" w:hAnsi="Times New Roman" w:cs="Times New Roman"/>
                <w:b/>
                <w:sz w:val="20"/>
                <w:szCs w:val="20"/>
              </w:rPr>
            </w:pPr>
          </w:p>
        </w:tc>
        <w:tc>
          <w:tcPr>
            <w:tcW w:w="2548" w:type="dxa"/>
            <w:tcBorders>
              <w:left w:val="nil"/>
              <w:bottom w:val="single" w:sz="4" w:space="0" w:color="auto"/>
              <w:right w:val="nil"/>
            </w:tcBorders>
            <w:shd w:val="clear" w:color="auto" w:fill="66CCFF"/>
          </w:tcPr>
          <w:p w14:paraId="76838C10" w14:textId="77777777" w:rsidR="00DD3EFA" w:rsidRPr="00EC2A1C" w:rsidRDefault="00DD3EFA" w:rsidP="00B15ECB">
            <w:pPr>
              <w:rPr>
                <w:rFonts w:ascii="Times New Roman" w:hAnsi="Times New Roman" w:cs="Times New Roman"/>
                <w:b/>
                <w:sz w:val="20"/>
                <w:szCs w:val="20"/>
              </w:rPr>
            </w:pPr>
          </w:p>
        </w:tc>
        <w:tc>
          <w:tcPr>
            <w:tcW w:w="5978" w:type="dxa"/>
            <w:tcBorders>
              <w:left w:val="nil"/>
              <w:bottom w:val="single" w:sz="4" w:space="0" w:color="auto"/>
              <w:right w:val="nil"/>
            </w:tcBorders>
            <w:shd w:val="clear" w:color="auto" w:fill="66CCFF"/>
          </w:tcPr>
          <w:p w14:paraId="2FA13A00"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573AD2F6" w14:textId="77777777" w:rsidR="00DD3EFA" w:rsidRPr="00EC2A1C" w:rsidRDefault="00DD3EFA" w:rsidP="00B15ECB">
            <w:pPr>
              <w:rPr>
                <w:rFonts w:ascii="Times New Roman" w:hAnsi="Times New Roman" w:cs="Times New Roman"/>
                <w:b/>
                <w:sz w:val="20"/>
                <w:szCs w:val="20"/>
              </w:rPr>
            </w:pPr>
          </w:p>
        </w:tc>
      </w:tr>
      <w:tr w:rsidR="00DD3EFA" w:rsidRPr="00EC2A1C" w14:paraId="7C347A8A" w14:textId="77777777" w:rsidTr="00B15ECB">
        <w:trPr>
          <w:trHeight w:val="1274"/>
        </w:trPr>
        <w:tc>
          <w:tcPr>
            <w:tcW w:w="249" w:type="dxa"/>
            <w:tcBorders>
              <w:top w:val="nil"/>
              <w:bottom w:val="nil"/>
            </w:tcBorders>
            <w:shd w:val="clear" w:color="auto" w:fill="66CCFF"/>
          </w:tcPr>
          <w:p w14:paraId="784D1FFB"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1D0CB7B"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Proč je daný cíl důležitý (v kontextu oblasti i v kontextu celku)</w:t>
            </w:r>
          </w:p>
        </w:tc>
        <w:tc>
          <w:tcPr>
            <w:tcW w:w="5978" w:type="dxa"/>
            <w:tcBorders>
              <w:bottom w:val="single" w:sz="4" w:space="0" w:color="auto"/>
            </w:tcBorders>
            <w:shd w:val="clear" w:color="auto" w:fill="FFFFFF" w:themeFill="background1"/>
          </w:tcPr>
          <w:p w14:paraId="021B0BB9" w14:textId="77777777" w:rsidR="00DD3EFA" w:rsidRPr="00EC2A1C" w:rsidRDefault="00DD3EFA" w:rsidP="00B15ECB">
            <w:pPr>
              <w:spacing w:before="60" w:after="60" w:line="276" w:lineRule="auto"/>
              <w:rPr>
                <w:rFonts w:ascii="Times New Roman" w:hAnsi="Times New Roman" w:cs="Times New Roman"/>
                <w:b/>
                <w:sz w:val="20"/>
                <w:szCs w:val="20"/>
              </w:rPr>
            </w:pPr>
            <w:r w:rsidRPr="00EC2A1C">
              <w:rPr>
                <w:rFonts w:ascii="Times New Roman" w:hAnsi="Times New Roman" w:cs="Times New Roman"/>
                <w:b/>
                <w:sz w:val="20"/>
                <w:szCs w:val="20"/>
              </w:rPr>
              <w:t xml:space="preserve">Realizace opatření v této oblasti vyplývá jak z právních předpisů, tak mnoha strategických dokumentů (viz výše). </w:t>
            </w:r>
          </w:p>
          <w:p w14:paraId="629D6A1C" w14:textId="77777777" w:rsidR="00DD3EFA" w:rsidRPr="00EC2A1C" w:rsidRDefault="00DD3EFA" w:rsidP="00B15ECB">
            <w:pPr>
              <w:spacing w:before="60" w:after="60" w:line="276" w:lineRule="auto"/>
              <w:rPr>
                <w:rFonts w:ascii="Times New Roman" w:hAnsi="Times New Roman" w:cs="Times New Roman"/>
                <w:b/>
                <w:sz w:val="20"/>
                <w:szCs w:val="20"/>
              </w:rPr>
            </w:pPr>
          </w:p>
          <w:p w14:paraId="4BFC8CF7"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b/>
                <w:sz w:val="20"/>
                <w:szCs w:val="20"/>
              </w:rPr>
              <w:t>Druhová bohatost a ekologická stabilita krajiny je předpokladem k zajištění ekosystémových služeb, tedy užitků, které příroda a krajina poskytuje společnosti.</w:t>
            </w:r>
            <w:r w:rsidRPr="00EC2A1C">
              <w:rPr>
                <w:rFonts w:ascii="Times New Roman" w:hAnsi="Times New Roman" w:cs="Times New Roman"/>
                <w:sz w:val="20"/>
                <w:szCs w:val="20"/>
              </w:rPr>
              <w:t xml:space="preserve"> Jedná se o služby zásobovací (produkce potravin či dřeva), regulační (pročišťování vody, ukládání uhlíku, omezení eroze či opylování), kulturní (rekreační, vzdělávací či estetické hodnoty) a podpůrné (fotosyntéza a primární produkce, koloběh živin a vody). Poskytování těchto služeb je nezbytné pro zajištění kvality lidského života a ekonomickou produkci.</w:t>
            </w:r>
          </w:p>
          <w:p w14:paraId="32B8B394"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b/>
                <w:sz w:val="20"/>
                <w:szCs w:val="20"/>
              </w:rPr>
              <w:t xml:space="preserve">Zdravé a propojené ekosystémy zmírňují dopady extrémních meteorologických jevů </w:t>
            </w:r>
            <w:r w:rsidRPr="00EC2A1C">
              <w:rPr>
                <w:rFonts w:ascii="Times New Roman" w:hAnsi="Times New Roman" w:cs="Times New Roman"/>
                <w:sz w:val="20"/>
                <w:szCs w:val="20"/>
              </w:rPr>
              <w:t xml:space="preserve">(zejména povodní, dlouhodobého sucha, extrémního větru, extrémně vysokých teplot) a sesuvů půdy spojených se změnou klimatu. V důsledku významného ovlivňování a poškozování ekosystémů a narušení jejich funkčního propojení jsou již v mnoha případech narušeny dlouhodobé a přirozené vzájemné vazby a vztahy mezi organismy a jejich vnějším prostředím i mezi jednotlivými složkami životního prostředí. V řadě intervencí by tak měl být uplatňován ekosystémový přístup a opatření v oblasti péče o přírodu a krajinu by měla navazovat i na technická opatření a vytvářet integrovaný systém. </w:t>
            </w:r>
          </w:p>
          <w:p w14:paraId="72CDF20E" w14:textId="77777777" w:rsidR="00DD3EFA" w:rsidRPr="00EC2A1C" w:rsidRDefault="00DD3EFA" w:rsidP="00B15ECB">
            <w:pPr>
              <w:spacing w:before="60" w:after="60" w:line="276" w:lineRule="auto"/>
              <w:rPr>
                <w:rFonts w:ascii="Times New Roman" w:hAnsi="Times New Roman" w:cs="Times New Roman"/>
                <w:sz w:val="20"/>
                <w:szCs w:val="20"/>
              </w:rPr>
            </w:pPr>
          </w:p>
          <w:p w14:paraId="61CBF340" w14:textId="77777777" w:rsidR="00DD3EFA" w:rsidRPr="00EC2A1C" w:rsidRDefault="00DD3EFA" w:rsidP="00B15ECB">
            <w:pPr>
              <w:spacing w:before="60" w:after="60" w:line="276" w:lineRule="auto"/>
              <w:rPr>
                <w:rFonts w:ascii="Times New Roman" w:eastAsiaTheme="majorEastAsia" w:hAnsi="Times New Roman" w:cs="Times New Roman"/>
                <w:i/>
                <w:sz w:val="20"/>
                <w:szCs w:val="20"/>
                <w:u w:val="single"/>
              </w:rPr>
            </w:pPr>
            <w:r w:rsidRPr="00EC2A1C">
              <w:rPr>
                <w:rFonts w:ascii="Times New Roman" w:hAnsi="Times New Roman" w:cs="Times New Roman"/>
                <w:b/>
                <w:sz w:val="20"/>
                <w:szCs w:val="20"/>
              </w:rPr>
              <w:t>V případě nečinnosti (nedostatečné intervence) hrozí již v dohledné budoucnosti významné ekonomické ztráty např. úbytkem opylovačů, omezenou přirozenou autoregulací chorob a škůdců, nedostatkem vody, snížením úrodnosti půd, desertifikací apod. Vzhledem k tomu, že na poskytování ekosystémových služeb je společnost existenčně závislá, je oslabení nebo ztráta těchto služeb z dlouhodobého hlediska významnou celospolečenskou hrozbou.</w:t>
            </w:r>
          </w:p>
          <w:p w14:paraId="683FDB4E" w14:textId="77777777" w:rsidR="00DD3EFA" w:rsidRPr="00EC2A1C" w:rsidRDefault="00DD3EFA">
            <w:pPr>
              <w:spacing w:before="60" w:after="60"/>
              <w:rPr>
                <w:rFonts w:ascii="Times New Roman" w:eastAsiaTheme="majorEastAsia" w:hAnsi="Times New Roman" w:cs="Times New Roman"/>
                <w:i/>
                <w:sz w:val="20"/>
                <w:szCs w:val="20"/>
                <w:u w:val="single"/>
              </w:rPr>
            </w:pPr>
          </w:p>
        </w:tc>
        <w:tc>
          <w:tcPr>
            <w:tcW w:w="249" w:type="dxa"/>
            <w:tcBorders>
              <w:top w:val="nil"/>
              <w:bottom w:val="nil"/>
            </w:tcBorders>
            <w:shd w:val="clear" w:color="auto" w:fill="66CCFF"/>
          </w:tcPr>
          <w:p w14:paraId="74CD1F3E" w14:textId="77777777" w:rsidR="00DD3EFA" w:rsidRPr="00EC2A1C" w:rsidRDefault="00DD3EFA" w:rsidP="00B15ECB">
            <w:pPr>
              <w:rPr>
                <w:rFonts w:ascii="Times New Roman" w:hAnsi="Times New Roman" w:cs="Times New Roman"/>
                <w:b/>
                <w:sz w:val="20"/>
                <w:szCs w:val="20"/>
              </w:rPr>
            </w:pPr>
          </w:p>
        </w:tc>
      </w:tr>
      <w:tr w:rsidR="00DD3EFA" w:rsidRPr="00EC2A1C" w14:paraId="143A1FC6" w14:textId="77777777" w:rsidTr="00B15ECB">
        <w:trPr>
          <w:trHeight w:val="1274"/>
        </w:trPr>
        <w:tc>
          <w:tcPr>
            <w:tcW w:w="249" w:type="dxa"/>
            <w:tcBorders>
              <w:top w:val="nil"/>
              <w:bottom w:val="nil"/>
            </w:tcBorders>
            <w:shd w:val="clear" w:color="auto" w:fill="66CCFF"/>
          </w:tcPr>
          <w:p w14:paraId="044E0B6E"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11921D9"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 xml:space="preserve">Problémy, které specifický cíl řeší </w:t>
            </w:r>
          </w:p>
        </w:tc>
        <w:tc>
          <w:tcPr>
            <w:tcW w:w="5978" w:type="dxa"/>
            <w:tcBorders>
              <w:bottom w:val="single" w:sz="4" w:space="0" w:color="auto"/>
            </w:tcBorders>
            <w:shd w:val="clear" w:color="auto" w:fill="FFFFFF" w:themeFill="background1"/>
          </w:tcPr>
          <w:p w14:paraId="7C346615"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Tematická oblast řeší problémy zranitelnosti přírody a krajiny vůči negativním dopadům spojeným se změnou klimatu a nevhodným způsobem využívání krajiny. </w:t>
            </w:r>
          </w:p>
          <w:p w14:paraId="013D352F"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Strategie přizpůsobení se změně klimatu v podmínkách ČR uvádí odhad úbytku druhů rostlin a živočichů o 20 – 30 % v případě zvýšení průměrné globální teploty o více než 2 ºC. </w:t>
            </w:r>
          </w:p>
          <w:p w14:paraId="242E01CD"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Model evropské vegetace EUROMOVE předpokládá, že Česko do roku 2050 osídlí řádově desítky až stovky zcela nových rostlinných druhů, zatímco desítky jiných druhů vymizí. Tyto změny budou mít za následek celkové ochuzení původní biologické rozmanitosti a její celkovou homogenizaci. Snadno se šířící druhy totiž často patří k tzv. generalistům (druhům se širokou přizpůsobivostí na životní podmínky), druhům ruderálním (druhy rostlin osídlující člověkem vytvořené a narušené plochy) a druhům s velkým potenciálem k invazivnosti. Naopak úbytek se dotkne zejména vzácných druhů s velmi specifickými nároky na životní prostředí.</w:t>
            </w:r>
          </w:p>
          <w:p w14:paraId="1407D205"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Pokles biologické rozmanitosti není způsoben pouze změnou klimatu, ale i změnou způsobu a intenzity využívání krajiny (zemědělství, urbanizace, doprava, turismus). V případě zemědělského hospodaření jsou zjevné rozdíly mezi regiony – upouštění od hospodaření v méně úrodných oblastech (zejm. v horách a podhůří) a naopak intenzifikace zemědělství v nížinách. Negativně působí také fragmentace krajiny (jak terestrickými migračními překážkami, tak na vodních tocích), šíření invazivních druhů nebo záměrné usmrcování zvláště chráněných druhů, nejčastěji velkých šelem, které způsobují škody na majetku.</w:t>
            </w:r>
          </w:p>
          <w:p w14:paraId="0B10BFCE"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Zajištění ochrany je nejčastěji prováděno tzv. územní ochranou vyhlášením zvláště chráněných území a lokalit soustavy Natura 2000 nebo druhovou ochranou. V tomto případě je ohrožujícím faktorem nedostatečný rozsah vhodného managementu a nedostatečné podklady pro jeho stanovení. Příkladem je i skutečnost, že v ČR je pouze 16 % přírodních stanovišť ve stavu příznivém z hlediska jejich ochrany.</w:t>
            </w:r>
          </w:p>
          <w:p w14:paraId="1C9B0397" w14:textId="77777777" w:rsidR="00DD3EFA" w:rsidRPr="00EC2A1C" w:rsidRDefault="00DD3EFA" w:rsidP="00B15ECB">
            <w:pPr>
              <w:spacing w:before="60" w:after="60" w:line="276" w:lineRule="auto"/>
              <w:rPr>
                <w:rFonts w:ascii="Times New Roman" w:hAnsi="Times New Roman" w:cs="Times New Roman"/>
                <w:sz w:val="20"/>
                <w:szCs w:val="20"/>
              </w:rPr>
            </w:pPr>
          </w:p>
          <w:p w14:paraId="01E5671A"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Současný stav krajiny, ovlivněný nevhodným využíváním a změnou klimatu, způsobuje nižší schopnost ekosystémů poskytovat jak produkční, tak mimoprodukční služby a odolávat krizovým situacím (katastrofám) antropogenního a přírodního původu (suchu, povodním, extrémnímu větru, extrémně vysokým teplotám, biologickým invazím atd.). Ztráta a oslabování přirozených funkcí krajiny je mimo jiné způsobena technickými úpravami vodních toků, nízkou prostupností krajiny a její fragmentací, odvodňováním krajiny melioracemi, scelováním zemědělsky obhospodařované půdy a ničením krajinných prvků (remízů, mezí, alejí atd.), trvalými zábory půdy a nárůstem urbanizovaného území a infrastruktury, zvýšenou ohrožeností půd mechanickou a chemickou degradací, nevhodnou druhovou, prostorovou a věkovou skladbou lesů atd. </w:t>
            </w:r>
          </w:p>
          <w:p w14:paraId="58B104DB" w14:textId="77777777" w:rsidR="00DD3EFA" w:rsidRPr="00EC2A1C" w:rsidRDefault="00DD3EFA" w:rsidP="00B15ECB">
            <w:pPr>
              <w:spacing w:before="60" w:after="60"/>
              <w:rPr>
                <w:rFonts w:ascii="Times New Roman" w:hAnsi="Times New Roman" w:cs="Times New Roman"/>
                <w:i/>
                <w:sz w:val="20"/>
                <w:szCs w:val="20"/>
              </w:rPr>
            </w:pPr>
            <w:r w:rsidRPr="00EC2A1C">
              <w:rPr>
                <w:rFonts w:ascii="Times New Roman" w:hAnsi="Times New Roman" w:cs="Times New Roman"/>
                <w:sz w:val="20"/>
                <w:szCs w:val="20"/>
              </w:rPr>
              <w:t>To je možné prokázat např. erozním ohrožením půd (na území ČR je potenciálně ohroženo 63,89 % zemědělské půdy vodní erozí a 25 % větrnou erozí. Z toho extrémně ohroženo vodní erozí je 23,88 % zemědělských půd a nejohroženějších zemědělských půd větrnou erozí je 3,2 %.), snížením rozlohy dopravou nefragmentované krajiny z 54 tis. km</w:t>
            </w:r>
            <w:r w:rsidRPr="00EC2A1C">
              <w:rPr>
                <w:rFonts w:ascii="Times New Roman" w:hAnsi="Times New Roman" w:cs="Times New Roman"/>
                <w:sz w:val="20"/>
                <w:szCs w:val="20"/>
                <w:vertAlign w:val="superscript"/>
              </w:rPr>
              <w:t>2</w:t>
            </w:r>
            <w:r w:rsidRPr="00EC2A1C">
              <w:rPr>
                <w:rFonts w:ascii="Times New Roman" w:hAnsi="Times New Roman" w:cs="Times New Roman"/>
                <w:sz w:val="20"/>
                <w:szCs w:val="20"/>
              </w:rPr>
              <w:t xml:space="preserve"> v roce 2000 na 50 tis. km</w:t>
            </w:r>
            <w:r w:rsidRPr="00EC2A1C">
              <w:rPr>
                <w:rFonts w:ascii="Times New Roman" w:hAnsi="Times New Roman" w:cs="Times New Roman"/>
                <w:sz w:val="20"/>
                <w:szCs w:val="20"/>
                <w:vertAlign w:val="superscript"/>
              </w:rPr>
              <w:t>2</w:t>
            </w:r>
            <w:r w:rsidRPr="00EC2A1C">
              <w:rPr>
                <w:rFonts w:ascii="Times New Roman" w:hAnsi="Times New Roman" w:cs="Times New Roman"/>
                <w:sz w:val="20"/>
                <w:szCs w:val="20"/>
              </w:rPr>
              <w:t xml:space="preserve"> v roce 2010, zvýšením rozsahu zastavěných ploch (v období 2000–2014 o 1,7 tis. ha) atd.</w:t>
            </w:r>
          </w:p>
        </w:tc>
        <w:tc>
          <w:tcPr>
            <w:tcW w:w="249" w:type="dxa"/>
            <w:tcBorders>
              <w:top w:val="nil"/>
              <w:bottom w:val="nil"/>
            </w:tcBorders>
            <w:shd w:val="clear" w:color="auto" w:fill="66CCFF"/>
          </w:tcPr>
          <w:p w14:paraId="1A1434CB" w14:textId="77777777" w:rsidR="00DD3EFA" w:rsidRPr="00EC2A1C" w:rsidRDefault="00DD3EFA" w:rsidP="00B15ECB">
            <w:pPr>
              <w:rPr>
                <w:rFonts w:ascii="Times New Roman" w:hAnsi="Times New Roman" w:cs="Times New Roman"/>
                <w:b/>
                <w:sz w:val="20"/>
                <w:szCs w:val="20"/>
              </w:rPr>
            </w:pPr>
          </w:p>
        </w:tc>
      </w:tr>
      <w:tr w:rsidR="00DD3EFA" w:rsidRPr="00EC2A1C" w14:paraId="5D8563C8" w14:textId="77777777" w:rsidTr="00B15ECB">
        <w:trPr>
          <w:trHeight w:val="1274"/>
        </w:trPr>
        <w:tc>
          <w:tcPr>
            <w:tcW w:w="249" w:type="dxa"/>
            <w:tcBorders>
              <w:top w:val="nil"/>
              <w:bottom w:val="nil"/>
            </w:tcBorders>
            <w:shd w:val="clear" w:color="auto" w:fill="66CCFF"/>
          </w:tcPr>
          <w:p w14:paraId="14E1A21C"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2F14C1F9" w14:textId="77777777" w:rsidR="00DD3EFA" w:rsidRPr="00EC2A1C" w:rsidRDefault="00DD3EFA" w:rsidP="00391907">
            <w:pPr>
              <w:pStyle w:val="Odstavecseseznamem"/>
              <w:numPr>
                <w:ilvl w:val="0"/>
                <w:numId w:val="4"/>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Definice cíle – změny, které chceme dosáhnout</w:t>
            </w:r>
          </w:p>
          <w:p w14:paraId="4A6230F8"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33FD66D2"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Zachování přírodních hodnot a biodiverzity</w:t>
            </w:r>
          </w:p>
          <w:p w14:paraId="1B5E6021" w14:textId="77777777" w:rsidR="00DD3EFA" w:rsidRPr="00EC2A1C" w:rsidRDefault="00DD3EFA" w:rsidP="00B15ECB">
            <w:pPr>
              <w:spacing w:before="60" w:after="60"/>
              <w:rPr>
                <w:rFonts w:ascii="Times New Roman" w:eastAsiaTheme="majorEastAsia" w:hAnsi="Times New Roman" w:cs="Times New Roman"/>
                <w:i/>
                <w:sz w:val="20"/>
                <w:szCs w:val="20"/>
                <w:u w:val="single"/>
              </w:rPr>
            </w:pPr>
            <w:r w:rsidRPr="00EC2A1C">
              <w:rPr>
                <w:rFonts w:ascii="Times New Roman" w:hAnsi="Times New Roman" w:cs="Times New Roman"/>
                <w:sz w:val="20"/>
                <w:szCs w:val="20"/>
              </w:rPr>
              <w:t>Obnova a rozvoj ekologické stability krajiny a ekosystémů</w:t>
            </w:r>
          </w:p>
        </w:tc>
        <w:tc>
          <w:tcPr>
            <w:tcW w:w="249" w:type="dxa"/>
            <w:tcBorders>
              <w:top w:val="nil"/>
              <w:bottom w:val="nil"/>
            </w:tcBorders>
            <w:shd w:val="clear" w:color="auto" w:fill="66CCFF"/>
          </w:tcPr>
          <w:p w14:paraId="0E9AA3AA" w14:textId="77777777" w:rsidR="00DD3EFA" w:rsidRPr="00EC2A1C" w:rsidRDefault="00DD3EFA" w:rsidP="00B15ECB">
            <w:pPr>
              <w:rPr>
                <w:rFonts w:ascii="Times New Roman" w:hAnsi="Times New Roman" w:cs="Times New Roman"/>
                <w:sz w:val="20"/>
                <w:szCs w:val="20"/>
              </w:rPr>
            </w:pPr>
          </w:p>
        </w:tc>
      </w:tr>
      <w:tr w:rsidR="00DD3EFA" w:rsidRPr="00EC2A1C" w14:paraId="11D83F1E" w14:textId="77777777" w:rsidTr="00B15ECB">
        <w:trPr>
          <w:trHeight w:val="1274"/>
        </w:trPr>
        <w:tc>
          <w:tcPr>
            <w:tcW w:w="249" w:type="dxa"/>
            <w:tcBorders>
              <w:top w:val="nil"/>
              <w:bottom w:val="nil"/>
            </w:tcBorders>
            <w:shd w:val="clear" w:color="auto" w:fill="66CCFF"/>
          </w:tcPr>
          <w:p w14:paraId="6151E43E"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1DAE10A4" w14:textId="77777777" w:rsidR="00DD3EFA" w:rsidRPr="00EC2A1C" w:rsidRDefault="00DD3EFA" w:rsidP="00391907">
            <w:pPr>
              <w:pStyle w:val="Odstavecseseznamem"/>
              <w:numPr>
                <w:ilvl w:val="0"/>
                <w:numId w:val="4"/>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Definice předpokládaných výstupů/výsledků/dopadů</w:t>
            </w:r>
          </w:p>
        </w:tc>
        <w:tc>
          <w:tcPr>
            <w:tcW w:w="5978" w:type="dxa"/>
            <w:tcBorders>
              <w:bottom w:val="single" w:sz="4" w:space="0" w:color="auto"/>
            </w:tcBorders>
            <w:shd w:val="clear" w:color="auto" w:fill="FFFFFF" w:themeFill="background1"/>
          </w:tcPr>
          <w:p w14:paraId="39C12F8E" w14:textId="77777777" w:rsidR="00DD3EFA" w:rsidRPr="00EC2A1C" w:rsidRDefault="00DD3EFA" w:rsidP="00B15ECB">
            <w:pPr>
              <w:spacing w:before="60" w:after="60"/>
              <w:rPr>
                <w:rFonts w:ascii="Times New Roman" w:eastAsiaTheme="majorEastAsia" w:hAnsi="Times New Roman" w:cs="Times New Roman"/>
                <w:sz w:val="20"/>
                <w:szCs w:val="20"/>
                <w:u w:val="single"/>
              </w:rPr>
            </w:pPr>
            <w:r w:rsidRPr="00EC2A1C">
              <w:rPr>
                <w:rFonts w:ascii="Times New Roman" w:hAnsi="Times New Roman" w:cs="Times New Roman"/>
                <w:sz w:val="20"/>
                <w:szCs w:val="20"/>
              </w:rPr>
              <w:t>Systém indikátorů operačního programu bude navazovat na systém využívaný v současném období a bude respektovat požadavky evropských i národních metodik a strategických dokumentů. V této fázi přípravy nového období, kdy nejsou ještě přesně určeny konkrétní definované aktivity a nejsou k dispozici podrobné metodiky, nejsme schopni přesné ukazatele definovat. Předpokládáme, že indikátory budou popsány v kartách intervenční logiky.</w:t>
            </w:r>
          </w:p>
        </w:tc>
        <w:tc>
          <w:tcPr>
            <w:tcW w:w="249" w:type="dxa"/>
            <w:tcBorders>
              <w:top w:val="nil"/>
              <w:bottom w:val="nil"/>
            </w:tcBorders>
            <w:shd w:val="clear" w:color="auto" w:fill="66CCFF"/>
          </w:tcPr>
          <w:p w14:paraId="434A3B78" w14:textId="77777777" w:rsidR="00DD3EFA" w:rsidRPr="00EC2A1C" w:rsidRDefault="00DD3EFA" w:rsidP="00B15ECB">
            <w:pPr>
              <w:rPr>
                <w:rFonts w:ascii="Times New Roman" w:hAnsi="Times New Roman" w:cs="Times New Roman"/>
                <w:b/>
                <w:sz w:val="20"/>
                <w:szCs w:val="20"/>
              </w:rPr>
            </w:pPr>
          </w:p>
        </w:tc>
      </w:tr>
      <w:tr w:rsidR="00DD3EFA" w:rsidRPr="00EC2A1C" w14:paraId="52EA4569" w14:textId="77777777" w:rsidTr="00B15ECB">
        <w:trPr>
          <w:trHeight w:val="1274"/>
        </w:trPr>
        <w:tc>
          <w:tcPr>
            <w:tcW w:w="249" w:type="dxa"/>
            <w:tcBorders>
              <w:top w:val="nil"/>
              <w:bottom w:val="nil"/>
            </w:tcBorders>
            <w:shd w:val="clear" w:color="auto" w:fill="66CCFF"/>
          </w:tcPr>
          <w:p w14:paraId="2FFA112E"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2771DCCA" w14:textId="77777777" w:rsidR="00DD3EFA" w:rsidRPr="00EC2A1C" w:rsidRDefault="00DD3EFA" w:rsidP="00391907">
            <w:pPr>
              <w:pStyle w:val="Odstavecseseznamem"/>
              <w:numPr>
                <w:ilvl w:val="0"/>
                <w:numId w:val="4"/>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Stanovení předpokládaného podílu ESIF na plnění specifického cíle NKR</w:t>
            </w:r>
          </w:p>
        </w:tc>
        <w:tc>
          <w:tcPr>
            <w:tcW w:w="5978" w:type="dxa"/>
            <w:tcBorders>
              <w:bottom w:val="single" w:sz="4" w:space="0" w:color="auto"/>
            </w:tcBorders>
            <w:shd w:val="clear" w:color="auto" w:fill="FFFFFF" w:themeFill="background1"/>
          </w:tcPr>
          <w:p w14:paraId="56300B5F" w14:textId="77777777" w:rsidR="00DD3EFA" w:rsidRPr="00EC2A1C" w:rsidRDefault="00DD3EFA" w:rsidP="00B15ECB">
            <w:pPr>
              <w:spacing w:before="60" w:after="60"/>
              <w:rPr>
                <w:rFonts w:ascii="Times New Roman" w:eastAsiaTheme="majorEastAsia" w:hAnsi="Times New Roman" w:cs="Times New Roman"/>
                <w:i/>
                <w:sz w:val="20"/>
                <w:szCs w:val="20"/>
                <w:u w:val="single"/>
              </w:rPr>
            </w:pPr>
            <w:r w:rsidRPr="00EC2A1C">
              <w:rPr>
                <w:rFonts w:ascii="Times New Roman" w:hAnsi="Times New Roman" w:cs="Times New Roman"/>
                <w:sz w:val="20"/>
                <w:szCs w:val="20"/>
              </w:rPr>
              <w:t>Role ESIF na naplnění specifického cíle NKR je u tohoto specifického cíle  zcela zásadní, podíl zdrojů ESIF lze odhadnout na 80- 90 % vůči národním zdrojům.</w:t>
            </w:r>
          </w:p>
        </w:tc>
        <w:tc>
          <w:tcPr>
            <w:tcW w:w="249" w:type="dxa"/>
            <w:tcBorders>
              <w:top w:val="nil"/>
              <w:bottom w:val="nil"/>
            </w:tcBorders>
            <w:shd w:val="clear" w:color="auto" w:fill="66CCFF"/>
          </w:tcPr>
          <w:p w14:paraId="0C311B20" w14:textId="77777777" w:rsidR="00DD3EFA" w:rsidRPr="00EC2A1C" w:rsidRDefault="00DD3EFA" w:rsidP="00B15ECB">
            <w:pPr>
              <w:rPr>
                <w:rFonts w:ascii="Times New Roman" w:hAnsi="Times New Roman" w:cs="Times New Roman"/>
                <w:b/>
                <w:sz w:val="20"/>
                <w:szCs w:val="20"/>
              </w:rPr>
            </w:pPr>
          </w:p>
        </w:tc>
      </w:tr>
      <w:tr w:rsidR="00DD3EFA" w:rsidRPr="00EC2A1C" w14:paraId="14AED625" w14:textId="77777777" w:rsidTr="00B15ECB">
        <w:trPr>
          <w:trHeight w:val="1274"/>
        </w:trPr>
        <w:tc>
          <w:tcPr>
            <w:tcW w:w="249" w:type="dxa"/>
            <w:tcBorders>
              <w:top w:val="nil"/>
              <w:bottom w:val="nil"/>
            </w:tcBorders>
            <w:shd w:val="clear" w:color="auto" w:fill="66CCFF"/>
          </w:tcPr>
          <w:p w14:paraId="00759C20"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3AF315F9" w14:textId="77777777" w:rsidR="00DD3EFA" w:rsidRPr="00EC2A1C" w:rsidRDefault="00DD3EFA" w:rsidP="00391907">
            <w:pPr>
              <w:pStyle w:val="Odstavecseseznamem"/>
              <w:numPr>
                <w:ilvl w:val="0"/>
                <w:numId w:val="4"/>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Posun intervencí oproti dosavadním obdobím</w:t>
            </w:r>
          </w:p>
        </w:tc>
        <w:tc>
          <w:tcPr>
            <w:tcW w:w="5978" w:type="dxa"/>
            <w:tcBorders>
              <w:bottom w:val="single" w:sz="4" w:space="0" w:color="auto"/>
            </w:tcBorders>
            <w:shd w:val="clear" w:color="auto" w:fill="FFFFFF" w:themeFill="background1"/>
          </w:tcPr>
          <w:p w14:paraId="1A9EBA97" w14:textId="77777777" w:rsidR="00DD3EFA" w:rsidRPr="00EC2A1C" w:rsidRDefault="00DD3EFA">
            <w:pPr>
              <w:pStyle w:val="slovanodstavec"/>
              <w:tabs>
                <w:tab w:val="clear" w:pos="567"/>
                <w:tab w:val="left" w:pos="284"/>
              </w:tabs>
              <w:suppressAutoHyphens/>
              <w:spacing w:line="240" w:lineRule="auto"/>
              <w:rPr>
                <w:rFonts w:ascii="Times New Roman" w:hAnsi="Times New Roman"/>
                <w:i/>
                <w:sz w:val="20"/>
                <w:szCs w:val="20"/>
              </w:rPr>
            </w:pPr>
            <w:r w:rsidRPr="00EC2A1C">
              <w:rPr>
                <w:rFonts w:ascii="Times New Roman" w:hAnsi="Times New Roman"/>
                <w:sz w:val="20"/>
                <w:szCs w:val="20"/>
              </w:rPr>
              <w:t>Oproti minulému období bude kladen větší důraz na realizaci opatření přispívajících přizpůsobení se změně klimatu.</w:t>
            </w:r>
          </w:p>
        </w:tc>
        <w:tc>
          <w:tcPr>
            <w:tcW w:w="249" w:type="dxa"/>
            <w:tcBorders>
              <w:top w:val="nil"/>
              <w:bottom w:val="nil"/>
            </w:tcBorders>
            <w:shd w:val="clear" w:color="auto" w:fill="66CCFF"/>
          </w:tcPr>
          <w:p w14:paraId="5668FC95" w14:textId="77777777" w:rsidR="00DD3EFA" w:rsidRPr="00EC2A1C" w:rsidRDefault="00DD3EFA" w:rsidP="00B15ECB">
            <w:pPr>
              <w:rPr>
                <w:rFonts w:ascii="Times New Roman" w:hAnsi="Times New Roman" w:cs="Times New Roman"/>
                <w:b/>
                <w:sz w:val="20"/>
                <w:szCs w:val="20"/>
              </w:rPr>
            </w:pPr>
          </w:p>
        </w:tc>
      </w:tr>
      <w:tr w:rsidR="00DD3EFA" w:rsidRPr="00EC2A1C" w14:paraId="08728480" w14:textId="77777777" w:rsidTr="00B15ECB">
        <w:trPr>
          <w:trHeight w:val="272"/>
        </w:trPr>
        <w:tc>
          <w:tcPr>
            <w:tcW w:w="249" w:type="dxa"/>
            <w:tcBorders>
              <w:top w:val="nil"/>
              <w:bottom w:val="nil"/>
              <w:right w:val="nil"/>
            </w:tcBorders>
            <w:shd w:val="clear" w:color="auto" w:fill="66CCFF"/>
          </w:tcPr>
          <w:p w14:paraId="125A0024"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21C42F7C"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7E5E69AE" w14:textId="77777777" w:rsidR="00DD3EFA" w:rsidRPr="00EC2A1C" w:rsidRDefault="00DD3EFA" w:rsidP="00B15ECB">
            <w:pPr>
              <w:spacing w:before="60" w:after="60"/>
              <w:rPr>
                <w:rFonts w:ascii="Times New Roman" w:eastAsiaTheme="majorEastAsia" w:hAnsi="Times New Roman" w:cs="Times New Roman"/>
                <w:i/>
                <w:sz w:val="20"/>
                <w:szCs w:val="20"/>
                <w:u w:val="single"/>
              </w:rPr>
            </w:pPr>
          </w:p>
        </w:tc>
        <w:tc>
          <w:tcPr>
            <w:tcW w:w="249" w:type="dxa"/>
            <w:tcBorders>
              <w:top w:val="nil"/>
              <w:left w:val="nil"/>
              <w:bottom w:val="nil"/>
            </w:tcBorders>
            <w:shd w:val="clear" w:color="auto" w:fill="66CCFF"/>
          </w:tcPr>
          <w:p w14:paraId="07093CEA" w14:textId="77777777" w:rsidR="00DD3EFA" w:rsidRPr="00EC2A1C" w:rsidRDefault="00DD3EFA" w:rsidP="00B15ECB">
            <w:pPr>
              <w:rPr>
                <w:rFonts w:ascii="Times New Roman" w:hAnsi="Times New Roman" w:cs="Times New Roman"/>
                <w:b/>
                <w:sz w:val="20"/>
                <w:szCs w:val="20"/>
              </w:rPr>
            </w:pPr>
          </w:p>
        </w:tc>
      </w:tr>
      <w:tr w:rsidR="00DD3EFA" w:rsidRPr="00EC2A1C" w14:paraId="00EA37FF" w14:textId="77777777" w:rsidTr="00B15ECB">
        <w:trPr>
          <w:trHeight w:val="835"/>
        </w:trPr>
        <w:tc>
          <w:tcPr>
            <w:tcW w:w="249" w:type="dxa"/>
            <w:tcBorders>
              <w:top w:val="nil"/>
              <w:bottom w:val="nil"/>
            </w:tcBorders>
            <w:shd w:val="clear" w:color="auto" w:fill="66CCFF"/>
          </w:tcPr>
          <w:p w14:paraId="2C51CB6A"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bottom w:val="single" w:sz="4" w:space="0" w:color="auto"/>
            </w:tcBorders>
            <w:shd w:val="clear" w:color="auto" w:fill="auto"/>
          </w:tcPr>
          <w:p w14:paraId="58F55BBA"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Dílčí cíle podpory</w:t>
            </w:r>
          </w:p>
          <w:p w14:paraId="57CCCD94"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bottom w:val="single" w:sz="4" w:space="0" w:color="auto"/>
            </w:tcBorders>
            <w:shd w:val="clear" w:color="auto" w:fill="auto"/>
          </w:tcPr>
          <w:p w14:paraId="66F78CE4"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Jedná se zejména o následující dílčí cíle:</w:t>
            </w:r>
          </w:p>
          <w:p w14:paraId="41E4F6C5"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 xml:space="preserve">zajištění ochrany a péče o předměty ochrany chráněných území, </w:t>
            </w:r>
          </w:p>
          <w:p w14:paraId="07DBCBA5"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zajištění péče o druhy a biotopy,</w:t>
            </w:r>
          </w:p>
          <w:p w14:paraId="162037E2"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zvyšování povědomí o stavu přírody a krajiny prostřednictvím výsledků monitoringu  a studií</w:t>
            </w:r>
          </w:p>
          <w:p w14:paraId="6D0CA2C1"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 xml:space="preserve">eliminace šíření invazních druhů, </w:t>
            </w:r>
          </w:p>
          <w:p w14:paraId="18CCB529"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 xml:space="preserve">zprůchodňování migračních bariér pro živočichy, </w:t>
            </w:r>
          </w:p>
          <w:p w14:paraId="004EA0DE"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předcházení a náprava škod způsobených zvláště chráněnými druhy živočichů na majetku</w:t>
            </w:r>
          </w:p>
          <w:p w14:paraId="637E1640"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posílení ekologické stability krajiny a ekosystémů,</w:t>
            </w:r>
          </w:p>
          <w:p w14:paraId="77287887"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zvyšování retenční schopnosti krajiny a obnova přirozeného vodního režimu,</w:t>
            </w:r>
          </w:p>
          <w:p w14:paraId="66A4D51E"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zvyšování ekologické stability lesních ekosystémů,</w:t>
            </w:r>
          </w:p>
          <w:p w14:paraId="5C90C653"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vytváření a obnova krajinných prvků,</w:t>
            </w:r>
          </w:p>
          <w:p w14:paraId="3915439B"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ochrana zemědělského půdního fondu,</w:t>
            </w:r>
          </w:p>
          <w:p w14:paraId="7FCF68E5"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zvyšování podílu ploch funkční sídelní zeleně,</w:t>
            </w:r>
          </w:p>
          <w:p w14:paraId="52F8265B"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 xml:space="preserve">posílení pozitivního vztahu veřejnosti k ochraně přírody, </w:t>
            </w:r>
          </w:p>
          <w:p w14:paraId="14E452FE" w14:textId="77777777" w:rsidR="00DD3EFA" w:rsidRPr="00EC2A1C" w:rsidRDefault="00DD3EFA" w:rsidP="00391907">
            <w:pPr>
              <w:pStyle w:val="Odstavecseseznamem"/>
              <w:numPr>
                <w:ilvl w:val="0"/>
                <w:numId w:val="4"/>
              </w:numPr>
              <w:spacing w:before="60" w:after="60"/>
              <w:jc w:val="both"/>
              <w:rPr>
                <w:rFonts w:ascii="Times New Roman" w:hAnsi="Times New Roman" w:cs="Times New Roman"/>
                <w:sz w:val="20"/>
                <w:szCs w:val="20"/>
              </w:rPr>
            </w:pPr>
            <w:r w:rsidRPr="00EC2A1C">
              <w:rPr>
                <w:rFonts w:ascii="Times New Roman" w:hAnsi="Times New Roman" w:cs="Times New Roman"/>
                <w:sz w:val="20"/>
                <w:szCs w:val="20"/>
              </w:rPr>
              <w:t>opatření v oblasti environmentální bezpečnosti</w:t>
            </w:r>
          </w:p>
          <w:p w14:paraId="16509D43"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2DADD5A7" w14:textId="77777777" w:rsidR="00DD3EFA" w:rsidRPr="00EC2A1C" w:rsidRDefault="00DD3EFA" w:rsidP="00B15ECB">
            <w:pPr>
              <w:rPr>
                <w:rFonts w:ascii="Times New Roman" w:hAnsi="Times New Roman" w:cs="Times New Roman"/>
                <w:b/>
                <w:sz w:val="20"/>
                <w:szCs w:val="20"/>
              </w:rPr>
            </w:pPr>
          </w:p>
        </w:tc>
      </w:tr>
      <w:tr w:rsidR="00DD3EFA" w:rsidRPr="00EC2A1C" w14:paraId="7B2F5F6A" w14:textId="77777777" w:rsidTr="00B15ECB">
        <w:trPr>
          <w:trHeight w:val="377"/>
        </w:trPr>
        <w:tc>
          <w:tcPr>
            <w:tcW w:w="249" w:type="dxa"/>
            <w:tcBorders>
              <w:top w:val="nil"/>
              <w:bottom w:val="nil"/>
              <w:right w:val="nil"/>
            </w:tcBorders>
            <w:shd w:val="clear" w:color="auto" w:fill="66CCFF"/>
          </w:tcPr>
          <w:p w14:paraId="3472DA53"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352E6DD5"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513854E3"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left w:val="nil"/>
              <w:bottom w:val="nil"/>
            </w:tcBorders>
            <w:shd w:val="clear" w:color="auto" w:fill="66CCFF"/>
          </w:tcPr>
          <w:p w14:paraId="791D7C1D" w14:textId="77777777" w:rsidR="00DD3EFA" w:rsidRPr="00EC2A1C" w:rsidRDefault="00DD3EFA" w:rsidP="00B15ECB">
            <w:pPr>
              <w:rPr>
                <w:rFonts w:ascii="Times New Roman" w:hAnsi="Times New Roman" w:cs="Times New Roman"/>
                <w:b/>
                <w:sz w:val="20"/>
                <w:szCs w:val="20"/>
              </w:rPr>
            </w:pPr>
          </w:p>
        </w:tc>
      </w:tr>
      <w:tr w:rsidR="00DD3EFA" w:rsidRPr="00EC2A1C" w14:paraId="1A9CC5D3" w14:textId="77777777" w:rsidTr="00B15ECB">
        <w:trPr>
          <w:trHeight w:val="1202"/>
        </w:trPr>
        <w:tc>
          <w:tcPr>
            <w:tcW w:w="249" w:type="dxa"/>
            <w:tcBorders>
              <w:top w:val="nil"/>
              <w:bottom w:val="nil"/>
            </w:tcBorders>
            <w:shd w:val="clear" w:color="auto" w:fill="66CCFF"/>
          </w:tcPr>
          <w:p w14:paraId="636C6183" w14:textId="77777777" w:rsidR="00DD3EFA" w:rsidRPr="00EC2A1C" w:rsidRDefault="00DD3EFA" w:rsidP="00B15ECB">
            <w:pPr>
              <w:rPr>
                <w:rFonts w:ascii="Times New Roman" w:hAnsi="Times New Roman" w:cs="Times New Roman"/>
                <w:b/>
                <w:sz w:val="20"/>
                <w:szCs w:val="20"/>
              </w:rPr>
            </w:pPr>
          </w:p>
        </w:tc>
        <w:tc>
          <w:tcPr>
            <w:tcW w:w="8526" w:type="dxa"/>
            <w:gridSpan w:val="2"/>
            <w:tcBorders>
              <w:top w:val="single" w:sz="4" w:space="0" w:color="auto"/>
              <w:bottom w:val="single" w:sz="4" w:space="0" w:color="auto"/>
            </w:tcBorders>
            <w:shd w:val="clear" w:color="auto" w:fill="FFFFFF" w:themeFill="background1"/>
          </w:tcPr>
          <w:p w14:paraId="4FE5D01B"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Průřezová témata a souvislosti:</w:t>
            </w:r>
          </w:p>
          <w:p w14:paraId="3E6D7CC4" w14:textId="77777777" w:rsidR="00DD3EFA" w:rsidRPr="00EC2A1C" w:rsidRDefault="00DD3EFA">
            <w:pPr>
              <w:spacing w:before="60" w:after="60"/>
              <w:rPr>
                <w:rFonts w:ascii="Times New Roman" w:eastAsiaTheme="majorEastAsia" w:hAnsi="Times New Roman" w:cs="Times New Roman"/>
                <w:i/>
                <w:sz w:val="20"/>
                <w:szCs w:val="20"/>
                <w:u w:val="single"/>
              </w:rPr>
            </w:pPr>
          </w:p>
        </w:tc>
        <w:tc>
          <w:tcPr>
            <w:tcW w:w="249" w:type="dxa"/>
            <w:tcBorders>
              <w:top w:val="nil"/>
              <w:bottom w:val="nil"/>
            </w:tcBorders>
            <w:shd w:val="clear" w:color="auto" w:fill="66CCFF"/>
          </w:tcPr>
          <w:p w14:paraId="095846B2" w14:textId="77777777" w:rsidR="00DD3EFA" w:rsidRPr="00EC2A1C" w:rsidRDefault="00DD3EFA" w:rsidP="00B15ECB">
            <w:pPr>
              <w:rPr>
                <w:rFonts w:ascii="Times New Roman" w:hAnsi="Times New Roman" w:cs="Times New Roman"/>
                <w:b/>
                <w:sz w:val="20"/>
                <w:szCs w:val="20"/>
              </w:rPr>
            </w:pPr>
          </w:p>
        </w:tc>
      </w:tr>
      <w:tr w:rsidR="00DD3EFA" w:rsidRPr="00EC2A1C" w14:paraId="58782611" w14:textId="77777777" w:rsidTr="00B15ECB">
        <w:trPr>
          <w:trHeight w:val="1202"/>
        </w:trPr>
        <w:tc>
          <w:tcPr>
            <w:tcW w:w="249" w:type="dxa"/>
            <w:tcBorders>
              <w:top w:val="nil"/>
              <w:bottom w:val="nil"/>
            </w:tcBorders>
            <w:shd w:val="clear" w:color="auto" w:fill="66CCFF"/>
          </w:tcPr>
          <w:p w14:paraId="0B5DFB1C"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2F771147"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Územní dimenze</w:t>
            </w:r>
          </w:p>
          <w:p w14:paraId="05DE9BCD"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480BB421" w14:textId="77777777" w:rsidR="00DD3EFA" w:rsidRPr="00EC2A1C" w:rsidRDefault="00DD3EFA" w:rsidP="00B15ECB">
            <w:pPr>
              <w:pStyle w:val="Textkomente"/>
              <w:rPr>
                <w:rFonts w:ascii="Times New Roman" w:hAnsi="Times New Roman" w:cs="Times New Roman"/>
              </w:rPr>
            </w:pPr>
            <w:r w:rsidRPr="00EC2A1C">
              <w:rPr>
                <w:rFonts w:ascii="Times New Roman" w:hAnsi="Times New Roman" w:cs="Times New Roman"/>
              </w:rPr>
              <w:t>Mimořádnou pozornost bude nutné věnovat ochraně krajiny v územích s prioritní realizací opatření vyplývajících z legislativy v oblasti přírody a krajiny či různých koncepčních materiálů –</w:t>
            </w:r>
          </w:p>
          <w:p w14:paraId="040A39B9" w14:textId="77777777" w:rsidR="00DD3EFA" w:rsidRPr="00EC2A1C" w:rsidRDefault="00DD3EFA" w:rsidP="00391907">
            <w:pPr>
              <w:pStyle w:val="Textkomente"/>
              <w:numPr>
                <w:ilvl w:val="0"/>
                <w:numId w:val="109"/>
              </w:numPr>
              <w:rPr>
                <w:rFonts w:ascii="Times New Roman" w:hAnsi="Times New Roman" w:cs="Times New Roman"/>
              </w:rPr>
            </w:pPr>
            <w:r w:rsidRPr="00EC2A1C">
              <w:rPr>
                <w:rFonts w:ascii="Times New Roman" w:hAnsi="Times New Roman" w:cs="Times New Roman"/>
              </w:rPr>
              <w:t xml:space="preserve">Jižní Morava, střední a severozápadní Čechy, povodí ve vyšších polohách (např. Českomoravská vrchovina) jsou dlouhodobě postiženy suchem, </w:t>
            </w:r>
          </w:p>
          <w:p w14:paraId="1755189F" w14:textId="77777777" w:rsidR="00DD3EFA" w:rsidRPr="00EC2A1C" w:rsidRDefault="00DD3EFA" w:rsidP="00391907">
            <w:pPr>
              <w:pStyle w:val="Textkomente"/>
              <w:numPr>
                <w:ilvl w:val="0"/>
                <w:numId w:val="109"/>
              </w:numPr>
              <w:rPr>
                <w:rFonts w:ascii="Times New Roman" w:hAnsi="Times New Roman" w:cs="Times New Roman"/>
              </w:rPr>
            </w:pPr>
            <w:r w:rsidRPr="00EC2A1C">
              <w:rPr>
                <w:rFonts w:ascii="Times New Roman" w:hAnsi="Times New Roman" w:cs="Times New Roman"/>
              </w:rPr>
              <w:t>v oblastech Jižní Moravy a Polabí jsou nejvíce ohroženy ztrátou bonitně nejcennějších půd (eroze), kde se nachází největší podíl půd s extrémním ohrožením,</w:t>
            </w:r>
          </w:p>
          <w:p w14:paraId="369E37E5" w14:textId="77777777" w:rsidR="00DD3EFA" w:rsidRPr="00EC2A1C" w:rsidRDefault="00DD3EFA" w:rsidP="00391907">
            <w:pPr>
              <w:pStyle w:val="Textkomente"/>
              <w:numPr>
                <w:ilvl w:val="0"/>
                <w:numId w:val="109"/>
              </w:numPr>
              <w:rPr>
                <w:rFonts w:ascii="Times New Roman" w:hAnsi="Times New Roman" w:cs="Times New Roman"/>
              </w:rPr>
            </w:pPr>
            <w:r w:rsidRPr="00EC2A1C">
              <w:rPr>
                <w:rFonts w:ascii="Times New Roman" w:hAnsi="Times New Roman" w:cs="Times New Roman"/>
              </w:rPr>
              <w:t>potenciální zranitelnost spodních vrstev půdy utužením je typická pro nížinné a pahorkatinné oblasti Polabí, moravských úvalů a nížin, Plzeňská a Středočeská pahorkatina, Českomoravská vrchovina,</w:t>
            </w:r>
          </w:p>
          <w:p w14:paraId="6ED32581" w14:textId="77777777" w:rsidR="00DD3EFA" w:rsidRPr="00EC2A1C" w:rsidRDefault="00DD3EFA" w:rsidP="00391907">
            <w:pPr>
              <w:pStyle w:val="Textkomente"/>
              <w:numPr>
                <w:ilvl w:val="0"/>
                <w:numId w:val="109"/>
              </w:numPr>
              <w:rPr>
                <w:rFonts w:ascii="Times New Roman" w:hAnsi="Times New Roman" w:cs="Times New Roman"/>
              </w:rPr>
            </w:pPr>
            <w:r w:rsidRPr="00EC2A1C">
              <w:rPr>
                <w:rFonts w:ascii="Times New Roman" w:hAnsi="Times New Roman" w:cs="Times New Roman"/>
              </w:rPr>
              <w:t>vysoká náchylnost půd na acidifikaci (okyselení půd) je zejména v Kraji Vysočina, Jihočeském, Plzeňském a Karlovarském kraji (v bramborářských oblastech)</w:t>
            </w:r>
          </w:p>
          <w:p w14:paraId="3552B37C" w14:textId="77777777" w:rsidR="00DD3EFA" w:rsidRPr="00EC2A1C" w:rsidRDefault="00DD3EFA" w:rsidP="00391907">
            <w:pPr>
              <w:pStyle w:val="Textkomente"/>
              <w:numPr>
                <w:ilvl w:val="0"/>
                <w:numId w:val="109"/>
              </w:numPr>
              <w:rPr>
                <w:rFonts w:ascii="Times New Roman" w:hAnsi="Times New Roman" w:cs="Times New Roman"/>
              </w:rPr>
            </w:pPr>
            <w:r w:rsidRPr="00EC2A1C">
              <w:rPr>
                <w:rFonts w:ascii="Times New Roman" w:hAnsi="Times New Roman" w:cs="Times New Roman"/>
              </w:rPr>
              <w:t>Moravskoslezský, Zlínský, Olomoucký, Jihočeský kraj a kraj Vysočina se zaměří na ohrožení lesa kůrovcem, velkou pozornost lesům musí věnovat i kraje, které mají vysoký podíl jehličnatých stromů (Kraj Vysočina, Jihočeský, Plzeňský a Karlovarský kraj)</w:t>
            </w:r>
          </w:p>
          <w:p w14:paraId="40BC6BFF" w14:textId="77777777" w:rsidR="00DD3EFA" w:rsidRPr="00EC2A1C" w:rsidRDefault="00DD3EFA" w:rsidP="00391907">
            <w:pPr>
              <w:pStyle w:val="Textkomente"/>
              <w:numPr>
                <w:ilvl w:val="0"/>
                <w:numId w:val="109"/>
              </w:numPr>
              <w:rPr>
                <w:rFonts w:ascii="Times New Roman" w:hAnsi="Times New Roman" w:cs="Times New Roman"/>
              </w:rPr>
            </w:pPr>
            <w:r w:rsidRPr="00EC2A1C">
              <w:rPr>
                <w:rFonts w:ascii="Times New Roman" w:hAnsi="Times New Roman" w:cs="Times New Roman"/>
              </w:rPr>
              <w:t>specifická opatření budou realizována ve velkoplošných (NP, CHKO) a maloplošných chráněných území (NPR, PR, NPP, PP) a na územích soustavy Natura 2000, ÚSES, záchranných programů a dalších.</w:t>
            </w:r>
          </w:p>
          <w:p w14:paraId="1787E836" w14:textId="77777777" w:rsidR="00DD3EFA" w:rsidRPr="00EC2A1C" w:rsidRDefault="00DD3EFA" w:rsidP="00B15ECB">
            <w:pPr>
              <w:pStyle w:val="Textkomente"/>
              <w:rPr>
                <w:rFonts w:ascii="Times New Roman" w:hAnsi="Times New Roman" w:cs="Times New Roman"/>
              </w:rPr>
            </w:pPr>
          </w:p>
          <w:p w14:paraId="53E41989" w14:textId="77777777" w:rsidR="00DD3EFA" w:rsidRPr="00EC2A1C" w:rsidRDefault="00DD3EFA" w:rsidP="00B15ECB">
            <w:pPr>
              <w:spacing w:line="276" w:lineRule="auto"/>
              <w:rPr>
                <w:rFonts w:ascii="Times New Roman" w:hAnsi="Times New Roman" w:cs="Times New Roman"/>
                <w:sz w:val="20"/>
                <w:szCs w:val="20"/>
              </w:rPr>
            </w:pPr>
            <w:r w:rsidRPr="00EC2A1C">
              <w:rPr>
                <w:rFonts w:ascii="Times New Roman" w:hAnsi="Times New Roman" w:cs="Times New Roman"/>
                <w:sz w:val="20"/>
                <w:szCs w:val="20"/>
              </w:rPr>
              <w:t>Metropolitní území, aglomerace, regionální centra i jejich zázemí budou pečovat o své životní prostředí, podporovat biologickou rozmanitost a environmentálně šetrné přístupy (jak v intravilánu, tak v extravilánu obce). Metropolitní území lze z hlediska ochrany přírody považovat za významné oblasti s potenciálem rozvoje biologické rozmanitosti.</w:t>
            </w:r>
          </w:p>
          <w:p w14:paraId="70B48644" w14:textId="77777777" w:rsidR="00DD3EFA" w:rsidRPr="00EC2A1C" w:rsidRDefault="00DD3EFA" w:rsidP="00B15ECB">
            <w:pPr>
              <w:spacing w:before="40" w:after="40"/>
              <w:rPr>
                <w:rFonts w:ascii="Times New Roman" w:hAnsi="Times New Roman" w:cs="Times New Roman"/>
                <w:sz w:val="20"/>
                <w:szCs w:val="20"/>
              </w:rPr>
            </w:pPr>
          </w:p>
          <w:p w14:paraId="588FD550" w14:textId="77777777" w:rsidR="00DD3EFA" w:rsidRPr="00EC2A1C" w:rsidRDefault="00DD3EFA" w:rsidP="00B15ECB">
            <w:pPr>
              <w:spacing w:line="276" w:lineRule="auto"/>
              <w:rPr>
                <w:rFonts w:ascii="Times New Roman" w:hAnsi="Times New Roman" w:cs="Times New Roman"/>
                <w:sz w:val="20"/>
                <w:szCs w:val="20"/>
              </w:rPr>
            </w:pPr>
            <w:r w:rsidRPr="00EC2A1C">
              <w:rPr>
                <w:rFonts w:ascii="Times New Roman" w:hAnsi="Times New Roman" w:cs="Times New Roman"/>
                <w:sz w:val="20"/>
                <w:szCs w:val="20"/>
              </w:rPr>
              <w:t xml:space="preserve">V rámci péče o prostředí obcí bude kladen důraz na rozvoj veřejné zeleně, uchování tradičního typu zástavby zejména v centrech obcí ve vazbě na obnovu a zachování kulturního dědictví venkova. Dílčím cílem je optimalizace hospodářské, environmentální a sociální funkce krajiny i sídel (včetně funkcí rekreačních, estetických atp.). Opatření budou směřovat i k ochraně přírody a biologické rozmanitosti, a to nikoliv pouze k ochraně vybraných druhů a vymezených území zvláštní ochrany, ale i k rozvoji zelené infrastruktury jako celku, včetně zachování (případně obnovy) její konektivity. Mezi potenciální nástroje mohou patřit územní systémy ekologické stability (ÚSES). </w:t>
            </w:r>
          </w:p>
          <w:p w14:paraId="20F74C95"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4A41C6E5" w14:textId="77777777" w:rsidR="00DD3EFA" w:rsidRPr="00EC2A1C" w:rsidRDefault="00DD3EFA" w:rsidP="00B15ECB">
            <w:pPr>
              <w:rPr>
                <w:rFonts w:ascii="Times New Roman" w:hAnsi="Times New Roman" w:cs="Times New Roman"/>
                <w:b/>
                <w:sz w:val="20"/>
                <w:szCs w:val="20"/>
              </w:rPr>
            </w:pPr>
          </w:p>
        </w:tc>
      </w:tr>
      <w:tr w:rsidR="00DD3EFA" w:rsidRPr="00EC2A1C" w14:paraId="7C2B3BAE" w14:textId="77777777" w:rsidTr="00B15ECB">
        <w:trPr>
          <w:trHeight w:val="1202"/>
        </w:trPr>
        <w:tc>
          <w:tcPr>
            <w:tcW w:w="249" w:type="dxa"/>
            <w:tcBorders>
              <w:top w:val="nil"/>
              <w:bottom w:val="nil"/>
            </w:tcBorders>
            <w:shd w:val="clear" w:color="auto" w:fill="66CCFF"/>
          </w:tcPr>
          <w:p w14:paraId="14594314"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3F6F1521"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Adaptace na změnu klimatu</w:t>
            </w:r>
          </w:p>
          <w:p w14:paraId="238A7C0A"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12C55870"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 xml:space="preserve">V důsledku změny klimatu dochází k ohrožení některých původních druhů a stanovišť, šíření nových invazních druhů a k dalším jevům, které narušují rovnováhu ekosystémů. </w:t>
            </w:r>
          </w:p>
          <w:p w14:paraId="37DE7B22" w14:textId="77777777" w:rsidR="00DD3EFA" w:rsidRPr="00EC2A1C" w:rsidRDefault="00DD3EFA" w:rsidP="00B15ECB">
            <w:pPr>
              <w:spacing w:before="60" w:after="60"/>
              <w:rPr>
                <w:rFonts w:ascii="Times New Roman" w:eastAsiaTheme="majorEastAsia" w:hAnsi="Times New Roman" w:cs="Times New Roman"/>
                <w:i/>
                <w:sz w:val="20"/>
                <w:szCs w:val="20"/>
              </w:rPr>
            </w:pPr>
            <w:r w:rsidRPr="00EC2A1C">
              <w:rPr>
                <w:rFonts w:ascii="Times New Roman" w:eastAsia="Calibri" w:hAnsi="Times New Roman" w:cs="Times New Roman"/>
                <w:sz w:val="20"/>
                <w:szCs w:val="20"/>
              </w:rPr>
              <w:t>Nepříznivé dopady změny klimatu lze eliminovat řadou opatření.</w:t>
            </w:r>
          </w:p>
        </w:tc>
        <w:tc>
          <w:tcPr>
            <w:tcW w:w="249" w:type="dxa"/>
            <w:tcBorders>
              <w:top w:val="nil"/>
              <w:bottom w:val="nil"/>
            </w:tcBorders>
            <w:shd w:val="clear" w:color="auto" w:fill="66CCFF"/>
          </w:tcPr>
          <w:p w14:paraId="6D2694E6" w14:textId="77777777" w:rsidR="00DD3EFA" w:rsidRPr="00EC2A1C" w:rsidRDefault="00DD3EFA" w:rsidP="00B15ECB">
            <w:pPr>
              <w:rPr>
                <w:rFonts w:ascii="Times New Roman" w:hAnsi="Times New Roman" w:cs="Times New Roman"/>
                <w:b/>
                <w:sz w:val="20"/>
                <w:szCs w:val="20"/>
              </w:rPr>
            </w:pPr>
          </w:p>
        </w:tc>
      </w:tr>
      <w:tr w:rsidR="00DD3EFA" w:rsidRPr="00EC2A1C" w14:paraId="2CBC1B38" w14:textId="77777777" w:rsidTr="00B15ECB">
        <w:trPr>
          <w:trHeight w:val="1202"/>
        </w:trPr>
        <w:tc>
          <w:tcPr>
            <w:tcW w:w="249" w:type="dxa"/>
            <w:tcBorders>
              <w:top w:val="nil"/>
              <w:bottom w:val="nil"/>
            </w:tcBorders>
            <w:shd w:val="clear" w:color="auto" w:fill="66CCFF"/>
          </w:tcPr>
          <w:p w14:paraId="219D736E"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3062081F"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Společnost 4.0.</w:t>
            </w:r>
          </w:p>
          <w:p w14:paraId="3BDE59D7"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5C295902"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Podoblast nemá vliv na Společnost 4.0, ale může využít některé přínosy tohoto konceptu zejm. v oblasti monitoringu, kontroly dodržování legislativy atd.</w:t>
            </w:r>
          </w:p>
        </w:tc>
        <w:tc>
          <w:tcPr>
            <w:tcW w:w="249" w:type="dxa"/>
            <w:tcBorders>
              <w:top w:val="nil"/>
              <w:bottom w:val="nil"/>
            </w:tcBorders>
            <w:shd w:val="clear" w:color="auto" w:fill="66CCFF"/>
          </w:tcPr>
          <w:p w14:paraId="39487BA4" w14:textId="77777777" w:rsidR="00DD3EFA" w:rsidRPr="00EC2A1C" w:rsidRDefault="00DD3EFA" w:rsidP="00B15ECB">
            <w:pPr>
              <w:rPr>
                <w:rFonts w:ascii="Times New Roman" w:hAnsi="Times New Roman" w:cs="Times New Roman"/>
                <w:b/>
                <w:sz w:val="20"/>
                <w:szCs w:val="20"/>
              </w:rPr>
            </w:pPr>
          </w:p>
        </w:tc>
      </w:tr>
      <w:tr w:rsidR="00DD3EFA" w:rsidRPr="00EC2A1C" w14:paraId="39A8B86A" w14:textId="77777777" w:rsidTr="00B15ECB">
        <w:trPr>
          <w:trHeight w:val="1202"/>
        </w:trPr>
        <w:tc>
          <w:tcPr>
            <w:tcW w:w="249" w:type="dxa"/>
            <w:tcBorders>
              <w:top w:val="nil"/>
              <w:bottom w:val="nil"/>
            </w:tcBorders>
            <w:shd w:val="clear" w:color="auto" w:fill="66CCFF"/>
          </w:tcPr>
          <w:p w14:paraId="476D089D"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3CF03DA3"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Vazba na megatrendy</w:t>
            </w:r>
          </w:p>
          <w:p w14:paraId="67795E72"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36291926"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 xml:space="preserve">Podoblast přímo řeší GMT 2- Degradace ekosystémů, GMT 26-Změna klimatu a její dopady, </w:t>
            </w:r>
          </w:p>
          <w:p w14:paraId="61B6A98F"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významně přispívá k řešení GMT 9-Potravinová bezpečnost, GMT 22-Urbanizace, GMT 19-Rostoucí zadluženost</w:t>
            </w:r>
          </w:p>
        </w:tc>
        <w:tc>
          <w:tcPr>
            <w:tcW w:w="249" w:type="dxa"/>
            <w:tcBorders>
              <w:top w:val="nil"/>
              <w:bottom w:val="nil"/>
            </w:tcBorders>
            <w:shd w:val="clear" w:color="auto" w:fill="66CCFF"/>
          </w:tcPr>
          <w:p w14:paraId="3793BC39" w14:textId="77777777" w:rsidR="00DD3EFA" w:rsidRPr="00EC2A1C" w:rsidRDefault="00DD3EFA" w:rsidP="00B15ECB">
            <w:pPr>
              <w:rPr>
                <w:rFonts w:ascii="Times New Roman" w:hAnsi="Times New Roman" w:cs="Times New Roman"/>
                <w:b/>
                <w:sz w:val="20"/>
                <w:szCs w:val="20"/>
              </w:rPr>
            </w:pPr>
          </w:p>
        </w:tc>
      </w:tr>
      <w:tr w:rsidR="00DD3EFA" w:rsidRPr="00EC2A1C" w14:paraId="5D47A7CA" w14:textId="77777777" w:rsidTr="00B15ECB">
        <w:trPr>
          <w:trHeight w:val="1202"/>
        </w:trPr>
        <w:tc>
          <w:tcPr>
            <w:tcW w:w="249" w:type="dxa"/>
            <w:tcBorders>
              <w:top w:val="nil"/>
              <w:bottom w:val="nil"/>
            </w:tcBorders>
            <w:shd w:val="clear" w:color="auto" w:fill="66CCFF"/>
          </w:tcPr>
          <w:p w14:paraId="18B78EF4"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4F3F550"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E16F3A0"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Podoblast přímo přispívá k CP2 , konkrétně posílení biologické rozmanitosti, Podpora adaptace na změnu klimatu, prevence rizik a odolnost vůči katastrofám</w:t>
            </w:r>
          </w:p>
        </w:tc>
        <w:tc>
          <w:tcPr>
            <w:tcW w:w="249" w:type="dxa"/>
            <w:tcBorders>
              <w:top w:val="nil"/>
              <w:bottom w:val="nil"/>
            </w:tcBorders>
            <w:shd w:val="clear" w:color="auto" w:fill="66CCFF"/>
          </w:tcPr>
          <w:p w14:paraId="418D1ABD" w14:textId="77777777" w:rsidR="00DD3EFA" w:rsidRPr="00EC2A1C" w:rsidRDefault="00DD3EFA" w:rsidP="00B15ECB">
            <w:pPr>
              <w:rPr>
                <w:rFonts w:ascii="Times New Roman" w:hAnsi="Times New Roman" w:cs="Times New Roman"/>
                <w:b/>
                <w:sz w:val="20"/>
                <w:szCs w:val="20"/>
              </w:rPr>
            </w:pPr>
          </w:p>
        </w:tc>
      </w:tr>
      <w:tr w:rsidR="00DD3EFA" w:rsidRPr="00EC2A1C" w14:paraId="6F2695E5" w14:textId="77777777" w:rsidTr="00B15ECB">
        <w:trPr>
          <w:trHeight w:val="1202"/>
        </w:trPr>
        <w:tc>
          <w:tcPr>
            <w:tcW w:w="249" w:type="dxa"/>
            <w:tcBorders>
              <w:top w:val="nil"/>
              <w:bottom w:val="nil"/>
            </w:tcBorders>
            <w:shd w:val="clear" w:color="auto" w:fill="66CCFF"/>
          </w:tcPr>
          <w:p w14:paraId="20FCD623"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1EAFC9D2"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SDR</w:t>
            </w:r>
          </w:p>
        </w:tc>
        <w:tc>
          <w:tcPr>
            <w:tcW w:w="5978" w:type="dxa"/>
            <w:tcBorders>
              <w:bottom w:val="single" w:sz="4" w:space="0" w:color="auto"/>
            </w:tcBorders>
            <w:shd w:val="clear" w:color="auto" w:fill="FFFFFF" w:themeFill="background1"/>
          </w:tcPr>
          <w:p w14:paraId="58DE2D3E"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Oblast je výslovně zmíněna v části ANNEX D - Investment Guidance on Cohesion Policy Funding 2021-2027 for the Czech Republic – Draft  Country Report 2019.</w:t>
            </w:r>
          </w:p>
          <w:p w14:paraId="5E7A86F4"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1D9819E8" w14:textId="77777777" w:rsidR="00DD3EFA" w:rsidRPr="00EC2A1C" w:rsidRDefault="00DD3EFA" w:rsidP="00B15ECB">
            <w:pPr>
              <w:rPr>
                <w:rFonts w:ascii="Times New Roman" w:hAnsi="Times New Roman" w:cs="Times New Roman"/>
                <w:b/>
                <w:sz w:val="20"/>
                <w:szCs w:val="20"/>
              </w:rPr>
            </w:pPr>
          </w:p>
        </w:tc>
      </w:tr>
      <w:tr w:rsidR="00DD3EFA" w:rsidRPr="00EC2A1C" w14:paraId="02085EF0" w14:textId="77777777" w:rsidTr="00B15ECB">
        <w:trPr>
          <w:trHeight w:val="180"/>
        </w:trPr>
        <w:tc>
          <w:tcPr>
            <w:tcW w:w="249" w:type="dxa"/>
            <w:tcBorders>
              <w:top w:val="nil"/>
              <w:bottom w:val="nil"/>
              <w:right w:val="nil"/>
            </w:tcBorders>
            <w:shd w:val="clear" w:color="auto" w:fill="66CCFF"/>
          </w:tcPr>
          <w:p w14:paraId="3651705F"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6D50C1DA"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4E29C420"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3355EA40" w14:textId="77777777" w:rsidR="00DD3EFA" w:rsidRPr="00EC2A1C" w:rsidRDefault="00DD3EFA" w:rsidP="00B15ECB">
            <w:pPr>
              <w:rPr>
                <w:rFonts w:ascii="Times New Roman" w:hAnsi="Times New Roman" w:cs="Times New Roman"/>
                <w:b/>
                <w:sz w:val="20"/>
                <w:szCs w:val="20"/>
              </w:rPr>
            </w:pPr>
          </w:p>
        </w:tc>
      </w:tr>
      <w:tr w:rsidR="00DD3EFA" w:rsidRPr="00EC2A1C" w14:paraId="3363900F" w14:textId="77777777" w:rsidTr="00B15ECB">
        <w:trPr>
          <w:trHeight w:val="938"/>
        </w:trPr>
        <w:tc>
          <w:tcPr>
            <w:tcW w:w="249" w:type="dxa"/>
            <w:tcBorders>
              <w:top w:val="nil"/>
              <w:bottom w:val="nil"/>
            </w:tcBorders>
            <w:shd w:val="clear" w:color="auto" w:fill="66CCFF"/>
          </w:tcPr>
          <w:p w14:paraId="162ECDD2"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1C9AA059"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Strategický dokument pro daný cíl pro období 2020+; v případě více dokumentů identifikujte strategii dominantní ve vztahu k cíli.</w:t>
            </w:r>
          </w:p>
          <w:p w14:paraId="73064381" w14:textId="77777777" w:rsidR="00DD3EFA" w:rsidRPr="00EC2A1C" w:rsidRDefault="00DD3EFA" w:rsidP="00B15ECB">
            <w:pPr>
              <w:pStyle w:val="Odstavecseseznamem"/>
              <w:spacing w:before="60" w:after="60"/>
              <w:ind w:left="3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5258AF83" w14:textId="77777777" w:rsidR="00DD3EFA" w:rsidRPr="00EC2A1C" w:rsidRDefault="00DD3EFA" w:rsidP="00B15ECB">
            <w:pPr>
              <w:spacing w:before="40" w:after="40"/>
              <w:rPr>
                <w:rFonts w:ascii="Times New Roman" w:eastAsia="Calibri" w:hAnsi="Times New Roman" w:cs="Times New Roman"/>
                <w:sz w:val="20"/>
                <w:szCs w:val="20"/>
              </w:rPr>
            </w:pPr>
            <w:r w:rsidRPr="00EC2A1C">
              <w:rPr>
                <w:rFonts w:ascii="Times New Roman" w:eastAsia="Calibri" w:hAnsi="Times New Roman" w:cs="Times New Roman"/>
                <w:sz w:val="20"/>
                <w:szCs w:val="20"/>
              </w:rPr>
              <w:t xml:space="preserve">Primární dokument: </w:t>
            </w:r>
            <w:r w:rsidRPr="00EC2A1C">
              <w:rPr>
                <w:rFonts w:ascii="Times New Roman" w:eastAsia="Calibri" w:hAnsi="Times New Roman" w:cs="Times New Roman"/>
                <w:b/>
                <w:sz w:val="20"/>
                <w:szCs w:val="20"/>
              </w:rPr>
              <w:t>Strategie ochrany biologické rozmanitosti ČR 2016-2025</w:t>
            </w:r>
            <w:r w:rsidRPr="00EC2A1C">
              <w:rPr>
                <w:rFonts w:ascii="Times New Roman" w:eastAsia="Calibri" w:hAnsi="Times New Roman" w:cs="Times New Roman"/>
                <w:sz w:val="20"/>
                <w:szCs w:val="20"/>
              </w:rPr>
              <w:t xml:space="preserve"> (SOBR)</w:t>
            </w:r>
          </w:p>
          <w:p w14:paraId="2F5213FA" w14:textId="77777777" w:rsidR="00DD3EFA" w:rsidRPr="00EC2A1C" w:rsidRDefault="00DD3EFA" w:rsidP="00B15ECB">
            <w:pPr>
              <w:spacing w:before="40" w:after="40"/>
              <w:rPr>
                <w:rFonts w:ascii="Times New Roman" w:eastAsia="Calibri" w:hAnsi="Times New Roman" w:cs="Times New Roman"/>
                <w:sz w:val="20"/>
                <w:szCs w:val="20"/>
              </w:rPr>
            </w:pPr>
            <w:r w:rsidRPr="00EC2A1C">
              <w:rPr>
                <w:rFonts w:ascii="Times New Roman" w:eastAsia="Calibri" w:hAnsi="Times New Roman" w:cs="Times New Roman"/>
                <w:sz w:val="20"/>
                <w:szCs w:val="20"/>
              </w:rPr>
              <w:t>Obsahuje ve 4 prioritních oblastech 20 rámcových cílů, 68 dílčích cílů a 123 opatření</w:t>
            </w:r>
          </w:p>
          <w:p w14:paraId="7AD51A0F" w14:textId="77777777" w:rsidR="00DD3EFA" w:rsidRPr="00EC2A1C" w:rsidRDefault="00DD3EFA" w:rsidP="00B15ECB">
            <w:pPr>
              <w:spacing w:before="40" w:after="40"/>
              <w:rPr>
                <w:rFonts w:ascii="Times New Roman" w:eastAsia="Calibri" w:hAnsi="Times New Roman" w:cs="Times New Roman"/>
                <w:sz w:val="20"/>
                <w:szCs w:val="20"/>
              </w:rPr>
            </w:pPr>
          </w:p>
          <w:p w14:paraId="5C55B326" w14:textId="77777777" w:rsidR="00DD3EFA" w:rsidRPr="00EC2A1C" w:rsidRDefault="00DD3EFA" w:rsidP="00B15ECB">
            <w:pPr>
              <w:spacing w:before="40" w:after="40"/>
              <w:rPr>
                <w:rFonts w:ascii="Times New Roman" w:eastAsia="Calibri" w:hAnsi="Times New Roman" w:cs="Times New Roman"/>
                <w:b/>
                <w:sz w:val="20"/>
                <w:szCs w:val="20"/>
              </w:rPr>
            </w:pPr>
            <w:r w:rsidRPr="00EC2A1C">
              <w:rPr>
                <w:rFonts w:ascii="Times New Roman" w:eastAsia="Calibri" w:hAnsi="Times New Roman" w:cs="Times New Roman"/>
                <w:b/>
                <w:sz w:val="20"/>
                <w:szCs w:val="20"/>
              </w:rPr>
              <w:t>Související strategie a koncepce aj:</w:t>
            </w:r>
          </w:p>
          <w:p w14:paraId="5EC6A2D4"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Zákon č. 114/1992 Sb. o ochraně přírody a krajiny</w:t>
            </w:r>
          </w:p>
          <w:p w14:paraId="056179AF"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Strategie EU v oblasti biologické rozmanitosti do r. 2020 – předpoklad aktualizace v roce 2020</w:t>
            </w:r>
          </w:p>
          <w:p w14:paraId="0785D9D0"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Strategický plán pro biodiverzitu 2011-2020 Úmluvy o biologické rozmanitosti – předpoklad aktualizace v roce 2020</w:t>
            </w:r>
          </w:p>
          <w:p w14:paraId="3501AC9F" w14:textId="77777777" w:rsidR="00DD3EFA" w:rsidRPr="00EC2A1C" w:rsidRDefault="00DD3EFA" w:rsidP="00B15ECB">
            <w:pPr>
              <w:spacing w:before="60" w:after="60"/>
              <w:rPr>
                <w:rFonts w:ascii="Times New Roman" w:eastAsia="Calibri" w:hAnsi="Times New Roman" w:cs="Times New Roman"/>
                <w:sz w:val="20"/>
                <w:szCs w:val="20"/>
              </w:rPr>
            </w:pPr>
          </w:p>
          <w:p w14:paraId="1C48221C"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Evropská úmluva o krajině</w:t>
            </w:r>
          </w:p>
          <w:p w14:paraId="1651578D"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Úmluva o biologické rozmanitosti</w:t>
            </w:r>
          </w:p>
          <w:p w14:paraId="49988BB9"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Prioritní akční rámec pro oblasti Natura 2000 v České republice</w:t>
            </w:r>
          </w:p>
          <w:p w14:paraId="7C350754"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Státní politika životního prostředí ČR 2012-2020 – předpoklad aktualizace v roce 2020</w:t>
            </w:r>
          </w:p>
          <w:p w14:paraId="19671A87"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Státní program ochrany přírody a krajiny ČR – předpoklad aktualizace v roce 2018</w:t>
            </w:r>
          </w:p>
          <w:p w14:paraId="23716E02"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 xml:space="preserve">Koncepce migračního zprůchodnění říční sítě ČR </w:t>
            </w:r>
            <w:r w:rsidRPr="00EC2A1C">
              <w:rPr>
                <w:rFonts w:ascii="Times New Roman" w:hAnsi="Times New Roman" w:cs="Times New Roman"/>
                <w:sz w:val="20"/>
                <w:szCs w:val="20"/>
              </w:rPr>
              <w:t>(aktualizace 2014)</w:t>
            </w:r>
          </w:p>
          <w:p w14:paraId="519608B5"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Strategie přizpůsobení se změně klimatu v podmínkách ČR a Národní akční plán adaptace na změnu klimatu</w:t>
            </w:r>
            <w:r w:rsidRPr="00EC2A1C">
              <w:rPr>
                <w:rFonts w:ascii="Times New Roman" w:eastAsia="Calibri" w:hAnsi="Times New Roman" w:cs="Times New Roman"/>
                <w:sz w:val="20"/>
                <w:szCs w:val="20"/>
              </w:rPr>
              <w:t>– předpoklad aktualizace v roce 2020</w:t>
            </w:r>
          </w:p>
          <w:p w14:paraId="03D8FA9F"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Národní plány povodí (pro období 2015 – 2021)</w:t>
            </w:r>
          </w:p>
          <w:p w14:paraId="36136AB2"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 xml:space="preserve">Směrnice Rady č. 92/43/EHS, o ochraně přírodních stanovišť, volně žijících živočichů a planě rostoucích rostlin </w:t>
            </w:r>
          </w:p>
          <w:p w14:paraId="21F10CB4"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Směrnice Rady č. 2009/147/ES o ochraně volně žijících ptáků</w:t>
            </w:r>
          </w:p>
          <w:p w14:paraId="3781074B"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 xml:space="preserve">Nařízení Evropského parlamentu a Rady (EU) č. 1143/2014 o prevenci a regulaci zavlékání či vysazování a šíření invazních nepůvodních druhů </w:t>
            </w:r>
          </w:p>
          <w:p w14:paraId="6C01A109"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Rámcová směrnice o vodách 2000/60/ES;</w:t>
            </w:r>
          </w:p>
          <w:p w14:paraId="158BB97A"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Česká republika 2030</w:t>
            </w:r>
          </w:p>
          <w:p w14:paraId="2C5743AE"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Rámcová úmluva OSN o změně klimatu (dále jen „UNFCCC“),</w:t>
            </w:r>
          </w:p>
          <w:p w14:paraId="2ACC3331"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Kjótský protokol, Cancúnský adaptační rámec</w:t>
            </w:r>
          </w:p>
          <w:p w14:paraId="76D4B57D"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Koncepce environmentální bezpečnosti 2016-2020 s výhledem do roku 2030</w:t>
            </w:r>
          </w:p>
          <w:p w14:paraId="594382AE"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Rámec ze Sendai pro snižování rizika katastrof 2015 – 2030</w:t>
            </w:r>
          </w:p>
          <w:p w14:paraId="0DF93A3C"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Strategie EU pro přizpůsobení se změně klimatu</w:t>
            </w:r>
          </w:p>
          <w:p w14:paraId="2D3BCE4A"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7. všeobecný akční program Unie pro životní prostředí do roku 2020 – předpoklad aktualizace v roce 2020</w:t>
            </w:r>
          </w:p>
          <w:p w14:paraId="6A65B317"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 xml:space="preserve">Sdělení Evropské komise k zelené infrastruktuře </w:t>
            </w:r>
            <w:hyperlink r:id="rId41" w:history="1">
              <w:r w:rsidRPr="00EC2A1C">
                <w:rPr>
                  <w:rFonts w:ascii="Times New Roman" w:hAnsi="Times New Roman" w:cs="Times New Roman"/>
                  <w:sz w:val="20"/>
                  <w:szCs w:val="20"/>
                </w:rPr>
                <w:t>(COM(2013) 249 final)</w:t>
              </w:r>
            </w:hyperlink>
          </w:p>
          <w:p w14:paraId="5A945AC3"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Strategie resortu Ministerstva zemědělství ČR s výhledem do roku 2030</w:t>
            </w:r>
          </w:p>
          <w:p w14:paraId="086AC9C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sz w:val="20"/>
                <w:szCs w:val="20"/>
                <w:u w:val="single"/>
              </w:rPr>
            </w:pPr>
            <w:r w:rsidRPr="00EC2A1C">
              <w:rPr>
                <w:rFonts w:ascii="Times New Roman" w:eastAsiaTheme="majorEastAsia" w:hAnsi="Times New Roman"/>
                <w:sz w:val="20"/>
                <w:szCs w:val="20"/>
              </w:rPr>
              <w:t>Koncepce na ochranu před následky sucha pro území ČR</w:t>
            </w:r>
          </w:p>
        </w:tc>
        <w:tc>
          <w:tcPr>
            <w:tcW w:w="249" w:type="dxa"/>
            <w:tcBorders>
              <w:top w:val="nil"/>
              <w:bottom w:val="nil"/>
            </w:tcBorders>
            <w:shd w:val="clear" w:color="auto" w:fill="66CCFF"/>
          </w:tcPr>
          <w:p w14:paraId="03CB9018" w14:textId="77777777" w:rsidR="00DD3EFA" w:rsidRPr="00EC2A1C" w:rsidRDefault="00DD3EFA" w:rsidP="00B15ECB">
            <w:pPr>
              <w:rPr>
                <w:rFonts w:ascii="Times New Roman" w:hAnsi="Times New Roman" w:cs="Times New Roman"/>
                <w:b/>
                <w:sz w:val="20"/>
                <w:szCs w:val="20"/>
              </w:rPr>
            </w:pPr>
          </w:p>
        </w:tc>
      </w:tr>
      <w:tr w:rsidR="00DD3EFA" w:rsidRPr="00EC2A1C" w14:paraId="16DB23E4" w14:textId="77777777" w:rsidTr="00B15ECB">
        <w:trPr>
          <w:trHeight w:val="938"/>
        </w:trPr>
        <w:tc>
          <w:tcPr>
            <w:tcW w:w="249" w:type="dxa"/>
            <w:tcBorders>
              <w:top w:val="nil"/>
              <w:bottom w:val="nil"/>
            </w:tcBorders>
            <w:shd w:val="clear" w:color="auto" w:fill="66CCFF"/>
          </w:tcPr>
          <w:p w14:paraId="0D9A50CA"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741A17D7" w14:textId="77777777" w:rsidR="00DD3EFA" w:rsidRPr="00EC2A1C" w:rsidRDefault="00DD3EFA" w:rsidP="00391907">
            <w:pPr>
              <w:pStyle w:val="Odstavecseseznamem"/>
              <w:numPr>
                <w:ilvl w:val="0"/>
                <w:numId w:val="3"/>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analýza problémů a potřeb</w:t>
            </w:r>
          </w:p>
          <w:p w14:paraId="281197BB"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45F6A7E4"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Dokument obsahuje analýzu stavu a vývoje pro každý z cílů a jejíž součástí je i zhodnocení tlaků a hrozeb pro dané téma</w:t>
            </w:r>
          </w:p>
        </w:tc>
        <w:tc>
          <w:tcPr>
            <w:tcW w:w="249" w:type="dxa"/>
            <w:tcBorders>
              <w:top w:val="nil"/>
              <w:bottom w:val="nil"/>
            </w:tcBorders>
            <w:shd w:val="clear" w:color="auto" w:fill="66CCFF"/>
          </w:tcPr>
          <w:p w14:paraId="2293B032" w14:textId="77777777" w:rsidR="00DD3EFA" w:rsidRPr="00EC2A1C" w:rsidRDefault="00DD3EFA" w:rsidP="00B15ECB">
            <w:pPr>
              <w:rPr>
                <w:rFonts w:ascii="Times New Roman" w:hAnsi="Times New Roman" w:cs="Times New Roman"/>
                <w:b/>
                <w:sz w:val="20"/>
                <w:szCs w:val="20"/>
              </w:rPr>
            </w:pPr>
          </w:p>
        </w:tc>
      </w:tr>
      <w:tr w:rsidR="00DD3EFA" w:rsidRPr="00EC2A1C" w14:paraId="14E7895F" w14:textId="77777777" w:rsidTr="00B15ECB">
        <w:trPr>
          <w:trHeight w:val="938"/>
        </w:trPr>
        <w:tc>
          <w:tcPr>
            <w:tcW w:w="249" w:type="dxa"/>
            <w:tcBorders>
              <w:top w:val="nil"/>
              <w:bottom w:val="nil"/>
            </w:tcBorders>
            <w:shd w:val="clear" w:color="auto" w:fill="66CCFF"/>
          </w:tcPr>
          <w:p w14:paraId="6FFC9E5E"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954735C" w14:textId="77777777" w:rsidR="00DD3EFA" w:rsidRPr="00EC2A1C" w:rsidRDefault="00DD3EFA" w:rsidP="00391907">
            <w:pPr>
              <w:pStyle w:val="Odstavecseseznamem"/>
              <w:numPr>
                <w:ilvl w:val="0"/>
                <w:numId w:val="3"/>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jasně definované cíle a opatření</w:t>
            </w:r>
          </w:p>
          <w:p w14:paraId="47DA69F6"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211FDE8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 xml:space="preserve">Strategie formuluje (strategické) cíle, dílčí cíle a opatření ve 4 prioritách. </w:t>
            </w:r>
          </w:p>
          <w:p w14:paraId="5EA8CAEA" w14:textId="77777777" w:rsidR="00DD3EFA" w:rsidRPr="00EC2A1C" w:rsidRDefault="00DD3EFA" w:rsidP="00B15ECB">
            <w:pPr>
              <w:pStyle w:val="slovanodstavec"/>
              <w:tabs>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Priorita 1 - Společnost uznávající hodnotu přírodních zdrojů (1.1: Společnost uznávající hodnotu přírody, 1.2: Veřejná správa, 1.3: Soukromý sektor, 1.4: Cestovní ruch, 1.5: Ekonomické nástroje a finanční podpora),</w:t>
            </w:r>
          </w:p>
          <w:p w14:paraId="0C7D661A" w14:textId="77777777" w:rsidR="00DD3EFA" w:rsidRPr="00EC2A1C" w:rsidRDefault="00DD3EFA" w:rsidP="00B15ECB">
            <w:pPr>
              <w:pStyle w:val="slovanodstavec"/>
              <w:tabs>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 xml:space="preserve"> Priorita 2 - Dlouhodobě prosperující biodiverzita a ochrana přírodních procesů (2.1: Genetická rozmanitost, 2.2: Druhy, 2.3: Invazní nepůvodní druhy (IAS), 2.4: Přírodní stanoviště, 2.5: Krajina, 2.6: Sídla)</w:t>
            </w:r>
          </w:p>
          <w:p w14:paraId="41C2A6EC" w14:textId="77777777" w:rsidR="00DD3EFA" w:rsidRPr="00EC2A1C" w:rsidRDefault="00DD3EFA" w:rsidP="00B15ECB">
            <w:pPr>
              <w:pStyle w:val="slovanodstavec"/>
              <w:tabs>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Priorita 3 - Šetrné využívání přírodních zdrojů (3.1: Zemědělská krajina, 3.2: Lesní ekosystémy, 3.3: Vodní ekosystémy, 3.4: Půda a nerostné bohatství, 3.5: Zachování a obnova ekosystémů, 3.6: Udržitelné využívání genetických zdrojů</w:t>
            </w:r>
            <w:r w:rsidRPr="00EC2A1C">
              <w:rPr>
                <w:rFonts w:ascii="Times New Roman" w:hAnsi="Times New Roman"/>
                <w:sz w:val="20"/>
                <w:szCs w:val="20"/>
              </w:rPr>
              <w:tab/>
              <w:t>)</w:t>
            </w:r>
          </w:p>
          <w:p w14:paraId="638A7D68" w14:textId="77777777" w:rsidR="00DD3EFA" w:rsidRPr="00EC2A1C" w:rsidRDefault="00DD3EFA" w:rsidP="00B15ECB">
            <w:pPr>
              <w:pStyle w:val="slovanodstavec"/>
              <w:tabs>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Priorita 4 - Strategické plánování a politika (4.1: Zajištění aktuálních a relevantních informací, 4.2: Ekosystémové služby,  4.3: Mezinárodní spolupráce)</w:t>
            </w:r>
          </w:p>
          <w:p w14:paraId="52F9D82B" w14:textId="77777777" w:rsidR="00DD3EFA" w:rsidRPr="00EC2A1C" w:rsidRDefault="00DD3EFA" w:rsidP="00B15ECB">
            <w:pPr>
              <w:pStyle w:val="slovanodstavec"/>
              <w:tabs>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Pro každé opatření je definován indikátor/cílový stav, termín, gestor.</w:t>
            </w:r>
          </w:p>
        </w:tc>
        <w:tc>
          <w:tcPr>
            <w:tcW w:w="249" w:type="dxa"/>
            <w:tcBorders>
              <w:top w:val="nil"/>
              <w:bottom w:val="nil"/>
            </w:tcBorders>
            <w:shd w:val="clear" w:color="auto" w:fill="66CCFF"/>
          </w:tcPr>
          <w:p w14:paraId="55E6DE35" w14:textId="77777777" w:rsidR="00DD3EFA" w:rsidRPr="00EC2A1C" w:rsidRDefault="00DD3EFA" w:rsidP="00B15ECB">
            <w:pPr>
              <w:rPr>
                <w:rFonts w:ascii="Times New Roman" w:hAnsi="Times New Roman" w:cs="Times New Roman"/>
                <w:b/>
                <w:sz w:val="20"/>
                <w:szCs w:val="20"/>
              </w:rPr>
            </w:pPr>
          </w:p>
        </w:tc>
      </w:tr>
      <w:tr w:rsidR="00DD3EFA" w:rsidRPr="00EC2A1C" w14:paraId="6A0BC5A2" w14:textId="77777777" w:rsidTr="00B15ECB">
        <w:trPr>
          <w:trHeight w:val="938"/>
        </w:trPr>
        <w:tc>
          <w:tcPr>
            <w:tcW w:w="249" w:type="dxa"/>
            <w:tcBorders>
              <w:top w:val="nil"/>
              <w:bottom w:val="nil"/>
            </w:tcBorders>
            <w:shd w:val="clear" w:color="auto" w:fill="66CCFF"/>
          </w:tcPr>
          <w:p w14:paraId="118DCD7E"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0811154C" w14:textId="77777777" w:rsidR="00DD3EFA" w:rsidRPr="00EC2A1C" w:rsidRDefault="00DD3EFA" w:rsidP="00391907">
            <w:pPr>
              <w:pStyle w:val="Odstavecseseznamem"/>
              <w:numPr>
                <w:ilvl w:val="0"/>
                <w:numId w:val="3"/>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implementační mechanismus</w:t>
            </w:r>
          </w:p>
          <w:p w14:paraId="126AB2C5"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2258DED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Strategie je závazná pro národní úroveň. Na této úrovni jsou také určeny gesce resortů, které jsou odpovědné za implementaci a realizaci jednotlivých opatření. Zapojení veřejnosti, samospráv i soukromého sektoru je předmětem priority 1. V příloze je pak uveden příklad implementace na úrovni kraje, ORP, soukromého subjektu, stakeholdera</w:t>
            </w:r>
          </w:p>
        </w:tc>
        <w:tc>
          <w:tcPr>
            <w:tcW w:w="249" w:type="dxa"/>
            <w:tcBorders>
              <w:top w:val="nil"/>
              <w:bottom w:val="nil"/>
            </w:tcBorders>
            <w:shd w:val="clear" w:color="auto" w:fill="66CCFF"/>
          </w:tcPr>
          <w:p w14:paraId="4669F5E9" w14:textId="77777777" w:rsidR="00DD3EFA" w:rsidRPr="00EC2A1C" w:rsidRDefault="00DD3EFA" w:rsidP="00B15ECB">
            <w:pPr>
              <w:rPr>
                <w:rFonts w:ascii="Times New Roman" w:hAnsi="Times New Roman" w:cs="Times New Roman"/>
                <w:b/>
                <w:sz w:val="20"/>
                <w:szCs w:val="20"/>
              </w:rPr>
            </w:pPr>
          </w:p>
        </w:tc>
      </w:tr>
      <w:tr w:rsidR="00DD3EFA" w:rsidRPr="00EC2A1C" w14:paraId="6AEB42F3" w14:textId="77777777" w:rsidTr="00B15ECB">
        <w:trPr>
          <w:trHeight w:val="938"/>
        </w:trPr>
        <w:tc>
          <w:tcPr>
            <w:tcW w:w="249" w:type="dxa"/>
            <w:tcBorders>
              <w:top w:val="nil"/>
              <w:bottom w:val="nil"/>
            </w:tcBorders>
            <w:shd w:val="clear" w:color="auto" w:fill="66CCFF"/>
          </w:tcPr>
          <w:p w14:paraId="60A9B775"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69EFFB03"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monitoring a evaluace</w:t>
            </w:r>
          </w:p>
        </w:tc>
        <w:tc>
          <w:tcPr>
            <w:tcW w:w="5978" w:type="dxa"/>
            <w:tcBorders>
              <w:bottom w:val="single" w:sz="4" w:space="0" w:color="auto"/>
            </w:tcBorders>
            <w:shd w:val="clear" w:color="auto" w:fill="FFFFFF" w:themeFill="background1"/>
          </w:tcPr>
          <w:p w14:paraId="367D976E"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Vyhodnocení SOBR proběhne ve dvou etapách:</w:t>
            </w:r>
          </w:p>
          <w:p w14:paraId="0B271BA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1. Střednědobé vyhodnocení plnění dílčích cílů v r. 2020</w:t>
            </w:r>
          </w:p>
          <w:p w14:paraId="765D5E9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2. Celkové vyhodnocení SOBR v roce 2025</w:t>
            </w:r>
          </w:p>
          <w:p w14:paraId="770391A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sz w:val="20"/>
                <w:szCs w:val="20"/>
              </w:rPr>
            </w:pPr>
            <w:r w:rsidRPr="00EC2A1C">
              <w:rPr>
                <w:rFonts w:ascii="Times New Roman" w:hAnsi="Times New Roman"/>
                <w:sz w:val="20"/>
                <w:szCs w:val="20"/>
              </w:rPr>
              <w:t>V rámci hodnocení bude v maximální možné míře využito indikátorů SOBR</w:t>
            </w:r>
          </w:p>
        </w:tc>
        <w:tc>
          <w:tcPr>
            <w:tcW w:w="249" w:type="dxa"/>
            <w:tcBorders>
              <w:top w:val="nil"/>
              <w:bottom w:val="nil"/>
            </w:tcBorders>
            <w:shd w:val="clear" w:color="auto" w:fill="66CCFF"/>
          </w:tcPr>
          <w:p w14:paraId="5EF7FE7F" w14:textId="77777777" w:rsidR="00DD3EFA" w:rsidRPr="00EC2A1C" w:rsidRDefault="00DD3EFA" w:rsidP="00B15ECB">
            <w:pPr>
              <w:rPr>
                <w:rFonts w:ascii="Times New Roman" w:hAnsi="Times New Roman" w:cs="Times New Roman"/>
                <w:b/>
                <w:sz w:val="20"/>
                <w:szCs w:val="20"/>
              </w:rPr>
            </w:pPr>
          </w:p>
        </w:tc>
      </w:tr>
      <w:tr w:rsidR="00DD3EFA" w:rsidRPr="00EC2A1C" w14:paraId="06BE4641" w14:textId="77777777" w:rsidTr="00B15ECB">
        <w:trPr>
          <w:trHeight w:val="130"/>
        </w:trPr>
        <w:tc>
          <w:tcPr>
            <w:tcW w:w="249" w:type="dxa"/>
            <w:tcBorders>
              <w:top w:val="nil"/>
              <w:bottom w:val="nil"/>
              <w:right w:val="nil"/>
            </w:tcBorders>
            <w:shd w:val="clear" w:color="auto" w:fill="66CCFF"/>
          </w:tcPr>
          <w:p w14:paraId="5E7444EF"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2D856AF4"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7264DC3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sz w:val="20"/>
                <w:szCs w:val="20"/>
              </w:rPr>
            </w:pPr>
          </w:p>
        </w:tc>
        <w:tc>
          <w:tcPr>
            <w:tcW w:w="249" w:type="dxa"/>
            <w:tcBorders>
              <w:top w:val="nil"/>
              <w:left w:val="nil"/>
              <w:bottom w:val="nil"/>
            </w:tcBorders>
            <w:shd w:val="clear" w:color="auto" w:fill="66CCFF"/>
          </w:tcPr>
          <w:p w14:paraId="2261386C" w14:textId="77777777" w:rsidR="00DD3EFA" w:rsidRPr="00EC2A1C" w:rsidRDefault="00DD3EFA" w:rsidP="00B15ECB">
            <w:pPr>
              <w:rPr>
                <w:rFonts w:ascii="Times New Roman" w:hAnsi="Times New Roman" w:cs="Times New Roman"/>
                <w:b/>
                <w:sz w:val="20"/>
                <w:szCs w:val="20"/>
              </w:rPr>
            </w:pPr>
          </w:p>
        </w:tc>
      </w:tr>
      <w:tr w:rsidR="00DD3EFA" w:rsidRPr="00EC2A1C" w14:paraId="79CE3729" w14:textId="77777777" w:rsidTr="00B15ECB">
        <w:trPr>
          <w:trHeight w:val="1258"/>
        </w:trPr>
        <w:tc>
          <w:tcPr>
            <w:tcW w:w="249" w:type="dxa"/>
            <w:tcBorders>
              <w:top w:val="nil"/>
              <w:bottom w:val="nil"/>
              <w:right w:val="nil"/>
            </w:tcBorders>
            <w:shd w:val="clear" w:color="auto" w:fill="66CCFF"/>
          </w:tcPr>
          <w:p w14:paraId="4C99D5DF" w14:textId="77777777" w:rsidR="00DD3EFA" w:rsidRPr="00EC2A1C" w:rsidRDefault="00DD3EFA" w:rsidP="00B15ECB">
            <w:pPr>
              <w:rPr>
                <w:rFonts w:ascii="Times New Roman" w:hAnsi="Times New Roman" w:cs="Times New Roman"/>
                <w:b/>
                <w:sz w:val="20"/>
                <w:szCs w:val="20"/>
              </w:rPr>
            </w:pPr>
          </w:p>
        </w:tc>
        <w:tc>
          <w:tcPr>
            <w:tcW w:w="2548" w:type="dxa"/>
            <w:shd w:val="clear" w:color="auto" w:fill="FFFFFF" w:themeFill="background1"/>
          </w:tcPr>
          <w:p w14:paraId="44AEB6EF" w14:textId="77777777" w:rsidR="00DD3EFA" w:rsidRPr="00EC2A1C" w:rsidRDefault="00DD3EFA" w:rsidP="00B15ECB">
            <w:pPr>
              <w:rPr>
                <w:rFonts w:ascii="Times New Roman" w:hAnsi="Times New Roman" w:cs="Times New Roman"/>
                <w:b/>
                <w:sz w:val="20"/>
                <w:szCs w:val="20"/>
              </w:rPr>
            </w:pPr>
            <w:r w:rsidRPr="00EC2A1C">
              <w:rPr>
                <w:rFonts w:ascii="Times New Roman" w:eastAsiaTheme="majorEastAsia" w:hAnsi="Times New Roman" w:cs="Times New Roman"/>
                <w:b/>
                <w:sz w:val="20"/>
                <w:szCs w:val="20"/>
              </w:rPr>
              <w:t xml:space="preserve">Zhodnocení dosavadního využití podpory tematické oblasti z ESIF (tj. v období 2014 – 2020, příp. 2007 – 2013). </w:t>
            </w:r>
          </w:p>
        </w:tc>
        <w:tc>
          <w:tcPr>
            <w:tcW w:w="5978" w:type="dxa"/>
            <w:shd w:val="clear" w:color="auto" w:fill="FFFFFF" w:themeFill="background1"/>
          </w:tcPr>
          <w:p w14:paraId="7DACD061"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b/>
                <w:sz w:val="20"/>
                <w:szCs w:val="20"/>
              </w:rPr>
            </w:pPr>
          </w:p>
        </w:tc>
        <w:tc>
          <w:tcPr>
            <w:tcW w:w="249" w:type="dxa"/>
            <w:tcBorders>
              <w:top w:val="nil"/>
              <w:left w:val="nil"/>
              <w:bottom w:val="nil"/>
            </w:tcBorders>
            <w:shd w:val="clear" w:color="auto" w:fill="66CCFF"/>
          </w:tcPr>
          <w:p w14:paraId="69C3061B" w14:textId="77777777" w:rsidR="00DD3EFA" w:rsidRPr="00EC2A1C" w:rsidRDefault="00DD3EFA" w:rsidP="00B15ECB">
            <w:pPr>
              <w:rPr>
                <w:rFonts w:ascii="Times New Roman" w:hAnsi="Times New Roman" w:cs="Times New Roman"/>
                <w:b/>
                <w:sz w:val="20"/>
                <w:szCs w:val="20"/>
              </w:rPr>
            </w:pPr>
          </w:p>
        </w:tc>
      </w:tr>
      <w:tr w:rsidR="00DD3EFA" w:rsidRPr="00EC2A1C" w14:paraId="1EFF155D" w14:textId="77777777" w:rsidTr="00B15ECB">
        <w:trPr>
          <w:trHeight w:val="1258"/>
        </w:trPr>
        <w:tc>
          <w:tcPr>
            <w:tcW w:w="249" w:type="dxa"/>
            <w:tcBorders>
              <w:top w:val="nil"/>
              <w:bottom w:val="nil"/>
              <w:right w:val="nil"/>
            </w:tcBorders>
            <w:shd w:val="clear" w:color="auto" w:fill="66CCFF"/>
          </w:tcPr>
          <w:p w14:paraId="77271BAC" w14:textId="77777777" w:rsidR="00DD3EFA" w:rsidRPr="00EC2A1C" w:rsidRDefault="00DD3EFA" w:rsidP="00B15ECB">
            <w:pPr>
              <w:rPr>
                <w:rFonts w:ascii="Times New Roman" w:hAnsi="Times New Roman" w:cs="Times New Roman"/>
                <w:b/>
                <w:sz w:val="20"/>
                <w:szCs w:val="20"/>
              </w:rPr>
            </w:pPr>
          </w:p>
        </w:tc>
        <w:tc>
          <w:tcPr>
            <w:tcW w:w="2548" w:type="dxa"/>
            <w:shd w:val="clear" w:color="auto" w:fill="FFFFFF" w:themeFill="background1"/>
          </w:tcPr>
          <w:p w14:paraId="325D9863" w14:textId="77777777" w:rsidR="00DD3EFA" w:rsidRPr="00EC2A1C" w:rsidRDefault="00DD3EFA" w:rsidP="00B15ECB">
            <w:pPr>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Věcný posun oblasti</w:t>
            </w:r>
          </w:p>
          <w:p w14:paraId="4BABCE07" w14:textId="77777777" w:rsidR="00DD3EFA" w:rsidRPr="00EC2A1C" w:rsidRDefault="00DD3EFA" w:rsidP="00B15ECB">
            <w:pPr>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(tj. v období 2014 – 2020, příp. 2007 – 2013)</w:t>
            </w:r>
          </w:p>
        </w:tc>
        <w:tc>
          <w:tcPr>
            <w:tcW w:w="5978" w:type="dxa"/>
            <w:shd w:val="clear" w:color="auto" w:fill="FFFFFF" w:themeFill="background1"/>
          </w:tcPr>
          <w:p w14:paraId="190BC800"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Opatření spadající do dané oblasti byla podporována v rámci Operačního programu Životní prostředí (OPŽP) a Programu rozvoje venkova (PRV) jak v období 2007-2013, tak 2014–2020. I přes množství finančních prostředků vynaložených na tuto oblast jsou uvedené problémy přetrvávající. V poslední době, kdy je akcentována problematika změny klimatu, je realizace opatření přispívajících k adaptaci klíčová.</w:t>
            </w:r>
          </w:p>
          <w:p w14:paraId="7404593A"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OPŽP v programovém období 2014-2020 podporuje oblast ochrany přírody a krajiny v rámci Prioritní osy 4, konkrétně pak v SC 4.1 Zajistit příznivý stav předmětu ochrany národně významných chráněných území, SC 4.2 Posílit biodiverzitu, SC. 4.3 Posílit přirozené funkce krajiny a SC 4.4 Zlepšit kvalitu prostředí v sídlech. </w:t>
            </w:r>
          </w:p>
          <w:p w14:paraId="65DFECDF"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OPŽP 2014 – 2020 je na SC 4.1 alokováno cca 105,5 mil. EUR EU prostředků, na SC 4.2 je alokováno cca 24,2 mil. EUR EU prostředků, na SC 4.3 je alokováno cca 151,7 mil. EUR EU prostředků, na SC 4.4 je alokováno cca 70,3 mil. EUR EU prostředků.</w:t>
            </w:r>
          </w:p>
          <w:p w14:paraId="5A8F08F1"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OPŽP 2014 – 2020 bylo v rámci Programového dokumentu stanoveno 7 společných a specifických programových ukazatelů výstupů v prioritní ose 4:</w:t>
            </w:r>
          </w:p>
          <w:p w14:paraId="3C56EEE7" w14:textId="77777777" w:rsidR="00DD3EFA" w:rsidRPr="00EC2A1C" w:rsidRDefault="00DD3EFA" w:rsidP="00391907">
            <w:pPr>
              <w:pStyle w:val="Odstavecseseznamem"/>
              <w:numPr>
                <w:ilvl w:val="0"/>
                <w:numId w:val="100"/>
              </w:numPr>
              <w:spacing w:before="60" w:after="60" w:line="276" w:lineRule="auto"/>
              <w:jc w:val="both"/>
              <w:rPr>
                <w:rFonts w:ascii="Times New Roman" w:hAnsi="Times New Roman" w:cs="Times New Roman"/>
                <w:sz w:val="20"/>
                <w:szCs w:val="20"/>
              </w:rPr>
            </w:pPr>
            <w:r w:rsidRPr="00EC2A1C">
              <w:rPr>
                <w:rFonts w:ascii="Times New Roman" w:hAnsi="Times New Roman" w:cs="Times New Roman"/>
                <w:sz w:val="20"/>
                <w:szCs w:val="20"/>
              </w:rPr>
              <w:t>Celkový počet opatření (včetně mapování či monitoringu) pro podporu druhů a stanovišť – cílová hodnota v r. 2023 je 1600 opatření</w:t>
            </w:r>
          </w:p>
          <w:p w14:paraId="6E17D63A" w14:textId="77777777" w:rsidR="00DD3EFA" w:rsidRPr="00EC2A1C" w:rsidRDefault="00DD3EFA" w:rsidP="00391907">
            <w:pPr>
              <w:pStyle w:val="Odstavecseseznamem"/>
              <w:numPr>
                <w:ilvl w:val="0"/>
                <w:numId w:val="100"/>
              </w:numPr>
              <w:spacing w:before="60" w:after="60" w:line="276" w:lineRule="auto"/>
              <w:jc w:val="both"/>
              <w:rPr>
                <w:rFonts w:ascii="Times New Roman" w:hAnsi="Times New Roman" w:cs="Times New Roman"/>
                <w:sz w:val="20"/>
                <w:szCs w:val="20"/>
              </w:rPr>
            </w:pPr>
            <w:r w:rsidRPr="00EC2A1C">
              <w:rPr>
                <w:rFonts w:ascii="Times New Roman" w:hAnsi="Times New Roman" w:cs="Times New Roman"/>
                <w:sz w:val="20"/>
                <w:szCs w:val="20"/>
              </w:rPr>
              <w:t>Celková plocha vytvořené návštěvnické infrastruktury – cílová hodnota v r. 2023 je 35 ha</w:t>
            </w:r>
          </w:p>
          <w:p w14:paraId="238265C2" w14:textId="77777777" w:rsidR="00DD3EFA" w:rsidRPr="00EC2A1C" w:rsidRDefault="00DD3EFA" w:rsidP="00391907">
            <w:pPr>
              <w:pStyle w:val="Odstavecseseznamem"/>
              <w:numPr>
                <w:ilvl w:val="0"/>
                <w:numId w:val="100"/>
              </w:numPr>
              <w:spacing w:before="60" w:after="60" w:line="276" w:lineRule="auto"/>
              <w:jc w:val="both"/>
              <w:rPr>
                <w:rFonts w:ascii="Times New Roman" w:hAnsi="Times New Roman" w:cs="Times New Roman"/>
                <w:sz w:val="20"/>
                <w:szCs w:val="20"/>
              </w:rPr>
            </w:pPr>
            <w:r w:rsidRPr="00EC2A1C">
              <w:rPr>
                <w:rFonts w:ascii="Times New Roman" w:hAnsi="Times New Roman" w:cs="Times New Roman"/>
                <w:sz w:val="20"/>
                <w:szCs w:val="20"/>
              </w:rPr>
              <w:t>Celkový počet opatření na podporu ZCHÚ a soustavy Natura 2000 – cílová hodnota v r. 2023 je 5500 opatření</w:t>
            </w:r>
          </w:p>
          <w:p w14:paraId="5C869286" w14:textId="77777777" w:rsidR="00DD3EFA" w:rsidRPr="00EC2A1C" w:rsidRDefault="00DD3EFA" w:rsidP="00391907">
            <w:pPr>
              <w:pStyle w:val="Odstavecseseznamem"/>
              <w:numPr>
                <w:ilvl w:val="0"/>
                <w:numId w:val="100"/>
              </w:numPr>
              <w:spacing w:before="60" w:after="60" w:line="276" w:lineRule="auto"/>
              <w:jc w:val="both"/>
              <w:rPr>
                <w:rFonts w:ascii="Times New Roman" w:hAnsi="Times New Roman" w:cs="Times New Roman"/>
                <w:sz w:val="20"/>
                <w:szCs w:val="20"/>
              </w:rPr>
            </w:pPr>
            <w:r w:rsidRPr="00EC2A1C">
              <w:rPr>
                <w:rFonts w:ascii="Times New Roman" w:hAnsi="Times New Roman" w:cs="Times New Roman"/>
                <w:sz w:val="20"/>
                <w:szCs w:val="20"/>
              </w:rPr>
              <w:t>Počet opatření k omezení nepůvodních druhů (včetně mapování či monitoringu) – cílová hodnota v r. 2023 je 1200</w:t>
            </w:r>
          </w:p>
          <w:p w14:paraId="31B010B9" w14:textId="77777777" w:rsidR="00DD3EFA" w:rsidRPr="00EC2A1C" w:rsidRDefault="00DD3EFA" w:rsidP="00391907">
            <w:pPr>
              <w:pStyle w:val="Odstavecseseznamem"/>
              <w:numPr>
                <w:ilvl w:val="0"/>
                <w:numId w:val="100"/>
              </w:numPr>
              <w:spacing w:before="60" w:after="60" w:line="276" w:lineRule="auto"/>
              <w:jc w:val="both"/>
              <w:rPr>
                <w:rFonts w:ascii="Times New Roman" w:hAnsi="Times New Roman" w:cs="Times New Roman"/>
                <w:sz w:val="20"/>
                <w:szCs w:val="20"/>
              </w:rPr>
            </w:pPr>
            <w:r w:rsidRPr="00EC2A1C">
              <w:rPr>
                <w:rFonts w:ascii="Times New Roman" w:hAnsi="Times New Roman" w:cs="Times New Roman"/>
                <w:sz w:val="20"/>
                <w:szCs w:val="20"/>
              </w:rPr>
              <w:t>Počet opatření k předcházení, minimalizaci a nápravě škod působených zvláště chráněnými druhy – cílová hodnota v r. 2023 je 800 opatření</w:t>
            </w:r>
          </w:p>
          <w:p w14:paraId="4A7E4E37" w14:textId="77777777" w:rsidR="00DD3EFA" w:rsidRPr="00EC2A1C" w:rsidRDefault="00DD3EFA" w:rsidP="00391907">
            <w:pPr>
              <w:pStyle w:val="Odstavecseseznamem"/>
              <w:numPr>
                <w:ilvl w:val="0"/>
                <w:numId w:val="100"/>
              </w:numPr>
              <w:spacing w:before="60" w:after="60" w:line="276" w:lineRule="auto"/>
              <w:jc w:val="both"/>
              <w:rPr>
                <w:rFonts w:ascii="Times New Roman" w:hAnsi="Times New Roman" w:cs="Times New Roman"/>
                <w:sz w:val="20"/>
                <w:szCs w:val="20"/>
              </w:rPr>
            </w:pPr>
            <w:r w:rsidRPr="00EC2A1C">
              <w:rPr>
                <w:rFonts w:ascii="Times New Roman" w:hAnsi="Times New Roman" w:cs="Times New Roman"/>
                <w:sz w:val="20"/>
                <w:szCs w:val="20"/>
              </w:rPr>
              <w:t>Počet zprůchodněných migračních překážek pro živočichy – cílová hodnota v r. 2023 je 125 kusů</w:t>
            </w:r>
          </w:p>
          <w:p w14:paraId="6A8B78FB" w14:textId="77777777" w:rsidR="00DD3EFA" w:rsidRPr="00EC2A1C" w:rsidRDefault="00DD3EFA" w:rsidP="00391907">
            <w:pPr>
              <w:pStyle w:val="Odstavecseseznamem"/>
              <w:numPr>
                <w:ilvl w:val="0"/>
                <w:numId w:val="100"/>
              </w:numPr>
              <w:spacing w:before="60" w:after="60" w:line="276" w:lineRule="auto"/>
              <w:jc w:val="both"/>
              <w:rPr>
                <w:rFonts w:ascii="Times New Roman" w:hAnsi="Times New Roman" w:cs="Times New Roman"/>
                <w:sz w:val="20"/>
                <w:szCs w:val="20"/>
              </w:rPr>
            </w:pPr>
            <w:r w:rsidRPr="00EC2A1C">
              <w:rPr>
                <w:rFonts w:ascii="Times New Roman" w:hAnsi="Times New Roman" w:cs="Times New Roman"/>
                <w:sz w:val="20"/>
                <w:szCs w:val="20"/>
              </w:rPr>
              <w:t>Plocha stanovišť, které jsou podporovány s cílem zlepšit jejich stav zachování – cílová hodnota v r. 2023 je 14070 ha</w:t>
            </w:r>
          </w:p>
          <w:p w14:paraId="03AD2FB2" w14:textId="77777777" w:rsidR="00DD3EFA" w:rsidRPr="00EC2A1C" w:rsidRDefault="00DD3EFA" w:rsidP="00B15ECB">
            <w:pPr>
              <w:spacing w:before="60" w:after="60" w:line="276" w:lineRule="auto"/>
              <w:rPr>
                <w:rFonts w:ascii="Times New Roman" w:hAnsi="Times New Roman" w:cs="Times New Roman"/>
                <w:sz w:val="20"/>
                <w:szCs w:val="20"/>
              </w:rPr>
            </w:pPr>
          </w:p>
          <w:p w14:paraId="260B7278"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OPŽP v programovém období 2007 – 2013 podporoval oblast přírody a krajiny v rámci Prioritní osy 6, konkrétně pak v oblasti podpory 6.1 </w:t>
            </w:r>
            <w:r w:rsidRPr="00EC2A1C">
              <w:rPr>
                <w:rFonts w:ascii="Times New Roman" w:hAnsi="Times New Roman" w:cs="Times New Roman"/>
                <w:i/>
                <w:sz w:val="20"/>
                <w:szCs w:val="20"/>
              </w:rPr>
              <w:t>Implementace a péče o území soustavy NATURA 2000</w:t>
            </w:r>
            <w:r w:rsidRPr="00EC2A1C">
              <w:rPr>
                <w:rFonts w:ascii="Times New Roman" w:hAnsi="Times New Roman" w:cs="Times New Roman"/>
                <w:sz w:val="20"/>
                <w:szCs w:val="20"/>
              </w:rPr>
              <w:t xml:space="preserve">, oblasti podpory 6.2 </w:t>
            </w:r>
            <w:r w:rsidRPr="00EC2A1C">
              <w:rPr>
                <w:rFonts w:ascii="Times New Roman" w:hAnsi="Times New Roman" w:cs="Times New Roman"/>
                <w:i/>
                <w:sz w:val="20"/>
                <w:szCs w:val="20"/>
              </w:rPr>
              <w:t>Podpora biodiverzity</w:t>
            </w:r>
            <w:r w:rsidRPr="00EC2A1C">
              <w:rPr>
                <w:rFonts w:ascii="Times New Roman" w:hAnsi="Times New Roman" w:cs="Times New Roman"/>
                <w:sz w:val="20"/>
                <w:szCs w:val="20"/>
              </w:rPr>
              <w:t xml:space="preserve">, oblasti podpory 6.3 </w:t>
            </w:r>
            <w:r w:rsidRPr="00EC2A1C">
              <w:rPr>
                <w:rFonts w:ascii="Times New Roman" w:hAnsi="Times New Roman" w:cs="Times New Roman"/>
                <w:i/>
                <w:sz w:val="20"/>
                <w:szCs w:val="20"/>
              </w:rPr>
              <w:t>Obnova krajinných struktur</w:t>
            </w:r>
            <w:r w:rsidRPr="00EC2A1C">
              <w:rPr>
                <w:rFonts w:ascii="Times New Roman" w:hAnsi="Times New Roman" w:cs="Times New Roman"/>
                <w:sz w:val="20"/>
                <w:szCs w:val="20"/>
              </w:rPr>
              <w:t xml:space="preserve">, oblasti podpory 6.4 </w:t>
            </w:r>
            <w:r w:rsidRPr="00EC2A1C">
              <w:rPr>
                <w:rFonts w:ascii="Times New Roman" w:hAnsi="Times New Roman" w:cs="Times New Roman"/>
                <w:i/>
                <w:sz w:val="20"/>
                <w:szCs w:val="20"/>
              </w:rPr>
              <w:t>Optimalizace vodního režimu krajiny</w:t>
            </w:r>
            <w:r w:rsidRPr="00EC2A1C">
              <w:rPr>
                <w:rFonts w:ascii="Times New Roman" w:hAnsi="Times New Roman" w:cs="Times New Roman"/>
                <w:sz w:val="20"/>
                <w:szCs w:val="20"/>
              </w:rPr>
              <w:t xml:space="preserve">, oblasti podpory 6.5 </w:t>
            </w:r>
            <w:r w:rsidRPr="00EC2A1C">
              <w:rPr>
                <w:rFonts w:ascii="Times New Roman" w:hAnsi="Times New Roman" w:cs="Times New Roman"/>
                <w:i/>
                <w:sz w:val="20"/>
                <w:szCs w:val="20"/>
              </w:rPr>
              <w:t>Podpora regenerace urbanizované krajiny</w:t>
            </w:r>
            <w:r w:rsidRPr="00EC2A1C">
              <w:rPr>
                <w:rFonts w:ascii="Times New Roman" w:hAnsi="Times New Roman" w:cs="Times New Roman"/>
                <w:sz w:val="20"/>
                <w:szCs w:val="20"/>
              </w:rPr>
              <w:t xml:space="preserve">, oblasti podpory 6.6 </w:t>
            </w:r>
            <w:r w:rsidRPr="00EC2A1C">
              <w:rPr>
                <w:rFonts w:ascii="Times New Roman" w:hAnsi="Times New Roman" w:cs="Times New Roman"/>
                <w:i/>
                <w:sz w:val="20"/>
                <w:szCs w:val="20"/>
              </w:rPr>
              <w:t>Prevence sesuvů a skalních řícení, monitorování geofaktorů a následků hornické činnosti a hodnocení neobnovitelných přírodních zdrojů včetně zdrojů podzemních vod</w:t>
            </w:r>
            <w:r w:rsidRPr="00EC2A1C">
              <w:rPr>
                <w:rFonts w:ascii="Times New Roman" w:hAnsi="Times New Roman" w:cs="Times New Roman"/>
                <w:sz w:val="20"/>
                <w:szCs w:val="20"/>
              </w:rPr>
              <w:t>.</w:t>
            </w:r>
          </w:p>
          <w:p w14:paraId="20331EEB"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OPŽP 2007 – 2013 bylo pro oblast podpory 6.1 alokováno cca 18 mil. EUR (484 mil. Kč) EU prostředků, pro oblast 6.2 cca 75,2 mil. EUR (2 032 mil. Kč) EU prostředků, pro oblast 6.3 cca 64,4 mil. EUR (1 740 mil. Kč) EU prostředků, pro oblast 6.4 cca 196,3 mil. EUR (5 303 mil. Kč) EU prostředků, pro oblast 6.5 cca 69,4 mil. EUR (1 875 mil. Kč) EU prostředků a pro oblast 6.6 cca 58,3 mil. EUR (1 575 mil. Kč) EU prostředků (kurz 1 EUR = 27,022 Kč).</w:t>
            </w:r>
          </w:p>
          <w:p w14:paraId="6435CF1F"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OPŽP 2007 – 2013 byly 4 indikátory, jejichž sledování bylo stanoveno v Programovém dokumentu OPŽP:</w:t>
            </w:r>
          </w:p>
          <w:p w14:paraId="7F57C97A" w14:textId="77777777" w:rsidR="00DD3EFA" w:rsidRPr="00EC2A1C" w:rsidRDefault="00DD3EFA" w:rsidP="00391907">
            <w:pPr>
              <w:pStyle w:val="Odstavecseseznamem"/>
              <w:numPr>
                <w:ilvl w:val="0"/>
                <w:numId w:val="3"/>
              </w:numPr>
              <w:spacing w:before="60" w:after="60" w:line="276" w:lineRule="auto"/>
              <w:jc w:val="both"/>
              <w:rPr>
                <w:rFonts w:ascii="Times New Roman" w:hAnsi="Times New Roman" w:cs="Times New Roman"/>
                <w:sz w:val="20"/>
                <w:szCs w:val="20"/>
              </w:rPr>
            </w:pPr>
            <w:r w:rsidRPr="00EC2A1C">
              <w:rPr>
                <w:rFonts w:ascii="Times New Roman" w:hAnsi="Times New Roman" w:cs="Times New Roman"/>
                <w:i/>
                <w:sz w:val="20"/>
                <w:szCs w:val="20"/>
              </w:rPr>
              <w:t>Počet projektů zaměřených na zlepšování stavu přírody a krajiny</w:t>
            </w:r>
            <w:r w:rsidRPr="00EC2A1C">
              <w:rPr>
                <w:rFonts w:ascii="Times New Roman" w:hAnsi="Times New Roman" w:cs="Times New Roman"/>
                <w:sz w:val="20"/>
                <w:szCs w:val="20"/>
              </w:rPr>
              <w:t xml:space="preserve"> – dosažená hodnota 4464</w:t>
            </w:r>
          </w:p>
          <w:p w14:paraId="65D938C4" w14:textId="77777777" w:rsidR="00DD3EFA" w:rsidRPr="00EC2A1C" w:rsidRDefault="00DD3EFA" w:rsidP="00391907">
            <w:pPr>
              <w:pStyle w:val="Odstavecseseznamem"/>
              <w:numPr>
                <w:ilvl w:val="0"/>
                <w:numId w:val="3"/>
              </w:numPr>
              <w:spacing w:before="60" w:after="60" w:line="276" w:lineRule="auto"/>
              <w:jc w:val="both"/>
              <w:rPr>
                <w:rFonts w:ascii="Times New Roman" w:hAnsi="Times New Roman" w:cs="Times New Roman"/>
                <w:sz w:val="20"/>
                <w:szCs w:val="20"/>
              </w:rPr>
            </w:pPr>
            <w:r w:rsidRPr="00EC2A1C">
              <w:rPr>
                <w:rFonts w:ascii="Times New Roman" w:hAnsi="Times New Roman" w:cs="Times New Roman"/>
                <w:i/>
                <w:sz w:val="20"/>
                <w:szCs w:val="20"/>
              </w:rPr>
              <w:t>Plocha revitalizovaných území</w:t>
            </w:r>
            <w:r w:rsidRPr="00EC2A1C">
              <w:rPr>
                <w:rFonts w:ascii="Times New Roman" w:hAnsi="Times New Roman" w:cs="Times New Roman"/>
                <w:sz w:val="20"/>
                <w:szCs w:val="20"/>
              </w:rPr>
              <w:t xml:space="preserve"> – dosažená hodnota 254,02 km</w:t>
            </w:r>
            <w:r w:rsidRPr="00EC2A1C">
              <w:rPr>
                <w:rFonts w:ascii="Times New Roman" w:hAnsi="Times New Roman" w:cs="Times New Roman"/>
                <w:sz w:val="20"/>
                <w:szCs w:val="20"/>
                <w:vertAlign w:val="superscript"/>
              </w:rPr>
              <w:t>2</w:t>
            </w:r>
          </w:p>
          <w:p w14:paraId="5963A353" w14:textId="77777777" w:rsidR="00DD3EFA" w:rsidRPr="00EC2A1C" w:rsidRDefault="00DD3EFA" w:rsidP="00391907">
            <w:pPr>
              <w:pStyle w:val="Odstavecseseznamem"/>
              <w:numPr>
                <w:ilvl w:val="0"/>
                <w:numId w:val="3"/>
              </w:numPr>
              <w:spacing w:before="60" w:after="60" w:line="276" w:lineRule="auto"/>
              <w:jc w:val="both"/>
              <w:rPr>
                <w:rFonts w:ascii="Times New Roman" w:hAnsi="Times New Roman" w:cs="Times New Roman"/>
                <w:sz w:val="20"/>
                <w:szCs w:val="20"/>
              </w:rPr>
            </w:pPr>
            <w:r w:rsidRPr="00EC2A1C">
              <w:rPr>
                <w:rFonts w:ascii="Times New Roman" w:hAnsi="Times New Roman" w:cs="Times New Roman"/>
                <w:i/>
                <w:sz w:val="20"/>
                <w:szCs w:val="20"/>
              </w:rPr>
              <w:t>Podíl evropsky významných lokalit, které jsou připraveny k vyhlášení jako ZCHÚ či ke smluvní nebo základní ochraně, z celkového počtu českých evropsky významných lokalit zařazených do evropského seznamu</w:t>
            </w:r>
            <w:r w:rsidRPr="00EC2A1C">
              <w:rPr>
                <w:rFonts w:ascii="Times New Roman" w:hAnsi="Times New Roman" w:cs="Times New Roman"/>
                <w:sz w:val="20"/>
                <w:szCs w:val="20"/>
              </w:rPr>
              <w:t xml:space="preserve"> – dosažená hodnota 66,67 %</w:t>
            </w:r>
          </w:p>
          <w:p w14:paraId="5E7D851C" w14:textId="77777777" w:rsidR="00DD3EFA" w:rsidRPr="00EC2A1C" w:rsidRDefault="00DD3EFA" w:rsidP="00391907">
            <w:pPr>
              <w:pStyle w:val="Odstavecseseznamem"/>
              <w:numPr>
                <w:ilvl w:val="0"/>
                <w:numId w:val="3"/>
              </w:numPr>
              <w:spacing w:before="60" w:after="60" w:line="276" w:lineRule="auto"/>
              <w:jc w:val="both"/>
              <w:rPr>
                <w:rFonts w:ascii="Times New Roman" w:hAnsi="Times New Roman" w:cs="Times New Roman"/>
                <w:sz w:val="20"/>
                <w:szCs w:val="20"/>
              </w:rPr>
            </w:pPr>
            <w:r w:rsidRPr="00EC2A1C">
              <w:rPr>
                <w:rFonts w:ascii="Times New Roman" w:hAnsi="Times New Roman" w:cs="Times New Roman"/>
                <w:i/>
                <w:sz w:val="20"/>
                <w:szCs w:val="20"/>
              </w:rPr>
              <w:t>Obnova stabilního vodního režimu krajiny a prvků ekologické stability</w:t>
            </w:r>
            <w:r w:rsidRPr="00EC2A1C">
              <w:rPr>
                <w:rFonts w:ascii="Times New Roman" w:hAnsi="Times New Roman" w:cs="Times New Roman"/>
                <w:sz w:val="20"/>
                <w:szCs w:val="20"/>
              </w:rPr>
              <w:t xml:space="preserve"> – dosažená hodnota 1438</w:t>
            </w:r>
          </w:p>
          <w:p w14:paraId="10687AD6" w14:textId="77777777" w:rsidR="00DD3EFA" w:rsidRPr="00EC2A1C" w:rsidRDefault="00DD3EFA" w:rsidP="00B15ECB">
            <w:pPr>
              <w:pStyle w:val="Default"/>
              <w:rPr>
                <w:rFonts w:ascii="Times New Roman" w:eastAsia="Calibri" w:hAnsi="Times New Roman" w:cs="Times New Roman"/>
                <w:color w:val="auto"/>
                <w:sz w:val="20"/>
                <w:szCs w:val="20"/>
              </w:rPr>
            </w:pPr>
          </w:p>
          <w:p w14:paraId="133D1A4B"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sz w:val="20"/>
                <w:szCs w:val="20"/>
              </w:rPr>
            </w:pPr>
          </w:p>
        </w:tc>
        <w:tc>
          <w:tcPr>
            <w:tcW w:w="249" w:type="dxa"/>
            <w:tcBorders>
              <w:top w:val="nil"/>
              <w:left w:val="nil"/>
              <w:bottom w:val="nil"/>
            </w:tcBorders>
            <w:shd w:val="clear" w:color="auto" w:fill="66CCFF"/>
          </w:tcPr>
          <w:p w14:paraId="2A266BB7" w14:textId="77777777" w:rsidR="00DD3EFA" w:rsidRPr="00EC2A1C" w:rsidRDefault="00DD3EFA" w:rsidP="00B15ECB">
            <w:pPr>
              <w:rPr>
                <w:rFonts w:ascii="Times New Roman" w:hAnsi="Times New Roman" w:cs="Times New Roman"/>
                <w:b/>
                <w:sz w:val="20"/>
                <w:szCs w:val="20"/>
              </w:rPr>
            </w:pPr>
          </w:p>
        </w:tc>
      </w:tr>
      <w:tr w:rsidR="00DD3EFA" w:rsidRPr="00EC2A1C" w14:paraId="53011C9A" w14:textId="77777777" w:rsidTr="00B15ECB">
        <w:trPr>
          <w:trHeight w:val="1258"/>
        </w:trPr>
        <w:tc>
          <w:tcPr>
            <w:tcW w:w="249" w:type="dxa"/>
            <w:tcBorders>
              <w:top w:val="nil"/>
              <w:bottom w:val="nil"/>
              <w:right w:val="nil"/>
            </w:tcBorders>
            <w:shd w:val="clear" w:color="auto" w:fill="66CCFF"/>
          </w:tcPr>
          <w:p w14:paraId="3AE34802" w14:textId="77777777" w:rsidR="00DD3EFA" w:rsidRPr="00EC2A1C" w:rsidRDefault="00DD3EFA" w:rsidP="00B15ECB">
            <w:pPr>
              <w:rPr>
                <w:rFonts w:ascii="Times New Roman" w:hAnsi="Times New Roman" w:cs="Times New Roman"/>
                <w:b/>
                <w:sz w:val="20"/>
                <w:szCs w:val="20"/>
              </w:rPr>
            </w:pPr>
          </w:p>
        </w:tc>
        <w:tc>
          <w:tcPr>
            <w:tcW w:w="2548" w:type="dxa"/>
            <w:shd w:val="clear" w:color="auto" w:fill="FFFFFF" w:themeFill="background1"/>
          </w:tcPr>
          <w:p w14:paraId="3C4E498C" w14:textId="77777777" w:rsidR="00DD3EFA" w:rsidRPr="00EC2A1C" w:rsidRDefault="00DD3EFA" w:rsidP="00B15ECB">
            <w:pPr>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Synergické a multiplikační efekty</w:t>
            </w:r>
          </w:p>
          <w:p w14:paraId="22684B04" w14:textId="77777777" w:rsidR="00DD3EFA" w:rsidRPr="00EC2A1C" w:rsidRDefault="00DD3EFA" w:rsidP="00B15ECB">
            <w:pPr>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(tj. v období 2014 – 2020, příp. 2007 – 2013)</w:t>
            </w:r>
          </w:p>
        </w:tc>
        <w:tc>
          <w:tcPr>
            <w:tcW w:w="5978" w:type="dxa"/>
            <w:shd w:val="clear" w:color="auto" w:fill="FFFFFF" w:themeFill="background1"/>
          </w:tcPr>
          <w:p w14:paraId="1612930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 xml:space="preserve">Zachování biodiverzity je zcela zásadní pro zachování služeb, které zdravé ekosystémy poskytují lidské společnosti, a zlepšují životní úroveň lidí (zajištění potravin, rekreace, regulace mikroklimatu, oběh živin atd.). </w:t>
            </w:r>
          </w:p>
          <w:p w14:paraId="61A00ED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Téma je úzce provázáno s kvalitou vod.</w:t>
            </w:r>
          </w:p>
          <w:p w14:paraId="54666C5A"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sz w:val="20"/>
                <w:szCs w:val="20"/>
              </w:rPr>
            </w:pPr>
            <w:r w:rsidRPr="00EC2A1C">
              <w:rPr>
                <w:rFonts w:ascii="Times New Roman" w:hAnsi="Times New Roman"/>
                <w:sz w:val="20"/>
                <w:szCs w:val="20"/>
              </w:rPr>
              <w:t>Invazní druhy narušují rovnováhu a ohrožují tak stabilitu ekosystému. Mohou ohrozit produkci potravin, zdraví člověka a ve svém důsledku mít i ekonomické dopady do výrobní sféry.</w:t>
            </w:r>
          </w:p>
          <w:p w14:paraId="7857AA82" w14:textId="77777777" w:rsidR="00DD3EFA" w:rsidRPr="00EC2A1C" w:rsidRDefault="00DD3EFA" w:rsidP="00B15ECB">
            <w:pPr>
              <w:spacing w:before="60" w:after="60"/>
              <w:rPr>
                <w:rFonts w:ascii="Times New Roman" w:hAnsi="Times New Roman" w:cs="Times New Roman"/>
                <w:sz w:val="20"/>
                <w:szCs w:val="20"/>
              </w:rPr>
            </w:pPr>
          </w:p>
        </w:tc>
        <w:tc>
          <w:tcPr>
            <w:tcW w:w="249" w:type="dxa"/>
            <w:tcBorders>
              <w:top w:val="nil"/>
              <w:left w:val="nil"/>
              <w:bottom w:val="nil"/>
            </w:tcBorders>
            <w:shd w:val="clear" w:color="auto" w:fill="66CCFF"/>
          </w:tcPr>
          <w:p w14:paraId="56353A0E" w14:textId="77777777" w:rsidR="00DD3EFA" w:rsidRPr="00EC2A1C" w:rsidRDefault="00DD3EFA" w:rsidP="00B15ECB">
            <w:pPr>
              <w:rPr>
                <w:rFonts w:ascii="Times New Roman" w:hAnsi="Times New Roman" w:cs="Times New Roman"/>
                <w:b/>
                <w:sz w:val="20"/>
                <w:szCs w:val="20"/>
              </w:rPr>
            </w:pPr>
          </w:p>
        </w:tc>
      </w:tr>
      <w:tr w:rsidR="00DD3EFA" w:rsidRPr="00EC2A1C" w14:paraId="478290BE" w14:textId="77777777" w:rsidTr="00B15ECB">
        <w:trPr>
          <w:trHeight w:val="180"/>
        </w:trPr>
        <w:tc>
          <w:tcPr>
            <w:tcW w:w="249" w:type="dxa"/>
            <w:tcBorders>
              <w:top w:val="nil"/>
              <w:bottom w:val="nil"/>
              <w:right w:val="nil"/>
            </w:tcBorders>
            <w:shd w:val="clear" w:color="auto" w:fill="66CCFF"/>
          </w:tcPr>
          <w:p w14:paraId="6CB320E6" w14:textId="77777777" w:rsidR="00DD3EFA" w:rsidRPr="00EC2A1C" w:rsidRDefault="00DD3EFA" w:rsidP="00B15ECB">
            <w:pPr>
              <w:rPr>
                <w:rFonts w:ascii="Times New Roman" w:hAnsi="Times New Roman" w:cs="Times New Roman"/>
                <w:b/>
                <w:sz w:val="20"/>
                <w:szCs w:val="20"/>
              </w:rPr>
            </w:pPr>
          </w:p>
        </w:tc>
        <w:tc>
          <w:tcPr>
            <w:tcW w:w="2548" w:type="dxa"/>
            <w:tcBorders>
              <w:left w:val="nil"/>
              <w:bottom w:val="single" w:sz="4" w:space="0" w:color="auto"/>
              <w:right w:val="nil"/>
            </w:tcBorders>
            <w:shd w:val="clear" w:color="auto" w:fill="66CCFF"/>
          </w:tcPr>
          <w:p w14:paraId="2F021968" w14:textId="77777777" w:rsidR="00DD3EFA" w:rsidRPr="00EC2A1C" w:rsidRDefault="00DD3EFA" w:rsidP="00B15ECB">
            <w:pPr>
              <w:rPr>
                <w:rFonts w:ascii="Times New Roman" w:hAnsi="Times New Roman" w:cs="Times New Roman"/>
                <w:b/>
                <w:sz w:val="20"/>
                <w:szCs w:val="20"/>
              </w:rPr>
            </w:pPr>
          </w:p>
        </w:tc>
        <w:tc>
          <w:tcPr>
            <w:tcW w:w="5978" w:type="dxa"/>
            <w:tcBorders>
              <w:left w:val="nil"/>
              <w:bottom w:val="single" w:sz="4" w:space="0" w:color="auto"/>
              <w:right w:val="nil"/>
            </w:tcBorders>
            <w:shd w:val="clear" w:color="auto" w:fill="66CCFF"/>
          </w:tcPr>
          <w:p w14:paraId="7E957C60"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47D167A9" w14:textId="77777777" w:rsidR="00DD3EFA" w:rsidRPr="00EC2A1C" w:rsidRDefault="00DD3EFA" w:rsidP="00B15ECB">
            <w:pPr>
              <w:rPr>
                <w:rFonts w:ascii="Times New Roman" w:hAnsi="Times New Roman" w:cs="Times New Roman"/>
                <w:b/>
                <w:sz w:val="20"/>
                <w:szCs w:val="20"/>
              </w:rPr>
            </w:pPr>
          </w:p>
        </w:tc>
      </w:tr>
      <w:tr w:rsidR="00DD3EFA" w:rsidRPr="00EC2A1C" w14:paraId="542B3BCC" w14:textId="77777777" w:rsidTr="00B15ECB">
        <w:trPr>
          <w:trHeight w:val="990"/>
        </w:trPr>
        <w:tc>
          <w:tcPr>
            <w:tcW w:w="249" w:type="dxa"/>
            <w:tcBorders>
              <w:top w:val="nil"/>
              <w:bottom w:val="nil"/>
            </w:tcBorders>
            <w:shd w:val="clear" w:color="auto" w:fill="66CCFF"/>
          </w:tcPr>
          <w:p w14:paraId="76F79466" w14:textId="77777777" w:rsidR="00DD3EFA" w:rsidRPr="00EC2A1C" w:rsidRDefault="00DD3EFA" w:rsidP="00B15ECB">
            <w:pPr>
              <w:rPr>
                <w:rFonts w:ascii="Times New Roman" w:hAnsi="Times New Roman" w:cs="Times New Roman"/>
                <w:b/>
                <w:sz w:val="20"/>
                <w:szCs w:val="20"/>
              </w:rPr>
            </w:pPr>
          </w:p>
        </w:tc>
        <w:tc>
          <w:tcPr>
            <w:tcW w:w="8526" w:type="dxa"/>
            <w:gridSpan w:val="2"/>
            <w:tcBorders>
              <w:bottom w:val="single" w:sz="4" w:space="0" w:color="auto"/>
            </w:tcBorders>
            <w:shd w:val="clear" w:color="auto" w:fill="FFFFFF" w:themeFill="background1"/>
          </w:tcPr>
          <w:p w14:paraId="130502EC" w14:textId="77777777" w:rsidR="00DD3EFA" w:rsidRPr="00EC2A1C" w:rsidRDefault="00DD3EFA" w:rsidP="00B15ECB">
            <w:pPr>
              <w:spacing w:before="60" w:after="60"/>
              <w:rPr>
                <w:rFonts w:ascii="Times New Roman" w:eastAsiaTheme="majorEastAsia" w:hAnsi="Times New Roman" w:cs="Times New Roman"/>
                <w:i/>
                <w:sz w:val="20"/>
                <w:szCs w:val="20"/>
                <w:u w:val="single"/>
              </w:rPr>
            </w:pPr>
            <w:r w:rsidRPr="00EC2A1C">
              <w:rPr>
                <w:rFonts w:ascii="Times New Roman" w:eastAsiaTheme="majorEastAsia" w:hAnsi="Times New Roman" w:cs="Times New Roman"/>
                <w:b/>
                <w:sz w:val="20"/>
                <w:szCs w:val="20"/>
              </w:rPr>
              <w:t>Absorpční kapacita</w:t>
            </w:r>
            <w:r w:rsidRPr="00EC2A1C">
              <w:rPr>
                <w:rFonts w:ascii="Times New Roman" w:eastAsiaTheme="majorEastAsia" w:hAnsi="Times New Roman" w:cs="Times New Roman"/>
                <w:i/>
                <w:sz w:val="20"/>
                <w:szCs w:val="20"/>
                <w:u w:val="single"/>
              </w:rPr>
              <w:t xml:space="preserve"> </w:t>
            </w:r>
          </w:p>
          <w:p w14:paraId="424DC092" w14:textId="77777777" w:rsidR="00DD3EFA" w:rsidRPr="00EC2A1C" w:rsidRDefault="00DD3EFA">
            <w:pPr>
              <w:spacing w:before="60" w:after="60"/>
              <w:rPr>
                <w:rFonts w:ascii="Times New Roman" w:hAnsi="Times New Roman" w:cs="Times New Roman"/>
                <w:sz w:val="20"/>
                <w:szCs w:val="20"/>
              </w:rPr>
            </w:pPr>
          </w:p>
        </w:tc>
        <w:tc>
          <w:tcPr>
            <w:tcW w:w="249" w:type="dxa"/>
            <w:tcBorders>
              <w:top w:val="nil"/>
              <w:bottom w:val="nil"/>
            </w:tcBorders>
            <w:shd w:val="clear" w:color="auto" w:fill="66CCFF"/>
          </w:tcPr>
          <w:p w14:paraId="3BE17AA7" w14:textId="77777777" w:rsidR="00DD3EFA" w:rsidRPr="00EC2A1C" w:rsidRDefault="00DD3EFA" w:rsidP="00B15ECB">
            <w:pPr>
              <w:rPr>
                <w:rFonts w:ascii="Times New Roman" w:hAnsi="Times New Roman" w:cs="Times New Roman"/>
                <w:b/>
                <w:sz w:val="20"/>
                <w:szCs w:val="20"/>
              </w:rPr>
            </w:pPr>
          </w:p>
        </w:tc>
      </w:tr>
      <w:tr w:rsidR="00DD3EFA" w:rsidRPr="00EC2A1C" w14:paraId="2E6B3353" w14:textId="77777777" w:rsidTr="00B15ECB">
        <w:trPr>
          <w:trHeight w:val="1260"/>
        </w:trPr>
        <w:tc>
          <w:tcPr>
            <w:tcW w:w="249" w:type="dxa"/>
            <w:tcBorders>
              <w:top w:val="nil"/>
              <w:bottom w:val="nil"/>
            </w:tcBorders>
            <w:shd w:val="clear" w:color="auto" w:fill="66CCFF"/>
          </w:tcPr>
          <w:p w14:paraId="19A1E6DD"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73227962"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0C97A149" w14:textId="77777777" w:rsidR="00DD3EFA" w:rsidRPr="00EC2A1C" w:rsidRDefault="00DD3EFA" w:rsidP="00B15ECB">
            <w:pPr>
              <w:pStyle w:val="Default"/>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 xml:space="preserve">Absorpční kapacita a tedy i čerpání v rámci OPŽP 2014-2020, prioritní osy 4 Ochrana a péče o přírodu a krajinu je nižší s ohledem na skutečnost, že realizace opatření je dobrovolná, není vázaná zákonnou povinností a nemá pro žadatele žádný viditelný ekonomický přínos. S ohledem na to je ze strany ŘO a zprostředkujících subjektů (AOPK ČR, SFŽP ČR) podnikána řada kroků k vytvoření příznivých podmínek pro žadatele (analýza ukončených výzev a s tím spojená revize podmínek pro podávání žádostí, pravidelné semináře pro žadatele). </w:t>
            </w:r>
          </w:p>
          <w:p w14:paraId="30132A96" w14:textId="77777777" w:rsidR="00DD3EFA" w:rsidRPr="00EC2A1C" w:rsidRDefault="00DD3EFA" w:rsidP="00B15ECB">
            <w:pPr>
              <w:pStyle w:val="Default"/>
              <w:jc w:val="both"/>
              <w:rPr>
                <w:rFonts w:ascii="Times New Roman" w:hAnsi="Times New Roman" w:cs="Times New Roman"/>
                <w:color w:val="auto"/>
                <w:sz w:val="20"/>
                <w:szCs w:val="20"/>
              </w:rPr>
            </w:pPr>
          </w:p>
          <w:p w14:paraId="6A5597C1"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Ke konci roku 2018 bylo v PO4 rámci SC 4.1 zaregistrováno celkem 160 projektových žádostí s celkovým požadovaným příspěvkem EU ve výši cca 2 712 mil. Kč, z toho 87 žádostí bylo schváleno a z toho 69 projektů (s příspěvkem EU ve výši 937 mil. Kč) je v realizaci.</w:t>
            </w:r>
          </w:p>
          <w:p w14:paraId="70ABAA17"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SC 4.2 zaregistrováno celkem 89 žádostí s celkovým požadovaným příspěvkem EU ve výši cca 282 mil. Kč, z toho 46 žádostí bylo schváleno a z toho 39 projektů (s příspěvkem EU ve výši cca 128 mil. Kč) je v realizaci.</w:t>
            </w:r>
          </w:p>
          <w:p w14:paraId="04A9328A"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SC 4.3 bylo zaregistrováno celkem 989 žádostí s celkovým požadovaným příspěvkem EU ve výši cca 5 470 mil. Kč, z toho 495 žádostí bylo schváleno a z toho 467 projektů (s příspěvkem EU ve výši cca 2 355 mil. Kč) je v realizaci.</w:t>
            </w:r>
          </w:p>
          <w:p w14:paraId="6A04871C"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SC 4.4 bylo zaregistrováno celkem 520 žádostí s celkovým požadovaným příspěvkem EU ve výši cca 590 mil. Kč, z toho 259 žádostí bylo schváleno a z toho 252 projektů (s příspěvkem EU ve výši cca 244 mil. Kč) je v realizaci.</w:t>
            </w:r>
          </w:p>
          <w:p w14:paraId="4AC0391A"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OPŽP v programovém období 2007 – 2013 podporovala oblast přírody a krajiny v rámci Prioritní osy 6, konkrétně pak v oblasti podpory 6.1 </w:t>
            </w:r>
            <w:r w:rsidRPr="00EC2A1C">
              <w:rPr>
                <w:rFonts w:ascii="Times New Roman" w:hAnsi="Times New Roman" w:cs="Times New Roman"/>
                <w:i/>
                <w:sz w:val="20"/>
                <w:szCs w:val="20"/>
              </w:rPr>
              <w:t>Implementace a péče o území soustavy NATURA 2000</w:t>
            </w:r>
            <w:r w:rsidRPr="00EC2A1C">
              <w:rPr>
                <w:rFonts w:ascii="Times New Roman" w:hAnsi="Times New Roman" w:cs="Times New Roman"/>
                <w:sz w:val="20"/>
                <w:szCs w:val="20"/>
              </w:rPr>
              <w:t xml:space="preserve">, oblasti podpory 6.2 </w:t>
            </w:r>
            <w:r w:rsidRPr="00EC2A1C">
              <w:rPr>
                <w:rFonts w:ascii="Times New Roman" w:hAnsi="Times New Roman" w:cs="Times New Roman"/>
                <w:i/>
                <w:sz w:val="20"/>
                <w:szCs w:val="20"/>
              </w:rPr>
              <w:t>Podpora biodiverzity</w:t>
            </w:r>
            <w:r w:rsidRPr="00EC2A1C">
              <w:rPr>
                <w:rFonts w:ascii="Times New Roman" w:hAnsi="Times New Roman" w:cs="Times New Roman"/>
                <w:sz w:val="20"/>
                <w:szCs w:val="20"/>
              </w:rPr>
              <w:t xml:space="preserve">, oblasti podpory 6.3 </w:t>
            </w:r>
            <w:r w:rsidRPr="00EC2A1C">
              <w:rPr>
                <w:rFonts w:ascii="Times New Roman" w:hAnsi="Times New Roman" w:cs="Times New Roman"/>
                <w:i/>
                <w:sz w:val="20"/>
                <w:szCs w:val="20"/>
              </w:rPr>
              <w:t>Obnova krajinných struktur</w:t>
            </w:r>
            <w:r w:rsidRPr="00EC2A1C">
              <w:rPr>
                <w:rFonts w:ascii="Times New Roman" w:hAnsi="Times New Roman" w:cs="Times New Roman"/>
                <w:sz w:val="20"/>
                <w:szCs w:val="20"/>
              </w:rPr>
              <w:t xml:space="preserve">, oblasti podpory 6.4 </w:t>
            </w:r>
            <w:r w:rsidRPr="00EC2A1C">
              <w:rPr>
                <w:rFonts w:ascii="Times New Roman" w:hAnsi="Times New Roman" w:cs="Times New Roman"/>
                <w:i/>
                <w:sz w:val="20"/>
                <w:szCs w:val="20"/>
              </w:rPr>
              <w:t>Optimalizace vodního režimu krajiny</w:t>
            </w:r>
            <w:r w:rsidRPr="00EC2A1C">
              <w:rPr>
                <w:rFonts w:ascii="Times New Roman" w:hAnsi="Times New Roman" w:cs="Times New Roman"/>
                <w:sz w:val="20"/>
                <w:szCs w:val="20"/>
              </w:rPr>
              <w:t xml:space="preserve">, oblasti podpory 6.5 </w:t>
            </w:r>
            <w:r w:rsidRPr="00EC2A1C">
              <w:rPr>
                <w:rFonts w:ascii="Times New Roman" w:hAnsi="Times New Roman" w:cs="Times New Roman"/>
                <w:i/>
                <w:sz w:val="20"/>
                <w:szCs w:val="20"/>
              </w:rPr>
              <w:t>Podpora regenerace urbanizované krajiny</w:t>
            </w:r>
            <w:r w:rsidRPr="00EC2A1C">
              <w:rPr>
                <w:rFonts w:ascii="Times New Roman" w:hAnsi="Times New Roman" w:cs="Times New Roman"/>
                <w:sz w:val="20"/>
                <w:szCs w:val="20"/>
              </w:rPr>
              <w:t xml:space="preserve">, oblasti podpory 6.6 </w:t>
            </w:r>
            <w:r w:rsidRPr="00EC2A1C">
              <w:rPr>
                <w:rFonts w:ascii="Times New Roman" w:hAnsi="Times New Roman" w:cs="Times New Roman"/>
                <w:i/>
                <w:sz w:val="20"/>
                <w:szCs w:val="20"/>
              </w:rPr>
              <w:t>Prevence sesuvů a skalních řícení, monitorování geofaktorů a následků hornické činnosti a hodnocení neobnovitelných přírodních zdrojů včetně zdrojů podzemních vod</w:t>
            </w:r>
            <w:r w:rsidRPr="00EC2A1C">
              <w:rPr>
                <w:rFonts w:ascii="Times New Roman" w:hAnsi="Times New Roman" w:cs="Times New Roman"/>
                <w:sz w:val="20"/>
                <w:szCs w:val="20"/>
              </w:rPr>
              <w:t>.</w:t>
            </w:r>
          </w:p>
          <w:p w14:paraId="4B5B84EB"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rámci oblasti podpory 6.1 bylo podáno celkem 48 žádostí o podporu, z toho bylo podpořeno 44 projektů za 562 mil. Kč (21 mil. EUR) CZV. V rámci oblasti podpory 6.2 bylo podáno celkem 534 žádostí o podporu, z toho bylo podpořeno 333 projektů za 2 551 mil. Kč (94 mil. EUR) CZV. V rámci oblasti podpory 6.3 bylo podáno celkem 1306 žádostí o podporu, z toho bylo podpořeno 857 projektů za 2 061 mil. Kč (76 mil. EUR) CZV. V rámci oblasti podpory 6.4 bylo podáno celkem 2928 žádostí o podporu, z toho bylo podpořeno 1447 projektů za 6 786 mil. Kč (251 mil. EUR) CZV. V rámci oblasti podpory 6.5 bylo podáno celkem 2007 žádostí o podporu, z toho bylo podpořeno 1353 projektů za 2 523 mil. Kč (93 mil. EUR) CZV. V rámci oblasti podpory 6.6 bylo podáno celkem 599 žádostí o podporu, z toho bylo podpořeno 460 projektů za 1 997 mil. Kč (74 mil. EUR) CZV (kurz 1 EUR = 27,022 Kč).</w:t>
            </w:r>
          </w:p>
          <w:p w14:paraId="1107097C" w14:textId="77777777" w:rsidR="00DD3EFA" w:rsidRPr="00EC2A1C" w:rsidRDefault="00DD3EFA" w:rsidP="00B15ECB">
            <w:pPr>
              <w:pStyle w:val="Default"/>
              <w:jc w:val="both"/>
              <w:rPr>
                <w:rFonts w:ascii="Times New Roman" w:hAnsi="Times New Roman" w:cs="Times New Roman"/>
                <w:color w:val="auto"/>
                <w:sz w:val="20"/>
                <w:szCs w:val="20"/>
              </w:rPr>
            </w:pPr>
          </w:p>
          <w:p w14:paraId="560392EB" w14:textId="77777777" w:rsidR="00DD3EFA" w:rsidRPr="00EC2A1C" w:rsidRDefault="00DD3EFA" w:rsidP="00B15ECB">
            <w:pPr>
              <w:pStyle w:val="Default"/>
              <w:jc w:val="both"/>
              <w:rPr>
                <w:rFonts w:ascii="Times New Roman" w:hAnsi="Times New Roman" w:cs="Times New Roman"/>
                <w:color w:val="auto"/>
                <w:sz w:val="20"/>
                <w:szCs w:val="20"/>
              </w:rPr>
            </w:pPr>
          </w:p>
          <w:p w14:paraId="6228160A"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hAnsi="Times New Roman" w:cs="Times New Roman"/>
                <w:sz w:val="20"/>
                <w:szCs w:val="20"/>
              </w:rPr>
              <w:t xml:space="preserve">V PRV je tato problematika řešena zejména v prioritě unie 4 (Tato PU má v rámci PRV zdaleka největší alokaci.), v prioritní oblasti 4A – Obnova, zachování a zvýšení biologické rozmanitosti (včetně oblastí sítě Natura 2000 v oblastech s přírodními či jinými zvláštními omezeními) zemědělství vysoké přírodní hodnoty a stavu evropských krajin. Absorpční kapacita je napříč jednotlivými opatřeními velmi dobrá, až na opatření M15 Lesnicko-environmentální a klimatické služby a ochrana lesů s jen 24 % v zaregistrovaných žádostech o podporu. </w:t>
            </w:r>
            <w:r w:rsidRPr="00EC2A1C">
              <w:rPr>
                <w:rFonts w:ascii="Times New Roman" w:eastAsia="Calibri" w:hAnsi="Times New Roman" w:cs="Times New Roman"/>
                <w:sz w:val="20"/>
                <w:szCs w:val="20"/>
              </w:rPr>
              <w:t>Ke zlepšení předcházení silné erozi půdy a lepšímu hospodaření s půdou (prioritní oblast 4C) přispívá prozatím zejména podpora poskytovaná v rámci ekologického zemědělství M11 Ekologické zemědělství a operací AEKO M10 zaměřených na zatravňování (10.1.5, 10.1.8), která dle zjištění pokrývá přibližně 27 % plochy mírně a silně erozně ohrožených oblastí na zemědělské půdě.</w:t>
            </w:r>
          </w:p>
          <w:p w14:paraId="36E26137" w14:textId="77777777" w:rsidR="00DD3EFA" w:rsidRPr="00EC2A1C" w:rsidRDefault="00DD3EFA" w:rsidP="00B15ECB">
            <w:pPr>
              <w:spacing w:before="60" w:after="60"/>
              <w:rPr>
                <w:rFonts w:ascii="Times New Roman" w:eastAsia="Calibri" w:hAnsi="Times New Roman" w:cs="Times New Roman"/>
                <w:sz w:val="20"/>
                <w:szCs w:val="20"/>
              </w:rPr>
            </w:pPr>
          </w:p>
          <w:p w14:paraId="25B83DD2" w14:textId="77777777" w:rsidR="00DD3EFA" w:rsidRPr="00EC2A1C" w:rsidRDefault="00DD3EFA" w:rsidP="00B15ECB">
            <w:pPr>
              <w:spacing w:before="60" w:after="60"/>
              <w:rPr>
                <w:rFonts w:ascii="Times New Roman" w:eastAsiaTheme="majorEastAsia" w:hAnsi="Times New Roman" w:cs="Times New Roman"/>
                <w:i/>
                <w:sz w:val="20"/>
                <w:szCs w:val="20"/>
              </w:rPr>
            </w:pPr>
            <w:r w:rsidRPr="00EC2A1C">
              <w:rPr>
                <w:rFonts w:ascii="Times New Roman" w:eastAsia="Calibri" w:hAnsi="Times New Roman" w:cs="Times New Roman"/>
                <w:sz w:val="20"/>
                <w:szCs w:val="20"/>
              </w:rPr>
              <w:t>Do erozně ohrožených oblastí (ať již mírně či silně ohrožených) přitom směřuje přibližně třetina (35 %), tj. poměrně výrazná část všech závazků operací s hlavním efektem. Na naplňování prioritní oblasti se přitom primárně podílí plošná podpora poskytována v rámci Ekologického zemědělství. Plošná opatření M10 a M11 přispívající ke zlepšení hospodaření s půdou a/nebo předcházení erozi půdy pokrývají 11,4 % celkové zemědělské plochy ČR, tj. cílová hodnota indikátoru R10 byla již téměř naplněna. Naplnění spec. cílů hlavní alokace registrovanými žádostmi u plošného opatření M10 je již naplněna ze tří čtvrtin. Plošné opatření M11 se k této hodnotě blíží a určitě bude v roce 2018 této hodnoty dosaženo.</w:t>
            </w:r>
          </w:p>
        </w:tc>
        <w:tc>
          <w:tcPr>
            <w:tcW w:w="249" w:type="dxa"/>
            <w:tcBorders>
              <w:top w:val="nil"/>
              <w:bottom w:val="nil"/>
            </w:tcBorders>
            <w:shd w:val="clear" w:color="auto" w:fill="66CCFF"/>
          </w:tcPr>
          <w:p w14:paraId="282855AA" w14:textId="77777777" w:rsidR="00DD3EFA" w:rsidRPr="00EC2A1C" w:rsidRDefault="00DD3EFA" w:rsidP="00B15ECB">
            <w:pPr>
              <w:rPr>
                <w:rFonts w:ascii="Times New Roman" w:hAnsi="Times New Roman" w:cs="Times New Roman"/>
                <w:b/>
                <w:sz w:val="20"/>
                <w:szCs w:val="20"/>
              </w:rPr>
            </w:pPr>
          </w:p>
        </w:tc>
      </w:tr>
      <w:tr w:rsidR="00DD3EFA" w:rsidRPr="00EC2A1C" w14:paraId="6223B8A2" w14:textId="77777777" w:rsidTr="00B15ECB">
        <w:trPr>
          <w:trHeight w:val="850"/>
        </w:trPr>
        <w:tc>
          <w:tcPr>
            <w:tcW w:w="249" w:type="dxa"/>
            <w:tcBorders>
              <w:top w:val="nil"/>
              <w:bottom w:val="nil"/>
            </w:tcBorders>
            <w:shd w:val="clear" w:color="auto" w:fill="66CCFF"/>
          </w:tcPr>
          <w:p w14:paraId="619CC573"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64FC5DC"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Poptávka příjemců</w:t>
            </w:r>
          </w:p>
        </w:tc>
        <w:tc>
          <w:tcPr>
            <w:tcW w:w="5978" w:type="dxa"/>
            <w:tcBorders>
              <w:bottom w:val="single" w:sz="4" w:space="0" w:color="auto"/>
            </w:tcBorders>
            <w:shd w:val="clear" w:color="auto" w:fill="FFFFFF" w:themeFill="background1"/>
          </w:tcPr>
          <w:p w14:paraId="4D667724"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 xml:space="preserve">Příprava projektů je průběžně žadateli konzultována se zprostředkujícími subjekty. Žadatelé v současnosti připravují primárně projektové záměry pro současné období. S ohledem na to, že volných finančních prostředků již ubývá, předpokládáme, že ne všechny projekty/žadatelé budou uspokojeni a jejich připravené projekty budou podány v dalším období. Současně lze předpokládat, že někteří žadatelé připravují projekty již do nového programového období právě s ohledem na ubývající finanční prostředky a časovou náročnost některých projektů na přípravu. </w:t>
            </w:r>
          </w:p>
          <w:p w14:paraId="6EF58155"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Žadatelé jsou značně ovlivňováni a motivováni současným dlouhotrvajícím suchem a kůrovcovou kalamitou. S ohledem na to lze předpokládat zájem o realizaci opatření snižující efekty sucha a vzniklé kalamity. Nejvíce dotazů ohledně možnosti podpory se týká právě vytváření a obnovy vodních prvků – malých vodních nádrží. Současně lze předpokládat přetrvávající zájem na realizace opatření s ohledem na platnou či připravovanou legislativu (péče o předměty ochrany ZCHÚ a lokalit soustavy Natura 2000, likvidace invazních druhů atd.).</w:t>
            </w:r>
          </w:p>
        </w:tc>
        <w:tc>
          <w:tcPr>
            <w:tcW w:w="249" w:type="dxa"/>
            <w:tcBorders>
              <w:top w:val="nil"/>
              <w:bottom w:val="nil"/>
            </w:tcBorders>
            <w:shd w:val="clear" w:color="auto" w:fill="66CCFF"/>
          </w:tcPr>
          <w:p w14:paraId="5B6F913D" w14:textId="77777777" w:rsidR="00DD3EFA" w:rsidRPr="00EC2A1C" w:rsidRDefault="00DD3EFA" w:rsidP="00B15ECB">
            <w:pPr>
              <w:rPr>
                <w:rFonts w:ascii="Times New Roman" w:hAnsi="Times New Roman" w:cs="Times New Roman"/>
                <w:b/>
                <w:sz w:val="20"/>
                <w:szCs w:val="20"/>
              </w:rPr>
            </w:pPr>
          </w:p>
        </w:tc>
      </w:tr>
      <w:tr w:rsidR="00DD3EFA" w:rsidRPr="00EC2A1C" w14:paraId="1CA8D4FB" w14:textId="77777777" w:rsidTr="00B15ECB">
        <w:trPr>
          <w:trHeight w:val="925"/>
        </w:trPr>
        <w:tc>
          <w:tcPr>
            <w:tcW w:w="249" w:type="dxa"/>
            <w:tcBorders>
              <w:top w:val="nil"/>
              <w:bottom w:val="nil"/>
            </w:tcBorders>
            <w:shd w:val="clear" w:color="auto" w:fill="66CCFF"/>
          </w:tcPr>
          <w:p w14:paraId="0F6F1923"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342417FA"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Příprava projektových záměrů</w:t>
            </w:r>
          </w:p>
        </w:tc>
        <w:tc>
          <w:tcPr>
            <w:tcW w:w="5978" w:type="dxa"/>
            <w:tcBorders>
              <w:bottom w:val="single" w:sz="4" w:space="0" w:color="auto"/>
            </w:tcBorders>
            <w:shd w:val="clear" w:color="auto" w:fill="FFFFFF" w:themeFill="background1"/>
          </w:tcPr>
          <w:p w14:paraId="67B89780"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Pro další období jsou připravovány velké projekty na revitalizace vodních toků a rybí přechod na Labi. Dále jsou připravovány projekty na návštěvnickou infrastrukturu. V současnosti však nelze říci, které projekty budou uspokojeny v současném programovém období a které v navazujícím.</w:t>
            </w:r>
          </w:p>
        </w:tc>
        <w:tc>
          <w:tcPr>
            <w:tcW w:w="249" w:type="dxa"/>
            <w:tcBorders>
              <w:top w:val="nil"/>
              <w:bottom w:val="nil"/>
            </w:tcBorders>
            <w:shd w:val="clear" w:color="auto" w:fill="66CCFF"/>
          </w:tcPr>
          <w:p w14:paraId="2F9906DB" w14:textId="77777777" w:rsidR="00DD3EFA" w:rsidRPr="00EC2A1C" w:rsidRDefault="00DD3EFA" w:rsidP="00B15ECB">
            <w:pPr>
              <w:rPr>
                <w:rFonts w:ascii="Times New Roman" w:hAnsi="Times New Roman" w:cs="Times New Roman"/>
                <w:b/>
                <w:sz w:val="20"/>
                <w:szCs w:val="20"/>
              </w:rPr>
            </w:pPr>
          </w:p>
        </w:tc>
      </w:tr>
      <w:tr w:rsidR="00DD3EFA" w:rsidRPr="00EC2A1C" w14:paraId="5F16B4F4" w14:textId="77777777" w:rsidTr="00B15ECB">
        <w:trPr>
          <w:trHeight w:val="1001"/>
        </w:trPr>
        <w:tc>
          <w:tcPr>
            <w:tcW w:w="249" w:type="dxa"/>
            <w:tcBorders>
              <w:top w:val="nil"/>
              <w:bottom w:val="nil"/>
            </w:tcBorders>
            <w:shd w:val="clear" w:color="auto" w:fill="66CCFF"/>
          </w:tcPr>
          <w:p w14:paraId="13FF575C"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5C72469"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Bariéry</w:t>
            </w:r>
          </w:p>
        </w:tc>
        <w:tc>
          <w:tcPr>
            <w:tcW w:w="5978" w:type="dxa"/>
            <w:tcBorders>
              <w:bottom w:val="single" w:sz="4" w:space="0" w:color="auto"/>
            </w:tcBorders>
            <w:shd w:val="clear" w:color="auto" w:fill="FFFFFF" w:themeFill="background1"/>
          </w:tcPr>
          <w:p w14:paraId="03CCAEA2"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hAnsi="Times New Roman" w:cs="Times New Roman"/>
                <w:sz w:val="20"/>
                <w:szCs w:val="20"/>
              </w:rPr>
              <w:t>Čerpání v rámci OPŽP 2014-2020, prioritní osy 4 Ochrana a péče o přírodu a krajinu je nižší s ohledem na skutečnost, že realizace opatření je dobrovolná, není vázaná zákonnou povinností a nemá pro žadatele žádný viditelný ekonomický přínos. S ohledem na to je ze strany ŘO a zprostředkujících subjektů (AOPK ČR, SFŽP ČR) podnikána řada kroků k vytvoření příznivých podmínek pro žadatele (analýza ukončených výzev a s tím spojená revize podmínek pro podávání žádostí, pravidelné semináře pro žadatele). U některých typů opatření může být pro žadatele limitující výše podpory (např v SC 4.4 max. 60 % celkových způsobilých výdajů), naopak u některých opatření byla výše podpory pro zatraktivnění navýšena až na 100 % celkových způsobilých výdajů (vodní toky, tůně, mokřady).</w:t>
            </w:r>
          </w:p>
        </w:tc>
        <w:tc>
          <w:tcPr>
            <w:tcW w:w="249" w:type="dxa"/>
            <w:tcBorders>
              <w:top w:val="nil"/>
              <w:bottom w:val="nil"/>
            </w:tcBorders>
            <w:shd w:val="clear" w:color="auto" w:fill="66CCFF"/>
          </w:tcPr>
          <w:p w14:paraId="5E543233" w14:textId="77777777" w:rsidR="00DD3EFA" w:rsidRPr="00EC2A1C" w:rsidRDefault="00DD3EFA" w:rsidP="00B15ECB">
            <w:pPr>
              <w:rPr>
                <w:rFonts w:ascii="Times New Roman" w:hAnsi="Times New Roman" w:cs="Times New Roman"/>
                <w:b/>
                <w:sz w:val="20"/>
                <w:szCs w:val="20"/>
              </w:rPr>
            </w:pPr>
          </w:p>
        </w:tc>
      </w:tr>
      <w:tr w:rsidR="00DD3EFA" w:rsidRPr="00EC2A1C" w14:paraId="59FAC44F"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0528DA19"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0B43A250"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3CB69780"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left w:val="nil"/>
              <w:bottom w:val="single" w:sz="4" w:space="0" w:color="auto"/>
              <w:right w:val="single" w:sz="4" w:space="0" w:color="auto"/>
            </w:tcBorders>
            <w:shd w:val="clear" w:color="auto" w:fill="66CCFF"/>
          </w:tcPr>
          <w:p w14:paraId="43DEEB6E" w14:textId="77777777" w:rsidR="00DD3EFA" w:rsidRPr="00EC2A1C" w:rsidRDefault="00DD3EFA" w:rsidP="00B15ECB">
            <w:pPr>
              <w:rPr>
                <w:rFonts w:ascii="Times New Roman" w:hAnsi="Times New Roman" w:cs="Times New Roman"/>
                <w:b/>
                <w:sz w:val="20"/>
                <w:szCs w:val="20"/>
              </w:rPr>
            </w:pPr>
          </w:p>
        </w:tc>
      </w:tr>
      <w:tr w:rsidR="00DD3EFA" w:rsidRPr="00EC2A1C" w14:paraId="08EE8A72" w14:textId="77777777" w:rsidTr="00B15ECB">
        <w:trPr>
          <w:trHeight w:val="1968"/>
        </w:trPr>
        <w:tc>
          <w:tcPr>
            <w:tcW w:w="249" w:type="dxa"/>
            <w:tcBorders>
              <w:top w:val="single" w:sz="4" w:space="0" w:color="auto"/>
              <w:bottom w:val="nil"/>
            </w:tcBorders>
            <w:shd w:val="clear" w:color="auto" w:fill="66CCFF"/>
          </w:tcPr>
          <w:p w14:paraId="0449F361" w14:textId="77777777" w:rsidR="00DD3EFA" w:rsidRPr="00EC2A1C" w:rsidRDefault="00DD3EFA" w:rsidP="00B15ECB">
            <w:pPr>
              <w:rPr>
                <w:rFonts w:ascii="Times New Roman" w:hAnsi="Times New Roman" w:cs="Times New Roman"/>
                <w:b/>
                <w:sz w:val="20"/>
                <w:szCs w:val="20"/>
              </w:rPr>
            </w:pPr>
          </w:p>
        </w:tc>
        <w:tc>
          <w:tcPr>
            <w:tcW w:w="8526" w:type="dxa"/>
            <w:gridSpan w:val="2"/>
            <w:tcBorders>
              <w:top w:val="single" w:sz="4" w:space="0" w:color="auto"/>
            </w:tcBorders>
            <w:shd w:val="clear" w:color="auto" w:fill="FFFFFF" w:themeFill="background1"/>
          </w:tcPr>
          <w:p w14:paraId="240A7A33" w14:textId="77777777" w:rsidR="00DD3EFA" w:rsidRPr="00EC2A1C" w:rsidRDefault="00DD3EFA">
            <w:pPr>
              <w:spacing w:before="60" w:after="60"/>
              <w:rPr>
                <w:rFonts w:ascii="Times New Roman" w:eastAsiaTheme="majorEastAsia" w:hAnsi="Times New Roman" w:cs="Times New Roman"/>
                <w:i/>
                <w:sz w:val="20"/>
                <w:szCs w:val="20"/>
                <w:u w:val="single"/>
              </w:rPr>
            </w:pPr>
            <w:r w:rsidRPr="00EC2A1C">
              <w:rPr>
                <w:rFonts w:ascii="Times New Roman" w:eastAsiaTheme="majorEastAsia" w:hAnsi="Times New Roman" w:cs="Times New Roman"/>
                <w:b/>
                <w:sz w:val="20"/>
                <w:szCs w:val="20"/>
              </w:rPr>
              <w:t>Alternativní zdroje</w:t>
            </w:r>
            <w:r w:rsidRPr="00EC2A1C">
              <w:rPr>
                <w:rFonts w:ascii="Times New Roman" w:eastAsiaTheme="majorEastAsia" w:hAnsi="Times New Roman" w:cs="Times New Roman"/>
                <w:i/>
                <w:sz w:val="20"/>
                <w:szCs w:val="20"/>
              </w:rPr>
              <w:t xml:space="preserve"> </w:t>
            </w:r>
          </w:p>
        </w:tc>
        <w:tc>
          <w:tcPr>
            <w:tcW w:w="249" w:type="dxa"/>
            <w:tcBorders>
              <w:top w:val="single" w:sz="4" w:space="0" w:color="auto"/>
              <w:bottom w:val="nil"/>
            </w:tcBorders>
            <w:shd w:val="clear" w:color="auto" w:fill="66CCFF"/>
          </w:tcPr>
          <w:p w14:paraId="40FEC594" w14:textId="77777777" w:rsidR="00DD3EFA" w:rsidRPr="00EC2A1C" w:rsidRDefault="00DD3EFA" w:rsidP="00B15ECB">
            <w:pPr>
              <w:rPr>
                <w:rFonts w:ascii="Times New Roman" w:hAnsi="Times New Roman" w:cs="Times New Roman"/>
                <w:b/>
                <w:sz w:val="20"/>
                <w:szCs w:val="20"/>
              </w:rPr>
            </w:pPr>
          </w:p>
        </w:tc>
      </w:tr>
      <w:tr w:rsidR="00DD3EFA" w:rsidRPr="00EC2A1C" w14:paraId="7B2E8B0D" w14:textId="77777777" w:rsidTr="00B15ECB">
        <w:trPr>
          <w:trHeight w:val="1968"/>
        </w:trPr>
        <w:tc>
          <w:tcPr>
            <w:tcW w:w="249" w:type="dxa"/>
            <w:tcBorders>
              <w:top w:val="nil"/>
              <w:bottom w:val="nil"/>
            </w:tcBorders>
            <w:shd w:val="clear" w:color="auto" w:fill="66CCFF"/>
          </w:tcPr>
          <w:p w14:paraId="4241FC6C"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787DA03C"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Unijní programy</w:t>
            </w:r>
          </w:p>
        </w:tc>
        <w:tc>
          <w:tcPr>
            <w:tcW w:w="5978" w:type="dxa"/>
            <w:tcBorders>
              <w:top w:val="nil"/>
            </w:tcBorders>
            <w:shd w:val="clear" w:color="auto" w:fill="FFFFFF" w:themeFill="background1"/>
          </w:tcPr>
          <w:p w14:paraId="0679184F" w14:textId="77777777" w:rsidR="00DD3EFA" w:rsidRPr="00EC2A1C" w:rsidRDefault="00DD3EFA" w:rsidP="00B15ECB">
            <w:pPr>
              <w:spacing w:before="60" w:after="60"/>
              <w:rPr>
                <w:rFonts w:ascii="Times New Roman" w:eastAsiaTheme="majorEastAsia" w:hAnsi="Times New Roman" w:cs="Times New Roman"/>
                <w:i/>
                <w:sz w:val="20"/>
                <w:szCs w:val="20"/>
              </w:rPr>
            </w:pPr>
            <w:r w:rsidRPr="00EC2A1C">
              <w:rPr>
                <w:rFonts w:ascii="Times New Roman" w:hAnsi="Times New Roman" w:cs="Times New Roman"/>
                <w:sz w:val="20"/>
                <w:szCs w:val="20"/>
              </w:rPr>
              <w:t xml:space="preserve">Z programu LIFE je možné financovat demonstrační a pilotní projekty, je komplementární k podpoře z ESIF. Program LIFE nepodporuje projekty, které mohou být financovány v rámci jiných finančních nástrojů Evropské komise. Dále je částečně využitelný program INTERREG. Tyto programy nicméně jsou specifické a k programům ESIF stále vnímány jako doplňkové. </w:t>
            </w:r>
          </w:p>
        </w:tc>
        <w:tc>
          <w:tcPr>
            <w:tcW w:w="249" w:type="dxa"/>
            <w:tcBorders>
              <w:top w:val="nil"/>
              <w:bottom w:val="nil"/>
            </w:tcBorders>
            <w:shd w:val="clear" w:color="auto" w:fill="66CCFF"/>
          </w:tcPr>
          <w:p w14:paraId="6EA64193" w14:textId="77777777" w:rsidR="00DD3EFA" w:rsidRPr="00EC2A1C" w:rsidRDefault="00DD3EFA" w:rsidP="00B15ECB">
            <w:pPr>
              <w:rPr>
                <w:rFonts w:ascii="Times New Roman" w:hAnsi="Times New Roman" w:cs="Times New Roman"/>
                <w:b/>
                <w:sz w:val="20"/>
                <w:szCs w:val="20"/>
              </w:rPr>
            </w:pPr>
          </w:p>
        </w:tc>
      </w:tr>
      <w:tr w:rsidR="00DD3EFA" w:rsidRPr="00EC2A1C" w14:paraId="22FC47D4" w14:textId="77777777" w:rsidTr="00B15ECB">
        <w:trPr>
          <w:trHeight w:val="1968"/>
        </w:trPr>
        <w:tc>
          <w:tcPr>
            <w:tcW w:w="249" w:type="dxa"/>
            <w:tcBorders>
              <w:top w:val="nil"/>
              <w:bottom w:val="nil"/>
            </w:tcBorders>
            <w:shd w:val="clear" w:color="auto" w:fill="66CCFF"/>
          </w:tcPr>
          <w:p w14:paraId="43996C3B"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6FD9ECAC"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Státní rozpočet a další národní zdroje</w:t>
            </w:r>
          </w:p>
        </w:tc>
        <w:tc>
          <w:tcPr>
            <w:tcW w:w="5978" w:type="dxa"/>
            <w:tcBorders>
              <w:top w:val="nil"/>
            </w:tcBorders>
            <w:shd w:val="clear" w:color="auto" w:fill="FFFFFF" w:themeFill="background1"/>
          </w:tcPr>
          <w:p w14:paraId="16596924"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Drobné projekty jsou financovány v rámci národních programů v gesci MŽP (Program péče o krajinu, program Podpora obnovy přirozených funkcí krajiny), alokace v těchto programech nepokryje celou potřebu. Mimo státní rozpočet je zdrojem podpory některých vybraných opatření též Státní fond životního prostředí ČR a rozpočty krajů. </w:t>
            </w:r>
          </w:p>
          <w:p w14:paraId="7F2337DB"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0522CC17" w14:textId="77777777" w:rsidR="00DD3EFA" w:rsidRPr="00EC2A1C" w:rsidRDefault="00DD3EFA" w:rsidP="00B15ECB">
            <w:pPr>
              <w:rPr>
                <w:rFonts w:ascii="Times New Roman" w:hAnsi="Times New Roman" w:cs="Times New Roman"/>
                <w:b/>
                <w:sz w:val="20"/>
                <w:szCs w:val="20"/>
              </w:rPr>
            </w:pPr>
          </w:p>
        </w:tc>
      </w:tr>
      <w:tr w:rsidR="00DD3EFA" w:rsidRPr="00EC2A1C" w14:paraId="74F83BB5" w14:textId="77777777" w:rsidTr="00B15ECB">
        <w:trPr>
          <w:trHeight w:val="1968"/>
        </w:trPr>
        <w:tc>
          <w:tcPr>
            <w:tcW w:w="249" w:type="dxa"/>
            <w:tcBorders>
              <w:top w:val="nil"/>
              <w:bottom w:val="nil"/>
            </w:tcBorders>
            <w:shd w:val="clear" w:color="auto" w:fill="66CCFF"/>
          </w:tcPr>
          <w:p w14:paraId="435C4FB4"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476A955D"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Další zdroje mimo veřejné rozpočty</w:t>
            </w:r>
          </w:p>
        </w:tc>
        <w:tc>
          <w:tcPr>
            <w:tcW w:w="5978" w:type="dxa"/>
            <w:tcBorders>
              <w:top w:val="nil"/>
            </w:tcBorders>
            <w:shd w:val="clear" w:color="auto" w:fill="FFFFFF" w:themeFill="background1"/>
          </w:tcPr>
          <w:p w14:paraId="5EF0FCFB" w14:textId="77777777" w:rsidR="00DD3EFA" w:rsidRPr="00EC2A1C" w:rsidRDefault="00DD3EFA" w:rsidP="00B15ECB">
            <w:pPr>
              <w:spacing w:before="60" w:after="60"/>
              <w:rPr>
                <w:rFonts w:ascii="Times New Roman" w:eastAsiaTheme="majorEastAsia" w:hAnsi="Times New Roman" w:cs="Times New Roman"/>
                <w:i/>
                <w:sz w:val="20"/>
                <w:szCs w:val="20"/>
              </w:rPr>
            </w:pPr>
            <w:r w:rsidRPr="00EC2A1C">
              <w:rPr>
                <w:rFonts w:ascii="Times New Roman" w:hAnsi="Times New Roman" w:cs="Times New Roman"/>
                <w:sz w:val="20"/>
                <w:szCs w:val="20"/>
              </w:rPr>
              <w:t>Dalším zdrojem finančních prostředků pro danou oblast jsou EHP a Norské fondy, které jsou vzhledem k výši alokace určeny na financování specifických opatření. Ostatní zdroje mimo veřejné rozpočty lze z hlediska naplňování cíle považovat za nevýznamné.</w:t>
            </w:r>
          </w:p>
        </w:tc>
        <w:tc>
          <w:tcPr>
            <w:tcW w:w="249" w:type="dxa"/>
            <w:tcBorders>
              <w:top w:val="nil"/>
              <w:bottom w:val="nil"/>
            </w:tcBorders>
            <w:shd w:val="clear" w:color="auto" w:fill="66CCFF"/>
          </w:tcPr>
          <w:p w14:paraId="5E260E1C" w14:textId="77777777" w:rsidR="00DD3EFA" w:rsidRPr="00EC2A1C" w:rsidRDefault="00DD3EFA" w:rsidP="00B15ECB">
            <w:pPr>
              <w:rPr>
                <w:rFonts w:ascii="Times New Roman" w:hAnsi="Times New Roman" w:cs="Times New Roman"/>
                <w:b/>
                <w:sz w:val="20"/>
                <w:szCs w:val="20"/>
              </w:rPr>
            </w:pPr>
          </w:p>
        </w:tc>
      </w:tr>
      <w:tr w:rsidR="00DD3EFA" w:rsidRPr="00EC2A1C" w14:paraId="6251AF8D" w14:textId="77777777" w:rsidTr="00B15ECB">
        <w:trPr>
          <w:trHeight w:val="1968"/>
        </w:trPr>
        <w:tc>
          <w:tcPr>
            <w:tcW w:w="249" w:type="dxa"/>
            <w:tcBorders>
              <w:top w:val="nil"/>
              <w:bottom w:val="nil"/>
            </w:tcBorders>
            <w:shd w:val="clear" w:color="auto" w:fill="66CCFF"/>
          </w:tcPr>
          <w:p w14:paraId="72179266"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0D5858CE"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Možnost využití FN</w:t>
            </w:r>
          </w:p>
          <w:p w14:paraId="11539328"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nil"/>
            </w:tcBorders>
            <w:shd w:val="clear" w:color="auto" w:fill="FFFFFF" w:themeFill="background1"/>
          </w:tcPr>
          <w:p w14:paraId="4E412179"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Oblast ochrany přírody a krajiny většinou spíše nesplňuje předpoklady pro zapojení inovativních finančních nástrojů. Projekty zaměřené na tuto oblast totiž obvykle nevykazují požadovanou rentabilitu a dobu návratnosti a jejich primárním cílem obvykle není zisk.</w:t>
            </w:r>
          </w:p>
          <w:p w14:paraId="33AE04C9" w14:textId="77777777" w:rsidR="00DD3EFA" w:rsidRPr="00EC2A1C" w:rsidRDefault="00DD3EFA" w:rsidP="00B15ECB">
            <w:pPr>
              <w:spacing w:before="60" w:after="60"/>
              <w:rPr>
                <w:rFonts w:ascii="Times New Roman" w:eastAsiaTheme="majorEastAsia" w:hAnsi="Times New Roman" w:cs="Times New Roman"/>
                <w:sz w:val="20"/>
                <w:szCs w:val="20"/>
              </w:rPr>
            </w:pPr>
          </w:p>
        </w:tc>
        <w:tc>
          <w:tcPr>
            <w:tcW w:w="249" w:type="dxa"/>
            <w:tcBorders>
              <w:top w:val="nil"/>
              <w:bottom w:val="nil"/>
            </w:tcBorders>
            <w:shd w:val="clear" w:color="auto" w:fill="66CCFF"/>
          </w:tcPr>
          <w:p w14:paraId="35FA6717" w14:textId="77777777" w:rsidR="00DD3EFA" w:rsidRPr="00EC2A1C" w:rsidRDefault="00DD3EFA" w:rsidP="00B15ECB">
            <w:pPr>
              <w:rPr>
                <w:rFonts w:ascii="Times New Roman" w:hAnsi="Times New Roman" w:cs="Times New Roman"/>
                <w:b/>
                <w:sz w:val="20"/>
                <w:szCs w:val="20"/>
              </w:rPr>
            </w:pPr>
          </w:p>
        </w:tc>
      </w:tr>
      <w:tr w:rsidR="00DD3EFA" w:rsidRPr="00EC2A1C" w14:paraId="310F07BB" w14:textId="77777777" w:rsidTr="00B15ECB">
        <w:trPr>
          <w:trHeight w:val="150"/>
        </w:trPr>
        <w:tc>
          <w:tcPr>
            <w:tcW w:w="249" w:type="dxa"/>
            <w:tcBorders>
              <w:top w:val="nil"/>
              <w:right w:val="nil"/>
            </w:tcBorders>
            <w:shd w:val="clear" w:color="auto" w:fill="66CCFF"/>
          </w:tcPr>
          <w:p w14:paraId="72C89806"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147D1C49"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1EB2EAF9"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tcBorders>
            <w:shd w:val="clear" w:color="auto" w:fill="66CCFF"/>
          </w:tcPr>
          <w:p w14:paraId="50ED0CC0" w14:textId="77777777" w:rsidR="00DD3EFA" w:rsidRPr="00EC2A1C" w:rsidRDefault="00DD3EFA" w:rsidP="00B15ECB">
            <w:pPr>
              <w:rPr>
                <w:rFonts w:ascii="Times New Roman" w:hAnsi="Times New Roman" w:cs="Times New Roman"/>
                <w:b/>
                <w:sz w:val="20"/>
                <w:szCs w:val="20"/>
              </w:rPr>
            </w:pPr>
          </w:p>
        </w:tc>
      </w:tr>
    </w:tbl>
    <w:p w14:paraId="28A84C94" w14:textId="77777777" w:rsidR="00DD3EFA" w:rsidRPr="00EC2A1C" w:rsidRDefault="00DD3EFA" w:rsidP="00B15ECB">
      <w:pPr>
        <w:rPr>
          <w:rFonts w:ascii="Times New Roman" w:hAnsi="Times New Roman" w:cs="Times New Roman"/>
          <w:b/>
          <w:sz w:val="20"/>
          <w:szCs w:val="20"/>
        </w:rPr>
      </w:pPr>
    </w:p>
    <w:p w14:paraId="5B8E93B8" w14:textId="77777777" w:rsidR="00DD3EFA" w:rsidRPr="00EC2A1C" w:rsidRDefault="00DD3EFA" w:rsidP="00B15ECB">
      <w:pPr>
        <w:rPr>
          <w:rFonts w:ascii="Times New Roman" w:hAnsi="Times New Roman" w:cs="Times New Roman"/>
          <w:b/>
          <w:sz w:val="20"/>
          <w:szCs w:val="20"/>
        </w:rPr>
      </w:pPr>
    </w:p>
    <w:p w14:paraId="07C5DE67" w14:textId="77777777" w:rsidR="00DD3EFA" w:rsidRPr="00EC2A1C" w:rsidRDefault="00DD3EFA" w:rsidP="00B15ECB">
      <w:pPr>
        <w:rPr>
          <w:rFonts w:ascii="Times New Roman" w:hAnsi="Times New Roman" w:cs="Times New Roman"/>
          <w:b/>
          <w:sz w:val="20"/>
          <w:szCs w:val="20"/>
        </w:rPr>
      </w:pPr>
    </w:p>
    <w:tbl>
      <w:tblPr>
        <w:tblStyle w:val="Mkatabulky3"/>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1809B183" w14:textId="77777777" w:rsidTr="00B15ECB">
        <w:trPr>
          <w:trHeight w:val="180"/>
        </w:trPr>
        <w:tc>
          <w:tcPr>
            <w:tcW w:w="249" w:type="dxa"/>
            <w:tcBorders>
              <w:top w:val="single" w:sz="4" w:space="0" w:color="auto"/>
              <w:left w:val="single" w:sz="4" w:space="0" w:color="auto"/>
              <w:bottom w:val="nil"/>
              <w:right w:val="nil"/>
            </w:tcBorders>
            <w:shd w:val="clear" w:color="auto" w:fill="66CCFF"/>
          </w:tcPr>
          <w:p w14:paraId="4CF1BFC1"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71561AA3" w14:textId="77777777" w:rsidR="00DD3EFA" w:rsidRPr="00EC2A1C" w:rsidRDefault="00DD3EFA" w:rsidP="00B15ECB">
            <w:pPr>
              <w:rPr>
                <w:rFonts w:ascii="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0F48E304" w14:textId="77777777" w:rsidR="00DD3EFA" w:rsidRPr="00EC2A1C" w:rsidRDefault="00DD3EFA" w:rsidP="00B15ECB">
            <w:pPr>
              <w:rPr>
                <w:rFonts w:ascii="Times New Roman" w:hAnsi="Times New Roman"/>
                <w:b/>
                <w:sz w:val="20"/>
                <w:szCs w:val="20"/>
              </w:rPr>
            </w:pPr>
          </w:p>
        </w:tc>
        <w:tc>
          <w:tcPr>
            <w:tcW w:w="249" w:type="dxa"/>
            <w:tcBorders>
              <w:top w:val="single" w:sz="4" w:space="0" w:color="auto"/>
              <w:left w:val="nil"/>
              <w:bottom w:val="nil"/>
              <w:right w:val="single" w:sz="4" w:space="0" w:color="auto"/>
            </w:tcBorders>
            <w:shd w:val="clear" w:color="auto" w:fill="66CCFF"/>
          </w:tcPr>
          <w:p w14:paraId="7A39D768" w14:textId="77777777" w:rsidR="00DD3EFA" w:rsidRPr="00EC2A1C" w:rsidRDefault="00DD3EFA" w:rsidP="00B15ECB">
            <w:pPr>
              <w:rPr>
                <w:rFonts w:ascii="Times New Roman" w:hAnsi="Times New Roman"/>
                <w:b/>
                <w:sz w:val="20"/>
                <w:szCs w:val="20"/>
              </w:rPr>
            </w:pPr>
          </w:p>
        </w:tc>
      </w:tr>
      <w:tr w:rsidR="00DD3EFA" w:rsidRPr="00EC2A1C" w14:paraId="2DF0B0DA" w14:textId="77777777" w:rsidTr="00B15ECB">
        <w:trPr>
          <w:trHeight w:val="561"/>
        </w:trPr>
        <w:tc>
          <w:tcPr>
            <w:tcW w:w="249" w:type="dxa"/>
            <w:tcBorders>
              <w:top w:val="nil"/>
              <w:left w:val="single" w:sz="4" w:space="0" w:color="auto"/>
              <w:bottom w:val="nil"/>
              <w:right w:val="single" w:sz="4" w:space="0" w:color="auto"/>
            </w:tcBorders>
            <w:shd w:val="clear" w:color="auto" w:fill="66CCFF"/>
          </w:tcPr>
          <w:p w14:paraId="46EBA477"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0070C0"/>
            <w:hideMark/>
          </w:tcPr>
          <w:p w14:paraId="591133B5" w14:textId="77777777" w:rsidR="00DD3EFA" w:rsidRPr="00EC2A1C" w:rsidRDefault="00DD3EFA" w:rsidP="00B15ECB">
            <w:pPr>
              <w:spacing w:before="60" w:after="60"/>
              <w:rPr>
                <w:rFonts w:ascii="Times New Roman" w:eastAsia="Times New Roman" w:hAnsi="Times New Roman"/>
                <w:b/>
                <w:color w:val="FFFFFF" w:themeColor="background1"/>
                <w:sz w:val="20"/>
                <w:szCs w:val="20"/>
              </w:rPr>
            </w:pPr>
            <w:r w:rsidRPr="00EC2A1C">
              <w:rPr>
                <w:rFonts w:ascii="Times New Roman" w:eastAsia="Times New Roman" w:hAnsi="Times New Roman"/>
                <w:b/>
                <w:color w:val="FFFFFF" w:themeColor="background1"/>
                <w:sz w:val="20"/>
                <w:szCs w:val="20"/>
              </w:rPr>
              <w:t xml:space="preserve">Strategický cíl NKR: </w:t>
            </w:r>
            <w:r w:rsidRPr="00EC2A1C">
              <w:rPr>
                <w:rFonts w:ascii="Times New Roman" w:hAnsi="Times New Roman"/>
                <w:sz w:val="20"/>
                <w:szCs w:val="20"/>
              </w:rPr>
              <w:t>Zlepšení kvality životního prostředí, zavedení nízkouhlíkové ekonomiky a adaptace na změnu klimatu</w:t>
            </w:r>
          </w:p>
        </w:tc>
        <w:tc>
          <w:tcPr>
            <w:tcW w:w="5978" w:type="dxa"/>
            <w:tcBorders>
              <w:top w:val="single" w:sz="4" w:space="0" w:color="auto"/>
              <w:left w:val="single" w:sz="4" w:space="0" w:color="auto"/>
              <w:bottom w:val="single" w:sz="4" w:space="0" w:color="auto"/>
              <w:right w:val="single" w:sz="4" w:space="0" w:color="auto"/>
            </w:tcBorders>
            <w:shd w:val="clear" w:color="auto" w:fill="0070C0"/>
          </w:tcPr>
          <w:p w14:paraId="03F995BA" w14:textId="77777777" w:rsidR="00DD3EFA" w:rsidRPr="00EC2A1C" w:rsidRDefault="00DD3EFA" w:rsidP="00B15ECB">
            <w:pPr>
              <w:spacing w:before="60" w:after="60"/>
              <w:rPr>
                <w:rFonts w:ascii="Times New Roman" w:eastAsia="Times New Roman" w:hAnsi="Times New Roman"/>
                <w:b/>
                <w:color w:val="FFFFFF" w:themeColor="background1"/>
                <w:sz w:val="20"/>
                <w:szCs w:val="20"/>
                <w:u w:val="single"/>
              </w:rPr>
            </w:pPr>
            <w:r w:rsidRPr="00EC2A1C">
              <w:rPr>
                <w:rFonts w:ascii="Times New Roman" w:eastAsia="Times New Roman" w:hAnsi="Times New Roman"/>
                <w:b/>
                <w:color w:val="FFFFFF" w:themeColor="background1"/>
                <w:sz w:val="20"/>
                <w:szCs w:val="20"/>
                <w:u w:val="single"/>
              </w:rPr>
              <w:t>Specifický cíl NKR:</w:t>
            </w:r>
          </w:p>
          <w:p w14:paraId="18F1B46C" w14:textId="77777777" w:rsidR="00DD3EFA" w:rsidRPr="00EC2A1C" w:rsidRDefault="00DD3EFA" w:rsidP="00B15ECB">
            <w:pPr>
              <w:keepNext/>
              <w:keepLines/>
              <w:spacing w:before="240"/>
              <w:outlineLvl w:val="0"/>
              <w:rPr>
                <w:rFonts w:ascii="Times New Roman" w:eastAsia="Times New Roman" w:hAnsi="Times New Roman"/>
                <w:b/>
                <w:color w:val="FFFFFF" w:themeColor="background1"/>
                <w:sz w:val="20"/>
                <w:szCs w:val="20"/>
              </w:rPr>
            </w:pPr>
            <w:bookmarkStart w:id="36" w:name="_Toc536098542"/>
            <w:bookmarkStart w:id="37" w:name="_Toc1491417"/>
            <w:r w:rsidRPr="00EC2A1C">
              <w:rPr>
                <w:rFonts w:ascii="Times New Roman" w:eastAsia="Times New Roman" w:hAnsi="Times New Roman"/>
                <w:b/>
                <w:color w:val="FFFFFF" w:themeColor="background1"/>
                <w:sz w:val="20"/>
                <w:szCs w:val="20"/>
              </w:rPr>
              <w:t>Zlepšení kvality ovzduší</w:t>
            </w:r>
            <w:bookmarkEnd w:id="36"/>
            <w:bookmarkEnd w:id="37"/>
          </w:p>
          <w:p w14:paraId="0BA36163" w14:textId="77777777" w:rsidR="00DD3EFA" w:rsidRPr="00EC2A1C" w:rsidRDefault="00DD3EFA" w:rsidP="00B15ECB">
            <w:pPr>
              <w:spacing w:before="60" w:after="60"/>
              <w:rPr>
                <w:rFonts w:ascii="Times New Roman" w:eastAsia="Times New Roman" w:hAnsi="Times New Roman"/>
                <w:b/>
                <w:color w:val="FFFFFF" w:themeColor="background1"/>
                <w:sz w:val="20"/>
                <w:szCs w:val="20"/>
                <w:u w:val="single"/>
              </w:rPr>
            </w:pPr>
          </w:p>
        </w:tc>
        <w:tc>
          <w:tcPr>
            <w:tcW w:w="249" w:type="dxa"/>
            <w:tcBorders>
              <w:top w:val="nil"/>
              <w:left w:val="single" w:sz="4" w:space="0" w:color="auto"/>
              <w:bottom w:val="nil"/>
              <w:right w:val="single" w:sz="4" w:space="0" w:color="auto"/>
            </w:tcBorders>
            <w:shd w:val="clear" w:color="auto" w:fill="66CCFF"/>
          </w:tcPr>
          <w:p w14:paraId="15DBD7C0" w14:textId="77777777" w:rsidR="00DD3EFA" w:rsidRPr="00EC2A1C" w:rsidRDefault="00DD3EFA" w:rsidP="00B15ECB">
            <w:pPr>
              <w:rPr>
                <w:rFonts w:ascii="Times New Roman" w:hAnsi="Times New Roman"/>
                <w:b/>
                <w:sz w:val="20"/>
                <w:szCs w:val="20"/>
              </w:rPr>
            </w:pPr>
          </w:p>
        </w:tc>
      </w:tr>
      <w:tr w:rsidR="00DD3EFA" w:rsidRPr="00EC2A1C" w14:paraId="13F39D0A" w14:textId="77777777" w:rsidTr="00B15ECB">
        <w:trPr>
          <w:trHeight w:val="180"/>
        </w:trPr>
        <w:tc>
          <w:tcPr>
            <w:tcW w:w="249" w:type="dxa"/>
            <w:tcBorders>
              <w:top w:val="nil"/>
              <w:left w:val="single" w:sz="4" w:space="0" w:color="auto"/>
              <w:bottom w:val="nil"/>
              <w:right w:val="nil"/>
            </w:tcBorders>
            <w:shd w:val="clear" w:color="auto" w:fill="66CCFF"/>
          </w:tcPr>
          <w:p w14:paraId="05BD5558"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4B7FC2A5" w14:textId="77777777" w:rsidR="00DD3EFA" w:rsidRPr="00EC2A1C" w:rsidRDefault="00DD3EFA" w:rsidP="00B15ECB">
            <w:pPr>
              <w:rPr>
                <w:rFonts w:ascii="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7F5B1E30" w14:textId="77777777" w:rsidR="00DD3EFA" w:rsidRPr="00EC2A1C" w:rsidRDefault="00DD3EFA" w:rsidP="00B15ECB">
            <w:pPr>
              <w:rPr>
                <w:rFonts w:ascii="Times New Roman" w:hAnsi="Times New Roman"/>
                <w:b/>
                <w:sz w:val="20"/>
                <w:szCs w:val="20"/>
              </w:rPr>
            </w:pPr>
          </w:p>
        </w:tc>
        <w:tc>
          <w:tcPr>
            <w:tcW w:w="249" w:type="dxa"/>
            <w:tcBorders>
              <w:top w:val="nil"/>
              <w:left w:val="nil"/>
              <w:bottom w:val="nil"/>
              <w:right w:val="single" w:sz="4" w:space="0" w:color="auto"/>
            </w:tcBorders>
            <w:shd w:val="clear" w:color="auto" w:fill="66CCFF"/>
          </w:tcPr>
          <w:p w14:paraId="65A20701" w14:textId="77777777" w:rsidR="00DD3EFA" w:rsidRPr="00EC2A1C" w:rsidRDefault="00DD3EFA" w:rsidP="00B15ECB">
            <w:pPr>
              <w:rPr>
                <w:rFonts w:ascii="Times New Roman" w:hAnsi="Times New Roman"/>
                <w:b/>
                <w:sz w:val="20"/>
                <w:szCs w:val="20"/>
              </w:rPr>
            </w:pPr>
          </w:p>
        </w:tc>
      </w:tr>
      <w:tr w:rsidR="00DD3EFA" w:rsidRPr="00EC2A1C" w14:paraId="7A3B1D7F" w14:textId="77777777" w:rsidTr="00B15ECB">
        <w:trPr>
          <w:trHeight w:val="892"/>
        </w:trPr>
        <w:tc>
          <w:tcPr>
            <w:tcW w:w="249" w:type="dxa"/>
            <w:tcBorders>
              <w:top w:val="nil"/>
              <w:left w:val="single" w:sz="4" w:space="0" w:color="auto"/>
              <w:bottom w:val="nil"/>
              <w:right w:val="single" w:sz="4" w:space="0" w:color="auto"/>
            </w:tcBorders>
            <w:shd w:val="clear" w:color="auto" w:fill="66CCFF"/>
          </w:tcPr>
          <w:p w14:paraId="03DC3CC9"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4AEAE"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Věcné vymezení specifického cíle NKR</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7E23E0" w14:textId="77777777" w:rsidR="00DD3EFA" w:rsidRPr="00EC2A1C" w:rsidRDefault="00DD3EFA" w:rsidP="00B15ECB">
            <w:pPr>
              <w:spacing w:before="40" w:after="80" w:line="276" w:lineRule="auto"/>
              <w:rPr>
                <w:rFonts w:ascii="Times New Roman" w:hAnsi="Times New Roman"/>
                <w:sz w:val="20"/>
                <w:szCs w:val="20"/>
              </w:rPr>
            </w:pPr>
            <w:r w:rsidRPr="00EC2A1C">
              <w:rPr>
                <w:rFonts w:ascii="Times New Roman" w:hAnsi="Times New Roman"/>
                <w:sz w:val="20"/>
                <w:szCs w:val="20"/>
              </w:rPr>
              <w:t>Zlepšení kvality ovzduší</w:t>
            </w:r>
          </w:p>
          <w:p w14:paraId="713319F8" w14:textId="77777777" w:rsidR="00DD3EFA" w:rsidRPr="00EC2A1C" w:rsidRDefault="00DD3EFA" w:rsidP="00391907">
            <w:pPr>
              <w:numPr>
                <w:ilvl w:val="0"/>
                <w:numId w:val="108"/>
              </w:numPr>
              <w:spacing w:before="60" w:after="60" w:line="264" w:lineRule="auto"/>
              <w:rPr>
                <w:rFonts w:ascii="Times New Roman" w:hAnsi="Times New Roman"/>
                <w:sz w:val="20"/>
                <w:szCs w:val="20"/>
                <w:lang w:eastAsia="cs-CZ"/>
              </w:rPr>
            </w:pPr>
            <w:r w:rsidRPr="00EC2A1C">
              <w:rPr>
                <w:rFonts w:ascii="Times New Roman" w:hAnsi="Times New Roman"/>
                <w:sz w:val="20"/>
                <w:szCs w:val="20"/>
              </w:rPr>
              <w:t xml:space="preserve">podpora snížení úrovně znečištění ovzduší suspendovanými částicemi </w:t>
            </w:r>
            <w:r w:rsidRPr="00EC2A1C">
              <w:rPr>
                <w:rFonts w:ascii="Times New Roman" w:hAnsi="Times New Roman"/>
                <w:bCs/>
                <w:sz w:val="20"/>
                <w:szCs w:val="20"/>
              </w:rPr>
              <w:t>PM</w:t>
            </w:r>
            <w:r w:rsidRPr="00EC2A1C">
              <w:rPr>
                <w:rFonts w:ascii="Times New Roman" w:hAnsi="Times New Roman"/>
                <w:bCs/>
                <w:sz w:val="20"/>
                <w:szCs w:val="20"/>
                <w:vertAlign w:val="subscript"/>
              </w:rPr>
              <w:t>10</w:t>
            </w:r>
            <w:r w:rsidRPr="00EC2A1C">
              <w:rPr>
                <w:rFonts w:ascii="Times New Roman" w:hAnsi="Times New Roman"/>
                <w:bCs/>
                <w:sz w:val="20"/>
                <w:szCs w:val="20"/>
              </w:rPr>
              <w:t xml:space="preserve"> a PM</w:t>
            </w:r>
            <w:r w:rsidRPr="00EC2A1C">
              <w:rPr>
                <w:rFonts w:ascii="Times New Roman" w:hAnsi="Times New Roman"/>
                <w:bCs/>
                <w:sz w:val="20"/>
                <w:szCs w:val="20"/>
                <w:vertAlign w:val="subscript"/>
              </w:rPr>
              <w:t>2,5</w:t>
            </w:r>
            <w:r w:rsidRPr="00EC2A1C">
              <w:rPr>
                <w:rFonts w:ascii="Times New Roman" w:hAnsi="Times New Roman"/>
                <w:sz w:val="20"/>
                <w:szCs w:val="20"/>
              </w:rPr>
              <w:t>, BaP, NO</w:t>
            </w:r>
            <w:r w:rsidRPr="00EC2A1C">
              <w:rPr>
                <w:rFonts w:ascii="Times New Roman" w:hAnsi="Times New Roman"/>
                <w:sz w:val="20"/>
                <w:szCs w:val="20"/>
                <w:vertAlign w:val="subscript"/>
              </w:rPr>
              <w:t>x,</w:t>
            </w:r>
            <w:r w:rsidRPr="00EC2A1C">
              <w:rPr>
                <w:rFonts w:ascii="Times New Roman" w:hAnsi="Times New Roman"/>
                <w:sz w:val="20"/>
                <w:szCs w:val="20"/>
              </w:rPr>
              <w:t xml:space="preserve"> SO</w:t>
            </w:r>
            <w:r w:rsidRPr="00EC2A1C">
              <w:rPr>
                <w:rFonts w:ascii="Times New Roman" w:hAnsi="Times New Roman"/>
                <w:sz w:val="20"/>
                <w:szCs w:val="20"/>
                <w:vertAlign w:val="subscript"/>
              </w:rPr>
              <w:t>2</w:t>
            </w:r>
            <w:r w:rsidRPr="00EC2A1C">
              <w:rPr>
                <w:rFonts w:ascii="Times New Roman" w:hAnsi="Times New Roman"/>
                <w:sz w:val="20"/>
                <w:szCs w:val="20"/>
              </w:rPr>
              <w:t>, NH</w:t>
            </w:r>
            <w:r w:rsidRPr="00EC2A1C">
              <w:rPr>
                <w:rFonts w:ascii="Times New Roman" w:hAnsi="Times New Roman"/>
                <w:sz w:val="20"/>
                <w:szCs w:val="20"/>
                <w:vertAlign w:val="subscript"/>
              </w:rPr>
              <w:t>3</w:t>
            </w:r>
            <w:r w:rsidRPr="00EC2A1C">
              <w:rPr>
                <w:rFonts w:ascii="Times New Roman" w:hAnsi="Times New Roman"/>
                <w:sz w:val="20"/>
                <w:szCs w:val="20"/>
              </w:rPr>
              <w:t>, NM-VOC. Zřetel je kladen zejména na PM</w:t>
            </w:r>
            <w:r w:rsidRPr="00EC2A1C">
              <w:rPr>
                <w:rFonts w:ascii="Times New Roman" w:hAnsi="Times New Roman"/>
                <w:sz w:val="20"/>
                <w:szCs w:val="20"/>
                <w:vertAlign w:val="subscript"/>
              </w:rPr>
              <w:t xml:space="preserve">2,5 </w:t>
            </w:r>
            <w:r w:rsidRPr="00EC2A1C">
              <w:rPr>
                <w:rFonts w:ascii="Times New Roman" w:hAnsi="Times New Roman"/>
                <w:sz w:val="20"/>
                <w:szCs w:val="20"/>
              </w:rPr>
              <w:t>a BaP s ohledem na jejich nejzávažnější zdravotní dopady.</w:t>
            </w:r>
            <w:r w:rsidRPr="00EC2A1C">
              <w:rPr>
                <w:rFonts w:ascii="Times New Roman" w:hAnsi="Times New Roman"/>
                <w:sz w:val="20"/>
                <w:szCs w:val="20"/>
                <w:lang w:eastAsia="cs-CZ"/>
              </w:rPr>
              <w:t xml:space="preserve"> </w:t>
            </w:r>
          </w:p>
          <w:p w14:paraId="507837E1" w14:textId="77777777" w:rsidR="00DD3EFA" w:rsidRPr="00EC2A1C" w:rsidRDefault="00DD3EFA" w:rsidP="00391907">
            <w:pPr>
              <w:numPr>
                <w:ilvl w:val="0"/>
                <w:numId w:val="108"/>
              </w:numPr>
              <w:spacing w:before="60" w:after="60" w:line="264" w:lineRule="auto"/>
              <w:rPr>
                <w:rFonts w:ascii="Times New Roman" w:hAnsi="Times New Roman"/>
                <w:b/>
                <w:sz w:val="20"/>
                <w:szCs w:val="20"/>
                <w:lang w:eastAsia="cs-CZ"/>
              </w:rPr>
            </w:pPr>
            <w:r w:rsidRPr="00EC2A1C">
              <w:rPr>
                <w:rFonts w:ascii="Times New Roman" w:hAnsi="Times New Roman"/>
                <w:sz w:val="20"/>
                <w:szCs w:val="20"/>
              </w:rPr>
              <w:t>zlepšení monitoringu a modelování emisí a imisí znečišťujících látek, včetně uchovávání a správy dat</w:t>
            </w:r>
          </w:p>
          <w:p w14:paraId="2F048516"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 xml:space="preserve">snižování emisí znečišťujících látek z lokálních topenišť (výměny zdrojů tepla za ekologičtější a energeticky účinnější jak v domácnostech, tak v dalších typech budov) </w:t>
            </w:r>
          </w:p>
          <w:p w14:paraId="5B72685E"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snižování emisí znečišťujících látek z průmyslu a zemědělství</w:t>
            </w:r>
          </w:p>
          <w:p w14:paraId="4F1AD403"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 xml:space="preserve">snižování emisí znečišťujících látek z dopravy (podpora nákupu vozidel s alternativním pohonem pro fyzické osoby a právnické osoby (včetně dopravních podniků) v celé ČR vč. Prahy., výstavba infrastruktury pro alternativní paliva – řešeno v rámci karet oblasti „Doprava“, dopravní infrastruktura, řízení dopravy, podpora změny dopravního chování apod. – samostatně řeší karta alternativní energie v dopravě v rámci oblasti dopravy), </w:t>
            </w:r>
          </w:p>
          <w:p w14:paraId="53444637"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zvýšení povědomí veřejnosti o problematice znečištění ovzduší, možnostech omezování emisí znečišťujících látek, prevence a vlivu na zdraví obyvatelstva</w:t>
            </w:r>
          </w:p>
          <w:p w14:paraId="7D467E9F" w14:textId="77777777" w:rsidR="00DD3EFA" w:rsidRPr="00EC2A1C" w:rsidRDefault="00DD3EFA" w:rsidP="00391907">
            <w:pPr>
              <w:numPr>
                <w:ilvl w:val="0"/>
                <w:numId w:val="108"/>
              </w:numPr>
              <w:spacing w:before="60" w:after="60" w:line="264" w:lineRule="auto"/>
              <w:rPr>
                <w:rFonts w:ascii="Times New Roman" w:hAnsi="Times New Roman"/>
                <w:sz w:val="20"/>
                <w:szCs w:val="20"/>
              </w:rPr>
            </w:pPr>
          </w:p>
          <w:p w14:paraId="1474A761" w14:textId="77777777" w:rsidR="00DD3EFA" w:rsidRPr="00EC2A1C" w:rsidRDefault="00DD3EFA" w:rsidP="00B15ECB">
            <w:pPr>
              <w:spacing w:before="40" w:after="40"/>
              <w:rPr>
                <w:rFonts w:ascii="Times New Roman" w:hAnsi="Times New Roman"/>
                <w:sz w:val="20"/>
                <w:szCs w:val="20"/>
                <w:u w:val="single"/>
              </w:rPr>
            </w:pPr>
            <w:r w:rsidRPr="00EC2A1C">
              <w:rPr>
                <w:rFonts w:ascii="Times New Roman" w:hAnsi="Times New Roman"/>
                <w:color w:val="000000"/>
                <w:sz w:val="20"/>
                <w:szCs w:val="20"/>
              </w:rPr>
              <w:br/>
            </w:r>
          </w:p>
          <w:p w14:paraId="5A45F367" w14:textId="77777777" w:rsidR="00DD3EFA" w:rsidRPr="00EC2A1C" w:rsidRDefault="00DD3EFA" w:rsidP="00B15ECB">
            <w:pPr>
              <w:spacing w:before="60" w:after="60"/>
              <w:rPr>
                <w:rFonts w:ascii="Times New Roman" w:hAnsi="Times New Roman"/>
                <w:sz w:val="20"/>
                <w:szCs w:val="20"/>
                <w:u w:val="single"/>
              </w:rPr>
            </w:pPr>
          </w:p>
        </w:tc>
        <w:tc>
          <w:tcPr>
            <w:tcW w:w="249" w:type="dxa"/>
            <w:tcBorders>
              <w:top w:val="nil"/>
              <w:left w:val="single" w:sz="4" w:space="0" w:color="auto"/>
              <w:bottom w:val="nil"/>
              <w:right w:val="single" w:sz="4" w:space="0" w:color="auto"/>
            </w:tcBorders>
            <w:shd w:val="clear" w:color="auto" w:fill="66CCFF"/>
          </w:tcPr>
          <w:p w14:paraId="489794FA" w14:textId="77777777" w:rsidR="00DD3EFA" w:rsidRPr="00EC2A1C" w:rsidRDefault="00DD3EFA" w:rsidP="00B15ECB">
            <w:pPr>
              <w:rPr>
                <w:rFonts w:ascii="Times New Roman" w:hAnsi="Times New Roman"/>
                <w:b/>
                <w:sz w:val="20"/>
                <w:szCs w:val="20"/>
              </w:rPr>
            </w:pPr>
          </w:p>
        </w:tc>
      </w:tr>
      <w:tr w:rsidR="00DD3EFA" w:rsidRPr="00EC2A1C" w14:paraId="3C40C82A" w14:textId="77777777" w:rsidTr="00B15ECB">
        <w:trPr>
          <w:trHeight w:val="46"/>
        </w:trPr>
        <w:tc>
          <w:tcPr>
            <w:tcW w:w="249" w:type="dxa"/>
            <w:tcBorders>
              <w:top w:val="nil"/>
              <w:left w:val="single" w:sz="4" w:space="0" w:color="auto"/>
              <w:bottom w:val="nil"/>
              <w:right w:val="nil"/>
            </w:tcBorders>
            <w:shd w:val="clear" w:color="auto" w:fill="66CCFF"/>
          </w:tcPr>
          <w:p w14:paraId="48E799CE"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780459A9" w14:textId="77777777" w:rsidR="00DD3EFA" w:rsidRPr="00EC2A1C" w:rsidRDefault="00DD3EFA" w:rsidP="00B15ECB">
            <w:pPr>
              <w:rPr>
                <w:rFonts w:ascii="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59F0A2D3" w14:textId="77777777" w:rsidR="00DD3EFA" w:rsidRPr="00EC2A1C" w:rsidRDefault="00DD3EFA" w:rsidP="00B15ECB">
            <w:pPr>
              <w:rPr>
                <w:rFonts w:ascii="Times New Roman" w:hAnsi="Times New Roman"/>
                <w:b/>
                <w:sz w:val="20"/>
                <w:szCs w:val="20"/>
              </w:rPr>
            </w:pPr>
          </w:p>
        </w:tc>
        <w:tc>
          <w:tcPr>
            <w:tcW w:w="249" w:type="dxa"/>
            <w:tcBorders>
              <w:top w:val="nil"/>
              <w:left w:val="nil"/>
              <w:bottom w:val="nil"/>
              <w:right w:val="single" w:sz="4" w:space="0" w:color="auto"/>
            </w:tcBorders>
            <w:shd w:val="clear" w:color="auto" w:fill="66CCFF"/>
          </w:tcPr>
          <w:p w14:paraId="7FA3715C" w14:textId="77777777" w:rsidR="00DD3EFA" w:rsidRPr="00EC2A1C" w:rsidRDefault="00DD3EFA" w:rsidP="00B15ECB">
            <w:pPr>
              <w:rPr>
                <w:rFonts w:ascii="Times New Roman" w:hAnsi="Times New Roman"/>
                <w:b/>
                <w:sz w:val="20"/>
                <w:szCs w:val="20"/>
              </w:rPr>
            </w:pPr>
          </w:p>
        </w:tc>
      </w:tr>
      <w:tr w:rsidR="00DD3EFA" w:rsidRPr="00EC2A1C" w14:paraId="3DF9DC41"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1C4BC2E9"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11B58"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Proč je daný cíl důležitý (v kontextu oblasti i v kontextu celku)</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102C95F"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Znečištěné ovzduší má vliv na zdraví obyvatelstva. Představuje zvýšené riziko respiračních onemocnění v důsledku snížení obranyschopnosti organizmu a zvýšené náchylnosti k infekcím. U obyvatelstva vystavenému negativním vlivům znečištění ovzduší dochází ke zvýšení výskytu astmatických problémů a alergií, chronickým onemocněním dýchacích cest, ke snížení plicních funkcí a kardiovaskulárním nemocem. Řada znečišťujících látek má karcinogenní účinky (např. BaP). Špatná kvalita ovzduší hraje roli v množství předčasných úmrtí v důsledku výše zmiňovaných onemocnění.</w:t>
            </w:r>
          </w:p>
          <w:p w14:paraId="12F42984" w14:textId="77777777" w:rsidR="00DD3EFA" w:rsidRPr="00EC2A1C" w:rsidRDefault="00DD3EFA" w:rsidP="00B15ECB">
            <w:pPr>
              <w:spacing w:before="40" w:after="40"/>
              <w:rPr>
                <w:rFonts w:ascii="Times New Roman" w:hAnsi="Times New Roman"/>
                <w:sz w:val="20"/>
                <w:szCs w:val="20"/>
              </w:rPr>
            </w:pPr>
            <w:r w:rsidRPr="00EC2A1C">
              <w:rPr>
                <w:rFonts w:ascii="Times New Roman" w:hAnsi="Times New Roman"/>
                <w:sz w:val="20"/>
                <w:szCs w:val="20"/>
              </w:rPr>
              <w:t>Znečištění ovzduší přispívá také k znečištění vody a půdy a má negativní vliv na funkci ekosystémů.</w:t>
            </w:r>
          </w:p>
          <w:p w14:paraId="3BE964ED" w14:textId="672DA2FD" w:rsidR="00DD3EFA" w:rsidRPr="00EC2A1C" w:rsidRDefault="00DD3EFA" w:rsidP="00B15ECB">
            <w:pPr>
              <w:spacing w:before="40" w:after="40"/>
              <w:rPr>
                <w:rFonts w:ascii="Times New Roman" w:hAnsi="Times New Roman"/>
                <w:sz w:val="20"/>
                <w:szCs w:val="20"/>
              </w:rPr>
            </w:pPr>
            <w:r w:rsidRPr="00EC2A1C">
              <w:rPr>
                <w:rFonts w:ascii="Times New Roman" w:hAnsi="Times New Roman"/>
                <w:sz w:val="20"/>
                <w:szCs w:val="20"/>
              </w:rPr>
              <w:t>Ačkoliv se podařilo razantně snížit emise znečišťujících látek, stále nebylo imisních limitů dosaženo. Mezi jednotlivými regiony přetrvávají velké regionální rozdíly v kvalitě ovzduší, nejhorší situace je v </w:t>
            </w:r>
            <w:r w:rsidR="005C7F05" w:rsidRPr="00EC2A1C">
              <w:rPr>
                <w:rFonts w:ascii="Times New Roman" w:hAnsi="Times New Roman"/>
                <w:sz w:val="20"/>
                <w:szCs w:val="20"/>
              </w:rPr>
              <w:t>Moravskoslezském</w:t>
            </w:r>
            <w:r w:rsidRPr="00EC2A1C">
              <w:rPr>
                <w:rFonts w:ascii="Times New Roman" w:hAnsi="Times New Roman"/>
                <w:sz w:val="20"/>
                <w:szCs w:val="20"/>
              </w:rPr>
              <w:t xml:space="preserve"> kraji, silně jsou zasaženy také některé další kraje (např. Zlínský, Olomoucký a Ústecký) a městské a</w:t>
            </w:r>
            <w:r w:rsidR="005C7F05" w:rsidRPr="00EC2A1C">
              <w:rPr>
                <w:rFonts w:ascii="Times New Roman" w:hAnsi="Times New Roman"/>
                <w:sz w:val="20"/>
                <w:szCs w:val="20"/>
              </w:rPr>
              <w:t>glomerace</w:t>
            </w:r>
            <w:r w:rsidRPr="00EC2A1C">
              <w:rPr>
                <w:rFonts w:ascii="Times New Roman" w:hAnsi="Times New Roman"/>
                <w:sz w:val="20"/>
                <w:szCs w:val="20"/>
              </w:rPr>
              <w:t xml:space="preserve">, z pohledu BaP jsou zasaženy </w:t>
            </w:r>
            <w:r w:rsidR="005C7F05" w:rsidRPr="00EC2A1C">
              <w:rPr>
                <w:rFonts w:ascii="Times New Roman" w:hAnsi="Times New Roman"/>
                <w:sz w:val="20"/>
                <w:szCs w:val="20"/>
              </w:rPr>
              <w:t>nadlimitními</w:t>
            </w:r>
            <w:r w:rsidRPr="00EC2A1C">
              <w:rPr>
                <w:rFonts w:ascii="Times New Roman" w:hAnsi="Times New Roman"/>
                <w:sz w:val="20"/>
                <w:szCs w:val="20"/>
              </w:rPr>
              <w:t xml:space="preserve"> koncentracemi takřka všechna sídla.</w:t>
            </w:r>
          </w:p>
          <w:p w14:paraId="03D1A5E1" w14:textId="77777777" w:rsidR="00DD3EFA" w:rsidRPr="00EC2A1C" w:rsidRDefault="00DD3EFA" w:rsidP="00B15ECB">
            <w:pPr>
              <w:spacing w:before="40" w:after="40"/>
              <w:rPr>
                <w:rFonts w:ascii="Times New Roman" w:hAnsi="Times New Roman"/>
                <w:sz w:val="20"/>
                <w:szCs w:val="20"/>
              </w:rPr>
            </w:pPr>
            <w:r w:rsidRPr="00EC2A1C">
              <w:rPr>
                <w:rFonts w:ascii="Times New Roman" w:hAnsi="Times New Roman"/>
                <w:sz w:val="20"/>
                <w:szCs w:val="20"/>
              </w:rPr>
              <w:t>Znečištění ovzduší je způsobeno hlavně čtyřmi typy zdrojů (průmysl, doprava, lokální vytápění pevnými palivy a zemědělství). Přitom každý zdroj vyžaduje odlišné řešení a poměrně značné investice do budoucna. V případě průmyslových zdrojůje to využití opatření, která zvyšují účinnost spalování a použití technologií ke snižování emisí znečišťujících látek (včetně fugitivních emisí), v případě zplodin z automobilové dopravy jde o podporu alternativních paliv, podporu hromadné a nízkoemisní dopravy, výstavbu dopravní infrastruktury a omezování dopravy ve městech a v případě emisí z domácího vytápění je řešení v přechodu na jiná než pevná fosilní paliva či obnovitelné zdroje energie. V případě zemědělství jde o podporu snižování emisí amoniaku a větrné eroze.</w:t>
            </w:r>
          </w:p>
          <w:p w14:paraId="1CD54AAF" w14:textId="77777777" w:rsidR="00DD3EFA" w:rsidRPr="00EC2A1C" w:rsidRDefault="00DD3EFA" w:rsidP="00B15ECB">
            <w:pPr>
              <w:spacing w:before="40" w:after="40"/>
              <w:rPr>
                <w:rFonts w:ascii="Times New Roman" w:hAnsi="Times New Roman"/>
                <w:sz w:val="20"/>
                <w:szCs w:val="20"/>
              </w:rPr>
            </w:pPr>
            <w:r w:rsidRPr="00EC2A1C">
              <w:rPr>
                <w:rFonts w:ascii="Times New Roman" w:hAnsi="Times New Roman"/>
                <w:sz w:val="20"/>
                <w:szCs w:val="20"/>
              </w:rPr>
              <w:t>Produkce emisí znečišťujících látek v jednotlivých krajích ČR úzce souvisí s hospodářským zaměřením krajů. Překračování imisních limitů rovněž souvisí s aktuálními rozptylovými podmínkami a morfologií terénu daného území.</w:t>
            </w:r>
          </w:p>
          <w:p w14:paraId="3D9ED9EA" w14:textId="77777777" w:rsidR="00DD3EFA" w:rsidRPr="00EC2A1C" w:rsidRDefault="00DD3EFA" w:rsidP="00B15ECB">
            <w:pPr>
              <w:spacing w:before="60" w:after="60"/>
              <w:rPr>
                <w:rFonts w:ascii="Times New Roman" w:eastAsia="Times New Roman" w:hAnsi="Times New Roman"/>
                <w:i/>
                <w:sz w:val="20"/>
                <w:szCs w:val="20"/>
                <w:u w:val="single"/>
              </w:rPr>
            </w:pPr>
            <w:r w:rsidRPr="00EC2A1C">
              <w:rPr>
                <w:rFonts w:ascii="Times New Roman" w:hAnsi="Times New Roman"/>
                <w:sz w:val="20"/>
                <w:szCs w:val="20"/>
              </w:rPr>
              <w:t>Opatření v oblasti dopravy jsou v současném programovém období řešeny hlavně v rámci operačních programů OPD, IROP a OPPIK. Opatření ke snížení emisí amoniaku z chovů hospodářských zvířat jsou podporována rovněž v rámci PRV.</w:t>
            </w:r>
          </w:p>
          <w:p w14:paraId="121AC4A5" w14:textId="77777777" w:rsidR="00DD3EFA" w:rsidRPr="00EC2A1C" w:rsidRDefault="00DD3EFA" w:rsidP="00B15ECB">
            <w:pPr>
              <w:spacing w:before="60" w:after="60"/>
              <w:rPr>
                <w:rFonts w:ascii="Times New Roman" w:eastAsia="Times New Roman" w:hAnsi="Times New Roman"/>
                <w:i/>
                <w:sz w:val="20"/>
                <w:szCs w:val="20"/>
                <w:u w:val="single"/>
              </w:rPr>
            </w:pPr>
          </w:p>
        </w:tc>
        <w:tc>
          <w:tcPr>
            <w:tcW w:w="249" w:type="dxa"/>
            <w:tcBorders>
              <w:top w:val="nil"/>
              <w:left w:val="single" w:sz="4" w:space="0" w:color="auto"/>
              <w:bottom w:val="nil"/>
              <w:right w:val="single" w:sz="4" w:space="0" w:color="auto"/>
            </w:tcBorders>
            <w:shd w:val="clear" w:color="auto" w:fill="66CCFF"/>
          </w:tcPr>
          <w:p w14:paraId="27F6B13B" w14:textId="77777777" w:rsidR="00DD3EFA" w:rsidRPr="00EC2A1C" w:rsidRDefault="00DD3EFA" w:rsidP="00B15ECB">
            <w:pPr>
              <w:rPr>
                <w:rFonts w:ascii="Times New Roman" w:hAnsi="Times New Roman"/>
                <w:b/>
                <w:sz w:val="20"/>
                <w:szCs w:val="20"/>
              </w:rPr>
            </w:pPr>
          </w:p>
        </w:tc>
      </w:tr>
      <w:tr w:rsidR="00DD3EFA" w:rsidRPr="00EC2A1C" w14:paraId="47809B1D"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35838FD1"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31157A"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 xml:space="preserve">Problémy, které specifický cíl řeší </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D11A6E9"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Hlavním problémem je znečištění ovzduší suspendovanými částicemi </w:t>
            </w:r>
            <w:r w:rsidRPr="00EC2A1C">
              <w:rPr>
                <w:rFonts w:ascii="Times New Roman" w:hAnsi="Times New Roman"/>
                <w:bCs/>
                <w:sz w:val="20"/>
                <w:szCs w:val="20"/>
              </w:rPr>
              <w:t>PM</w:t>
            </w:r>
            <w:r w:rsidRPr="00EC2A1C">
              <w:rPr>
                <w:rFonts w:ascii="Times New Roman" w:hAnsi="Times New Roman"/>
                <w:bCs/>
                <w:sz w:val="20"/>
                <w:szCs w:val="20"/>
                <w:vertAlign w:val="subscript"/>
              </w:rPr>
              <w:t>10</w:t>
            </w:r>
            <w:r w:rsidRPr="00EC2A1C">
              <w:rPr>
                <w:rFonts w:ascii="Times New Roman" w:hAnsi="Times New Roman"/>
                <w:bCs/>
                <w:sz w:val="20"/>
                <w:szCs w:val="20"/>
              </w:rPr>
              <w:t xml:space="preserve"> a PM</w:t>
            </w:r>
            <w:r w:rsidRPr="00EC2A1C">
              <w:rPr>
                <w:rFonts w:ascii="Times New Roman" w:hAnsi="Times New Roman"/>
                <w:bCs/>
                <w:sz w:val="20"/>
                <w:szCs w:val="20"/>
                <w:vertAlign w:val="subscript"/>
              </w:rPr>
              <w:t xml:space="preserve">2,5 </w:t>
            </w:r>
            <w:r w:rsidRPr="00EC2A1C">
              <w:rPr>
                <w:rFonts w:ascii="Times New Roman" w:eastAsia="Times New Roman" w:hAnsi="Times New Roman"/>
                <w:sz w:val="20"/>
                <w:szCs w:val="20"/>
              </w:rPr>
              <w:t>a benzo(a)pyrenem (BaP), ve velkých městech rovněž NO</w:t>
            </w:r>
            <w:r w:rsidRPr="00EC2A1C">
              <w:rPr>
                <w:rFonts w:ascii="Times New Roman" w:eastAsia="Times New Roman" w:hAnsi="Times New Roman"/>
                <w:sz w:val="20"/>
                <w:szCs w:val="20"/>
                <w:vertAlign w:val="subscript"/>
              </w:rPr>
              <w:t>2</w:t>
            </w:r>
            <w:r w:rsidRPr="00EC2A1C">
              <w:rPr>
                <w:rFonts w:ascii="Times New Roman" w:eastAsia="Times New Roman" w:hAnsi="Times New Roman"/>
                <w:sz w:val="20"/>
                <w:szCs w:val="20"/>
              </w:rPr>
              <w:t>. Suspendované částice jsou do ovzduší uvolňovány přitom nejen přímo ve formě primárních emisí, nýbrž vznikají v ovzduší též sekundárně z plynných prekurzorů (NOx, SOx, NH</w:t>
            </w:r>
            <w:r w:rsidRPr="00EC2A1C">
              <w:rPr>
                <w:rFonts w:ascii="Times New Roman" w:eastAsia="Times New Roman" w:hAnsi="Times New Roman"/>
                <w:sz w:val="20"/>
                <w:szCs w:val="20"/>
                <w:vertAlign w:val="subscript"/>
              </w:rPr>
              <w:t>3</w:t>
            </w:r>
            <w:r w:rsidRPr="00EC2A1C">
              <w:rPr>
                <w:rFonts w:ascii="Times New Roman" w:eastAsia="Times New Roman" w:hAnsi="Times New Roman"/>
                <w:sz w:val="20"/>
                <w:szCs w:val="20"/>
              </w:rPr>
              <w:t xml:space="preserve"> …). Zdroje znečištění se liší podle velikosti a typu sídel, přičemž ve velkých městech je zdrojem</w:t>
            </w:r>
            <w:r w:rsidRPr="00EC2A1C">
              <w:rPr>
                <w:rFonts w:ascii="Times New Roman" w:hAnsi="Times New Roman"/>
                <w:sz w:val="20"/>
                <w:szCs w:val="20"/>
              </w:rPr>
              <w:t xml:space="preserve"> </w:t>
            </w:r>
            <w:r w:rsidRPr="00EC2A1C">
              <w:rPr>
                <w:rFonts w:ascii="Times New Roman" w:eastAsia="Times New Roman" w:hAnsi="Times New Roman"/>
                <w:sz w:val="20"/>
                <w:szCs w:val="20"/>
              </w:rPr>
              <w:t xml:space="preserve">doprava, lokální topeniště a průmyslová výroba, v obcích a na venkově vytápění domácností tuhými palivy. Za hlavního znečišťovatele amoniakem lze označit zemědělství, především aplikaci minerálních dusíkatých hnojiv a velkochovy zvířat. Zdrojem znečištění nemethanovými těkavými organickými látkami je silniční doprava, aplikace nátěrů, používání rozpouštědel a lokální vytápění. </w:t>
            </w:r>
          </w:p>
          <w:p w14:paraId="093D1E53" w14:textId="77777777" w:rsidR="00DD3EFA" w:rsidRPr="00EC2A1C" w:rsidRDefault="00DD3EFA" w:rsidP="00B15ECB">
            <w:pPr>
              <w:rPr>
                <w:rFonts w:ascii="Times New Roman" w:eastAsia="Times New Roman" w:hAnsi="Times New Roman"/>
                <w:sz w:val="20"/>
                <w:szCs w:val="20"/>
              </w:rPr>
            </w:pPr>
          </w:p>
          <w:p w14:paraId="08C11C4A"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Problematika znečištění ovzduší bezprostředně souvisí s oblastí dopravy (rozvoj nízkoemisní hromadné dopravy, alternativní pohony, podpora dobíjecích stanic na alternativní pohony) a energetiky (snižování podílu uhlí na výrobě elektrické energie a tepla). </w:t>
            </w:r>
          </w:p>
          <w:p w14:paraId="7366F6F5" w14:textId="4FC944F3"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V oblasti dopravy je nutné podporovat přechod na nízkoemisní městskou hromadnou dopravu, zvyšování podílu veřejné dopravy (v kombinaci s cyklodopravou, stojany a parkovacími domy pro kola na přestupních uzlech na veřejnou dopravu) a vyvedení dopravní zátěže z center měst (záchytnými parkovišti typu P+R, P+G, obchvaty pro projíždějící dopravu, </w:t>
            </w:r>
            <w:r w:rsidR="005C7F05" w:rsidRPr="00EC2A1C">
              <w:rPr>
                <w:rFonts w:ascii="Times New Roman" w:eastAsia="Times New Roman" w:hAnsi="Times New Roman"/>
                <w:sz w:val="20"/>
                <w:szCs w:val="20"/>
              </w:rPr>
              <w:t>zpoplatnění</w:t>
            </w:r>
            <w:r w:rsidRPr="00EC2A1C">
              <w:rPr>
                <w:rFonts w:ascii="Times New Roman" w:eastAsia="Times New Roman" w:hAnsi="Times New Roman"/>
                <w:sz w:val="20"/>
                <w:szCs w:val="20"/>
              </w:rPr>
              <w:t xml:space="preserve"> parkování, zaváděním nízkoemisních zón a vybíráním poplatků za vjezd do některých oblastí), podporovat rozvoj alternativních pohonů mezi veřejností, vč. přidružené infrastruktury.</w:t>
            </w:r>
          </w:p>
          <w:p w14:paraId="501CF80F"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V oblasti průmyslu a energetiky je důležitá podpora snižování emisí znečišťujících látek pomocí</w:t>
            </w:r>
            <w:r w:rsidRPr="00EC2A1C">
              <w:rPr>
                <w:rFonts w:ascii="Times New Roman" w:eastAsia="Times New Roman" w:hAnsi="Times New Roman"/>
                <w:sz w:val="20"/>
                <w:szCs w:val="20"/>
                <w:lang w:eastAsia="cs-CZ"/>
              </w:rPr>
              <w:t xml:space="preserve"> </w:t>
            </w:r>
            <w:r w:rsidRPr="00EC2A1C">
              <w:rPr>
                <w:rFonts w:ascii="Times New Roman" w:eastAsia="Times New Roman" w:hAnsi="Times New Roman"/>
                <w:sz w:val="20"/>
                <w:szCs w:val="20"/>
              </w:rPr>
              <w:t>náhrady či rekonstrukce stávajících spalovacích a ostatních stacionárních zdrojů znečišťování, pořízení dodatečných technologií ke snížení emisí znečišťujících látek (např. tkaninové filtry, elektrostatické odlučovače, technologie ke snižování fugitivních emisí).</w:t>
            </w:r>
          </w:p>
          <w:p w14:paraId="02653663"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V oblasti zemědělství je nutné se zaměřit na technologie ke snižování emisí z produkce, skladování a aplikace statkových hnojiv a omezení větrné eroze.</w:t>
            </w:r>
          </w:p>
          <w:p w14:paraId="7FE42CC2"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V rámci lokálních topenišť v domácnostech je nutná podpora výměny nevyhovujících kotlů a topidel na pevná paliva za nové zdroje tepla s minimálními emisemi znečišťujících látek.</w:t>
            </w:r>
          </w:p>
          <w:p w14:paraId="6F96028A" w14:textId="77777777" w:rsidR="00DD3EFA" w:rsidRPr="00EC2A1C" w:rsidRDefault="00DD3EFA" w:rsidP="00B15ECB">
            <w:pPr>
              <w:rPr>
                <w:rFonts w:ascii="Times New Roman" w:eastAsia="Times New Roman" w:hAnsi="Times New Roman"/>
                <w:sz w:val="20"/>
                <w:szCs w:val="20"/>
              </w:rPr>
            </w:pPr>
          </w:p>
          <w:p w14:paraId="68EC66D6"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Úroveň znečištění ovzduší má přímé dopady na lidské zdraví. Znečištěné ovzduší ohrožuje nejvíce děti, chronicky nemocné a starší lidi. Znečištěné ovzduší má vliv také na funkci ekosystémů a vegetaci (acidifikace půd, eutrofizace, vliv přízemního ozónu).</w:t>
            </w:r>
          </w:p>
          <w:p w14:paraId="5031FF93" w14:textId="77777777" w:rsidR="00DD3EFA" w:rsidRPr="00EC2A1C" w:rsidRDefault="00DD3EFA" w:rsidP="00B15ECB">
            <w:pPr>
              <w:spacing w:before="60" w:after="60"/>
              <w:rPr>
                <w:rFonts w:ascii="Times New Roman" w:hAnsi="Times New Roman"/>
                <w:i/>
                <w:sz w:val="20"/>
                <w:szCs w:val="20"/>
              </w:rPr>
            </w:pPr>
            <w:r w:rsidRPr="00EC2A1C">
              <w:rPr>
                <w:rFonts w:ascii="Times New Roman" w:eastAsia="Times New Roman" w:hAnsi="Times New Roman"/>
                <w:sz w:val="20"/>
                <w:szCs w:val="20"/>
              </w:rPr>
              <w:t>Monitoring a modelování kvality ovzduší vč. navazující interpretace dat, které slouží i k plánování intervencí, jsou zatíženy různou mírou nejistoty, v některých případech velmi vysokou, a to z důvodu relativně malého počtu měření (monitorovacích stanic) a velkému počtu lokálních zdrojů znečištění na geograficky rozmanitém území.</w:t>
            </w:r>
          </w:p>
        </w:tc>
        <w:tc>
          <w:tcPr>
            <w:tcW w:w="249" w:type="dxa"/>
            <w:tcBorders>
              <w:top w:val="nil"/>
              <w:left w:val="single" w:sz="4" w:space="0" w:color="auto"/>
              <w:bottom w:val="nil"/>
              <w:right w:val="single" w:sz="4" w:space="0" w:color="auto"/>
            </w:tcBorders>
            <w:shd w:val="clear" w:color="auto" w:fill="66CCFF"/>
          </w:tcPr>
          <w:p w14:paraId="29269075" w14:textId="77777777" w:rsidR="00DD3EFA" w:rsidRPr="00EC2A1C" w:rsidRDefault="00DD3EFA" w:rsidP="00B15ECB">
            <w:pPr>
              <w:rPr>
                <w:rFonts w:ascii="Times New Roman" w:hAnsi="Times New Roman"/>
                <w:b/>
                <w:sz w:val="20"/>
                <w:szCs w:val="20"/>
              </w:rPr>
            </w:pPr>
          </w:p>
        </w:tc>
      </w:tr>
      <w:tr w:rsidR="00DD3EFA" w:rsidRPr="00EC2A1C" w14:paraId="4D8C9089"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2BCB93BC"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3BEF51DD" w14:textId="77777777" w:rsidR="00DD3EFA" w:rsidRPr="00EC2A1C" w:rsidRDefault="00DD3EFA" w:rsidP="00391907">
            <w:pPr>
              <w:numPr>
                <w:ilvl w:val="0"/>
                <w:numId w:val="4"/>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Definice cíle – změny, které chceme dosáhnout</w:t>
            </w:r>
          </w:p>
          <w:p w14:paraId="67245876"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8628426" w14:textId="77777777" w:rsidR="00DD3EFA" w:rsidRPr="00EC2A1C" w:rsidRDefault="00DD3EFA" w:rsidP="00B15ECB">
            <w:pPr>
              <w:spacing w:before="40" w:after="80" w:line="276" w:lineRule="auto"/>
              <w:rPr>
                <w:rFonts w:ascii="Times New Roman" w:hAnsi="Times New Roman"/>
                <w:sz w:val="20"/>
                <w:szCs w:val="20"/>
              </w:rPr>
            </w:pPr>
            <w:r w:rsidRPr="00EC2A1C">
              <w:rPr>
                <w:rFonts w:ascii="Times New Roman" w:hAnsi="Times New Roman"/>
                <w:sz w:val="20"/>
                <w:szCs w:val="20"/>
              </w:rPr>
              <w:t>Zlepšení kvality ovzduší a splnění emisních stropů</w:t>
            </w:r>
          </w:p>
          <w:p w14:paraId="7674AB79" w14:textId="77777777" w:rsidR="00DD3EFA" w:rsidRPr="00EC2A1C" w:rsidRDefault="00DD3EFA" w:rsidP="00B15ECB">
            <w:pPr>
              <w:spacing w:before="60" w:after="60"/>
              <w:rPr>
                <w:rFonts w:ascii="Times New Roman" w:eastAsia="Times New Roman" w:hAnsi="Times New Roman"/>
                <w:i/>
                <w:sz w:val="20"/>
                <w:szCs w:val="20"/>
                <w:u w:val="single"/>
              </w:rPr>
            </w:pPr>
          </w:p>
        </w:tc>
        <w:tc>
          <w:tcPr>
            <w:tcW w:w="249" w:type="dxa"/>
            <w:tcBorders>
              <w:top w:val="nil"/>
              <w:left w:val="single" w:sz="4" w:space="0" w:color="auto"/>
              <w:bottom w:val="nil"/>
              <w:right w:val="single" w:sz="4" w:space="0" w:color="auto"/>
            </w:tcBorders>
            <w:shd w:val="clear" w:color="auto" w:fill="66CCFF"/>
          </w:tcPr>
          <w:p w14:paraId="74E342F4" w14:textId="77777777" w:rsidR="00DD3EFA" w:rsidRPr="00EC2A1C" w:rsidRDefault="00DD3EFA" w:rsidP="00B15ECB">
            <w:pPr>
              <w:rPr>
                <w:rFonts w:ascii="Times New Roman" w:hAnsi="Times New Roman"/>
                <w:b/>
                <w:sz w:val="20"/>
                <w:szCs w:val="20"/>
              </w:rPr>
            </w:pPr>
          </w:p>
        </w:tc>
      </w:tr>
      <w:tr w:rsidR="00DD3EFA" w:rsidRPr="00EC2A1C" w14:paraId="1A3BD33C"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2491C864"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15808" w14:textId="77777777" w:rsidR="00DD3EFA" w:rsidRPr="00EC2A1C" w:rsidRDefault="00DD3EFA" w:rsidP="00391907">
            <w:pPr>
              <w:numPr>
                <w:ilvl w:val="0"/>
                <w:numId w:val="4"/>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Definice předpokládaných výstupů/výsledků/dopadů</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5AEB1F" w14:textId="77777777" w:rsidR="00DD3EFA" w:rsidRPr="00EC2A1C" w:rsidRDefault="00DD3EFA" w:rsidP="00B15ECB">
            <w:pPr>
              <w:spacing w:before="60" w:after="60"/>
              <w:rPr>
                <w:rFonts w:ascii="Times New Roman" w:hAnsi="Times New Roman"/>
                <w:sz w:val="20"/>
                <w:szCs w:val="20"/>
              </w:rPr>
            </w:pPr>
            <w:r w:rsidRPr="00EC2A1C">
              <w:rPr>
                <w:rFonts w:ascii="Times New Roman" w:hAnsi="Times New Roman"/>
                <w:sz w:val="20"/>
                <w:szCs w:val="20"/>
              </w:rPr>
              <w:t>Systém indikátorů operačního programu bude navazovat na systém využívaný v současném období a bude respektovat požadavky evropských i národních metodik. V této fázi přípravy nového období, kdy nejsou ještě přesně určeny konkrétní definované aktivity a nejsou k dispozici podrobné metodiky, nejsme schopni přesné ukazatele definovat. Předpokládáme, že indikátory budou popsány v kartách intervenční logiky.</w:t>
            </w:r>
          </w:p>
        </w:tc>
        <w:tc>
          <w:tcPr>
            <w:tcW w:w="249" w:type="dxa"/>
            <w:tcBorders>
              <w:top w:val="nil"/>
              <w:left w:val="single" w:sz="4" w:space="0" w:color="auto"/>
              <w:bottom w:val="nil"/>
              <w:right w:val="single" w:sz="4" w:space="0" w:color="auto"/>
            </w:tcBorders>
            <w:shd w:val="clear" w:color="auto" w:fill="66CCFF"/>
          </w:tcPr>
          <w:p w14:paraId="7DFAD149" w14:textId="77777777" w:rsidR="00DD3EFA" w:rsidRPr="00EC2A1C" w:rsidRDefault="00DD3EFA" w:rsidP="00B15ECB">
            <w:pPr>
              <w:rPr>
                <w:rFonts w:ascii="Times New Roman" w:hAnsi="Times New Roman"/>
                <w:b/>
                <w:sz w:val="20"/>
                <w:szCs w:val="20"/>
              </w:rPr>
            </w:pPr>
          </w:p>
        </w:tc>
      </w:tr>
      <w:tr w:rsidR="00DD3EFA" w:rsidRPr="00EC2A1C" w14:paraId="390E55BE"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04236610"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0F2F4E" w14:textId="77777777" w:rsidR="00DD3EFA" w:rsidRPr="00EC2A1C" w:rsidRDefault="00DD3EFA" w:rsidP="00391907">
            <w:pPr>
              <w:numPr>
                <w:ilvl w:val="0"/>
                <w:numId w:val="4"/>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Stanovení předpokládaného podílu ESIF na plnění specifického cíle NKR</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96A5B8" w14:textId="77777777" w:rsidR="00DD3EFA" w:rsidRPr="00EC2A1C" w:rsidRDefault="00DD3EFA" w:rsidP="00B15ECB">
            <w:pPr>
              <w:spacing w:before="60" w:after="60"/>
              <w:rPr>
                <w:rFonts w:ascii="Times New Roman" w:eastAsia="Times New Roman" w:hAnsi="Times New Roman"/>
                <w:i/>
                <w:sz w:val="20"/>
                <w:szCs w:val="20"/>
                <w:u w:val="single"/>
              </w:rPr>
            </w:pPr>
            <w:r w:rsidRPr="00EC2A1C">
              <w:rPr>
                <w:rFonts w:ascii="Times New Roman" w:hAnsi="Times New Roman"/>
                <w:sz w:val="20"/>
                <w:szCs w:val="20"/>
              </w:rPr>
              <w:t>Dle dosavadních zkušeností pochází drtivá většina veřejných prostředků z ESIF (přes 80%).</w:t>
            </w:r>
          </w:p>
        </w:tc>
        <w:tc>
          <w:tcPr>
            <w:tcW w:w="249" w:type="dxa"/>
            <w:tcBorders>
              <w:top w:val="nil"/>
              <w:left w:val="single" w:sz="4" w:space="0" w:color="auto"/>
              <w:bottom w:val="nil"/>
              <w:right w:val="single" w:sz="4" w:space="0" w:color="auto"/>
            </w:tcBorders>
            <w:shd w:val="clear" w:color="auto" w:fill="66CCFF"/>
          </w:tcPr>
          <w:p w14:paraId="70604A46" w14:textId="77777777" w:rsidR="00DD3EFA" w:rsidRPr="00EC2A1C" w:rsidRDefault="00DD3EFA" w:rsidP="00B15ECB">
            <w:pPr>
              <w:rPr>
                <w:rFonts w:ascii="Times New Roman" w:hAnsi="Times New Roman"/>
                <w:b/>
                <w:sz w:val="20"/>
                <w:szCs w:val="20"/>
              </w:rPr>
            </w:pPr>
          </w:p>
        </w:tc>
      </w:tr>
      <w:tr w:rsidR="00DD3EFA" w:rsidRPr="00EC2A1C" w14:paraId="0B63CDFE"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75FC2CAB"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A835F" w14:textId="77777777" w:rsidR="00DD3EFA" w:rsidRPr="00EC2A1C" w:rsidRDefault="00DD3EFA" w:rsidP="00391907">
            <w:pPr>
              <w:numPr>
                <w:ilvl w:val="0"/>
                <w:numId w:val="4"/>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Posun intervencí oproti dosavadním obdobím</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B90A" w14:textId="77777777" w:rsidR="00DD3EFA" w:rsidRPr="00EC2A1C" w:rsidRDefault="00DD3EFA" w:rsidP="00B15ECB">
            <w:pPr>
              <w:tabs>
                <w:tab w:val="left" w:pos="284"/>
                <w:tab w:val="left" w:pos="567"/>
              </w:tabs>
              <w:suppressAutoHyphens/>
              <w:spacing w:after="200"/>
              <w:rPr>
                <w:rFonts w:ascii="Times New Roman" w:hAnsi="Times New Roman"/>
                <w:i/>
                <w:sz w:val="20"/>
                <w:szCs w:val="20"/>
              </w:rPr>
            </w:pPr>
            <w:r w:rsidRPr="00EC2A1C">
              <w:rPr>
                <w:rFonts w:ascii="Times New Roman" w:eastAsia="Times New Roman" w:hAnsi="Times New Roman"/>
                <w:sz w:val="20"/>
                <w:szCs w:val="20"/>
              </w:rPr>
              <w:t>V novém programovém období bude větší zaměření na snížení emisí PM</w:t>
            </w:r>
            <w:r w:rsidRPr="00EC2A1C">
              <w:rPr>
                <w:rFonts w:ascii="Times New Roman" w:eastAsia="Times New Roman" w:hAnsi="Times New Roman"/>
                <w:sz w:val="20"/>
                <w:szCs w:val="20"/>
                <w:vertAlign w:val="subscript"/>
              </w:rPr>
              <w:t>2,5</w:t>
            </w:r>
            <w:r w:rsidRPr="00EC2A1C">
              <w:rPr>
                <w:rFonts w:ascii="Times New Roman" w:eastAsia="Times New Roman" w:hAnsi="Times New Roman"/>
                <w:sz w:val="20"/>
                <w:szCs w:val="20"/>
              </w:rPr>
              <w:t xml:space="preserve"> a BaP, jelikož tyto znečišťující látky jsou nejvíce problematické z pohledu dopadů na lidské zdraví. Jelikož nejvýznamnějším zdrojem emisí PM</w:t>
            </w:r>
            <w:r w:rsidRPr="00EC2A1C">
              <w:rPr>
                <w:rFonts w:ascii="Times New Roman" w:eastAsia="Times New Roman" w:hAnsi="Times New Roman"/>
                <w:sz w:val="20"/>
                <w:szCs w:val="20"/>
                <w:vertAlign w:val="subscript"/>
              </w:rPr>
              <w:t>2,5</w:t>
            </w:r>
            <w:r w:rsidRPr="00EC2A1C">
              <w:rPr>
                <w:rFonts w:ascii="Times New Roman" w:eastAsia="Times New Roman" w:hAnsi="Times New Roman"/>
                <w:sz w:val="20"/>
                <w:szCs w:val="20"/>
              </w:rPr>
              <w:t xml:space="preserve"> a BaP jsou lokální topeniště, lze tohoto snížení emisí dosáhnout výměnou kotlů a topidel v domácnostech. S ohledem na snížení emisí PM</w:t>
            </w:r>
            <w:r w:rsidRPr="00EC2A1C">
              <w:rPr>
                <w:rFonts w:ascii="Times New Roman" w:eastAsia="Times New Roman" w:hAnsi="Times New Roman"/>
                <w:sz w:val="20"/>
                <w:szCs w:val="20"/>
                <w:vertAlign w:val="subscript"/>
              </w:rPr>
              <w:t>2,5</w:t>
            </w:r>
            <w:r w:rsidRPr="00EC2A1C">
              <w:rPr>
                <w:rFonts w:ascii="Times New Roman" w:eastAsia="Times New Roman" w:hAnsi="Times New Roman"/>
                <w:sz w:val="20"/>
                <w:szCs w:val="20"/>
              </w:rPr>
              <w:t xml:space="preserve"> bude velká pozornost věnována rovněž snižování dopravního znečištění ve městech a omezení sekundárního znečištění.</w:t>
            </w:r>
          </w:p>
          <w:p w14:paraId="0B2D9332" w14:textId="77777777" w:rsidR="00DD3EFA" w:rsidRPr="00EC2A1C" w:rsidRDefault="00DD3EFA" w:rsidP="00B15ECB">
            <w:pPr>
              <w:tabs>
                <w:tab w:val="left" w:pos="284"/>
                <w:tab w:val="left" w:pos="567"/>
              </w:tabs>
              <w:suppressAutoHyphens/>
              <w:spacing w:after="200"/>
              <w:rPr>
                <w:rFonts w:ascii="Times New Roman" w:hAnsi="Times New Roman"/>
                <w:i/>
                <w:sz w:val="20"/>
                <w:szCs w:val="20"/>
              </w:rPr>
            </w:pPr>
          </w:p>
        </w:tc>
        <w:tc>
          <w:tcPr>
            <w:tcW w:w="249" w:type="dxa"/>
            <w:tcBorders>
              <w:top w:val="nil"/>
              <w:left w:val="single" w:sz="4" w:space="0" w:color="auto"/>
              <w:bottom w:val="nil"/>
              <w:right w:val="single" w:sz="4" w:space="0" w:color="auto"/>
            </w:tcBorders>
            <w:shd w:val="clear" w:color="auto" w:fill="66CCFF"/>
          </w:tcPr>
          <w:p w14:paraId="6E74A17B" w14:textId="77777777" w:rsidR="00DD3EFA" w:rsidRPr="00EC2A1C" w:rsidRDefault="00DD3EFA" w:rsidP="00B15ECB">
            <w:pPr>
              <w:rPr>
                <w:rFonts w:ascii="Times New Roman" w:hAnsi="Times New Roman"/>
                <w:b/>
                <w:sz w:val="20"/>
                <w:szCs w:val="20"/>
              </w:rPr>
            </w:pPr>
          </w:p>
        </w:tc>
      </w:tr>
      <w:tr w:rsidR="00DD3EFA" w:rsidRPr="00EC2A1C" w14:paraId="69FFC27C" w14:textId="77777777" w:rsidTr="00B15ECB">
        <w:trPr>
          <w:trHeight w:val="272"/>
        </w:trPr>
        <w:tc>
          <w:tcPr>
            <w:tcW w:w="249" w:type="dxa"/>
            <w:tcBorders>
              <w:top w:val="nil"/>
              <w:left w:val="single" w:sz="4" w:space="0" w:color="auto"/>
              <w:bottom w:val="nil"/>
              <w:right w:val="nil"/>
            </w:tcBorders>
            <w:shd w:val="clear" w:color="auto" w:fill="66CCFF"/>
          </w:tcPr>
          <w:p w14:paraId="0EE248BE"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1A0D4EBB"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0B922E22" w14:textId="77777777" w:rsidR="00DD3EFA" w:rsidRPr="00EC2A1C" w:rsidRDefault="00DD3EFA" w:rsidP="00B15ECB">
            <w:pPr>
              <w:spacing w:before="60" w:after="60"/>
              <w:rPr>
                <w:rFonts w:ascii="Times New Roman" w:eastAsia="Times New Roman" w:hAnsi="Times New Roman"/>
                <w:i/>
                <w:sz w:val="20"/>
                <w:szCs w:val="20"/>
                <w:u w:val="single"/>
              </w:rPr>
            </w:pPr>
          </w:p>
        </w:tc>
        <w:tc>
          <w:tcPr>
            <w:tcW w:w="249" w:type="dxa"/>
            <w:tcBorders>
              <w:top w:val="nil"/>
              <w:left w:val="nil"/>
              <w:bottom w:val="nil"/>
              <w:right w:val="single" w:sz="4" w:space="0" w:color="auto"/>
            </w:tcBorders>
            <w:shd w:val="clear" w:color="auto" w:fill="66CCFF"/>
          </w:tcPr>
          <w:p w14:paraId="02008BCC" w14:textId="77777777" w:rsidR="00DD3EFA" w:rsidRPr="00EC2A1C" w:rsidRDefault="00DD3EFA" w:rsidP="00B15ECB">
            <w:pPr>
              <w:rPr>
                <w:rFonts w:ascii="Times New Roman" w:hAnsi="Times New Roman"/>
                <w:b/>
                <w:sz w:val="20"/>
                <w:szCs w:val="20"/>
              </w:rPr>
            </w:pPr>
          </w:p>
        </w:tc>
      </w:tr>
      <w:tr w:rsidR="00DD3EFA" w:rsidRPr="00EC2A1C" w14:paraId="4E3F59F8" w14:textId="77777777" w:rsidTr="00B15ECB">
        <w:trPr>
          <w:trHeight w:val="835"/>
        </w:trPr>
        <w:tc>
          <w:tcPr>
            <w:tcW w:w="249" w:type="dxa"/>
            <w:tcBorders>
              <w:top w:val="nil"/>
              <w:left w:val="single" w:sz="4" w:space="0" w:color="auto"/>
              <w:bottom w:val="nil"/>
              <w:right w:val="single" w:sz="4" w:space="0" w:color="auto"/>
            </w:tcBorders>
            <w:shd w:val="clear" w:color="auto" w:fill="66CCFF"/>
          </w:tcPr>
          <w:p w14:paraId="13D503CA"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auto"/>
          </w:tcPr>
          <w:p w14:paraId="6DFF26B6"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Dílčí cíle podpory</w:t>
            </w:r>
          </w:p>
          <w:p w14:paraId="707CF526"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auto"/>
          </w:tcPr>
          <w:p w14:paraId="04D59557" w14:textId="77777777" w:rsidR="00DD3EFA" w:rsidRPr="00EC2A1C" w:rsidRDefault="00DD3EFA" w:rsidP="00391907">
            <w:pPr>
              <w:numPr>
                <w:ilvl w:val="0"/>
                <w:numId w:val="108"/>
              </w:numPr>
              <w:spacing w:before="60" w:after="60" w:line="264" w:lineRule="auto"/>
              <w:rPr>
                <w:rFonts w:ascii="Times New Roman" w:hAnsi="Times New Roman"/>
                <w:sz w:val="20"/>
                <w:szCs w:val="20"/>
                <w:lang w:eastAsia="cs-CZ"/>
              </w:rPr>
            </w:pPr>
            <w:r w:rsidRPr="00EC2A1C">
              <w:rPr>
                <w:rFonts w:ascii="Times New Roman" w:hAnsi="Times New Roman"/>
                <w:sz w:val="20"/>
                <w:szCs w:val="20"/>
              </w:rPr>
              <w:t xml:space="preserve">podpora snížení úrovně znečištění ovzduší suspendovanými částicemi </w:t>
            </w:r>
            <w:r w:rsidRPr="00EC2A1C">
              <w:rPr>
                <w:rFonts w:ascii="Times New Roman" w:hAnsi="Times New Roman"/>
                <w:bCs/>
                <w:sz w:val="20"/>
                <w:szCs w:val="20"/>
              </w:rPr>
              <w:t>PM</w:t>
            </w:r>
            <w:r w:rsidRPr="00EC2A1C">
              <w:rPr>
                <w:rFonts w:ascii="Times New Roman" w:hAnsi="Times New Roman"/>
                <w:bCs/>
                <w:sz w:val="20"/>
                <w:szCs w:val="20"/>
                <w:vertAlign w:val="subscript"/>
              </w:rPr>
              <w:t>10</w:t>
            </w:r>
            <w:r w:rsidRPr="00EC2A1C">
              <w:rPr>
                <w:rFonts w:ascii="Times New Roman" w:hAnsi="Times New Roman"/>
                <w:bCs/>
                <w:sz w:val="20"/>
                <w:szCs w:val="20"/>
              </w:rPr>
              <w:t xml:space="preserve"> a PM</w:t>
            </w:r>
            <w:r w:rsidRPr="00EC2A1C">
              <w:rPr>
                <w:rFonts w:ascii="Times New Roman" w:hAnsi="Times New Roman"/>
                <w:bCs/>
                <w:sz w:val="20"/>
                <w:szCs w:val="20"/>
                <w:vertAlign w:val="subscript"/>
              </w:rPr>
              <w:t>2,5</w:t>
            </w:r>
            <w:r w:rsidRPr="00EC2A1C">
              <w:rPr>
                <w:rFonts w:ascii="Times New Roman" w:hAnsi="Times New Roman"/>
                <w:sz w:val="20"/>
                <w:szCs w:val="20"/>
              </w:rPr>
              <w:t xml:space="preserve"> a BaP. Zřetel je kladen zejména na PM</w:t>
            </w:r>
            <w:r w:rsidRPr="00EC2A1C">
              <w:rPr>
                <w:rFonts w:ascii="Times New Roman" w:hAnsi="Times New Roman"/>
                <w:sz w:val="20"/>
                <w:szCs w:val="20"/>
                <w:vertAlign w:val="subscript"/>
              </w:rPr>
              <w:t xml:space="preserve">2,5 </w:t>
            </w:r>
            <w:r w:rsidRPr="00EC2A1C">
              <w:rPr>
                <w:rFonts w:ascii="Times New Roman" w:hAnsi="Times New Roman"/>
                <w:sz w:val="20"/>
                <w:szCs w:val="20"/>
              </w:rPr>
              <w:t>a BaP s ohledem na jejich nejzávažnější zdravotní dopady</w:t>
            </w:r>
          </w:p>
          <w:p w14:paraId="10CED8B1" w14:textId="77777777" w:rsidR="00DD3EFA" w:rsidRPr="00EC2A1C" w:rsidRDefault="00DD3EFA" w:rsidP="00391907">
            <w:pPr>
              <w:numPr>
                <w:ilvl w:val="0"/>
                <w:numId w:val="108"/>
              </w:numPr>
              <w:spacing w:before="60" w:after="60" w:line="264" w:lineRule="auto"/>
              <w:rPr>
                <w:rFonts w:ascii="Times New Roman" w:hAnsi="Times New Roman"/>
                <w:sz w:val="20"/>
                <w:szCs w:val="20"/>
                <w:lang w:eastAsia="cs-CZ"/>
              </w:rPr>
            </w:pPr>
            <w:r w:rsidRPr="00EC2A1C">
              <w:rPr>
                <w:rFonts w:ascii="Times New Roman" w:hAnsi="Times New Roman"/>
                <w:sz w:val="20"/>
                <w:szCs w:val="20"/>
              </w:rPr>
              <w:t xml:space="preserve">podpora snížení úrovně znečištění ovzduší prekurzory sekundárních částic </w:t>
            </w:r>
            <w:r w:rsidRPr="00EC2A1C">
              <w:rPr>
                <w:rFonts w:ascii="Times New Roman" w:hAnsi="Times New Roman"/>
                <w:bCs/>
                <w:sz w:val="20"/>
                <w:szCs w:val="20"/>
              </w:rPr>
              <w:t>(</w:t>
            </w:r>
            <w:r w:rsidRPr="00EC2A1C">
              <w:rPr>
                <w:rFonts w:ascii="Times New Roman" w:hAnsi="Times New Roman"/>
                <w:sz w:val="20"/>
                <w:szCs w:val="20"/>
              </w:rPr>
              <w:t>NO</w:t>
            </w:r>
            <w:r w:rsidRPr="00EC2A1C">
              <w:rPr>
                <w:rFonts w:ascii="Times New Roman" w:hAnsi="Times New Roman"/>
                <w:sz w:val="20"/>
                <w:szCs w:val="20"/>
                <w:vertAlign w:val="subscript"/>
              </w:rPr>
              <w:t>x,</w:t>
            </w:r>
            <w:r w:rsidRPr="00EC2A1C">
              <w:rPr>
                <w:rFonts w:ascii="Times New Roman" w:hAnsi="Times New Roman"/>
                <w:sz w:val="20"/>
                <w:szCs w:val="20"/>
              </w:rPr>
              <w:t xml:space="preserve"> SO</w:t>
            </w:r>
            <w:r w:rsidRPr="00EC2A1C">
              <w:rPr>
                <w:rFonts w:ascii="Times New Roman" w:hAnsi="Times New Roman"/>
                <w:sz w:val="20"/>
                <w:szCs w:val="20"/>
                <w:vertAlign w:val="subscript"/>
              </w:rPr>
              <w:t>2</w:t>
            </w:r>
            <w:r w:rsidRPr="00EC2A1C">
              <w:rPr>
                <w:rFonts w:ascii="Times New Roman" w:hAnsi="Times New Roman"/>
                <w:sz w:val="20"/>
                <w:szCs w:val="20"/>
              </w:rPr>
              <w:t>, NH</w:t>
            </w:r>
            <w:r w:rsidRPr="00EC2A1C">
              <w:rPr>
                <w:rFonts w:ascii="Times New Roman" w:hAnsi="Times New Roman"/>
                <w:sz w:val="20"/>
                <w:szCs w:val="20"/>
                <w:vertAlign w:val="subscript"/>
              </w:rPr>
              <w:t>3</w:t>
            </w:r>
            <w:r w:rsidRPr="00EC2A1C">
              <w:rPr>
                <w:rFonts w:ascii="Times New Roman" w:hAnsi="Times New Roman"/>
                <w:sz w:val="20"/>
                <w:szCs w:val="20"/>
              </w:rPr>
              <w:t xml:space="preserve">, NM-VOC) </w:t>
            </w:r>
          </w:p>
          <w:p w14:paraId="6A5BA69C" w14:textId="77777777" w:rsidR="00DD3EFA" w:rsidRPr="00EC2A1C" w:rsidRDefault="00DD3EFA" w:rsidP="00391907">
            <w:pPr>
              <w:numPr>
                <w:ilvl w:val="0"/>
                <w:numId w:val="108"/>
              </w:numPr>
              <w:spacing w:before="60" w:after="60" w:line="264" w:lineRule="auto"/>
              <w:rPr>
                <w:rFonts w:ascii="Times New Roman" w:hAnsi="Times New Roman"/>
                <w:b/>
                <w:sz w:val="20"/>
                <w:szCs w:val="20"/>
                <w:lang w:eastAsia="cs-CZ"/>
              </w:rPr>
            </w:pPr>
            <w:r w:rsidRPr="00EC2A1C">
              <w:rPr>
                <w:rFonts w:ascii="Times New Roman" w:hAnsi="Times New Roman"/>
                <w:sz w:val="20"/>
                <w:szCs w:val="20"/>
              </w:rPr>
              <w:t>zlepšení monitoringu a modelování imisí znečišťujících látek</w:t>
            </w:r>
          </w:p>
          <w:p w14:paraId="5913A43C"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 xml:space="preserve">snižování emisí znečišťujících látek z lokálních topenišť (včetně jejich obměny za ekologičtější a energeticky účinnější jak v domácnostech, tak v dalších typech budov) </w:t>
            </w:r>
          </w:p>
          <w:p w14:paraId="61906B69"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snižování emisí znečišťujících látek z průmyslu a zemědělství</w:t>
            </w:r>
          </w:p>
          <w:p w14:paraId="7C757E45"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 xml:space="preserve">snižování emisí znečišťujících látek z dopravy (podpora nákupu vozidel s alternativním pohonem pro fyzické osoby a právnické osoby (včetně dopravních podniků) v celé ČR vč. Prahy, výstavba infrastruktury pro alternativní paliva – řešeno v rámci karet oblasti „Doprava“, dopravní infrastruktura včetně parkovišť, řízení dopravy, podpora změny dopravního chování apod. – samostatně řeší karta alternativní energie v dopravě v rámci oblasti dopravy), </w:t>
            </w:r>
          </w:p>
          <w:p w14:paraId="427A292F" w14:textId="77777777" w:rsidR="00DD3EFA" w:rsidRPr="00EC2A1C" w:rsidRDefault="00DD3EFA" w:rsidP="00391907">
            <w:pPr>
              <w:numPr>
                <w:ilvl w:val="0"/>
                <w:numId w:val="108"/>
              </w:numPr>
              <w:spacing w:before="60" w:after="60" w:line="264" w:lineRule="auto"/>
              <w:rPr>
                <w:rFonts w:ascii="Times New Roman" w:hAnsi="Times New Roman"/>
                <w:sz w:val="20"/>
                <w:szCs w:val="20"/>
              </w:rPr>
            </w:pPr>
            <w:r w:rsidRPr="00EC2A1C">
              <w:rPr>
                <w:rFonts w:ascii="Times New Roman" w:hAnsi="Times New Roman"/>
                <w:sz w:val="20"/>
                <w:szCs w:val="20"/>
              </w:rPr>
              <w:t>zvýšení povědomí veřejnosti o problematice znečištění ovzduší, možnostech omezování emisí znečišťujících látek a vlivu na zdraví obyvatelstva</w:t>
            </w:r>
          </w:p>
          <w:p w14:paraId="638ABD53" w14:textId="77777777" w:rsidR="00DD3EFA" w:rsidRPr="00EC2A1C" w:rsidRDefault="00DD3EFA" w:rsidP="00B15ECB">
            <w:pPr>
              <w:spacing w:before="60" w:after="60"/>
              <w:rPr>
                <w:rFonts w:ascii="Times New Roman" w:eastAsia="Times New Roman" w:hAnsi="Times New Roman"/>
                <w:i/>
                <w:sz w:val="20"/>
                <w:szCs w:val="20"/>
              </w:rPr>
            </w:pPr>
          </w:p>
        </w:tc>
        <w:tc>
          <w:tcPr>
            <w:tcW w:w="249" w:type="dxa"/>
            <w:tcBorders>
              <w:top w:val="nil"/>
              <w:left w:val="single" w:sz="4" w:space="0" w:color="auto"/>
              <w:bottom w:val="nil"/>
              <w:right w:val="single" w:sz="4" w:space="0" w:color="auto"/>
            </w:tcBorders>
            <w:shd w:val="clear" w:color="auto" w:fill="66CCFF"/>
          </w:tcPr>
          <w:p w14:paraId="5C8DFD68" w14:textId="77777777" w:rsidR="00DD3EFA" w:rsidRPr="00EC2A1C" w:rsidRDefault="00DD3EFA" w:rsidP="00B15ECB">
            <w:pPr>
              <w:rPr>
                <w:rFonts w:ascii="Times New Roman" w:hAnsi="Times New Roman"/>
                <w:b/>
                <w:sz w:val="20"/>
                <w:szCs w:val="20"/>
              </w:rPr>
            </w:pPr>
          </w:p>
        </w:tc>
      </w:tr>
      <w:tr w:rsidR="00DD3EFA" w:rsidRPr="00EC2A1C" w14:paraId="739EE268" w14:textId="77777777" w:rsidTr="00B15ECB">
        <w:trPr>
          <w:trHeight w:val="377"/>
        </w:trPr>
        <w:tc>
          <w:tcPr>
            <w:tcW w:w="249" w:type="dxa"/>
            <w:tcBorders>
              <w:top w:val="nil"/>
              <w:left w:val="single" w:sz="4" w:space="0" w:color="auto"/>
              <w:bottom w:val="nil"/>
              <w:right w:val="nil"/>
            </w:tcBorders>
            <w:shd w:val="clear" w:color="auto" w:fill="66CCFF"/>
          </w:tcPr>
          <w:p w14:paraId="6F6B5B1A"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0492F6C0"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1510D26F" w14:textId="77777777" w:rsidR="00DD3EFA" w:rsidRPr="00EC2A1C" w:rsidRDefault="00DD3EFA" w:rsidP="00B15ECB">
            <w:pPr>
              <w:spacing w:before="60" w:after="60"/>
              <w:rPr>
                <w:rFonts w:ascii="Times New Roman" w:eastAsia="Times New Roman" w:hAnsi="Times New Roman"/>
                <w:i/>
                <w:sz w:val="20"/>
                <w:szCs w:val="20"/>
              </w:rPr>
            </w:pPr>
          </w:p>
        </w:tc>
        <w:tc>
          <w:tcPr>
            <w:tcW w:w="249" w:type="dxa"/>
            <w:tcBorders>
              <w:top w:val="nil"/>
              <w:left w:val="nil"/>
              <w:bottom w:val="nil"/>
              <w:right w:val="single" w:sz="4" w:space="0" w:color="auto"/>
            </w:tcBorders>
            <w:shd w:val="clear" w:color="auto" w:fill="66CCFF"/>
          </w:tcPr>
          <w:p w14:paraId="4165A605" w14:textId="77777777" w:rsidR="00DD3EFA" w:rsidRPr="00EC2A1C" w:rsidRDefault="00DD3EFA" w:rsidP="00B15ECB">
            <w:pPr>
              <w:rPr>
                <w:rFonts w:ascii="Times New Roman" w:hAnsi="Times New Roman"/>
                <w:b/>
                <w:sz w:val="20"/>
                <w:szCs w:val="20"/>
              </w:rPr>
            </w:pPr>
          </w:p>
        </w:tc>
      </w:tr>
      <w:tr w:rsidR="00DD3EFA" w:rsidRPr="00EC2A1C" w14:paraId="69D18015"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3160B2C2" w14:textId="77777777" w:rsidR="00DD3EFA" w:rsidRPr="00EC2A1C" w:rsidRDefault="00DD3EFA" w:rsidP="00B15ECB">
            <w:pPr>
              <w:rPr>
                <w:rFonts w:ascii="Times New Roman" w:hAnsi="Times New Roman"/>
                <w:b/>
                <w:sz w:val="20"/>
                <w:szCs w:val="20"/>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6836F"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Průřezová témata a souvislosti:</w:t>
            </w:r>
          </w:p>
          <w:p w14:paraId="25DD13B1" w14:textId="77777777" w:rsidR="00DD3EFA" w:rsidRPr="00EC2A1C" w:rsidRDefault="00DD3EFA" w:rsidP="00B15ECB">
            <w:pPr>
              <w:spacing w:before="60" w:after="60"/>
              <w:rPr>
                <w:rFonts w:ascii="Times New Roman" w:eastAsia="Times New Roman" w:hAnsi="Times New Roman"/>
                <w:i/>
                <w:sz w:val="20"/>
                <w:szCs w:val="20"/>
                <w:u w:val="single"/>
              </w:rPr>
            </w:pPr>
          </w:p>
        </w:tc>
        <w:tc>
          <w:tcPr>
            <w:tcW w:w="249" w:type="dxa"/>
            <w:tcBorders>
              <w:top w:val="nil"/>
              <w:left w:val="single" w:sz="4" w:space="0" w:color="auto"/>
              <w:bottom w:val="nil"/>
              <w:right w:val="single" w:sz="4" w:space="0" w:color="auto"/>
            </w:tcBorders>
            <w:shd w:val="clear" w:color="auto" w:fill="66CCFF"/>
          </w:tcPr>
          <w:p w14:paraId="2D492307" w14:textId="77777777" w:rsidR="00DD3EFA" w:rsidRPr="00EC2A1C" w:rsidRDefault="00DD3EFA" w:rsidP="00B15ECB">
            <w:pPr>
              <w:rPr>
                <w:rFonts w:ascii="Times New Roman" w:hAnsi="Times New Roman"/>
                <w:b/>
                <w:sz w:val="20"/>
                <w:szCs w:val="20"/>
              </w:rPr>
            </w:pPr>
          </w:p>
        </w:tc>
      </w:tr>
      <w:tr w:rsidR="00DD3EFA" w:rsidRPr="00EC2A1C" w14:paraId="6359C576"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252B9CD7"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152CBD93" w14:textId="77777777" w:rsidR="00DD3EFA" w:rsidRPr="00EC2A1C" w:rsidRDefault="00DD3EFA" w:rsidP="00391907">
            <w:pPr>
              <w:numPr>
                <w:ilvl w:val="0"/>
                <w:numId w:val="2"/>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Územní dimenze</w:t>
            </w:r>
          </w:p>
          <w:p w14:paraId="70715F3B"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F486E"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Obecně lze říci, že nejvýznamnějším primárním zdrojem znečištění ovzduší jsou domácí topeniště, které se vyskytují v celé ČR, a doprava, v průmyslových oblastech jsou významné dále průmyslové stacionární zdroje. </w:t>
            </w:r>
          </w:p>
          <w:p w14:paraId="0A6A7051"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Znečištění z dopravy hraje roli především v metropolích a aglomeracích, ale může se jednat i o regionální centra či menší města a obce s vysokou dopravní zátěží jak osobní tak např. kamionové dopravy. Ve všech těchto typech sídel, především v prioritních sídlech vymezených Programy zlepšování kvality ovzduší, kde je nutné dosáhnout stanovených emisních stropů pro silniční dopravu a emisních stropů pro vymezená území krajů, lze situaci řešit zejména změnou dopravního chování, zejména pak omezováním individuální automobilové dopravy a nákladní dopravy přechodem na nízkoemisní a bezemisní způsoby dopravy. Na výstavbu silničních a dálničních obchvatů musí navazovat restrikce zákazu vjezdu v podobě nízkoemisních zón či zpoplatnění vjezdu.</w:t>
            </w:r>
          </w:p>
          <w:p w14:paraId="30638A6D"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V případě lokálních topenišť v menších městech a na venkově je řešením  přechod na jiná než pevná fosilní paliva či obnovitelné zdroje energie. </w:t>
            </w:r>
          </w:p>
          <w:p w14:paraId="75C23782"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V zemědělství je nutné pokračovat ve snižování emisí amoniaku pro omezení sekundárního znečištění. </w:t>
            </w:r>
          </w:p>
          <w:p w14:paraId="36D8741B" w14:textId="77777777" w:rsidR="00DD3EFA" w:rsidRPr="00EC2A1C" w:rsidRDefault="00DD3EFA" w:rsidP="00B15ECB">
            <w:pPr>
              <w:rPr>
                <w:rFonts w:ascii="Times New Roman" w:hAnsi="Times New Roman"/>
                <w:sz w:val="20"/>
                <w:szCs w:val="20"/>
                <w:lang w:eastAsia="cs-CZ"/>
              </w:rPr>
            </w:pPr>
            <w:r w:rsidRPr="00EC2A1C">
              <w:rPr>
                <w:rFonts w:ascii="Times New Roman" w:eastAsia="Times New Roman" w:hAnsi="Times New Roman"/>
                <w:sz w:val="20"/>
                <w:szCs w:val="20"/>
              </w:rPr>
              <w:t>V řadě menších či údolních míst není měřena koncentrace znečištění v důsledku vytápění tuhými palivy a není tak, zejména v zimním období, znám jeho rozsah a vliv na zdraví obyvatelstva. Z hlediska územní dimenze, zejména pokud jde o znečištění ovzduší v Ostravské aglomeraci, je rovněž nezbytná spolupráce s Polskem za účelem minimalizace přeshraničního přenosu znečištění ovzduší.</w:t>
            </w:r>
            <w:r w:rsidRPr="00EC2A1C">
              <w:rPr>
                <w:rFonts w:ascii="Times New Roman" w:hAnsi="Times New Roman"/>
                <w:sz w:val="20"/>
                <w:szCs w:val="20"/>
                <w:lang w:eastAsia="cs-CZ"/>
              </w:rPr>
              <w:t xml:space="preserve"> </w:t>
            </w:r>
          </w:p>
          <w:p w14:paraId="28EB0FA5" w14:textId="77777777" w:rsidR="00DD3EFA" w:rsidRPr="00EC2A1C" w:rsidRDefault="00DD3EFA" w:rsidP="00B15ECB">
            <w:pPr>
              <w:spacing w:before="60" w:after="60"/>
              <w:rPr>
                <w:rFonts w:ascii="Times New Roman" w:eastAsia="Times New Roman" w:hAnsi="Times New Roman"/>
                <w:i/>
                <w:sz w:val="20"/>
                <w:szCs w:val="20"/>
              </w:rPr>
            </w:pPr>
          </w:p>
        </w:tc>
        <w:tc>
          <w:tcPr>
            <w:tcW w:w="249" w:type="dxa"/>
            <w:tcBorders>
              <w:top w:val="nil"/>
              <w:left w:val="single" w:sz="4" w:space="0" w:color="auto"/>
              <w:bottom w:val="nil"/>
              <w:right w:val="single" w:sz="4" w:space="0" w:color="auto"/>
            </w:tcBorders>
            <w:shd w:val="clear" w:color="auto" w:fill="66CCFF"/>
          </w:tcPr>
          <w:p w14:paraId="5CC3ECA1" w14:textId="77777777" w:rsidR="00DD3EFA" w:rsidRPr="00EC2A1C" w:rsidRDefault="00DD3EFA" w:rsidP="00B15ECB">
            <w:pPr>
              <w:rPr>
                <w:rFonts w:ascii="Times New Roman" w:hAnsi="Times New Roman"/>
                <w:b/>
                <w:sz w:val="20"/>
                <w:szCs w:val="20"/>
              </w:rPr>
            </w:pPr>
          </w:p>
        </w:tc>
      </w:tr>
      <w:tr w:rsidR="00DD3EFA" w:rsidRPr="00EC2A1C" w14:paraId="07EE80C4"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05F92C11"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431C46BE" w14:textId="77777777" w:rsidR="00DD3EFA" w:rsidRPr="00EC2A1C" w:rsidRDefault="00DD3EFA" w:rsidP="00391907">
            <w:pPr>
              <w:numPr>
                <w:ilvl w:val="0"/>
                <w:numId w:val="2"/>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Adaptace na změnu klimatu</w:t>
            </w:r>
          </w:p>
          <w:p w14:paraId="2ED2B433"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57E5D0" w14:textId="77777777" w:rsidR="00DD3EFA" w:rsidRPr="00EC2A1C" w:rsidRDefault="00DD3EFA" w:rsidP="00B15ECB">
            <w:pPr>
              <w:spacing w:before="60" w:after="60"/>
              <w:rPr>
                <w:rFonts w:ascii="Times New Roman" w:hAnsi="Times New Roman"/>
                <w:sz w:val="20"/>
                <w:szCs w:val="20"/>
              </w:rPr>
            </w:pPr>
            <w:r w:rsidRPr="00EC2A1C">
              <w:rPr>
                <w:rFonts w:ascii="Times New Roman" w:hAnsi="Times New Roman"/>
                <w:sz w:val="20"/>
                <w:szCs w:val="20"/>
              </w:rPr>
              <w:t xml:space="preserve">V souvislosti s přechodem na jiný způsob vytápění bez využití uhlí v kombinaci se zvyšováním energetické účinnosti zdrojů tepla a zateplováním budov budou klesat emise znečišťujících látek i skleníkových plynů. </w:t>
            </w:r>
          </w:p>
          <w:p w14:paraId="1B183BE0" w14:textId="77777777" w:rsidR="00DD3EFA" w:rsidRPr="00EC2A1C" w:rsidRDefault="00DD3EFA" w:rsidP="00B15ECB">
            <w:pPr>
              <w:spacing w:before="60" w:after="60"/>
              <w:rPr>
                <w:rFonts w:ascii="Times New Roman" w:eastAsia="Times New Roman" w:hAnsi="Times New Roman"/>
                <w:sz w:val="20"/>
                <w:szCs w:val="20"/>
              </w:rPr>
            </w:pPr>
            <w:r w:rsidRPr="00EC2A1C">
              <w:rPr>
                <w:rFonts w:ascii="Times New Roman" w:hAnsi="Times New Roman"/>
                <w:sz w:val="20"/>
                <w:szCs w:val="20"/>
              </w:rPr>
              <w:t>Výsadby zeleně slouží k zadržování vody v krajině a rovněž zachytávají emise znečišťujících látek z ovzduší. V rámci zemědělské krajiny jsou důležité výsadby remízů a větrolamů, které zabraňují vodní a větrné erozi půdy.</w:t>
            </w:r>
          </w:p>
        </w:tc>
        <w:tc>
          <w:tcPr>
            <w:tcW w:w="249" w:type="dxa"/>
            <w:tcBorders>
              <w:top w:val="nil"/>
              <w:left w:val="single" w:sz="4" w:space="0" w:color="auto"/>
              <w:bottom w:val="nil"/>
              <w:right w:val="single" w:sz="4" w:space="0" w:color="auto"/>
            </w:tcBorders>
            <w:shd w:val="clear" w:color="auto" w:fill="66CCFF"/>
          </w:tcPr>
          <w:p w14:paraId="0BBDB5A7" w14:textId="77777777" w:rsidR="00DD3EFA" w:rsidRPr="00EC2A1C" w:rsidRDefault="00DD3EFA" w:rsidP="00B15ECB">
            <w:pPr>
              <w:rPr>
                <w:rFonts w:ascii="Times New Roman" w:hAnsi="Times New Roman"/>
                <w:b/>
                <w:sz w:val="20"/>
                <w:szCs w:val="20"/>
              </w:rPr>
            </w:pPr>
          </w:p>
        </w:tc>
      </w:tr>
      <w:tr w:rsidR="00DD3EFA" w:rsidRPr="00EC2A1C" w14:paraId="3B78760F"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63CEA269"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093993BA" w14:textId="77777777" w:rsidR="00DD3EFA" w:rsidRPr="00EC2A1C" w:rsidRDefault="00DD3EFA" w:rsidP="00391907">
            <w:pPr>
              <w:numPr>
                <w:ilvl w:val="0"/>
                <w:numId w:val="2"/>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Společnost 4.0.</w:t>
            </w:r>
          </w:p>
          <w:p w14:paraId="00E50A89"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1D394" w14:textId="77777777" w:rsidR="00DD3EFA" w:rsidRPr="00EC2A1C" w:rsidRDefault="00DD3EFA" w:rsidP="00B15ECB">
            <w:pPr>
              <w:spacing w:before="60" w:after="60"/>
              <w:rPr>
                <w:rFonts w:ascii="Times New Roman" w:eastAsia="Times New Roman" w:hAnsi="Times New Roman"/>
                <w:i/>
                <w:sz w:val="20"/>
                <w:szCs w:val="20"/>
              </w:rPr>
            </w:pPr>
            <w:r w:rsidRPr="00EC2A1C">
              <w:rPr>
                <w:rFonts w:ascii="Times New Roman" w:hAnsi="Times New Roman"/>
                <w:sz w:val="20"/>
                <w:szCs w:val="20"/>
              </w:rPr>
              <w:t>Koncept „smart cities“ se v oblasti monitoringu a ochrany ovzduší může projevit především včasnou detekcí zhoršené kvality ovzduší (měření vstupních a výstupních hodnot dle běžně užívaných metodik), včasným a pravidelným informováním obyvatelstva (webové stránky, aplikace) a případným flexibilním omezením dopravy v důsledku výskytu mimořádného znečištění ovzduší, jako jsou smogové situace (například zákazem vjezdu do centra města využitím chytrých dopravních značek).</w:t>
            </w:r>
          </w:p>
        </w:tc>
        <w:tc>
          <w:tcPr>
            <w:tcW w:w="249" w:type="dxa"/>
            <w:tcBorders>
              <w:top w:val="nil"/>
              <w:left w:val="single" w:sz="4" w:space="0" w:color="auto"/>
              <w:bottom w:val="nil"/>
              <w:right w:val="single" w:sz="4" w:space="0" w:color="auto"/>
            </w:tcBorders>
            <w:shd w:val="clear" w:color="auto" w:fill="66CCFF"/>
          </w:tcPr>
          <w:p w14:paraId="25AEBC3F" w14:textId="77777777" w:rsidR="00DD3EFA" w:rsidRPr="00EC2A1C" w:rsidRDefault="00DD3EFA" w:rsidP="00B15ECB">
            <w:pPr>
              <w:rPr>
                <w:rFonts w:ascii="Times New Roman" w:hAnsi="Times New Roman"/>
                <w:b/>
                <w:sz w:val="20"/>
                <w:szCs w:val="20"/>
              </w:rPr>
            </w:pPr>
          </w:p>
        </w:tc>
      </w:tr>
      <w:tr w:rsidR="00DD3EFA" w:rsidRPr="00EC2A1C" w14:paraId="41A56E31"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1755E7A2"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55A3DE95" w14:textId="77777777" w:rsidR="00DD3EFA" w:rsidRPr="00EC2A1C" w:rsidRDefault="00DD3EFA" w:rsidP="00391907">
            <w:pPr>
              <w:numPr>
                <w:ilvl w:val="0"/>
                <w:numId w:val="2"/>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Vazba na megatrendy</w:t>
            </w:r>
          </w:p>
          <w:p w14:paraId="0A9EE4D5"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BD65AC" w14:textId="77777777" w:rsidR="00DD3EFA" w:rsidRPr="00EC2A1C" w:rsidRDefault="00DD3EFA" w:rsidP="00B15ECB">
            <w:pPr>
              <w:spacing w:before="60" w:after="60"/>
              <w:rPr>
                <w:rFonts w:ascii="Times New Roman" w:eastAsia="Times New Roman" w:hAnsi="Times New Roman"/>
                <w:sz w:val="20"/>
                <w:szCs w:val="20"/>
              </w:rPr>
            </w:pPr>
            <w:r w:rsidRPr="00EC2A1C">
              <w:rPr>
                <w:rFonts w:ascii="Times New Roman" w:eastAsia="Times New Roman" w:hAnsi="Times New Roman"/>
                <w:sz w:val="20"/>
                <w:szCs w:val="20"/>
              </w:rPr>
              <w:t>Řeší GMT 11 - Rostoucí mobilita a GMT22- Urbanizace</w:t>
            </w:r>
          </w:p>
          <w:p w14:paraId="58F223FE" w14:textId="77777777" w:rsidR="00DD3EFA" w:rsidRPr="00EC2A1C" w:rsidRDefault="00DD3EFA" w:rsidP="00B15ECB">
            <w:pPr>
              <w:spacing w:before="60" w:after="60"/>
              <w:rPr>
                <w:rFonts w:ascii="Times New Roman" w:eastAsia="Times New Roman" w:hAnsi="Times New Roman"/>
                <w:sz w:val="20"/>
                <w:szCs w:val="20"/>
              </w:rPr>
            </w:pPr>
            <w:r w:rsidRPr="00EC2A1C">
              <w:rPr>
                <w:rFonts w:ascii="Times New Roman" w:eastAsia="Times New Roman" w:hAnsi="Times New Roman"/>
                <w:sz w:val="20"/>
                <w:szCs w:val="20"/>
              </w:rPr>
              <w:t>Dále souvisí s GMT18-Rostoucí spotřeba energie (struktura paliv), 25-Zintenzivňující se globalizace a GMT26 - Změna klimatu (kvalita ovzduší zhoršená extrémy počasí ozon, PM)</w:t>
            </w:r>
          </w:p>
        </w:tc>
        <w:tc>
          <w:tcPr>
            <w:tcW w:w="249" w:type="dxa"/>
            <w:tcBorders>
              <w:top w:val="nil"/>
              <w:left w:val="single" w:sz="4" w:space="0" w:color="auto"/>
              <w:bottom w:val="nil"/>
              <w:right w:val="single" w:sz="4" w:space="0" w:color="auto"/>
            </w:tcBorders>
            <w:shd w:val="clear" w:color="auto" w:fill="66CCFF"/>
          </w:tcPr>
          <w:p w14:paraId="5C5B9D11" w14:textId="77777777" w:rsidR="00DD3EFA" w:rsidRPr="00EC2A1C" w:rsidRDefault="00DD3EFA" w:rsidP="00B15ECB">
            <w:pPr>
              <w:rPr>
                <w:rFonts w:ascii="Times New Roman" w:hAnsi="Times New Roman"/>
                <w:b/>
                <w:sz w:val="20"/>
                <w:szCs w:val="20"/>
              </w:rPr>
            </w:pPr>
          </w:p>
        </w:tc>
      </w:tr>
      <w:tr w:rsidR="00DD3EFA" w:rsidRPr="00EC2A1C" w14:paraId="00D0440A"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02811F8D"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41E38" w14:textId="77777777" w:rsidR="00DD3EFA" w:rsidRPr="00EC2A1C" w:rsidRDefault="00DD3EFA" w:rsidP="00391907">
            <w:pPr>
              <w:numPr>
                <w:ilvl w:val="0"/>
                <w:numId w:val="5"/>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politické cíle ON, specifické cíle nařízení k jednotlivým relevantním fondům</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281473" w14:textId="77777777" w:rsidR="00DD3EFA" w:rsidRPr="00EC2A1C" w:rsidRDefault="00DD3EFA" w:rsidP="00B15ECB">
            <w:pPr>
              <w:spacing w:before="60" w:after="60"/>
              <w:rPr>
                <w:rFonts w:ascii="Times New Roman" w:eastAsia="Times New Roman" w:hAnsi="Times New Roman"/>
                <w:sz w:val="20"/>
                <w:szCs w:val="20"/>
              </w:rPr>
            </w:pPr>
            <w:r w:rsidRPr="00EC2A1C">
              <w:rPr>
                <w:rFonts w:ascii="Times New Roman" w:eastAsia="Times New Roman" w:hAnsi="Times New Roman"/>
                <w:sz w:val="20"/>
                <w:szCs w:val="20"/>
              </w:rPr>
              <w:t>Podoblast přímo plní cíl CP2, který zahrnuje mj. i omezení znečištění, ale i CP1. Podoblast bude využívat přínosy digitalizace, např. flexibilní řízení dopravy a omezení průmyslové výroby dle aktuálního znečištění ovzduší</w:t>
            </w:r>
          </w:p>
        </w:tc>
        <w:tc>
          <w:tcPr>
            <w:tcW w:w="249" w:type="dxa"/>
            <w:tcBorders>
              <w:top w:val="nil"/>
              <w:left w:val="single" w:sz="4" w:space="0" w:color="auto"/>
              <w:bottom w:val="nil"/>
              <w:right w:val="single" w:sz="4" w:space="0" w:color="auto"/>
            </w:tcBorders>
            <w:shd w:val="clear" w:color="auto" w:fill="66CCFF"/>
          </w:tcPr>
          <w:p w14:paraId="41A562E8" w14:textId="77777777" w:rsidR="00DD3EFA" w:rsidRPr="00EC2A1C" w:rsidRDefault="00DD3EFA" w:rsidP="00B15ECB">
            <w:pPr>
              <w:rPr>
                <w:rFonts w:ascii="Times New Roman" w:hAnsi="Times New Roman"/>
                <w:b/>
                <w:sz w:val="20"/>
                <w:szCs w:val="20"/>
              </w:rPr>
            </w:pPr>
          </w:p>
        </w:tc>
      </w:tr>
      <w:tr w:rsidR="00DD3EFA" w:rsidRPr="00EC2A1C" w14:paraId="47B37741"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50CEDA5F"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9C44D5" w14:textId="77777777" w:rsidR="00DD3EFA" w:rsidRPr="00EC2A1C" w:rsidRDefault="00DD3EFA" w:rsidP="00391907">
            <w:pPr>
              <w:numPr>
                <w:ilvl w:val="0"/>
                <w:numId w:val="5"/>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SDR</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967E9" w14:textId="77777777" w:rsidR="00DD3EFA" w:rsidRPr="00EC2A1C" w:rsidRDefault="00DD3EFA" w:rsidP="00B15ECB">
            <w:pPr>
              <w:spacing w:before="60" w:after="60"/>
              <w:rPr>
                <w:rFonts w:ascii="Times New Roman" w:eastAsia="Times New Roman" w:hAnsi="Times New Roman"/>
                <w:sz w:val="20"/>
                <w:szCs w:val="20"/>
              </w:rPr>
            </w:pPr>
            <w:r w:rsidRPr="00EC2A1C">
              <w:rPr>
                <w:rFonts w:ascii="Times New Roman" w:eastAsia="Times New Roman" w:hAnsi="Times New Roman"/>
                <w:sz w:val="20"/>
                <w:szCs w:val="20"/>
              </w:rPr>
              <w:t>Aktuální znění SDR pro rok 2018 neobsahuje žádná doporučení relevantní pro tuto oblast.</w:t>
            </w:r>
          </w:p>
          <w:p w14:paraId="2BE428E4" w14:textId="77777777" w:rsidR="00DD3EFA" w:rsidRPr="00EC2A1C" w:rsidRDefault="00DD3EFA" w:rsidP="00B15ECB">
            <w:pPr>
              <w:spacing w:before="60" w:after="60"/>
              <w:rPr>
                <w:rFonts w:ascii="Times New Roman" w:eastAsiaTheme="majorEastAsia" w:hAnsi="Times New Roman"/>
                <w:sz w:val="20"/>
                <w:szCs w:val="20"/>
              </w:rPr>
            </w:pPr>
            <w:r w:rsidRPr="00EC2A1C">
              <w:rPr>
                <w:rFonts w:ascii="Times New Roman" w:eastAsiaTheme="majorEastAsia" w:hAnsi="Times New Roman"/>
                <w:sz w:val="20"/>
                <w:szCs w:val="20"/>
              </w:rPr>
              <w:t>Oblast je zmíněna v části ANNEX D - Investment Guidance on Cohesion Policy Funding 2021-2027 for the Czech Republic – Draft  Country Report 2019.</w:t>
            </w:r>
          </w:p>
          <w:p w14:paraId="6B018519" w14:textId="77777777" w:rsidR="00DD3EFA" w:rsidRPr="00EC2A1C" w:rsidRDefault="00DD3EFA" w:rsidP="00B15ECB">
            <w:pPr>
              <w:spacing w:before="60" w:after="60"/>
              <w:rPr>
                <w:rFonts w:ascii="Times New Roman" w:eastAsia="Times New Roman" w:hAnsi="Times New Roman"/>
                <w:sz w:val="20"/>
                <w:szCs w:val="20"/>
              </w:rPr>
            </w:pPr>
          </w:p>
        </w:tc>
        <w:tc>
          <w:tcPr>
            <w:tcW w:w="249" w:type="dxa"/>
            <w:tcBorders>
              <w:top w:val="nil"/>
              <w:left w:val="single" w:sz="4" w:space="0" w:color="auto"/>
              <w:bottom w:val="nil"/>
              <w:right w:val="single" w:sz="4" w:space="0" w:color="auto"/>
            </w:tcBorders>
            <w:shd w:val="clear" w:color="auto" w:fill="66CCFF"/>
          </w:tcPr>
          <w:p w14:paraId="345BFADB" w14:textId="77777777" w:rsidR="00DD3EFA" w:rsidRPr="00EC2A1C" w:rsidRDefault="00DD3EFA" w:rsidP="00B15ECB">
            <w:pPr>
              <w:rPr>
                <w:rFonts w:ascii="Times New Roman" w:hAnsi="Times New Roman"/>
                <w:b/>
                <w:sz w:val="20"/>
                <w:szCs w:val="20"/>
              </w:rPr>
            </w:pPr>
          </w:p>
        </w:tc>
      </w:tr>
      <w:tr w:rsidR="00DD3EFA" w:rsidRPr="00EC2A1C" w14:paraId="7F30861A" w14:textId="77777777" w:rsidTr="00B15ECB">
        <w:trPr>
          <w:trHeight w:val="180"/>
        </w:trPr>
        <w:tc>
          <w:tcPr>
            <w:tcW w:w="249" w:type="dxa"/>
            <w:tcBorders>
              <w:top w:val="nil"/>
              <w:left w:val="single" w:sz="4" w:space="0" w:color="auto"/>
              <w:bottom w:val="nil"/>
              <w:right w:val="nil"/>
            </w:tcBorders>
            <w:shd w:val="clear" w:color="auto" w:fill="66CCFF"/>
          </w:tcPr>
          <w:p w14:paraId="4AF2CE55"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5FE264EC" w14:textId="77777777" w:rsidR="00DD3EFA" w:rsidRPr="00EC2A1C" w:rsidRDefault="00DD3EFA" w:rsidP="00B15ECB">
            <w:pPr>
              <w:rPr>
                <w:rFonts w:ascii="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0B46ADF8" w14:textId="77777777" w:rsidR="00DD3EFA" w:rsidRPr="00EC2A1C" w:rsidRDefault="00DD3EFA" w:rsidP="00B15ECB">
            <w:pPr>
              <w:rPr>
                <w:rFonts w:ascii="Times New Roman" w:hAnsi="Times New Roman"/>
                <w:b/>
                <w:sz w:val="20"/>
                <w:szCs w:val="20"/>
              </w:rPr>
            </w:pPr>
          </w:p>
        </w:tc>
        <w:tc>
          <w:tcPr>
            <w:tcW w:w="249" w:type="dxa"/>
            <w:tcBorders>
              <w:top w:val="nil"/>
              <w:left w:val="nil"/>
              <w:bottom w:val="nil"/>
              <w:right w:val="single" w:sz="4" w:space="0" w:color="auto"/>
            </w:tcBorders>
            <w:shd w:val="clear" w:color="auto" w:fill="66CCFF"/>
          </w:tcPr>
          <w:p w14:paraId="318CBCB7" w14:textId="77777777" w:rsidR="00DD3EFA" w:rsidRPr="00EC2A1C" w:rsidRDefault="00DD3EFA" w:rsidP="00B15ECB">
            <w:pPr>
              <w:rPr>
                <w:rFonts w:ascii="Times New Roman" w:hAnsi="Times New Roman"/>
                <w:b/>
                <w:sz w:val="20"/>
                <w:szCs w:val="20"/>
              </w:rPr>
            </w:pPr>
          </w:p>
        </w:tc>
      </w:tr>
      <w:tr w:rsidR="00DD3EFA" w:rsidRPr="00EC2A1C" w14:paraId="508845C7"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03959A8C"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1D568D28"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Strategický dokument pro daný cíl pro období 2020+; v případě více dokumentů identifikujte strategii dominantní ve vztahu k cíli.</w:t>
            </w:r>
          </w:p>
          <w:p w14:paraId="1C71F606" w14:textId="77777777" w:rsidR="00DD3EFA" w:rsidRPr="00EC2A1C" w:rsidRDefault="00DD3EFA" w:rsidP="00B15ECB">
            <w:pPr>
              <w:spacing w:before="60" w:after="60"/>
              <w:ind w:left="360"/>
              <w:contextualSpacing/>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AF80A63" w14:textId="77777777" w:rsidR="00DD3EFA" w:rsidRPr="00EC2A1C" w:rsidRDefault="00DD3EFA" w:rsidP="00B15ECB">
            <w:pPr>
              <w:rPr>
                <w:rFonts w:ascii="Times New Roman" w:hAnsi="Times New Roman"/>
                <w:sz w:val="20"/>
                <w:szCs w:val="20"/>
              </w:rPr>
            </w:pPr>
            <w:r w:rsidRPr="00EC2A1C">
              <w:rPr>
                <w:rFonts w:ascii="Times New Roman" w:hAnsi="Times New Roman"/>
                <w:b/>
                <w:sz w:val="20"/>
                <w:szCs w:val="20"/>
              </w:rPr>
              <w:t>Národní program snižování emisí ČR</w:t>
            </w:r>
            <w:r w:rsidRPr="00EC2A1C">
              <w:rPr>
                <w:rFonts w:ascii="Times New Roman" w:hAnsi="Times New Roman"/>
                <w:sz w:val="20"/>
                <w:szCs w:val="20"/>
              </w:rPr>
              <w:t xml:space="preserve"> (NPSE) – jedná se o strategii na národní úrovni, v současnosti je připravován nový dokument. Probíhá formulace doplňujících opatření. Dokument bude dokončen a předložen vládě ke schválení v roce 2019.</w:t>
            </w:r>
          </w:p>
          <w:p w14:paraId="78B3595E" w14:textId="77777777" w:rsidR="00DD3EFA" w:rsidRPr="00EC2A1C" w:rsidRDefault="00DD3EFA" w:rsidP="00B15ECB">
            <w:pPr>
              <w:rPr>
                <w:rFonts w:ascii="Times New Roman" w:hAnsi="Times New Roman"/>
                <w:sz w:val="20"/>
                <w:szCs w:val="20"/>
              </w:rPr>
            </w:pPr>
          </w:p>
          <w:p w14:paraId="13787073" w14:textId="77777777" w:rsidR="00DD3EFA" w:rsidRPr="00EC2A1C" w:rsidRDefault="00DD3EFA" w:rsidP="00B15ECB">
            <w:pPr>
              <w:rPr>
                <w:rFonts w:ascii="Times New Roman" w:hAnsi="Times New Roman"/>
                <w:sz w:val="20"/>
                <w:szCs w:val="20"/>
              </w:rPr>
            </w:pPr>
            <w:r w:rsidRPr="00EC2A1C">
              <w:rPr>
                <w:rFonts w:ascii="Times New Roman" w:hAnsi="Times New Roman"/>
                <w:b/>
                <w:sz w:val="20"/>
                <w:szCs w:val="20"/>
              </w:rPr>
              <w:t>Programy zlepšování kvality ovzduší</w:t>
            </w:r>
            <w:r w:rsidRPr="00EC2A1C">
              <w:rPr>
                <w:rFonts w:ascii="Times New Roman" w:hAnsi="Times New Roman"/>
                <w:sz w:val="20"/>
                <w:szCs w:val="20"/>
              </w:rPr>
              <w:t xml:space="preserve"> (PZKO) – jedná se o strategie na regionální úrovni, v současnosti jsou připravovány aktualizace. Probíhá zpracování analytické části. Programy budou dokončeny a schváleny v roce 2020.</w:t>
            </w:r>
          </w:p>
          <w:p w14:paraId="0E7EA4A7" w14:textId="77777777" w:rsidR="00DD3EFA" w:rsidRPr="00EC2A1C" w:rsidRDefault="00DD3EFA" w:rsidP="00B15ECB">
            <w:pPr>
              <w:spacing w:before="60" w:after="60"/>
              <w:rPr>
                <w:rFonts w:ascii="Times New Roman" w:hAnsi="Times New Roman"/>
                <w:b/>
                <w:sz w:val="20"/>
                <w:szCs w:val="20"/>
              </w:rPr>
            </w:pPr>
            <w:r w:rsidRPr="00EC2A1C">
              <w:rPr>
                <w:rFonts w:ascii="Times New Roman" w:hAnsi="Times New Roman"/>
                <w:b/>
                <w:sz w:val="20"/>
                <w:szCs w:val="20"/>
              </w:rPr>
              <w:t>Související dokumenty</w:t>
            </w:r>
          </w:p>
          <w:p w14:paraId="2B7F48FA" w14:textId="77777777" w:rsidR="00DD3EFA" w:rsidRPr="00EC2A1C" w:rsidRDefault="00DD3EFA" w:rsidP="00B15ECB">
            <w:pPr>
              <w:spacing w:before="60" w:after="60"/>
              <w:rPr>
                <w:rFonts w:ascii="Times New Roman" w:hAnsi="Times New Roman"/>
                <w:sz w:val="20"/>
                <w:szCs w:val="20"/>
              </w:rPr>
            </w:pPr>
            <w:r w:rsidRPr="00EC2A1C">
              <w:rPr>
                <w:rFonts w:ascii="Times New Roman" w:hAnsi="Times New Roman"/>
                <w:sz w:val="20"/>
                <w:szCs w:val="20"/>
              </w:rPr>
              <w:t>Státní politika životního prostředí ČR 2012-2020 – aktualizace v r. 2020</w:t>
            </w:r>
          </w:p>
          <w:p w14:paraId="4D1F5C09" w14:textId="77777777" w:rsidR="00DD3EFA" w:rsidRPr="00EC2A1C" w:rsidRDefault="00DD3EFA" w:rsidP="00B15ECB">
            <w:pPr>
              <w:rPr>
                <w:rFonts w:ascii="Times New Roman" w:hAnsi="Times New Roman"/>
                <w:sz w:val="20"/>
                <w:szCs w:val="20"/>
              </w:rPr>
            </w:pPr>
          </w:p>
          <w:p w14:paraId="471AAE78"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Střednědobá strategie zlepšení kvality ovzduší v ČR – aktualizace v r. 2020</w:t>
            </w:r>
          </w:p>
          <w:p w14:paraId="65A40C54"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Aktualizace Státní energetické koncepce ČR</w:t>
            </w:r>
          </w:p>
          <w:p w14:paraId="6179F171"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Národní akční plán čisté mobility – aktualizace v r. 2019</w:t>
            </w:r>
          </w:p>
          <w:p w14:paraId="1E3070B7"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Národní akční plán energetické účinnosti ČR</w:t>
            </w:r>
          </w:p>
          <w:p w14:paraId="4360EF34"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Národní akční plán České republiky pro energii z obnovitelných zdrojů</w:t>
            </w:r>
          </w:p>
          <w:p w14:paraId="78C565BE"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Dopravní politika ČR pro období 2014-2020 s výhledem do roku 2050</w:t>
            </w:r>
          </w:p>
          <w:p w14:paraId="47DD31A5"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Dopravní sektorová strategie</w:t>
            </w:r>
          </w:p>
          <w:p w14:paraId="0BC65818" w14:textId="77777777" w:rsidR="00DD3EFA" w:rsidRPr="00EC2A1C" w:rsidRDefault="00DD3EFA" w:rsidP="00B15ECB">
            <w:pPr>
              <w:rPr>
                <w:rFonts w:ascii="Times New Roman" w:hAnsi="Times New Roman"/>
                <w:sz w:val="20"/>
                <w:szCs w:val="20"/>
              </w:rPr>
            </w:pPr>
          </w:p>
          <w:p w14:paraId="532E3954"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Politika územního rozvoje České republiky</w:t>
            </w:r>
          </w:p>
          <w:p w14:paraId="2F5A3697"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Balíček Evropské komise z 18. prosince 2013 s názvem Program Čisté ovzduší pro Evropu</w:t>
            </w:r>
          </w:p>
          <w:p w14:paraId="32ED07FD"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Směrnice Evropského parlamentu a Rady 2016/2284, o snížení národních emisí některých látek znečišťujících ovzduší, o změně směrnice 2003/35/ES a o zrušení směrnice 2001/81/ES</w:t>
            </w:r>
          </w:p>
          <w:p w14:paraId="4A58332D"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Směrnice Evropského parlamentu a Rady 2015/2193, o snížení národních emisí některých látek znečišťujících ovzduší, o změně směrnice 2003/35/ES a o zrušení směrnice 2001/81/ES</w:t>
            </w:r>
          </w:p>
          <w:p w14:paraId="34B01D04"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Směrnice Evropského parlamentu a Rady 2010/75/EU, o průmyslových emisích</w:t>
            </w:r>
          </w:p>
          <w:p w14:paraId="6355E9DC"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Směrnice Evropského parlamentu a Rady 2008/50/ES, o kvalitě vnějšího ovzduší a čistším ovzduší pro Evropu</w:t>
            </w:r>
          </w:p>
          <w:p w14:paraId="71F97ABB" w14:textId="77777777" w:rsidR="00DD3EFA" w:rsidRPr="00EC2A1C" w:rsidRDefault="00DD3EFA" w:rsidP="00B15ECB">
            <w:pPr>
              <w:rPr>
                <w:rFonts w:ascii="Times New Roman" w:hAnsi="Times New Roman"/>
                <w:sz w:val="20"/>
                <w:szCs w:val="20"/>
              </w:rPr>
            </w:pPr>
          </w:p>
          <w:p w14:paraId="0AE641A9"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Směrnice Evropského parlamentu a Rady 2004/107/ES, o obsahu arsenu, kadmia, rtuti, niklu a polycyklických aromatických uhlovodíků ve vnějším ovzduší</w:t>
            </w:r>
          </w:p>
          <w:p w14:paraId="3E71AF43" w14:textId="77777777" w:rsidR="00DD3EFA" w:rsidRPr="00EC2A1C" w:rsidRDefault="00DD3EFA" w:rsidP="00B15ECB">
            <w:pPr>
              <w:rPr>
                <w:rFonts w:ascii="Times New Roman" w:hAnsi="Times New Roman"/>
                <w:sz w:val="20"/>
                <w:szCs w:val="20"/>
              </w:rPr>
            </w:pPr>
          </w:p>
          <w:p w14:paraId="2A5D6007" w14:textId="77777777" w:rsidR="00DD3EFA" w:rsidRPr="00EC2A1C" w:rsidRDefault="00DD3EFA" w:rsidP="00B15ECB">
            <w:pPr>
              <w:tabs>
                <w:tab w:val="left" w:pos="284"/>
                <w:tab w:val="left" w:pos="567"/>
              </w:tabs>
              <w:suppressAutoHyphens/>
              <w:spacing w:after="200"/>
              <w:rPr>
                <w:rFonts w:ascii="Times New Roman" w:hAnsi="Times New Roman"/>
                <w:i/>
                <w:sz w:val="20"/>
                <w:szCs w:val="20"/>
                <w:u w:val="single"/>
              </w:rPr>
            </w:pPr>
            <w:r w:rsidRPr="00EC2A1C">
              <w:rPr>
                <w:rFonts w:ascii="Times New Roman" w:hAnsi="Times New Roman"/>
                <w:sz w:val="20"/>
                <w:szCs w:val="20"/>
              </w:rPr>
              <w:t>Směrnice Evropského parlamentu a Rady 2015/1480, kterou se mění několik příloh směrnice Evropského parlamentu a Rady 2004/107/ES a 2008/50/ES, kterými se stanoví pravidla pro referenční metody, ověřování údajů a umístění míst odběru vzorků při posuzování kvality vnějšího ovzduší</w:t>
            </w:r>
          </w:p>
        </w:tc>
        <w:tc>
          <w:tcPr>
            <w:tcW w:w="249" w:type="dxa"/>
            <w:tcBorders>
              <w:top w:val="nil"/>
              <w:left w:val="single" w:sz="4" w:space="0" w:color="auto"/>
              <w:bottom w:val="nil"/>
              <w:right w:val="single" w:sz="4" w:space="0" w:color="auto"/>
            </w:tcBorders>
            <w:shd w:val="clear" w:color="auto" w:fill="66CCFF"/>
          </w:tcPr>
          <w:p w14:paraId="5B39B958" w14:textId="77777777" w:rsidR="00DD3EFA" w:rsidRPr="00EC2A1C" w:rsidRDefault="00DD3EFA" w:rsidP="00B15ECB">
            <w:pPr>
              <w:rPr>
                <w:rFonts w:ascii="Times New Roman" w:hAnsi="Times New Roman"/>
                <w:b/>
                <w:sz w:val="20"/>
                <w:szCs w:val="20"/>
              </w:rPr>
            </w:pPr>
          </w:p>
        </w:tc>
      </w:tr>
      <w:tr w:rsidR="00DD3EFA" w:rsidRPr="00EC2A1C" w14:paraId="083E28D4"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16E9B0D9"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1E32283C" w14:textId="77777777" w:rsidR="00DD3EFA" w:rsidRPr="00EC2A1C" w:rsidRDefault="00DD3EFA" w:rsidP="00391907">
            <w:pPr>
              <w:numPr>
                <w:ilvl w:val="0"/>
                <w:numId w:val="3"/>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analýza problémů a potřeb</w:t>
            </w:r>
          </w:p>
          <w:p w14:paraId="053E5081"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A31C03"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r w:rsidRPr="00EC2A1C">
              <w:rPr>
                <w:rFonts w:ascii="Times New Roman" w:hAnsi="Times New Roman"/>
                <w:sz w:val="20"/>
                <w:szCs w:val="20"/>
              </w:rPr>
              <w:t>NPSE obsahuje analýzu stavu a vývoje pro každý z cílů a jeho součástí je i zhodnocení tlaků a hrozeb pro dané téma.</w:t>
            </w:r>
          </w:p>
        </w:tc>
        <w:tc>
          <w:tcPr>
            <w:tcW w:w="249" w:type="dxa"/>
            <w:tcBorders>
              <w:top w:val="nil"/>
              <w:left w:val="single" w:sz="4" w:space="0" w:color="auto"/>
              <w:bottom w:val="nil"/>
              <w:right w:val="single" w:sz="4" w:space="0" w:color="auto"/>
            </w:tcBorders>
            <w:shd w:val="clear" w:color="auto" w:fill="66CCFF"/>
          </w:tcPr>
          <w:p w14:paraId="06766CF2" w14:textId="77777777" w:rsidR="00DD3EFA" w:rsidRPr="00EC2A1C" w:rsidRDefault="00DD3EFA" w:rsidP="00B15ECB">
            <w:pPr>
              <w:rPr>
                <w:rFonts w:ascii="Times New Roman" w:hAnsi="Times New Roman"/>
                <w:b/>
                <w:sz w:val="20"/>
                <w:szCs w:val="20"/>
              </w:rPr>
            </w:pPr>
          </w:p>
        </w:tc>
      </w:tr>
      <w:tr w:rsidR="00DD3EFA" w:rsidRPr="00EC2A1C" w14:paraId="1C2D773C"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53B1073C"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496F67CE" w14:textId="77777777" w:rsidR="00DD3EFA" w:rsidRPr="00EC2A1C" w:rsidRDefault="00DD3EFA" w:rsidP="00391907">
            <w:pPr>
              <w:numPr>
                <w:ilvl w:val="0"/>
                <w:numId w:val="3"/>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jasně definované cíle a opatření</w:t>
            </w:r>
          </w:p>
          <w:p w14:paraId="51EE2FF6"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2E050"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r w:rsidRPr="00EC2A1C">
              <w:rPr>
                <w:rFonts w:ascii="Times New Roman" w:hAnsi="Times New Roman"/>
                <w:sz w:val="20"/>
                <w:szCs w:val="20"/>
              </w:rPr>
              <w:t xml:space="preserve">NPSE formuluje cíle, které jsou svázány s kvantifikovanými limity (emisními stropy) danými evropskou legislativou. Pro tyto cíle jsou v NPSE uvedena konkrétní opatření. </w:t>
            </w:r>
          </w:p>
        </w:tc>
        <w:tc>
          <w:tcPr>
            <w:tcW w:w="249" w:type="dxa"/>
            <w:tcBorders>
              <w:top w:val="nil"/>
              <w:left w:val="single" w:sz="4" w:space="0" w:color="auto"/>
              <w:bottom w:val="nil"/>
              <w:right w:val="single" w:sz="4" w:space="0" w:color="auto"/>
            </w:tcBorders>
            <w:shd w:val="clear" w:color="auto" w:fill="66CCFF"/>
          </w:tcPr>
          <w:p w14:paraId="1E541EC7" w14:textId="77777777" w:rsidR="00DD3EFA" w:rsidRPr="00EC2A1C" w:rsidRDefault="00DD3EFA" w:rsidP="00B15ECB">
            <w:pPr>
              <w:rPr>
                <w:rFonts w:ascii="Times New Roman" w:hAnsi="Times New Roman"/>
                <w:b/>
                <w:sz w:val="20"/>
                <w:szCs w:val="20"/>
              </w:rPr>
            </w:pPr>
          </w:p>
        </w:tc>
      </w:tr>
      <w:tr w:rsidR="00DD3EFA" w:rsidRPr="00EC2A1C" w14:paraId="5C92761D"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17440274"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271EE4D3" w14:textId="77777777" w:rsidR="00DD3EFA" w:rsidRPr="00EC2A1C" w:rsidRDefault="00DD3EFA" w:rsidP="00391907">
            <w:pPr>
              <w:numPr>
                <w:ilvl w:val="0"/>
                <w:numId w:val="3"/>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implementační mechanismus</w:t>
            </w:r>
          </w:p>
          <w:p w14:paraId="673D2D78"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44FD"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r w:rsidRPr="00EC2A1C">
              <w:rPr>
                <w:rFonts w:ascii="Times New Roman" w:hAnsi="Times New Roman"/>
                <w:sz w:val="20"/>
                <w:szCs w:val="20"/>
              </w:rPr>
              <w:t xml:space="preserve">V NPSE je pro každé opatření určena gesce na úrovni resortů i termín plnění. V dokumentu, čl. 20 jsou specifikovány relevantní finanční zdroje. </w:t>
            </w:r>
          </w:p>
        </w:tc>
        <w:tc>
          <w:tcPr>
            <w:tcW w:w="249" w:type="dxa"/>
            <w:tcBorders>
              <w:top w:val="nil"/>
              <w:left w:val="single" w:sz="4" w:space="0" w:color="auto"/>
              <w:bottom w:val="nil"/>
              <w:right w:val="single" w:sz="4" w:space="0" w:color="auto"/>
            </w:tcBorders>
            <w:shd w:val="clear" w:color="auto" w:fill="66CCFF"/>
          </w:tcPr>
          <w:p w14:paraId="58916311" w14:textId="77777777" w:rsidR="00DD3EFA" w:rsidRPr="00EC2A1C" w:rsidRDefault="00DD3EFA" w:rsidP="00B15ECB">
            <w:pPr>
              <w:rPr>
                <w:rFonts w:ascii="Times New Roman" w:hAnsi="Times New Roman"/>
                <w:b/>
                <w:sz w:val="20"/>
                <w:szCs w:val="20"/>
              </w:rPr>
            </w:pPr>
          </w:p>
        </w:tc>
      </w:tr>
      <w:tr w:rsidR="00DD3EFA" w:rsidRPr="00EC2A1C" w14:paraId="7C2953F8"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79CA28CC"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8C1A63" w14:textId="77777777" w:rsidR="00DD3EFA" w:rsidRPr="00EC2A1C" w:rsidRDefault="00DD3EFA" w:rsidP="00391907">
            <w:pPr>
              <w:numPr>
                <w:ilvl w:val="0"/>
                <w:numId w:val="5"/>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monitoring a evaluace</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D209B" w14:textId="77777777" w:rsidR="00DD3EFA" w:rsidRPr="00EC2A1C" w:rsidRDefault="00DD3EFA" w:rsidP="00B15ECB">
            <w:pPr>
              <w:tabs>
                <w:tab w:val="left" w:pos="284"/>
                <w:tab w:val="left" w:pos="567"/>
              </w:tabs>
              <w:suppressAutoHyphens/>
              <w:spacing w:after="200" w:line="276" w:lineRule="auto"/>
              <w:rPr>
                <w:rFonts w:ascii="Times New Roman" w:hAnsi="Times New Roman"/>
                <w:sz w:val="20"/>
                <w:szCs w:val="20"/>
              </w:rPr>
            </w:pPr>
            <w:r w:rsidRPr="00EC2A1C">
              <w:rPr>
                <w:rFonts w:ascii="Times New Roman" w:hAnsi="Times New Roman"/>
                <w:sz w:val="20"/>
                <w:szCs w:val="20"/>
              </w:rPr>
              <w:t xml:space="preserve">Vyhodnocování implementace  NPSE je prováděno jednou ročně  na  základě stanovených indikátorů.  </w:t>
            </w:r>
          </w:p>
          <w:p w14:paraId="4638AF94" w14:textId="77777777" w:rsidR="00DD3EFA" w:rsidRPr="00EC2A1C" w:rsidRDefault="00DD3EFA" w:rsidP="00B15ECB">
            <w:pPr>
              <w:tabs>
                <w:tab w:val="left" w:pos="284"/>
                <w:tab w:val="left" w:pos="567"/>
              </w:tabs>
              <w:suppressAutoHyphens/>
              <w:spacing w:after="200" w:line="276" w:lineRule="auto"/>
              <w:rPr>
                <w:rFonts w:ascii="Times New Roman" w:hAnsi="Times New Roman"/>
                <w:sz w:val="20"/>
                <w:szCs w:val="20"/>
              </w:rPr>
            </w:pPr>
            <w:r w:rsidRPr="00EC2A1C">
              <w:rPr>
                <w:rFonts w:ascii="Times New Roman" w:hAnsi="Times New Roman"/>
                <w:sz w:val="20"/>
                <w:szCs w:val="20"/>
              </w:rPr>
              <w:t xml:space="preserve">Aktualizace NPSE je prováděna podle požadavků zákona o  ochraně ovzduší ve čtyřletých intervalech. </w:t>
            </w:r>
          </w:p>
          <w:p w14:paraId="07B48F5F" w14:textId="77777777" w:rsidR="00DD3EFA" w:rsidRPr="00EC2A1C" w:rsidRDefault="00DD3EFA" w:rsidP="00B15ECB">
            <w:pPr>
              <w:tabs>
                <w:tab w:val="left" w:pos="284"/>
                <w:tab w:val="left" w:pos="567"/>
              </w:tabs>
              <w:suppressAutoHyphens/>
              <w:spacing w:after="200" w:line="276" w:lineRule="auto"/>
              <w:rPr>
                <w:rFonts w:ascii="Times New Roman" w:hAnsi="Times New Roman"/>
                <w:sz w:val="20"/>
                <w:szCs w:val="20"/>
              </w:rPr>
            </w:pPr>
            <w:r w:rsidRPr="00EC2A1C">
              <w:rPr>
                <w:rFonts w:ascii="Times New Roman" w:hAnsi="Times New Roman"/>
                <w:sz w:val="20"/>
                <w:szCs w:val="20"/>
              </w:rPr>
              <w:t>V současné době (1/2019) je projednávána formulace dodatečných opatření. Dokument bude předložen ke schválení v r. 2019.</w:t>
            </w:r>
          </w:p>
        </w:tc>
        <w:tc>
          <w:tcPr>
            <w:tcW w:w="249" w:type="dxa"/>
            <w:tcBorders>
              <w:top w:val="nil"/>
              <w:left w:val="single" w:sz="4" w:space="0" w:color="auto"/>
              <w:bottom w:val="nil"/>
              <w:right w:val="single" w:sz="4" w:space="0" w:color="auto"/>
            </w:tcBorders>
            <w:shd w:val="clear" w:color="auto" w:fill="66CCFF"/>
          </w:tcPr>
          <w:p w14:paraId="34ECD161" w14:textId="77777777" w:rsidR="00DD3EFA" w:rsidRPr="00EC2A1C" w:rsidRDefault="00DD3EFA" w:rsidP="00B15ECB">
            <w:pPr>
              <w:rPr>
                <w:rFonts w:ascii="Times New Roman" w:hAnsi="Times New Roman"/>
                <w:b/>
                <w:sz w:val="20"/>
                <w:szCs w:val="20"/>
              </w:rPr>
            </w:pPr>
          </w:p>
        </w:tc>
      </w:tr>
      <w:tr w:rsidR="00DD3EFA" w:rsidRPr="00EC2A1C" w14:paraId="635FFF0F" w14:textId="77777777" w:rsidTr="00B15ECB">
        <w:trPr>
          <w:trHeight w:val="130"/>
        </w:trPr>
        <w:tc>
          <w:tcPr>
            <w:tcW w:w="249" w:type="dxa"/>
            <w:tcBorders>
              <w:top w:val="nil"/>
              <w:left w:val="single" w:sz="4" w:space="0" w:color="auto"/>
              <w:bottom w:val="nil"/>
              <w:right w:val="nil"/>
            </w:tcBorders>
            <w:shd w:val="clear" w:color="auto" w:fill="66CCFF"/>
          </w:tcPr>
          <w:p w14:paraId="58875A36"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5B9CB30A" w14:textId="77777777" w:rsidR="00DD3EFA" w:rsidRPr="00EC2A1C" w:rsidRDefault="00DD3EFA" w:rsidP="00B15ECB">
            <w:pPr>
              <w:rPr>
                <w:rFonts w:ascii="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258D7647" w14:textId="77777777" w:rsidR="00DD3EFA" w:rsidRPr="00EC2A1C" w:rsidRDefault="00DD3EFA" w:rsidP="00B15ECB">
            <w:pPr>
              <w:tabs>
                <w:tab w:val="left" w:pos="284"/>
                <w:tab w:val="left" w:pos="567"/>
              </w:tabs>
              <w:suppressAutoHyphens/>
              <w:spacing w:after="200"/>
              <w:rPr>
                <w:rFonts w:ascii="Times New Roman" w:hAnsi="Times New Roman"/>
                <w:b/>
                <w:sz w:val="20"/>
                <w:szCs w:val="20"/>
              </w:rPr>
            </w:pPr>
          </w:p>
        </w:tc>
        <w:tc>
          <w:tcPr>
            <w:tcW w:w="249" w:type="dxa"/>
            <w:tcBorders>
              <w:top w:val="nil"/>
              <w:left w:val="nil"/>
              <w:bottom w:val="nil"/>
              <w:right w:val="single" w:sz="4" w:space="0" w:color="auto"/>
            </w:tcBorders>
            <w:shd w:val="clear" w:color="auto" w:fill="66CCFF"/>
          </w:tcPr>
          <w:p w14:paraId="3EFF4DFF" w14:textId="77777777" w:rsidR="00DD3EFA" w:rsidRPr="00EC2A1C" w:rsidRDefault="00DD3EFA" w:rsidP="00B15ECB">
            <w:pPr>
              <w:rPr>
                <w:rFonts w:ascii="Times New Roman" w:hAnsi="Times New Roman"/>
                <w:b/>
                <w:sz w:val="20"/>
                <w:szCs w:val="20"/>
              </w:rPr>
            </w:pPr>
          </w:p>
        </w:tc>
      </w:tr>
      <w:tr w:rsidR="00DD3EFA" w:rsidRPr="00EC2A1C" w14:paraId="3E9D6019" w14:textId="77777777" w:rsidTr="00B15ECB">
        <w:trPr>
          <w:trHeight w:val="1258"/>
        </w:trPr>
        <w:tc>
          <w:tcPr>
            <w:tcW w:w="249" w:type="dxa"/>
            <w:tcBorders>
              <w:top w:val="nil"/>
              <w:left w:val="single" w:sz="4" w:space="0" w:color="auto"/>
              <w:bottom w:val="nil"/>
              <w:right w:val="nil"/>
            </w:tcBorders>
            <w:shd w:val="clear" w:color="auto" w:fill="66CCFF"/>
          </w:tcPr>
          <w:p w14:paraId="74C8D0F7" w14:textId="77777777" w:rsidR="00DD3EFA" w:rsidRPr="00EC2A1C" w:rsidRDefault="00DD3EFA" w:rsidP="00B15ECB">
            <w:pPr>
              <w:rPr>
                <w:rFonts w:ascii="Times New Roman" w:hAnsi="Times New Roman"/>
                <w:b/>
                <w:sz w:val="20"/>
                <w:szCs w:val="20"/>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0590DC" w14:textId="77777777" w:rsidR="00DD3EFA" w:rsidRPr="00EC2A1C" w:rsidRDefault="00DD3EFA" w:rsidP="00B15ECB">
            <w:pPr>
              <w:rPr>
                <w:rFonts w:ascii="Times New Roman" w:eastAsia="Times New Roman" w:hAnsi="Times New Roman"/>
                <w:b/>
                <w:sz w:val="20"/>
                <w:szCs w:val="20"/>
              </w:rPr>
            </w:pPr>
            <w:r w:rsidRPr="00EC2A1C">
              <w:rPr>
                <w:rFonts w:ascii="Times New Roman" w:eastAsia="Times New Roman" w:hAnsi="Times New Roman"/>
                <w:b/>
                <w:sz w:val="20"/>
                <w:szCs w:val="20"/>
              </w:rPr>
              <w:t>Zhodnocení dosavadního využití podpory tematické oblasti z ESIF (tj. v období 2014 – 2020, příp. 2007 – 2013).</w:t>
            </w:r>
          </w:p>
          <w:p w14:paraId="0B932EF4" w14:textId="77777777" w:rsidR="00DD3EFA" w:rsidRPr="00EC2A1C" w:rsidRDefault="00DD3EFA" w:rsidP="00B15ECB">
            <w:pPr>
              <w:rPr>
                <w:rFonts w:ascii="Times New Roman" w:eastAsia="Times New Roman" w:hAnsi="Times New Roman"/>
                <w:b/>
                <w:sz w:val="20"/>
                <w:szCs w:val="20"/>
              </w:rPr>
            </w:pPr>
          </w:p>
          <w:p w14:paraId="287CF0C1" w14:textId="77777777" w:rsidR="00DD3EFA" w:rsidRPr="00EC2A1C" w:rsidRDefault="00DD3EFA" w:rsidP="00B15ECB">
            <w:pPr>
              <w:tabs>
                <w:tab w:val="left" w:pos="284"/>
                <w:tab w:val="left" w:pos="567"/>
              </w:tabs>
              <w:suppressAutoHyphens/>
              <w:spacing w:after="200"/>
              <w:rPr>
                <w:rFonts w:ascii="Times New Roman" w:hAnsi="Times New Roman"/>
                <w:b/>
                <w:sz w:val="20"/>
                <w:szCs w:val="20"/>
              </w:rPr>
            </w:pPr>
            <w:r w:rsidRPr="00EC2A1C">
              <w:rPr>
                <w:rFonts w:ascii="Times New Roman" w:eastAsia="Times New Roman" w:hAnsi="Times New Roman"/>
                <w:b/>
                <w:sz w:val="20"/>
                <w:szCs w:val="20"/>
              </w:rPr>
              <w:t xml:space="preserve"> </w:t>
            </w:r>
          </w:p>
        </w:tc>
        <w:tc>
          <w:tcPr>
            <w:tcW w:w="249" w:type="dxa"/>
            <w:tcBorders>
              <w:top w:val="nil"/>
              <w:left w:val="nil"/>
              <w:bottom w:val="nil"/>
              <w:right w:val="single" w:sz="4" w:space="0" w:color="auto"/>
            </w:tcBorders>
            <w:shd w:val="clear" w:color="auto" w:fill="66CCFF"/>
          </w:tcPr>
          <w:p w14:paraId="5C2CD2BC" w14:textId="77777777" w:rsidR="00DD3EFA" w:rsidRPr="00EC2A1C" w:rsidRDefault="00DD3EFA" w:rsidP="00B15ECB">
            <w:pPr>
              <w:rPr>
                <w:rFonts w:ascii="Times New Roman" w:hAnsi="Times New Roman"/>
                <w:b/>
                <w:sz w:val="20"/>
                <w:szCs w:val="20"/>
              </w:rPr>
            </w:pPr>
          </w:p>
        </w:tc>
      </w:tr>
      <w:tr w:rsidR="00DD3EFA" w:rsidRPr="00EC2A1C" w14:paraId="5549DA0F" w14:textId="77777777" w:rsidTr="00B15ECB">
        <w:trPr>
          <w:trHeight w:val="1258"/>
        </w:trPr>
        <w:tc>
          <w:tcPr>
            <w:tcW w:w="249" w:type="dxa"/>
            <w:tcBorders>
              <w:top w:val="nil"/>
              <w:left w:val="single" w:sz="4" w:space="0" w:color="auto"/>
              <w:bottom w:val="nil"/>
              <w:right w:val="nil"/>
            </w:tcBorders>
            <w:shd w:val="clear" w:color="auto" w:fill="66CCFF"/>
          </w:tcPr>
          <w:p w14:paraId="367C64D7"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56A10" w14:textId="77777777" w:rsidR="00DD3EFA" w:rsidRPr="00EC2A1C" w:rsidRDefault="00DD3EFA" w:rsidP="00B15ECB">
            <w:pPr>
              <w:rPr>
                <w:rFonts w:ascii="Times New Roman" w:eastAsia="Times New Roman" w:hAnsi="Times New Roman"/>
                <w:b/>
                <w:sz w:val="20"/>
                <w:szCs w:val="20"/>
              </w:rPr>
            </w:pPr>
            <w:r w:rsidRPr="00EC2A1C">
              <w:rPr>
                <w:rFonts w:ascii="Times New Roman" w:eastAsia="Times New Roman" w:hAnsi="Times New Roman"/>
                <w:b/>
                <w:sz w:val="20"/>
                <w:szCs w:val="20"/>
              </w:rPr>
              <w:t>Věcný posun oblasti</w:t>
            </w:r>
          </w:p>
          <w:p w14:paraId="6532DF79" w14:textId="77777777" w:rsidR="00DD3EFA" w:rsidRPr="00EC2A1C" w:rsidRDefault="00DD3EFA" w:rsidP="00B15ECB">
            <w:pPr>
              <w:rPr>
                <w:rFonts w:ascii="Times New Roman" w:eastAsia="Times New Roman" w:hAnsi="Times New Roman"/>
                <w:b/>
                <w:sz w:val="20"/>
                <w:szCs w:val="20"/>
                <w:highlight w:val="yellow"/>
              </w:rPr>
            </w:pPr>
            <w:r w:rsidRPr="00EC2A1C">
              <w:rPr>
                <w:rFonts w:ascii="Times New Roman" w:eastAsia="Times New Roman" w:hAnsi="Times New Roman"/>
                <w:b/>
                <w:sz w:val="20"/>
                <w:szCs w:val="20"/>
              </w:rPr>
              <w:t>(tj. v období 2014 – 2020, příp. 2007 – 2013)</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BB401DE" w14:textId="5CA3C62E" w:rsidR="00DD3EFA" w:rsidRPr="00EC2A1C" w:rsidRDefault="00DD3EFA" w:rsidP="00B15ECB">
            <w:pPr>
              <w:spacing w:before="60" w:after="60" w:line="276" w:lineRule="auto"/>
              <w:rPr>
                <w:rFonts w:ascii="Times New Roman" w:hAnsi="Times New Roman"/>
                <w:sz w:val="20"/>
                <w:szCs w:val="20"/>
              </w:rPr>
            </w:pPr>
            <w:r w:rsidRPr="00EC2A1C">
              <w:rPr>
                <w:rFonts w:ascii="Times New Roman" w:hAnsi="Times New Roman"/>
                <w:sz w:val="20"/>
                <w:szCs w:val="20"/>
              </w:rPr>
              <w:t>Opatření spadající do dané oblasti byla podporována v rámci Operačního programu Životní prostředí (OPŽP) jak v období 2007-2013, tak 2014–2020. I přes množství finančn</w:t>
            </w:r>
            <w:r w:rsidR="005C7F05" w:rsidRPr="00EC2A1C">
              <w:rPr>
                <w:rFonts w:ascii="Times New Roman" w:hAnsi="Times New Roman"/>
                <w:sz w:val="20"/>
                <w:szCs w:val="20"/>
              </w:rPr>
              <w:t xml:space="preserve">ích prostředků vyčleněných pro </w:t>
            </w:r>
            <w:r w:rsidRPr="00EC2A1C">
              <w:rPr>
                <w:rFonts w:ascii="Times New Roman" w:hAnsi="Times New Roman"/>
                <w:sz w:val="20"/>
                <w:szCs w:val="20"/>
              </w:rPr>
              <w:t xml:space="preserve">tuto oblast je nutné i nadále pokračovat ve snižování znečištění ovzduší a nacházet v tomto ohledu nové technologie a postupy, které bude nutné podpořit.  </w:t>
            </w:r>
          </w:p>
          <w:p w14:paraId="73B8847A" w14:textId="77777777" w:rsidR="00DD3EFA" w:rsidRPr="00EC2A1C" w:rsidRDefault="00DD3EFA" w:rsidP="00B15ECB">
            <w:pPr>
              <w:spacing w:before="60" w:after="60" w:line="276" w:lineRule="auto"/>
              <w:rPr>
                <w:rFonts w:ascii="Times New Roman" w:hAnsi="Times New Roman"/>
                <w:sz w:val="20"/>
                <w:szCs w:val="20"/>
              </w:rPr>
            </w:pPr>
            <w:r w:rsidRPr="00EC2A1C">
              <w:rPr>
                <w:rFonts w:ascii="Times New Roman" w:hAnsi="Times New Roman"/>
                <w:sz w:val="20"/>
                <w:szCs w:val="20"/>
              </w:rPr>
              <w:t xml:space="preserve">V rámci OPŽP v programovém období 2014-2020 je podpora zlepšování kvality ovzduší uskutečňována pomocí prioritní osy 2, kde se konkrétně jedná o zlepšení kvality ovzduší v lidských sídlech. Prioritní osa se dělí momentálně na čtyři specifické cíle (SC): 2.1 Snížit emise z lokálního vytápění domácností podílející se na expozici obyvatelstva nadlimitním koncentracím znečišťujících látek, 2.2 Snížit emise stacionárních zdrojů podílející se na expozici obyvatelstva nadlimitním koncentracím znečišťujících látek, 2.3 Zlepšit systém sledování, hodnocení a předpovídání vývoje kvality ovzduší a souvisejících meteorologických aspektů a nově se od roku 2019 zavádí SC 2.4 Snížit emise stacionárních zdrojů podílející se na expozici obyvatelstva nadlimitním koncentracím znečišťujících látek v uhelných regionech (tj. Moravskoslezský, Ústecký a Karlovarský kraj). </w:t>
            </w:r>
          </w:p>
          <w:p w14:paraId="08BF2CA4" w14:textId="77777777" w:rsidR="00DD3EFA" w:rsidRPr="00EC2A1C" w:rsidRDefault="00DD3EFA" w:rsidP="00B15ECB">
            <w:pPr>
              <w:spacing w:before="60" w:after="60" w:line="276" w:lineRule="auto"/>
              <w:rPr>
                <w:rFonts w:ascii="Times New Roman" w:hAnsi="Times New Roman"/>
                <w:sz w:val="20"/>
                <w:szCs w:val="20"/>
              </w:rPr>
            </w:pPr>
            <w:r w:rsidRPr="00EC2A1C">
              <w:rPr>
                <w:rFonts w:ascii="Times New Roman" w:hAnsi="Times New Roman"/>
                <w:sz w:val="20"/>
                <w:szCs w:val="20"/>
              </w:rPr>
              <w:t>V rámci OPŽP 2014 – 2020 bylo na SC 2.1 alokováno cca 9,9 mld. Kč (380 mil. EUR) EU prostředků, na SC 2.2 je alokováno cca 3,4 mld. Kč (132 mil. EUR) EU prostředků, na SC 2.3 je alokováno cca 467 mil. Kč (18 mil. EUR) EU prostředků a nově na SC 2.4 je alokováno cca 1 mld. Kč (39,2 mil. EUR) EU prostředků.</w:t>
            </w:r>
          </w:p>
          <w:p w14:paraId="29204DD8" w14:textId="77777777" w:rsidR="00DD3EFA" w:rsidRPr="00EC2A1C" w:rsidRDefault="00DD3EFA" w:rsidP="00B15ECB">
            <w:pPr>
              <w:spacing w:before="60" w:after="60" w:line="276" w:lineRule="auto"/>
              <w:rPr>
                <w:rFonts w:ascii="Times New Roman" w:hAnsi="Times New Roman"/>
                <w:sz w:val="20"/>
                <w:szCs w:val="20"/>
              </w:rPr>
            </w:pPr>
            <w:r w:rsidRPr="00EC2A1C">
              <w:rPr>
                <w:rFonts w:ascii="Times New Roman" w:hAnsi="Times New Roman"/>
                <w:sz w:val="20"/>
                <w:szCs w:val="20"/>
              </w:rPr>
              <w:t>V rámci OPŽP 2014 – 2020 byly v rámci Programového dokumentu stanoveny 4 společné a specifické programové ukazatele výstupů v prioritní ose 2:</w:t>
            </w:r>
          </w:p>
          <w:p w14:paraId="57572F22" w14:textId="77777777" w:rsidR="00DD3EFA" w:rsidRPr="00EC2A1C" w:rsidRDefault="00DD3EFA" w:rsidP="00391907">
            <w:pPr>
              <w:numPr>
                <w:ilvl w:val="0"/>
                <w:numId w:val="100"/>
              </w:numPr>
              <w:spacing w:before="60" w:after="60" w:line="276" w:lineRule="auto"/>
              <w:contextualSpacing/>
              <w:rPr>
                <w:rFonts w:ascii="Times New Roman" w:hAnsi="Times New Roman"/>
                <w:sz w:val="20"/>
                <w:szCs w:val="20"/>
              </w:rPr>
            </w:pPr>
            <w:r w:rsidRPr="00EC2A1C">
              <w:rPr>
                <w:rFonts w:ascii="Times New Roman" w:hAnsi="Times New Roman"/>
                <w:sz w:val="20"/>
                <w:szCs w:val="20"/>
              </w:rPr>
              <w:t>Počet stacionárních zdrojů znečišťování ovzduší, u kterých bylo provedeno opatření ke snížení emisí – cílová hodnota v r. 2023 je 89 694 opatření stacionármích zdrojů</w:t>
            </w:r>
          </w:p>
          <w:p w14:paraId="46B8191F" w14:textId="77777777" w:rsidR="00DD3EFA" w:rsidRPr="00EC2A1C" w:rsidRDefault="00DD3EFA" w:rsidP="00391907">
            <w:pPr>
              <w:numPr>
                <w:ilvl w:val="0"/>
                <w:numId w:val="100"/>
              </w:numPr>
              <w:spacing w:before="60" w:after="60" w:line="276" w:lineRule="auto"/>
              <w:contextualSpacing/>
              <w:rPr>
                <w:rFonts w:ascii="Times New Roman" w:hAnsi="Times New Roman"/>
                <w:sz w:val="20"/>
                <w:szCs w:val="20"/>
              </w:rPr>
            </w:pPr>
            <w:r w:rsidRPr="00EC2A1C">
              <w:rPr>
                <w:rFonts w:ascii="Times New Roman" w:hAnsi="Times New Roman"/>
                <w:sz w:val="20"/>
                <w:szCs w:val="20"/>
              </w:rPr>
              <w:t>Odhadované roční snížení emisí skleníkových plynů – cílová hodnota v r. 2023 je 350 077 t CO</w:t>
            </w:r>
            <w:r w:rsidRPr="00EC2A1C">
              <w:rPr>
                <w:rFonts w:ascii="Times New Roman" w:hAnsi="Times New Roman"/>
                <w:sz w:val="20"/>
                <w:szCs w:val="20"/>
                <w:vertAlign w:val="subscript"/>
              </w:rPr>
              <w:t>2</w:t>
            </w:r>
            <w:r w:rsidRPr="00EC2A1C">
              <w:rPr>
                <w:rFonts w:ascii="Times New Roman" w:hAnsi="Times New Roman"/>
                <w:sz w:val="20"/>
                <w:szCs w:val="20"/>
              </w:rPr>
              <w:t>ekv./rok</w:t>
            </w:r>
          </w:p>
          <w:p w14:paraId="1FA89813" w14:textId="77777777" w:rsidR="00DD3EFA" w:rsidRPr="00EC2A1C" w:rsidRDefault="00DD3EFA" w:rsidP="00391907">
            <w:pPr>
              <w:numPr>
                <w:ilvl w:val="0"/>
                <w:numId w:val="100"/>
              </w:numPr>
              <w:spacing w:before="60" w:after="60" w:line="276" w:lineRule="auto"/>
              <w:contextualSpacing/>
              <w:rPr>
                <w:rFonts w:ascii="Times New Roman" w:hAnsi="Times New Roman"/>
                <w:sz w:val="20"/>
                <w:szCs w:val="20"/>
              </w:rPr>
            </w:pPr>
            <w:r w:rsidRPr="00EC2A1C">
              <w:rPr>
                <w:rFonts w:ascii="Times New Roman" w:hAnsi="Times New Roman"/>
                <w:sz w:val="20"/>
                <w:szCs w:val="20"/>
              </w:rPr>
              <w:t xml:space="preserve">Počet pořízených přístrojů a techniky ke sledování, hodnocení a předpovídání kvality ovzduší a relevantních meteorologických aspektů – cílová hodnota v r. 2023 je 350 pořízených přístrojů a techniky </w:t>
            </w:r>
          </w:p>
          <w:p w14:paraId="21DED444" w14:textId="77777777" w:rsidR="00DD3EFA" w:rsidRPr="00EC2A1C" w:rsidRDefault="00DD3EFA" w:rsidP="00391907">
            <w:pPr>
              <w:numPr>
                <w:ilvl w:val="0"/>
                <w:numId w:val="100"/>
              </w:numPr>
              <w:spacing w:before="60" w:after="60" w:line="276" w:lineRule="auto"/>
              <w:contextualSpacing/>
              <w:rPr>
                <w:rFonts w:ascii="Times New Roman" w:hAnsi="Times New Roman"/>
                <w:sz w:val="20"/>
                <w:szCs w:val="20"/>
              </w:rPr>
            </w:pPr>
            <w:r w:rsidRPr="00EC2A1C">
              <w:rPr>
                <w:rFonts w:ascii="Times New Roman" w:hAnsi="Times New Roman"/>
                <w:sz w:val="20"/>
                <w:szCs w:val="20"/>
              </w:rPr>
              <w:t>Počet pořízených licencí a nově vyvinutých nebo zmodernizovaných softwarových nástrojů ke sledování, hodnocení a předpovídání kvality ovzduší a relevantních meteorologických aspektů – cílová hodnota v r. 2023 je 8 nástrojů</w:t>
            </w:r>
          </w:p>
          <w:p w14:paraId="7C81F37D" w14:textId="77777777" w:rsidR="00DD3EFA" w:rsidRPr="00EC2A1C" w:rsidRDefault="00DD3EFA" w:rsidP="00B15ECB">
            <w:pPr>
              <w:spacing w:before="60" w:after="60" w:line="276" w:lineRule="auto"/>
              <w:rPr>
                <w:rFonts w:ascii="Times New Roman" w:hAnsi="Times New Roman"/>
                <w:sz w:val="20"/>
                <w:szCs w:val="20"/>
              </w:rPr>
            </w:pPr>
          </w:p>
          <w:p w14:paraId="20670ADB" w14:textId="0F35E4C5" w:rsidR="00DD3EFA" w:rsidRPr="00EC2A1C" w:rsidRDefault="00DD3EFA" w:rsidP="00B15ECB">
            <w:pPr>
              <w:spacing w:before="60" w:after="60" w:line="276" w:lineRule="auto"/>
              <w:rPr>
                <w:rFonts w:ascii="Times New Roman" w:hAnsi="Times New Roman"/>
                <w:sz w:val="20"/>
                <w:szCs w:val="20"/>
              </w:rPr>
            </w:pPr>
            <w:r w:rsidRPr="00EC2A1C">
              <w:rPr>
                <w:rFonts w:ascii="Times New Roman" w:hAnsi="Times New Roman"/>
                <w:sz w:val="20"/>
                <w:szCs w:val="20"/>
              </w:rPr>
              <w:t>V rámci OPŽP 2007 – 2013 byla podporována PO 2 Zlepšování kvality ovzduší a snižování emisí. Pro oblast podpory 2.1 Zlepšování kvality ovzduší bylo alokováno cca 7 412 mil. Kč (273 mil. EUR) EU prostředků a pro oblast 2.2 Omezo</w:t>
            </w:r>
            <w:r w:rsidR="005C7F05" w:rsidRPr="00EC2A1C">
              <w:rPr>
                <w:rFonts w:ascii="Times New Roman" w:hAnsi="Times New Roman"/>
                <w:sz w:val="20"/>
                <w:szCs w:val="20"/>
              </w:rPr>
              <w:t>vání emisí cca 12 148 mil. Kč (</w:t>
            </w:r>
            <w:r w:rsidRPr="00EC2A1C">
              <w:rPr>
                <w:rFonts w:ascii="Times New Roman" w:hAnsi="Times New Roman"/>
                <w:sz w:val="20"/>
                <w:szCs w:val="20"/>
              </w:rPr>
              <w:t xml:space="preserve">445 EUR) EU prostředků. </w:t>
            </w:r>
          </w:p>
          <w:p w14:paraId="2C18448F" w14:textId="77777777" w:rsidR="00DD3EFA" w:rsidRPr="00EC2A1C" w:rsidRDefault="00DD3EFA" w:rsidP="00B15ECB">
            <w:pPr>
              <w:spacing w:before="60" w:after="60" w:line="276" w:lineRule="auto"/>
              <w:rPr>
                <w:rFonts w:ascii="Times New Roman" w:hAnsi="Times New Roman"/>
                <w:sz w:val="20"/>
                <w:szCs w:val="20"/>
              </w:rPr>
            </w:pPr>
            <w:r w:rsidRPr="00EC2A1C">
              <w:rPr>
                <w:rFonts w:ascii="Times New Roman" w:hAnsi="Times New Roman"/>
                <w:sz w:val="20"/>
                <w:szCs w:val="20"/>
              </w:rPr>
              <w:t>V rámci OPŽP 2007 – 2013 bylo 5 indikátorů, jejichž sledování bylo stanoveno v Programovém dokumentu OPŽP:</w:t>
            </w:r>
          </w:p>
          <w:p w14:paraId="3A0AE2FD" w14:textId="77777777" w:rsidR="00DD3EFA" w:rsidRPr="00EC2A1C" w:rsidRDefault="00DD3EFA" w:rsidP="00391907">
            <w:pPr>
              <w:numPr>
                <w:ilvl w:val="0"/>
                <w:numId w:val="3"/>
              </w:numPr>
              <w:autoSpaceDE w:val="0"/>
              <w:autoSpaceDN w:val="0"/>
              <w:adjustRightInd w:val="0"/>
              <w:rPr>
                <w:rFonts w:ascii="Times New Roman" w:hAnsi="Times New Roman"/>
                <w:color w:val="000000"/>
                <w:sz w:val="20"/>
                <w:szCs w:val="20"/>
              </w:rPr>
            </w:pPr>
            <w:r w:rsidRPr="00EC2A1C">
              <w:rPr>
                <w:rFonts w:ascii="Times New Roman" w:hAnsi="Times New Roman"/>
                <w:color w:val="000000"/>
                <w:sz w:val="20"/>
                <w:szCs w:val="20"/>
              </w:rPr>
              <w:t>Expozice obyvatelstva nadlimitním koncentracím PM10 – dosažené snížení expozice na 10,4 % z výchozí hodnoty 66 %</w:t>
            </w:r>
          </w:p>
          <w:p w14:paraId="4EB2D0DC" w14:textId="77777777" w:rsidR="00DD3EFA" w:rsidRPr="00EC2A1C" w:rsidRDefault="00DD3EFA" w:rsidP="00391907">
            <w:pPr>
              <w:numPr>
                <w:ilvl w:val="0"/>
                <w:numId w:val="3"/>
              </w:numPr>
              <w:spacing w:before="60" w:after="60" w:line="276" w:lineRule="auto"/>
              <w:contextualSpacing/>
              <w:rPr>
                <w:rFonts w:ascii="Times New Roman" w:hAnsi="Times New Roman"/>
                <w:i/>
                <w:sz w:val="20"/>
                <w:szCs w:val="20"/>
              </w:rPr>
            </w:pPr>
            <w:r w:rsidRPr="00EC2A1C">
              <w:rPr>
                <w:rFonts w:ascii="Times New Roman" w:hAnsi="Times New Roman"/>
                <w:i/>
                <w:sz w:val="20"/>
                <w:szCs w:val="20"/>
              </w:rPr>
              <w:t>Počet projektů zaměřených na zvýšení kvality ovzduší</w:t>
            </w:r>
            <w:r w:rsidRPr="00EC2A1C">
              <w:rPr>
                <w:rFonts w:ascii="Times New Roman" w:hAnsi="Times New Roman"/>
                <w:sz w:val="20"/>
                <w:szCs w:val="20"/>
              </w:rPr>
              <w:t xml:space="preserve"> – dosažená hodnota 2454 projektů</w:t>
            </w:r>
          </w:p>
          <w:p w14:paraId="3D0376AB" w14:textId="01F4D93D" w:rsidR="00DD3EFA" w:rsidRPr="00EC2A1C" w:rsidRDefault="00DD3EFA" w:rsidP="00391907">
            <w:pPr>
              <w:numPr>
                <w:ilvl w:val="0"/>
                <w:numId w:val="3"/>
              </w:numPr>
              <w:spacing w:before="60" w:after="60" w:line="276" w:lineRule="auto"/>
              <w:contextualSpacing/>
              <w:rPr>
                <w:rFonts w:ascii="Times New Roman" w:hAnsi="Times New Roman"/>
                <w:i/>
                <w:sz w:val="20"/>
                <w:szCs w:val="20"/>
              </w:rPr>
            </w:pPr>
            <w:r w:rsidRPr="00EC2A1C">
              <w:rPr>
                <w:rFonts w:ascii="Times New Roman" w:hAnsi="Times New Roman"/>
                <w:i/>
                <w:sz w:val="20"/>
                <w:szCs w:val="20"/>
              </w:rPr>
              <w:t>Emise prim.</w:t>
            </w:r>
            <w:r w:rsidR="005C7F05" w:rsidRPr="00EC2A1C">
              <w:rPr>
                <w:rFonts w:ascii="Times New Roman" w:hAnsi="Times New Roman"/>
                <w:i/>
                <w:sz w:val="20"/>
                <w:szCs w:val="20"/>
              </w:rPr>
              <w:t xml:space="preserve"> </w:t>
            </w:r>
            <w:r w:rsidRPr="00EC2A1C">
              <w:rPr>
                <w:rFonts w:ascii="Times New Roman" w:hAnsi="Times New Roman"/>
                <w:i/>
                <w:sz w:val="20"/>
                <w:szCs w:val="20"/>
              </w:rPr>
              <w:t xml:space="preserve">částic a prekurzorů sek. Částic </w:t>
            </w:r>
            <w:r w:rsidRPr="00EC2A1C">
              <w:rPr>
                <w:rFonts w:ascii="Times New Roman" w:hAnsi="Times New Roman"/>
                <w:sz w:val="20"/>
                <w:szCs w:val="20"/>
              </w:rPr>
              <w:t>– dosažená hodnota 291 kt/rok z výchozí hodnoty 468 kt/rok</w:t>
            </w:r>
          </w:p>
          <w:p w14:paraId="48EC436E" w14:textId="77777777" w:rsidR="00DD3EFA" w:rsidRPr="00EC2A1C" w:rsidRDefault="00DD3EFA" w:rsidP="00391907">
            <w:pPr>
              <w:numPr>
                <w:ilvl w:val="0"/>
                <w:numId w:val="3"/>
              </w:numPr>
              <w:spacing w:before="60" w:after="60" w:line="276" w:lineRule="auto"/>
              <w:contextualSpacing/>
              <w:rPr>
                <w:rFonts w:ascii="Times New Roman" w:hAnsi="Times New Roman"/>
                <w:i/>
                <w:sz w:val="20"/>
                <w:szCs w:val="20"/>
              </w:rPr>
            </w:pPr>
            <w:r w:rsidRPr="00EC2A1C">
              <w:rPr>
                <w:rFonts w:ascii="Times New Roman" w:hAnsi="Times New Roman"/>
                <w:i/>
                <w:sz w:val="20"/>
                <w:szCs w:val="20"/>
              </w:rPr>
              <w:t>Snížení emisí NOx z veřejné silniční dopravy ve vybraných regionech</w:t>
            </w:r>
            <w:r w:rsidRPr="00EC2A1C">
              <w:rPr>
                <w:rFonts w:ascii="Times New Roman" w:hAnsi="Times New Roman"/>
                <w:sz w:val="20"/>
                <w:szCs w:val="20"/>
              </w:rPr>
              <w:t xml:space="preserve"> – snížení o 126,75 t/rok </w:t>
            </w:r>
          </w:p>
          <w:p w14:paraId="2AE3AD7A" w14:textId="77777777" w:rsidR="00DD3EFA" w:rsidRPr="00EC2A1C" w:rsidRDefault="00DD3EFA" w:rsidP="00391907">
            <w:pPr>
              <w:numPr>
                <w:ilvl w:val="0"/>
                <w:numId w:val="3"/>
              </w:numPr>
              <w:spacing w:before="60" w:after="60" w:line="276" w:lineRule="auto"/>
              <w:contextualSpacing/>
              <w:rPr>
                <w:rFonts w:ascii="Times New Roman" w:hAnsi="Times New Roman"/>
                <w:sz w:val="20"/>
                <w:szCs w:val="20"/>
              </w:rPr>
            </w:pPr>
            <w:r w:rsidRPr="00EC2A1C">
              <w:rPr>
                <w:rFonts w:ascii="Times New Roman" w:hAnsi="Times New Roman"/>
                <w:sz w:val="20"/>
                <w:szCs w:val="20"/>
              </w:rPr>
              <w:t>Snížení emisí tuhých znečišťujících látek (TZL) z veřejné silniční dopravy ve vybraných regionech – snížení emisí o 4,5 t/rok</w:t>
            </w:r>
          </w:p>
          <w:p w14:paraId="7B82E4FA"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r w:rsidRPr="00EC2A1C">
              <w:rPr>
                <w:rFonts w:ascii="Times New Roman" w:hAnsi="Times New Roman"/>
                <w:sz w:val="20"/>
                <w:szCs w:val="20"/>
              </w:rPr>
              <w:t>Prioritní osa 2 OPŽP je zaměřena především na snižování emisí tuhých znečišťujících látek, u nichž  došlo za období 2007 - 2013 ke snížení emisí dosažené za podpory OPŽP o cca 11 kt/rok, což představovalo významný přínos k celkovému snížení těchto emisí. V případě oxidů dusíku, bylo snížení emisí dosažené za podpory OPŽP přibližně 16,5 kt/rok, u oxidu siřičitého cca 13 kt/rok, těkavých organických látek cca 0,8 kt/rok a amoniaku cca 1,1 kt/rok.</w:t>
            </w:r>
          </w:p>
          <w:p w14:paraId="67974BD8"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r w:rsidRPr="00EC2A1C">
              <w:rPr>
                <w:rFonts w:ascii="Times New Roman" w:hAnsi="Times New Roman"/>
                <w:sz w:val="20"/>
                <w:szCs w:val="20"/>
              </w:rPr>
              <w:t>V rámci již schválených žádostí na výměny kotlů v domácnostech ze specifického cíle 2.1 OPŽP 2014 - 2020 se očekává snížení emisí TZL o cca 2 700 t/rok, oxidu siřičitého o cca 1 300 t/rok a těkavých organických látek o cca 5 300 t/rok.</w:t>
            </w:r>
          </w:p>
          <w:p w14:paraId="32459594"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r w:rsidRPr="00EC2A1C">
              <w:rPr>
                <w:rFonts w:ascii="Times New Roman" w:hAnsi="Times New Roman"/>
                <w:sz w:val="20"/>
                <w:szCs w:val="20"/>
              </w:rPr>
              <w:t>V rámci již schválených projektů specifického cíle 2.2 OPŽP 2014 - 2020 se očekává snížení emisí TZL o cca 1 300 t/rok, oxidů dusíku o cca 230 t/rok, oxidu siřičitého o cca 4 400 t/rok, těkavých organických látek o cca 60 t/rok a amoniaku o cca 70 t/rok.</w:t>
            </w:r>
          </w:p>
          <w:p w14:paraId="32882F20" w14:textId="77777777" w:rsidR="00DD3EFA" w:rsidRPr="00EC2A1C" w:rsidRDefault="00DD3EFA" w:rsidP="00B15ECB">
            <w:pPr>
              <w:spacing w:before="60" w:after="60" w:line="276" w:lineRule="auto"/>
              <w:rPr>
                <w:rFonts w:ascii="Times New Roman" w:hAnsi="Times New Roman"/>
                <w:sz w:val="20"/>
                <w:szCs w:val="20"/>
              </w:rPr>
            </w:pPr>
            <w:r w:rsidRPr="00EC2A1C">
              <w:rPr>
                <w:rFonts w:ascii="Times New Roman" w:hAnsi="Times New Roman"/>
                <w:sz w:val="20"/>
                <w:szCs w:val="20"/>
              </w:rPr>
              <w:t>Pokles imisních koncentrací prachových částic nekoreluje přesně s výrazným snížením emisí ze stacionárních zdrojů, které bylo zaznamenáno během obou programových období. Kvalita ovzduší v České republice stále nesplňuje požadavky stanovené národní a evropskou legislativou pro ochranu zdraví lidí a ekosystémů a je v zatížených oblastech spojena s významnými zdravotními riziky a poškozováním ekosystémů.</w:t>
            </w:r>
          </w:p>
        </w:tc>
        <w:tc>
          <w:tcPr>
            <w:tcW w:w="249" w:type="dxa"/>
            <w:tcBorders>
              <w:top w:val="nil"/>
              <w:left w:val="nil"/>
              <w:bottom w:val="nil"/>
              <w:right w:val="single" w:sz="4" w:space="0" w:color="auto"/>
            </w:tcBorders>
            <w:shd w:val="clear" w:color="auto" w:fill="66CCFF"/>
          </w:tcPr>
          <w:p w14:paraId="2D84A8BB" w14:textId="77777777" w:rsidR="00DD3EFA" w:rsidRPr="00EC2A1C" w:rsidRDefault="00DD3EFA" w:rsidP="00B15ECB">
            <w:pPr>
              <w:rPr>
                <w:rFonts w:ascii="Times New Roman" w:hAnsi="Times New Roman"/>
                <w:b/>
                <w:sz w:val="20"/>
                <w:szCs w:val="20"/>
              </w:rPr>
            </w:pPr>
          </w:p>
        </w:tc>
      </w:tr>
      <w:tr w:rsidR="00DD3EFA" w:rsidRPr="00EC2A1C" w14:paraId="0F5343A0" w14:textId="77777777" w:rsidTr="00B15ECB">
        <w:trPr>
          <w:trHeight w:val="1258"/>
        </w:trPr>
        <w:tc>
          <w:tcPr>
            <w:tcW w:w="249" w:type="dxa"/>
            <w:tcBorders>
              <w:top w:val="nil"/>
              <w:left w:val="single" w:sz="4" w:space="0" w:color="auto"/>
              <w:bottom w:val="nil"/>
              <w:right w:val="nil"/>
            </w:tcBorders>
            <w:shd w:val="clear" w:color="auto" w:fill="66CCFF"/>
          </w:tcPr>
          <w:p w14:paraId="0D3F6046"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5D0358" w14:textId="77777777" w:rsidR="00DD3EFA" w:rsidRPr="00EC2A1C" w:rsidRDefault="00DD3EFA" w:rsidP="00B15ECB">
            <w:pPr>
              <w:rPr>
                <w:rFonts w:ascii="Times New Roman" w:eastAsia="Times New Roman" w:hAnsi="Times New Roman"/>
                <w:b/>
                <w:sz w:val="20"/>
                <w:szCs w:val="20"/>
              </w:rPr>
            </w:pPr>
            <w:r w:rsidRPr="00EC2A1C">
              <w:rPr>
                <w:rFonts w:ascii="Times New Roman" w:eastAsia="Times New Roman" w:hAnsi="Times New Roman"/>
                <w:b/>
                <w:sz w:val="20"/>
                <w:szCs w:val="20"/>
              </w:rPr>
              <w:t>Synergické a multiplikační efekty</w:t>
            </w:r>
          </w:p>
          <w:p w14:paraId="32561D5D" w14:textId="77777777" w:rsidR="00DD3EFA" w:rsidRPr="00EC2A1C" w:rsidRDefault="00DD3EFA" w:rsidP="00B15ECB">
            <w:pPr>
              <w:rPr>
                <w:rFonts w:ascii="Times New Roman" w:eastAsia="Times New Roman" w:hAnsi="Times New Roman"/>
                <w:b/>
                <w:sz w:val="20"/>
                <w:szCs w:val="20"/>
                <w:highlight w:val="yellow"/>
              </w:rPr>
            </w:pPr>
            <w:r w:rsidRPr="00EC2A1C">
              <w:rPr>
                <w:rFonts w:ascii="Times New Roman" w:eastAsia="Times New Roman" w:hAnsi="Times New Roman"/>
                <w:b/>
                <w:sz w:val="20"/>
                <w:szCs w:val="20"/>
              </w:rPr>
              <w:t>(tj. v období 2014 – 2020, příp. 2007 – 2013)</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CB13CD2"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r w:rsidRPr="00EC2A1C">
              <w:rPr>
                <w:rFonts w:ascii="Times New Roman" w:hAnsi="Times New Roman"/>
                <w:sz w:val="20"/>
                <w:szCs w:val="20"/>
              </w:rPr>
              <w:t>Kvalita ovzduší přímo ovlivňuje zdraví obyvatel. Má přímý vliv na hospodářství, kdy v důsledku zhoršené kvality ovzduší může být omezen provoz některých podniků, dochází ke snížení výnosů či přímo škodám na zemědělských plodinách, poškození dřevin apod.</w:t>
            </w:r>
          </w:p>
          <w:p w14:paraId="26771B6F" w14:textId="77777777" w:rsidR="00DD3EFA" w:rsidRPr="00EC2A1C" w:rsidRDefault="00DD3EFA" w:rsidP="00B15ECB">
            <w:pPr>
              <w:tabs>
                <w:tab w:val="left" w:pos="284"/>
                <w:tab w:val="left" w:pos="567"/>
              </w:tabs>
              <w:suppressAutoHyphens/>
              <w:spacing w:after="200" w:line="276" w:lineRule="auto"/>
              <w:rPr>
                <w:rFonts w:ascii="Times New Roman" w:hAnsi="Times New Roman"/>
                <w:sz w:val="20"/>
                <w:szCs w:val="20"/>
              </w:rPr>
            </w:pPr>
            <w:r w:rsidRPr="00EC2A1C">
              <w:rPr>
                <w:rFonts w:ascii="Times New Roman" w:hAnsi="Times New Roman"/>
                <w:sz w:val="20"/>
                <w:szCs w:val="20"/>
              </w:rPr>
              <w:t xml:space="preserve">Ve vztahu k ostatním kartám NKR přispívá k </w:t>
            </w:r>
          </w:p>
          <w:p w14:paraId="42642E51" w14:textId="77777777" w:rsidR="00DD3EFA" w:rsidRPr="00EC2A1C" w:rsidRDefault="00DD3EFA" w:rsidP="00391907">
            <w:pPr>
              <w:numPr>
                <w:ilvl w:val="0"/>
                <w:numId w:val="114"/>
              </w:numPr>
              <w:tabs>
                <w:tab w:val="left" w:pos="284"/>
                <w:tab w:val="left" w:pos="567"/>
              </w:tabs>
              <w:suppressAutoHyphens/>
              <w:rPr>
                <w:rFonts w:ascii="Times New Roman" w:hAnsi="Times New Roman"/>
                <w:sz w:val="20"/>
                <w:szCs w:val="20"/>
              </w:rPr>
            </w:pPr>
            <w:r w:rsidRPr="00EC2A1C">
              <w:rPr>
                <w:rFonts w:ascii="Times New Roman" w:hAnsi="Times New Roman"/>
                <w:sz w:val="20"/>
                <w:szCs w:val="20"/>
              </w:rPr>
              <w:t xml:space="preserve">Podpora podnikání a průmyslu,  </w:t>
            </w:r>
          </w:p>
          <w:p w14:paraId="1851ADB9" w14:textId="77777777" w:rsidR="00DD3EFA" w:rsidRPr="00EC2A1C" w:rsidRDefault="00DD3EFA" w:rsidP="00391907">
            <w:pPr>
              <w:numPr>
                <w:ilvl w:val="0"/>
                <w:numId w:val="114"/>
              </w:numPr>
              <w:tabs>
                <w:tab w:val="left" w:pos="284"/>
                <w:tab w:val="left" w:pos="567"/>
              </w:tabs>
              <w:suppressAutoHyphens/>
              <w:rPr>
                <w:rFonts w:ascii="Times New Roman" w:hAnsi="Times New Roman"/>
                <w:sz w:val="20"/>
                <w:szCs w:val="20"/>
              </w:rPr>
            </w:pPr>
            <w:r w:rsidRPr="00EC2A1C">
              <w:rPr>
                <w:rFonts w:ascii="Times New Roman" w:hAnsi="Times New Roman"/>
                <w:sz w:val="20"/>
                <w:szCs w:val="20"/>
              </w:rPr>
              <w:t xml:space="preserve">Doprava, </w:t>
            </w:r>
          </w:p>
          <w:p w14:paraId="108252F3" w14:textId="77777777" w:rsidR="00DD3EFA" w:rsidRPr="00EC2A1C" w:rsidRDefault="00DD3EFA" w:rsidP="00391907">
            <w:pPr>
              <w:numPr>
                <w:ilvl w:val="0"/>
                <w:numId w:val="114"/>
              </w:numPr>
              <w:tabs>
                <w:tab w:val="left" w:pos="284"/>
                <w:tab w:val="left" w:pos="567"/>
              </w:tabs>
              <w:suppressAutoHyphens/>
              <w:rPr>
                <w:rFonts w:ascii="Times New Roman" w:hAnsi="Times New Roman"/>
                <w:sz w:val="20"/>
                <w:szCs w:val="20"/>
              </w:rPr>
            </w:pPr>
            <w:r w:rsidRPr="00EC2A1C">
              <w:rPr>
                <w:rFonts w:ascii="Times New Roman" w:hAnsi="Times New Roman"/>
                <w:sz w:val="20"/>
                <w:szCs w:val="20"/>
              </w:rPr>
              <w:t xml:space="preserve">Posun k nízkouhlíkovému hospodářství, </w:t>
            </w:r>
          </w:p>
          <w:p w14:paraId="72B4E55A" w14:textId="77777777" w:rsidR="00DD3EFA" w:rsidRPr="00EC2A1C" w:rsidRDefault="00DD3EFA" w:rsidP="00391907">
            <w:pPr>
              <w:numPr>
                <w:ilvl w:val="0"/>
                <w:numId w:val="114"/>
              </w:numPr>
              <w:tabs>
                <w:tab w:val="left" w:pos="284"/>
                <w:tab w:val="left" w:pos="567"/>
              </w:tabs>
              <w:suppressAutoHyphens/>
              <w:rPr>
                <w:rFonts w:ascii="Times New Roman" w:hAnsi="Times New Roman"/>
                <w:sz w:val="20"/>
                <w:szCs w:val="20"/>
              </w:rPr>
            </w:pPr>
            <w:r w:rsidRPr="00EC2A1C">
              <w:rPr>
                <w:rFonts w:ascii="Times New Roman" w:hAnsi="Times New Roman"/>
                <w:sz w:val="20"/>
                <w:szCs w:val="20"/>
              </w:rPr>
              <w:t>Sociální začleňování, sociální služby a systém péče o zdraví</w:t>
            </w:r>
          </w:p>
          <w:p w14:paraId="20CFACED" w14:textId="77777777" w:rsidR="00DD3EFA" w:rsidRPr="00EC2A1C" w:rsidRDefault="00DD3EFA" w:rsidP="00B15ECB">
            <w:pPr>
              <w:tabs>
                <w:tab w:val="left" w:pos="284"/>
                <w:tab w:val="left" w:pos="567"/>
              </w:tabs>
              <w:suppressAutoHyphens/>
              <w:spacing w:after="200"/>
              <w:rPr>
                <w:rFonts w:ascii="Times New Roman" w:hAnsi="Times New Roman"/>
                <w:sz w:val="20"/>
                <w:szCs w:val="20"/>
              </w:rPr>
            </w:pPr>
          </w:p>
        </w:tc>
        <w:tc>
          <w:tcPr>
            <w:tcW w:w="249" w:type="dxa"/>
            <w:tcBorders>
              <w:top w:val="nil"/>
              <w:left w:val="nil"/>
              <w:bottom w:val="nil"/>
              <w:right w:val="single" w:sz="4" w:space="0" w:color="auto"/>
            </w:tcBorders>
            <w:shd w:val="clear" w:color="auto" w:fill="66CCFF"/>
          </w:tcPr>
          <w:p w14:paraId="5A29C40E" w14:textId="77777777" w:rsidR="00DD3EFA" w:rsidRPr="00EC2A1C" w:rsidRDefault="00DD3EFA" w:rsidP="00B15ECB">
            <w:pPr>
              <w:rPr>
                <w:rFonts w:ascii="Times New Roman" w:hAnsi="Times New Roman"/>
                <w:b/>
                <w:sz w:val="20"/>
                <w:szCs w:val="20"/>
              </w:rPr>
            </w:pPr>
          </w:p>
        </w:tc>
      </w:tr>
      <w:tr w:rsidR="00DD3EFA" w:rsidRPr="00EC2A1C" w14:paraId="11012396" w14:textId="77777777" w:rsidTr="00B15ECB">
        <w:trPr>
          <w:trHeight w:val="180"/>
        </w:trPr>
        <w:tc>
          <w:tcPr>
            <w:tcW w:w="249" w:type="dxa"/>
            <w:tcBorders>
              <w:top w:val="nil"/>
              <w:left w:val="single" w:sz="4" w:space="0" w:color="auto"/>
              <w:bottom w:val="nil"/>
              <w:right w:val="nil"/>
            </w:tcBorders>
            <w:shd w:val="clear" w:color="auto" w:fill="66CCFF"/>
          </w:tcPr>
          <w:p w14:paraId="0856123E"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69068214" w14:textId="77777777" w:rsidR="00DD3EFA" w:rsidRPr="00EC2A1C" w:rsidRDefault="00DD3EFA" w:rsidP="00B15ECB">
            <w:pPr>
              <w:rPr>
                <w:rFonts w:ascii="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39B923E4" w14:textId="77777777" w:rsidR="00DD3EFA" w:rsidRPr="00EC2A1C" w:rsidRDefault="00DD3EFA" w:rsidP="00B15ECB">
            <w:pPr>
              <w:rPr>
                <w:rFonts w:ascii="Times New Roman" w:hAnsi="Times New Roman"/>
                <w:b/>
                <w:sz w:val="20"/>
                <w:szCs w:val="20"/>
              </w:rPr>
            </w:pPr>
          </w:p>
        </w:tc>
        <w:tc>
          <w:tcPr>
            <w:tcW w:w="249" w:type="dxa"/>
            <w:tcBorders>
              <w:top w:val="nil"/>
              <w:left w:val="nil"/>
              <w:bottom w:val="nil"/>
              <w:right w:val="single" w:sz="4" w:space="0" w:color="auto"/>
            </w:tcBorders>
            <w:shd w:val="clear" w:color="auto" w:fill="66CCFF"/>
          </w:tcPr>
          <w:p w14:paraId="0EA2A784" w14:textId="77777777" w:rsidR="00DD3EFA" w:rsidRPr="00EC2A1C" w:rsidRDefault="00DD3EFA" w:rsidP="00B15ECB">
            <w:pPr>
              <w:rPr>
                <w:rFonts w:ascii="Times New Roman" w:hAnsi="Times New Roman"/>
                <w:b/>
                <w:sz w:val="20"/>
                <w:szCs w:val="20"/>
              </w:rPr>
            </w:pPr>
          </w:p>
        </w:tc>
      </w:tr>
      <w:tr w:rsidR="00DD3EFA" w:rsidRPr="00EC2A1C" w14:paraId="2F84AC29" w14:textId="77777777" w:rsidTr="00B15ECB">
        <w:trPr>
          <w:trHeight w:val="990"/>
        </w:trPr>
        <w:tc>
          <w:tcPr>
            <w:tcW w:w="249" w:type="dxa"/>
            <w:tcBorders>
              <w:top w:val="nil"/>
              <w:left w:val="single" w:sz="4" w:space="0" w:color="auto"/>
              <w:bottom w:val="nil"/>
              <w:right w:val="single" w:sz="4" w:space="0" w:color="auto"/>
            </w:tcBorders>
            <w:shd w:val="clear" w:color="auto" w:fill="66CCFF"/>
          </w:tcPr>
          <w:p w14:paraId="73BEE08B" w14:textId="77777777" w:rsidR="00DD3EFA" w:rsidRPr="00EC2A1C" w:rsidRDefault="00DD3EFA" w:rsidP="00B15ECB">
            <w:pPr>
              <w:rPr>
                <w:rFonts w:ascii="Times New Roman" w:hAnsi="Times New Roman"/>
                <w:b/>
                <w:sz w:val="20"/>
                <w:szCs w:val="20"/>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B93764" w14:textId="77777777" w:rsidR="00DD3EFA" w:rsidRPr="00EC2A1C" w:rsidRDefault="00DD3EFA" w:rsidP="00B15ECB">
            <w:pPr>
              <w:spacing w:before="60" w:after="60"/>
              <w:rPr>
                <w:rFonts w:ascii="Times New Roman" w:eastAsia="Times New Roman" w:hAnsi="Times New Roman"/>
                <w:i/>
                <w:sz w:val="20"/>
                <w:szCs w:val="20"/>
                <w:u w:val="single"/>
              </w:rPr>
            </w:pPr>
            <w:r w:rsidRPr="00EC2A1C">
              <w:rPr>
                <w:rFonts w:ascii="Times New Roman" w:eastAsia="Times New Roman" w:hAnsi="Times New Roman"/>
                <w:b/>
                <w:sz w:val="20"/>
                <w:szCs w:val="20"/>
              </w:rPr>
              <w:t>Absorpční kapacita</w:t>
            </w:r>
            <w:r w:rsidRPr="00EC2A1C">
              <w:rPr>
                <w:rFonts w:ascii="Times New Roman" w:eastAsia="Times New Roman" w:hAnsi="Times New Roman"/>
                <w:i/>
                <w:sz w:val="20"/>
                <w:szCs w:val="20"/>
                <w:u w:val="single"/>
              </w:rPr>
              <w:t xml:space="preserve"> </w:t>
            </w:r>
          </w:p>
          <w:p w14:paraId="688F041E" w14:textId="77777777" w:rsidR="00DD3EFA" w:rsidRPr="00EC2A1C" w:rsidRDefault="00DD3EFA">
            <w:pPr>
              <w:spacing w:before="60" w:after="60"/>
              <w:rPr>
                <w:rFonts w:ascii="Times New Roman" w:eastAsia="Times New Roman" w:hAnsi="Times New Roman"/>
                <w:sz w:val="20"/>
                <w:szCs w:val="20"/>
              </w:rPr>
            </w:pPr>
          </w:p>
        </w:tc>
        <w:tc>
          <w:tcPr>
            <w:tcW w:w="249" w:type="dxa"/>
            <w:tcBorders>
              <w:top w:val="nil"/>
              <w:left w:val="single" w:sz="4" w:space="0" w:color="auto"/>
              <w:bottom w:val="nil"/>
              <w:right w:val="single" w:sz="4" w:space="0" w:color="auto"/>
            </w:tcBorders>
            <w:shd w:val="clear" w:color="auto" w:fill="66CCFF"/>
          </w:tcPr>
          <w:p w14:paraId="519DD86D" w14:textId="77777777" w:rsidR="00DD3EFA" w:rsidRPr="00EC2A1C" w:rsidRDefault="00DD3EFA" w:rsidP="00B15ECB">
            <w:pPr>
              <w:rPr>
                <w:rFonts w:ascii="Times New Roman" w:hAnsi="Times New Roman"/>
                <w:b/>
                <w:sz w:val="20"/>
                <w:szCs w:val="20"/>
              </w:rPr>
            </w:pPr>
          </w:p>
        </w:tc>
      </w:tr>
      <w:tr w:rsidR="00DD3EFA" w:rsidRPr="00EC2A1C" w14:paraId="190F0C34" w14:textId="77777777" w:rsidTr="00B15ECB">
        <w:trPr>
          <w:trHeight w:val="1260"/>
        </w:trPr>
        <w:tc>
          <w:tcPr>
            <w:tcW w:w="249" w:type="dxa"/>
            <w:tcBorders>
              <w:top w:val="nil"/>
              <w:left w:val="single" w:sz="4" w:space="0" w:color="auto"/>
              <w:bottom w:val="nil"/>
              <w:right w:val="single" w:sz="4" w:space="0" w:color="auto"/>
            </w:tcBorders>
            <w:shd w:val="clear" w:color="auto" w:fill="66CCFF"/>
          </w:tcPr>
          <w:p w14:paraId="0FCD5D37"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DC2EC" w14:textId="77777777" w:rsidR="00DD3EFA" w:rsidRPr="00EC2A1C" w:rsidRDefault="00DD3EFA" w:rsidP="00391907">
            <w:pPr>
              <w:numPr>
                <w:ilvl w:val="0"/>
                <w:numId w:val="5"/>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Zhodnocení abs. kapacity v minulém a stávajícím období (tj. v období 2014 – 2020, příp. 2007 – 2013)</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7ABBD8F" w14:textId="0AB57735"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OPŽP v programovém období 2014-2020 podporuje oblast v rámci Prioritní osy 2, konkrétně pak v SC 2.1 Snížit emise z lokálního vytápění domácností podílející se na expozici obyvatelstva nadlimitním koncentracím znečišťujících látek, SC 2.2 Snížit emise stacionárních a mobilních zdrojů podílejících se na expozici obyvatelstva nadlimitním koncentracím znečišťujících látek, SC 2.3 Zlepšit systém sledování, hodnocení a předpovídání vývoje kvality ovzduší a souvisejících meteorologických aspektů</w:t>
            </w:r>
            <w:r w:rsidR="005C7F05" w:rsidRPr="00EC2A1C">
              <w:rPr>
                <w:rFonts w:ascii="Times New Roman" w:eastAsia="Times New Roman" w:hAnsi="Times New Roman"/>
                <w:sz w:val="20"/>
                <w:szCs w:val="20"/>
              </w:rPr>
              <w:t xml:space="preserve"> </w:t>
            </w:r>
            <w:r w:rsidRPr="00EC2A1C">
              <w:rPr>
                <w:rFonts w:ascii="Times New Roman" w:eastAsia="Times New Roman" w:hAnsi="Times New Roman"/>
                <w:sz w:val="20"/>
                <w:szCs w:val="20"/>
              </w:rPr>
              <w:t xml:space="preserve">a nově v SC 2.4 </w:t>
            </w:r>
            <w:r w:rsidRPr="00EC2A1C">
              <w:rPr>
                <w:rFonts w:ascii="Times New Roman" w:hAnsi="Times New Roman"/>
                <w:sz w:val="20"/>
                <w:szCs w:val="20"/>
              </w:rPr>
              <w:t>Snížit emise stacionárních zdrojů podílející se na expozici obyvatelstva nadlimitním koncentracím znečišťujících látek v uhelných regionech (tj. Moravskoslezský, Ústecký a Karlovarský kraj).</w:t>
            </w:r>
          </w:p>
          <w:p w14:paraId="12941163" w14:textId="77777777" w:rsidR="00DD3EFA" w:rsidRPr="00EC2A1C" w:rsidRDefault="00DD3EFA" w:rsidP="00B15ECB">
            <w:pPr>
              <w:rPr>
                <w:rFonts w:ascii="Times New Roman" w:eastAsia="Times New Roman" w:hAnsi="Times New Roman"/>
                <w:sz w:val="20"/>
                <w:szCs w:val="20"/>
              </w:rPr>
            </w:pPr>
          </w:p>
          <w:p w14:paraId="556BAEF2"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Ke konci roku 2018 bylo v rámci SC 2.1 zaregistrováno celkem 28 projektových žádostí, všechny tyto žádosti jsou již ve fázi realizace s celkovým příspěvkem EU ve výši cca 6,7  mld. Kč. </w:t>
            </w:r>
          </w:p>
          <w:p w14:paraId="1F236BA8" w14:textId="32F93FE2"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V rámci SC 2.2 bylo zaregistrováno celkem 460 projektových žádostí s celkovým požadovaným příspěvkem EU ve výši cca 10 mld. Kč, přičemž bylo schváleno 134 žádostí (s příspěvkem EU ve výši cca 3,6 mld. Kč), z toho je ve fázi realizace již 125 projektů (s příspěv</w:t>
            </w:r>
            <w:r w:rsidR="005C7F05" w:rsidRPr="00EC2A1C">
              <w:rPr>
                <w:rFonts w:ascii="Times New Roman" w:eastAsia="Times New Roman" w:hAnsi="Times New Roman"/>
                <w:sz w:val="20"/>
                <w:szCs w:val="20"/>
              </w:rPr>
              <w:t>kem EU ve výši cca 2,6 mld. Kč)</w:t>
            </w:r>
            <w:r w:rsidRPr="00EC2A1C">
              <w:rPr>
                <w:rFonts w:ascii="Times New Roman" w:eastAsia="Times New Roman" w:hAnsi="Times New Roman"/>
                <w:sz w:val="20"/>
                <w:szCs w:val="20"/>
              </w:rPr>
              <w:t xml:space="preserve">. Kvůli velkému zájmu o podporu v rámci SC 2.2 vznikl zásobník projektů, kde je evidováno dalších 153 předložených žádostí s příspěvkem EU ve výši cca 3,3 mld. Kč. </w:t>
            </w:r>
          </w:p>
          <w:p w14:paraId="2CE5DB88" w14:textId="11DC1055"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V rámci SC 2.3 bylo zaregistrováno celkem 41 projektových žádostí s celkovým požadovaným příspěvkem EU ve výši cca 587 mil. Kč, z toho bylo schváleno 29 žádostí (s příspěvkem EU ve výši cca 453 mil. Kč), z nichž je v realizaci 22 projektů (s příspě</w:t>
            </w:r>
            <w:r w:rsidR="005C7F05" w:rsidRPr="00EC2A1C">
              <w:rPr>
                <w:rFonts w:ascii="Times New Roman" w:eastAsia="Times New Roman" w:hAnsi="Times New Roman"/>
                <w:sz w:val="20"/>
                <w:szCs w:val="20"/>
              </w:rPr>
              <w:t>vkem EU ve výši cca 321 mil. Kč</w:t>
            </w:r>
            <w:r w:rsidRPr="00EC2A1C">
              <w:rPr>
                <w:rFonts w:ascii="Times New Roman" w:eastAsia="Times New Roman" w:hAnsi="Times New Roman"/>
                <w:sz w:val="20"/>
                <w:szCs w:val="20"/>
              </w:rPr>
              <w:t>).</w:t>
            </w:r>
          </w:p>
          <w:p w14:paraId="0923BF89" w14:textId="77777777" w:rsidR="00DD3EFA" w:rsidRPr="00EC2A1C" w:rsidRDefault="00DD3EFA" w:rsidP="00B15ECB">
            <w:pPr>
              <w:rPr>
                <w:rFonts w:ascii="Times New Roman" w:eastAsia="Times New Roman" w:hAnsi="Times New Roman"/>
                <w:sz w:val="20"/>
                <w:szCs w:val="20"/>
              </w:rPr>
            </w:pPr>
          </w:p>
          <w:p w14:paraId="3B77970E"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Opatření spadající do dané oblasti byla podporována v programovém období 2007-2013 i 2014–2020</w:t>
            </w:r>
            <w:r w:rsidRPr="00EC2A1C">
              <w:rPr>
                <w:rFonts w:ascii="Times New Roman" w:hAnsi="Times New Roman"/>
                <w:sz w:val="20"/>
                <w:szCs w:val="20"/>
              </w:rPr>
              <w:t>, přesto potřeba investic, zejména z důvodu přetrvávajícího překračování imisních limitů, neustává</w:t>
            </w:r>
            <w:r w:rsidRPr="00EC2A1C">
              <w:rPr>
                <w:rFonts w:ascii="Times New Roman" w:eastAsia="Times New Roman" w:hAnsi="Times New Roman"/>
                <w:sz w:val="20"/>
                <w:szCs w:val="20"/>
              </w:rPr>
              <w:t xml:space="preserve">. </w:t>
            </w:r>
          </w:p>
          <w:p w14:paraId="75EAB4F9" w14:textId="77777777" w:rsidR="00DD3EFA" w:rsidRPr="00EC2A1C" w:rsidRDefault="00DD3EFA" w:rsidP="00B15ECB">
            <w:pPr>
              <w:rPr>
                <w:rFonts w:ascii="Times New Roman" w:hAnsi="Times New Roman"/>
                <w:sz w:val="20"/>
                <w:szCs w:val="20"/>
              </w:rPr>
            </w:pPr>
            <w:r w:rsidRPr="00EC2A1C">
              <w:rPr>
                <w:rFonts w:ascii="Times New Roman" w:hAnsi="Times New Roman"/>
                <w:sz w:val="20"/>
                <w:szCs w:val="20"/>
              </w:rPr>
              <w:t>Potřeba zlepšení stavu ovzduší je vnímána jako jedna z hlavních priorit v rámci OPŽP 2014-2020. Na tuto oblast bylo vyčleněno zhruba 14,7 mld. Kč, přičemž prostředky směřují především do oblasti podpory snížení emisí z lokálního vytápění domácností (kotlíkové dotace) a snížení emisí ze stacionárních zdrojů.</w:t>
            </w:r>
          </w:p>
          <w:p w14:paraId="482D99D6" w14:textId="77777777" w:rsidR="00DD3EFA" w:rsidRPr="00EC2A1C" w:rsidRDefault="00DD3EFA" w:rsidP="00B15ECB">
            <w:pPr>
              <w:rPr>
                <w:rFonts w:ascii="Times New Roman" w:eastAsia="Times New Roman" w:hAnsi="Times New Roman"/>
                <w:sz w:val="20"/>
                <w:szCs w:val="20"/>
              </w:rPr>
            </w:pPr>
            <w:r w:rsidRPr="00EC2A1C">
              <w:rPr>
                <w:rFonts w:ascii="Times New Roman" w:eastAsia="Times New Roman" w:hAnsi="Times New Roman"/>
                <w:sz w:val="20"/>
                <w:szCs w:val="20"/>
              </w:rPr>
              <w:t xml:space="preserve">I přes množství finančních prostředků vynaložených na tuto oblast jsou uvedené problémy přetrvávající. </w:t>
            </w:r>
          </w:p>
          <w:p w14:paraId="18737771" w14:textId="77777777" w:rsidR="00DD3EFA" w:rsidRPr="00EC2A1C" w:rsidRDefault="00DD3EFA" w:rsidP="00B15ECB">
            <w:pPr>
              <w:spacing w:before="60" w:after="60"/>
              <w:rPr>
                <w:rFonts w:ascii="Times New Roman" w:eastAsia="Times New Roman" w:hAnsi="Times New Roman"/>
                <w:i/>
                <w:sz w:val="20"/>
                <w:szCs w:val="20"/>
              </w:rPr>
            </w:pPr>
            <w:r w:rsidRPr="00EC2A1C">
              <w:rPr>
                <w:rFonts w:ascii="Times New Roman" w:hAnsi="Times New Roman"/>
                <w:sz w:val="20"/>
                <w:szCs w:val="20"/>
              </w:rPr>
              <w:t>Dlouhodobě je akcentována potřeba zlepšení stavu ovzduší v Moravskoslezském kraji, ale i dalších krajích, případně specifických lokalitách na území ČR, kde dochází k překračování imisních limitů některých látek s významným negativním dopadem na zdraví obyvatel.</w:t>
            </w:r>
          </w:p>
        </w:tc>
        <w:tc>
          <w:tcPr>
            <w:tcW w:w="249" w:type="dxa"/>
            <w:tcBorders>
              <w:top w:val="nil"/>
              <w:left w:val="single" w:sz="4" w:space="0" w:color="auto"/>
              <w:bottom w:val="nil"/>
              <w:right w:val="single" w:sz="4" w:space="0" w:color="auto"/>
            </w:tcBorders>
            <w:shd w:val="clear" w:color="auto" w:fill="66CCFF"/>
          </w:tcPr>
          <w:p w14:paraId="20B9F595" w14:textId="77777777" w:rsidR="00DD3EFA" w:rsidRPr="00EC2A1C" w:rsidRDefault="00DD3EFA" w:rsidP="00B15ECB">
            <w:pPr>
              <w:rPr>
                <w:rFonts w:ascii="Times New Roman" w:hAnsi="Times New Roman"/>
                <w:b/>
                <w:sz w:val="20"/>
                <w:szCs w:val="20"/>
              </w:rPr>
            </w:pPr>
          </w:p>
        </w:tc>
      </w:tr>
      <w:tr w:rsidR="00DD3EFA" w:rsidRPr="00EC2A1C" w14:paraId="5065B5E6" w14:textId="77777777" w:rsidTr="00B15ECB">
        <w:trPr>
          <w:trHeight w:val="850"/>
        </w:trPr>
        <w:tc>
          <w:tcPr>
            <w:tcW w:w="249" w:type="dxa"/>
            <w:tcBorders>
              <w:top w:val="nil"/>
              <w:left w:val="single" w:sz="4" w:space="0" w:color="auto"/>
              <w:bottom w:val="nil"/>
              <w:right w:val="single" w:sz="4" w:space="0" w:color="auto"/>
            </w:tcBorders>
            <w:shd w:val="clear" w:color="auto" w:fill="66CCFF"/>
          </w:tcPr>
          <w:p w14:paraId="7153EDC5"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D59853" w14:textId="77777777" w:rsidR="00DD3EFA" w:rsidRPr="00EC2A1C" w:rsidRDefault="00DD3EFA" w:rsidP="00391907">
            <w:pPr>
              <w:numPr>
                <w:ilvl w:val="0"/>
                <w:numId w:val="5"/>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Poptávka příjemců</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18870" w14:textId="4A88125B" w:rsidR="00DD3EFA" w:rsidRPr="00EC2A1C" w:rsidRDefault="00DD3EFA" w:rsidP="00B15ECB">
            <w:pPr>
              <w:spacing w:before="60" w:after="60"/>
              <w:rPr>
                <w:rFonts w:ascii="Times New Roman" w:eastAsia="Times New Roman" w:hAnsi="Times New Roman"/>
                <w:i/>
                <w:sz w:val="20"/>
                <w:szCs w:val="20"/>
              </w:rPr>
            </w:pPr>
            <w:r w:rsidRPr="00EC2A1C">
              <w:rPr>
                <w:rFonts w:ascii="Times New Roman" w:eastAsia="Times New Roman" w:hAnsi="Times New Roman"/>
                <w:sz w:val="20"/>
                <w:szCs w:val="20"/>
              </w:rPr>
              <w:t xml:space="preserve">V rámci SC 2.1 byla alokace na konci roku 2018 naplněna z 68 %, aktuálně je </w:t>
            </w:r>
            <w:r w:rsidR="005C7F05" w:rsidRPr="00EC2A1C">
              <w:rPr>
                <w:rFonts w:ascii="Times New Roman" w:eastAsia="Times New Roman" w:hAnsi="Times New Roman"/>
                <w:sz w:val="20"/>
                <w:szCs w:val="20"/>
              </w:rPr>
              <w:t>vyhlášena průběžná</w:t>
            </w:r>
            <w:r w:rsidRPr="00EC2A1C">
              <w:rPr>
                <w:rFonts w:ascii="Times New Roman" w:eastAsia="Times New Roman" w:hAnsi="Times New Roman"/>
                <w:sz w:val="20"/>
                <w:szCs w:val="20"/>
              </w:rPr>
              <w:t xml:space="preserve"> výzva č. 117, která končí </w:t>
            </w:r>
            <w:r w:rsidR="005C7F05" w:rsidRPr="00EC2A1C">
              <w:rPr>
                <w:rFonts w:ascii="Times New Roman" w:eastAsia="Times New Roman" w:hAnsi="Times New Roman"/>
                <w:sz w:val="20"/>
                <w:szCs w:val="20"/>
              </w:rPr>
              <w:t>29. 3. 2019</w:t>
            </w:r>
            <w:r w:rsidRPr="00EC2A1C">
              <w:rPr>
                <w:rFonts w:ascii="Times New Roman" w:eastAsia="Times New Roman" w:hAnsi="Times New Roman"/>
                <w:sz w:val="20"/>
                <w:szCs w:val="20"/>
              </w:rPr>
              <w:t xml:space="preserve">. U SC 2.2 zájem žadatelů výrazně překročil alokaci. Z tohoto důvodu vznikl zásobník projektů, který bude financován z případných úspor na podpořených projektech. V současné době se vzhledem k nedostatku prostředků nepočítá s vyhlášením další výzvy v tomto SC. V rámci SC 2.3 byla alokace taktéž překročena, poslední vyhlášená výzva byla ukončena 20. 12. 2018. Nový SC 2.4 vznikl pro podporu projektů, které spadají do tzv. uhelných regionů (tj. </w:t>
            </w:r>
            <w:r w:rsidRPr="00EC2A1C">
              <w:rPr>
                <w:rFonts w:ascii="Times New Roman" w:hAnsi="Times New Roman"/>
                <w:sz w:val="20"/>
                <w:szCs w:val="20"/>
              </w:rPr>
              <w:t xml:space="preserve">Moravskoslezský, Ústecký a Karlovarský kraj). </w:t>
            </w:r>
            <w:r w:rsidRPr="00EC2A1C">
              <w:rPr>
                <w:rFonts w:ascii="Times New Roman" w:eastAsia="Times New Roman" w:hAnsi="Times New Roman"/>
                <w:sz w:val="20"/>
                <w:szCs w:val="20"/>
              </w:rPr>
              <w:t>Na den 1. 2. 2019 je plánováno vyhlášení první výzvy v tomto SC (č. 136) s alokací 1 mld. Kč.</w:t>
            </w:r>
          </w:p>
        </w:tc>
        <w:tc>
          <w:tcPr>
            <w:tcW w:w="249" w:type="dxa"/>
            <w:tcBorders>
              <w:top w:val="nil"/>
              <w:left w:val="single" w:sz="4" w:space="0" w:color="auto"/>
              <w:bottom w:val="nil"/>
              <w:right w:val="single" w:sz="4" w:space="0" w:color="auto"/>
            </w:tcBorders>
            <w:shd w:val="clear" w:color="auto" w:fill="66CCFF"/>
          </w:tcPr>
          <w:p w14:paraId="491BF3D3" w14:textId="77777777" w:rsidR="00DD3EFA" w:rsidRPr="00EC2A1C" w:rsidRDefault="00DD3EFA" w:rsidP="00B15ECB">
            <w:pPr>
              <w:rPr>
                <w:rFonts w:ascii="Times New Roman" w:hAnsi="Times New Roman"/>
                <w:b/>
                <w:sz w:val="20"/>
                <w:szCs w:val="20"/>
              </w:rPr>
            </w:pPr>
          </w:p>
        </w:tc>
      </w:tr>
      <w:tr w:rsidR="00DD3EFA" w:rsidRPr="00EC2A1C" w14:paraId="76B150B3" w14:textId="77777777" w:rsidTr="00B15ECB">
        <w:trPr>
          <w:trHeight w:val="925"/>
        </w:trPr>
        <w:tc>
          <w:tcPr>
            <w:tcW w:w="249" w:type="dxa"/>
            <w:tcBorders>
              <w:top w:val="nil"/>
              <w:left w:val="single" w:sz="4" w:space="0" w:color="auto"/>
              <w:bottom w:val="nil"/>
              <w:right w:val="single" w:sz="4" w:space="0" w:color="auto"/>
            </w:tcBorders>
            <w:shd w:val="clear" w:color="auto" w:fill="66CCFF"/>
          </w:tcPr>
          <w:p w14:paraId="690026FF"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4FACC" w14:textId="77777777" w:rsidR="00DD3EFA" w:rsidRPr="00EC2A1C" w:rsidRDefault="00DD3EFA" w:rsidP="00391907">
            <w:pPr>
              <w:numPr>
                <w:ilvl w:val="0"/>
                <w:numId w:val="5"/>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Příprava projektových záměrů</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64F1B" w14:textId="77777777" w:rsidR="00DD3EFA" w:rsidRPr="00EC2A1C" w:rsidRDefault="00DD3EFA" w:rsidP="00B15ECB">
            <w:pPr>
              <w:spacing w:before="60" w:after="60"/>
              <w:rPr>
                <w:rFonts w:ascii="Times New Roman" w:eastAsia="Times New Roman" w:hAnsi="Times New Roman"/>
                <w:i/>
                <w:sz w:val="20"/>
                <w:szCs w:val="20"/>
              </w:rPr>
            </w:pPr>
            <w:r w:rsidRPr="00EC2A1C">
              <w:rPr>
                <w:rFonts w:ascii="Times New Roman" w:eastAsia="Times New Roman" w:hAnsi="Times New Roman"/>
                <w:sz w:val="20"/>
                <w:szCs w:val="20"/>
              </w:rPr>
              <w:t>Příjemci mají připravené projekty, které nebylo možno podpořit v rámci stávajícího programového období z důvodů nedostatečné finanční alokace v dotčené oblasti. Identifikace dalších projektů spadajících do oblasti snižování emisí znečišťujících látek a zlepšení kvality ovzduší bude proveden v rámci nastavení nového programového období.</w:t>
            </w:r>
          </w:p>
        </w:tc>
        <w:tc>
          <w:tcPr>
            <w:tcW w:w="249" w:type="dxa"/>
            <w:tcBorders>
              <w:top w:val="nil"/>
              <w:left w:val="single" w:sz="4" w:space="0" w:color="auto"/>
              <w:bottom w:val="nil"/>
              <w:right w:val="single" w:sz="4" w:space="0" w:color="auto"/>
            </w:tcBorders>
            <w:shd w:val="clear" w:color="auto" w:fill="66CCFF"/>
          </w:tcPr>
          <w:p w14:paraId="61C5A755" w14:textId="77777777" w:rsidR="00DD3EFA" w:rsidRPr="00EC2A1C" w:rsidRDefault="00DD3EFA" w:rsidP="00B15ECB">
            <w:pPr>
              <w:rPr>
                <w:rFonts w:ascii="Times New Roman" w:hAnsi="Times New Roman"/>
                <w:b/>
                <w:sz w:val="20"/>
                <w:szCs w:val="20"/>
              </w:rPr>
            </w:pPr>
          </w:p>
        </w:tc>
      </w:tr>
      <w:tr w:rsidR="00DD3EFA" w:rsidRPr="00EC2A1C" w14:paraId="4297CC4F" w14:textId="77777777" w:rsidTr="00B15ECB">
        <w:trPr>
          <w:trHeight w:val="1001"/>
        </w:trPr>
        <w:tc>
          <w:tcPr>
            <w:tcW w:w="249" w:type="dxa"/>
            <w:tcBorders>
              <w:top w:val="nil"/>
              <w:left w:val="single" w:sz="4" w:space="0" w:color="auto"/>
              <w:bottom w:val="nil"/>
              <w:right w:val="single" w:sz="4" w:space="0" w:color="auto"/>
            </w:tcBorders>
            <w:shd w:val="clear" w:color="auto" w:fill="66CCFF"/>
          </w:tcPr>
          <w:p w14:paraId="0B71E7A7"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D0B8A0" w14:textId="77777777" w:rsidR="00DD3EFA" w:rsidRPr="00EC2A1C" w:rsidRDefault="00DD3EFA" w:rsidP="00391907">
            <w:pPr>
              <w:numPr>
                <w:ilvl w:val="0"/>
                <w:numId w:val="5"/>
              </w:numPr>
              <w:spacing w:before="60" w:after="60"/>
              <w:contextualSpacing/>
              <w:rPr>
                <w:rFonts w:ascii="Times New Roman" w:eastAsia="Times New Roman" w:hAnsi="Times New Roman"/>
                <w:b/>
                <w:sz w:val="20"/>
                <w:szCs w:val="20"/>
              </w:rPr>
            </w:pPr>
            <w:r w:rsidRPr="00EC2A1C">
              <w:rPr>
                <w:rFonts w:ascii="Times New Roman" w:eastAsia="Times New Roman" w:hAnsi="Times New Roman"/>
                <w:b/>
                <w:sz w:val="20"/>
                <w:szCs w:val="20"/>
              </w:rPr>
              <w:t>Bariéry</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147AC7E" w14:textId="61FC3F5D" w:rsidR="00DD3EFA" w:rsidRPr="00EC2A1C" w:rsidRDefault="00DD3EFA" w:rsidP="00B15ECB">
            <w:pPr>
              <w:spacing w:before="60" w:after="60"/>
              <w:rPr>
                <w:rFonts w:ascii="Times New Roman" w:eastAsia="Times New Roman" w:hAnsi="Times New Roman"/>
                <w:sz w:val="20"/>
                <w:szCs w:val="20"/>
              </w:rPr>
            </w:pPr>
            <w:r w:rsidRPr="00EC2A1C">
              <w:rPr>
                <w:rFonts w:ascii="Times New Roman" w:eastAsia="Times New Roman" w:hAnsi="Times New Roman"/>
                <w:sz w:val="20"/>
                <w:szCs w:val="20"/>
              </w:rPr>
              <w:t xml:space="preserve">Hlavní barierou v rámci PO 2 je momentálně nedostatek finančních prostředků pro podporu všech kvalitních projektů v této oblasti, což vedlo </w:t>
            </w:r>
            <w:r w:rsidR="005C7F05" w:rsidRPr="00EC2A1C">
              <w:rPr>
                <w:rFonts w:ascii="Times New Roman" w:eastAsia="Times New Roman" w:hAnsi="Times New Roman"/>
                <w:sz w:val="20"/>
                <w:szCs w:val="20"/>
              </w:rPr>
              <w:t xml:space="preserve">k vytvoření zásobníku projektů </w:t>
            </w:r>
            <w:r w:rsidRPr="00EC2A1C">
              <w:rPr>
                <w:rFonts w:ascii="Times New Roman" w:eastAsia="Times New Roman" w:hAnsi="Times New Roman"/>
                <w:sz w:val="20"/>
                <w:szCs w:val="20"/>
              </w:rPr>
              <w:t xml:space="preserve">v SC 2.2 (viz výše). Dalším výrazným problémem mohou být pro žadatele pravidla veřejné podpory. </w:t>
            </w:r>
          </w:p>
          <w:p w14:paraId="35B1137F" w14:textId="77777777" w:rsidR="00DD3EFA" w:rsidRPr="00EC2A1C" w:rsidRDefault="00DD3EFA" w:rsidP="00B15ECB">
            <w:pPr>
              <w:spacing w:before="60" w:after="60"/>
              <w:rPr>
                <w:rFonts w:ascii="Times New Roman" w:eastAsia="Times New Roman" w:hAnsi="Times New Roman"/>
                <w:sz w:val="20"/>
                <w:szCs w:val="20"/>
              </w:rPr>
            </w:pPr>
          </w:p>
        </w:tc>
        <w:tc>
          <w:tcPr>
            <w:tcW w:w="249" w:type="dxa"/>
            <w:tcBorders>
              <w:top w:val="nil"/>
              <w:left w:val="single" w:sz="4" w:space="0" w:color="auto"/>
              <w:bottom w:val="nil"/>
              <w:right w:val="single" w:sz="4" w:space="0" w:color="auto"/>
            </w:tcBorders>
            <w:shd w:val="clear" w:color="auto" w:fill="66CCFF"/>
          </w:tcPr>
          <w:p w14:paraId="6545D20B" w14:textId="77777777" w:rsidR="00DD3EFA" w:rsidRPr="00EC2A1C" w:rsidRDefault="00DD3EFA" w:rsidP="00B15ECB">
            <w:pPr>
              <w:rPr>
                <w:rFonts w:ascii="Times New Roman" w:hAnsi="Times New Roman"/>
                <w:b/>
                <w:sz w:val="20"/>
                <w:szCs w:val="20"/>
              </w:rPr>
            </w:pPr>
          </w:p>
        </w:tc>
      </w:tr>
      <w:tr w:rsidR="00DD3EFA" w:rsidRPr="00EC2A1C" w14:paraId="56BD9809"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5485C425"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2AC2AA4A" w14:textId="77777777" w:rsidR="00DD3EFA" w:rsidRPr="00EC2A1C" w:rsidRDefault="00DD3EFA" w:rsidP="00B15ECB">
            <w:pPr>
              <w:spacing w:before="60" w:after="60"/>
              <w:rPr>
                <w:rFonts w:ascii="Times New Roman" w:eastAsia="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090BB37A" w14:textId="77777777" w:rsidR="00DD3EFA" w:rsidRPr="00EC2A1C" w:rsidRDefault="00DD3EFA" w:rsidP="00B15ECB">
            <w:pPr>
              <w:spacing w:before="60" w:after="60"/>
              <w:rPr>
                <w:rFonts w:ascii="Times New Roman" w:eastAsia="Times New Roman" w:hAnsi="Times New Roman"/>
                <w:i/>
                <w:sz w:val="20"/>
                <w:szCs w:val="20"/>
              </w:rPr>
            </w:pPr>
          </w:p>
        </w:tc>
        <w:tc>
          <w:tcPr>
            <w:tcW w:w="249" w:type="dxa"/>
            <w:tcBorders>
              <w:top w:val="nil"/>
              <w:left w:val="nil"/>
              <w:bottom w:val="single" w:sz="4" w:space="0" w:color="auto"/>
              <w:right w:val="single" w:sz="4" w:space="0" w:color="auto"/>
            </w:tcBorders>
            <w:shd w:val="clear" w:color="auto" w:fill="66CCFF"/>
          </w:tcPr>
          <w:p w14:paraId="20F0F396" w14:textId="77777777" w:rsidR="00DD3EFA" w:rsidRPr="00EC2A1C" w:rsidRDefault="00DD3EFA" w:rsidP="00B15ECB">
            <w:pPr>
              <w:rPr>
                <w:rFonts w:ascii="Times New Roman" w:hAnsi="Times New Roman"/>
                <w:b/>
                <w:sz w:val="20"/>
                <w:szCs w:val="20"/>
              </w:rPr>
            </w:pPr>
          </w:p>
        </w:tc>
      </w:tr>
      <w:tr w:rsidR="00DD3EFA" w:rsidRPr="00EC2A1C" w14:paraId="241A4DDC" w14:textId="77777777" w:rsidTr="00B15ECB">
        <w:trPr>
          <w:trHeight w:val="1968"/>
        </w:trPr>
        <w:tc>
          <w:tcPr>
            <w:tcW w:w="249" w:type="dxa"/>
            <w:tcBorders>
              <w:top w:val="single" w:sz="4" w:space="0" w:color="auto"/>
              <w:left w:val="single" w:sz="4" w:space="0" w:color="auto"/>
              <w:bottom w:val="nil"/>
              <w:right w:val="single" w:sz="4" w:space="0" w:color="auto"/>
            </w:tcBorders>
            <w:shd w:val="clear" w:color="auto" w:fill="66CCFF"/>
          </w:tcPr>
          <w:p w14:paraId="427E633E" w14:textId="77777777" w:rsidR="00DD3EFA" w:rsidRPr="00EC2A1C" w:rsidRDefault="00DD3EFA" w:rsidP="00B15ECB">
            <w:pPr>
              <w:rPr>
                <w:rFonts w:ascii="Times New Roman" w:hAnsi="Times New Roman"/>
                <w:b/>
                <w:sz w:val="20"/>
                <w:szCs w:val="20"/>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2106D" w14:textId="77777777" w:rsidR="00DD3EFA" w:rsidRPr="00EC2A1C" w:rsidRDefault="00DD3EFA">
            <w:pPr>
              <w:spacing w:before="60" w:after="60"/>
              <w:rPr>
                <w:rFonts w:ascii="Times New Roman" w:eastAsia="Times New Roman" w:hAnsi="Times New Roman"/>
                <w:sz w:val="20"/>
                <w:szCs w:val="20"/>
                <w:u w:val="single"/>
              </w:rPr>
            </w:pPr>
            <w:r w:rsidRPr="00EC2A1C">
              <w:rPr>
                <w:rFonts w:ascii="Times New Roman" w:eastAsia="Times New Roman" w:hAnsi="Times New Roman"/>
                <w:b/>
                <w:sz w:val="20"/>
                <w:szCs w:val="20"/>
              </w:rPr>
              <w:t>Alternativní zdroje</w:t>
            </w:r>
            <w:r w:rsidRPr="00EC2A1C">
              <w:rPr>
                <w:rFonts w:ascii="Times New Roman" w:eastAsia="Times New Roman" w:hAnsi="Times New Roman"/>
                <w:i/>
                <w:sz w:val="20"/>
                <w:szCs w:val="20"/>
              </w:rPr>
              <w:t xml:space="preserve"> </w:t>
            </w:r>
          </w:p>
        </w:tc>
        <w:tc>
          <w:tcPr>
            <w:tcW w:w="249" w:type="dxa"/>
            <w:tcBorders>
              <w:top w:val="single" w:sz="4" w:space="0" w:color="auto"/>
              <w:left w:val="single" w:sz="4" w:space="0" w:color="auto"/>
              <w:bottom w:val="nil"/>
              <w:right w:val="single" w:sz="4" w:space="0" w:color="auto"/>
            </w:tcBorders>
            <w:shd w:val="clear" w:color="auto" w:fill="66CCFF"/>
          </w:tcPr>
          <w:p w14:paraId="1B2CE357" w14:textId="77777777" w:rsidR="00DD3EFA" w:rsidRPr="00EC2A1C" w:rsidRDefault="00DD3EFA" w:rsidP="00B15ECB">
            <w:pPr>
              <w:rPr>
                <w:rFonts w:ascii="Times New Roman" w:hAnsi="Times New Roman"/>
                <w:b/>
                <w:sz w:val="20"/>
                <w:szCs w:val="20"/>
              </w:rPr>
            </w:pPr>
          </w:p>
        </w:tc>
      </w:tr>
      <w:tr w:rsidR="00DD3EFA" w:rsidRPr="00EC2A1C" w14:paraId="0C8D8044"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2029AED1" w14:textId="77777777" w:rsidR="00DD3EFA" w:rsidRPr="00EC2A1C" w:rsidRDefault="00DD3EFA" w:rsidP="00B15ECB">
            <w:pPr>
              <w:rPr>
                <w:rFonts w:ascii="Times New Roman" w:hAnsi="Times New Roman"/>
                <w:b/>
                <w:sz w:val="20"/>
                <w:szCs w:val="2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7A243CBF"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Unijní programy</w:t>
            </w:r>
          </w:p>
        </w:tc>
        <w:tc>
          <w:tcPr>
            <w:tcW w:w="5978" w:type="dxa"/>
            <w:tcBorders>
              <w:top w:val="nil"/>
              <w:left w:val="single" w:sz="4" w:space="0" w:color="auto"/>
              <w:bottom w:val="single" w:sz="4" w:space="0" w:color="auto"/>
              <w:right w:val="single" w:sz="4" w:space="0" w:color="auto"/>
            </w:tcBorders>
            <w:shd w:val="clear" w:color="auto" w:fill="FFFFFF" w:themeFill="background1"/>
            <w:hideMark/>
          </w:tcPr>
          <w:p w14:paraId="5B3B6DC3" w14:textId="77777777" w:rsidR="00DD3EFA" w:rsidRPr="00EC2A1C" w:rsidRDefault="00DD3EFA" w:rsidP="00B15ECB">
            <w:pPr>
              <w:spacing w:before="60" w:after="60"/>
              <w:rPr>
                <w:rFonts w:ascii="Times New Roman" w:eastAsia="Times New Roman" w:hAnsi="Times New Roman"/>
                <w:sz w:val="20"/>
                <w:szCs w:val="20"/>
              </w:rPr>
            </w:pPr>
            <w:r w:rsidRPr="00EC2A1C">
              <w:rPr>
                <w:rFonts w:ascii="Times New Roman" w:eastAsia="Times New Roman" w:hAnsi="Times New Roman"/>
                <w:sz w:val="20"/>
                <w:szCs w:val="20"/>
              </w:rPr>
              <w:t>Z programu LIFE je možné financovat demonstrační a pilotní projekty, je komplementární k podpoře z ESIF. Program LIFE nepodporuje projekty, které mohou být financovány v rámci jiných finančních nástrojů Evropské komise. Snižování emisí ze zdrojů znečišťování ovzduší nelze podporovat z jiných unijních programů.</w:t>
            </w:r>
          </w:p>
        </w:tc>
        <w:tc>
          <w:tcPr>
            <w:tcW w:w="249" w:type="dxa"/>
            <w:tcBorders>
              <w:top w:val="nil"/>
              <w:left w:val="single" w:sz="4" w:space="0" w:color="auto"/>
              <w:bottom w:val="nil"/>
              <w:right w:val="single" w:sz="4" w:space="0" w:color="auto"/>
            </w:tcBorders>
            <w:shd w:val="clear" w:color="auto" w:fill="66CCFF"/>
          </w:tcPr>
          <w:p w14:paraId="11EEADC8" w14:textId="77777777" w:rsidR="00DD3EFA" w:rsidRPr="00EC2A1C" w:rsidRDefault="00DD3EFA" w:rsidP="00B15ECB">
            <w:pPr>
              <w:rPr>
                <w:rFonts w:ascii="Times New Roman" w:hAnsi="Times New Roman"/>
                <w:b/>
                <w:sz w:val="20"/>
                <w:szCs w:val="20"/>
              </w:rPr>
            </w:pPr>
          </w:p>
        </w:tc>
      </w:tr>
      <w:tr w:rsidR="00DD3EFA" w:rsidRPr="00EC2A1C" w14:paraId="274A3090"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2B7E636E" w14:textId="77777777" w:rsidR="00DD3EFA" w:rsidRPr="00EC2A1C" w:rsidRDefault="00DD3EFA" w:rsidP="00B15ECB">
            <w:pPr>
              <w:rPr>
                <w:rFonts w:ascii="Times New Roman" w:hAnsi="Times New Roman"/>
                <w:b/>
                <w:sz w:val="20"/>
                <w:szCs w:val="2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2AB94BAD"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Státní rozpočet a další národní zdroje</w:t>
            </w:r>
          </w:p>
        </w:tc>
        <w:tc>
          <w:tcPr>
            <w:tcW w:w="5978" w:type="dxa"/>
            <w:tcBorders>
              <w:top w:val="nil"/>
              <w:left w:val="single" w:sz="4" w:space="0" w:color="auto"/>
              <w:bottom w:val="single" w:sz="4" w:space="0" w:color="auto"/>
              <w:right w:val="single" w:sz="4" w:space="0" w:color="auto"/>
            </w:tcBorders>
            <w:shd w:val="clear" w:color="auto" w:fill="FFFFFF" w:themeFill="background1"/>
            <w:hideMark/>
          </w:tcPr>
          <w:p w14:paraId="21990816" w14:textId="77777777" w:rsidR="00DD3EFA" w:rsidRPr="00EC2A1C" w:rsidRDefault="00DD3EFA" w:rsidP="00B15ECB">
            <w:pPr>
              <w:spacing w:before="60" w:after="60"/>
              <w:rPr>
                <w:rFonts w:ascii="Times New Roman" w:eastAsia="Times New Roman" w:hAnsi="Times New Roman"/>
                <w:i/>
                <w:sz w:val="20"/>
                <w:szCs w:val="20"/>
              </w:rPr>
            </w:pPr>
            <w:r w:rsidRPr="00EC2A1C">
              <w:rPr>
                <w:rFonts w:ascii="Times New Roman" w:eastAsia="Times New Roman" w:hAnsi="Times New Roman"/>
                <w:sz w:val="20"/>
                <w:szCs w:val="20"/>
              </w:rPr>
              <w:t>Jsou k dispozici další veřejné zdroje, nicméně jejich finanční objem je zcela nedostatečný. Jedná se především o finanční prostředky z programu Nová zelená úsporám a poplatků za znečišťování životního prostředí, které spravuje Státní fond životního prostředí.</w:t>
            </w:r>
          </w:p>
        </w:tc>
        <w:tc>
          <w:tcPr>
            <w:tcW w:w="249" w:type="dxa"/>
            <w:tcBorders>
              <w:top w:val="nil"/>
              <w:left w:val="single" w:sz="4" w:space="0" w:color="auto"/>
              <w:bottom w:val="nil"/>
              <w:right w:val="single" w:sz="4" w:space="0" w:color="auto"/>
            </w:tcBorders>
            <w:shd w:val="clear" w:color="auto" w:fill="66CCFF"/>
          </w:tcPr>
          <w:p w14:paraId="06D7FE7A" w14:textId="77777777" w:rsidR="00DD3EFA" w:rsidRPr="00EC2A1C" w:rsidRDefault="00DD3EFA" w:rsidP="00B15ECB">
            <w:pPr>
              <w:rPr>
                <w:rFonts w:ascii="Times New Roman" w:hAnsi="Times New Roman"/>
                <w:b/>
                <w:sz w:val="20"/>
                <w:szCs w:val="20"/>
              </w:rPr>
            </w:pPr>
          </w:p>
        </w:tc>
      </w:tr>
      <w:tr w:rsidR="00DD3EFA" w:rsidRPr="00EC2A1C" w14:paraId="3E349DFF"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6435DE86" w14:textId="77777777" w:rsidR="00DD3EFA" w:rsidRPr="00EC2A1C" w:rsidRDefault="00DD3EFA" w:rsidP="00B15ECB">
            <w:pPr>
              <w:rPr>
                <w:rFonts w:ascii="Times New Roman" w:hAnsi="Times New Roman"/>
                <w:b/>
                <w:sz w:val="20"/>
                <w:szCs w:val="2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01A6AF33"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Další zdroje mimo veřejné rozpočty</w:t>
            </w:r>
          </w:p>
        </w:tc>
        <w:tc>
          <w:tcPr>
            <w:tcW w:w="5978" w:type="dxa"/>
            <w:tcBorders>
              <w:top w:val="nil"/>
              <w:left w:val="single" w:sz="4" w:space="0" w:color="auto"/>
              <w:bottom w:val="single" w:sz="4" w:space="0" w:color="auto"/>
              <w:right w:val="single" w:sz="4" w:space="0" w:color="auto"/>
            </w:tcBorders>
            <w:shd w:val="clear" w:color="auto" w:fill="FFFFFF" w:themeFill="background1"/>
            <w:hideMark/>
          </w:tcPr>
          <w:p w14:paraId="729BD5F2" w14:textId="77777777" w:rsidR="00DD3EFA" w:rsidRPr="00EC2A1C" w:rsidRDefault="00DD3EFA" w:rsidP="00B15ECB">
            <w:pPr>
              <w:spacing w:before="60" w:after="60"/>
              <w:rPr>
                <w:rFonts w:ascii="Times New Roman" w:eastAsia="Times New Roman" w:hAnsi="Times New Roman"/>
                <w:i/>
                <w:sz w:val="20"/>
                <w:szCs w:val="20"/>
              </w:rPr>
            </w:pPr>
            <w:r w:rsidRPr="00EC2A1C">
              <w:rPr>
                <w:rFonts w:ascii="Times New Roman" w:eastAsia="Times New Roman" w:hAnsi="Times New Roman"/>
                <w:sz w:val="20"/>
                <w:szCs w:val="20"/>
              </w:rPr>
              <w:t>Vlastní finanční prostředky provozovatelů zdrojů znečišťování ovzduší.</w:t>
            </w:r>
          </w:p>
        </w:tc>
        <w:tc>
          <w:tcPr>
            <w:tcW w:w="249" w:type="dxa"/>
            <w:tcBorders>
              <w:top w:val="nil"/>
              <w:left w:val="single" w:sz="4" w:space="0" w:color="auto"/>
              <w:bottom w:val="nil"/>
              <w:right w:val="single" w:sz="4" w:space="0" w:color="auto"/>
            </w:tcBorders>
            <w:shd w:val="clear" w:color="auto" w:fill="66CCFF"/>
          </w:tcPr>
          <w:p w14:paraId="5F6B9B60" w14:textId="77777777" w:rsidR="00DD3EFA" w:rsidRPr="00EC2A1C" w:rsidRDefault="00DD3EFA" w:rsidP="00B15ECB">
            <w:pPr>
              <w:rPr>
                <w:rFonts w:ascii="Times New Roman" w:hAnsi="Times New Roman"/>
                <w:b/>
                <w:sz w:val="20"/>
                <w:szCs w:val="20"/>
              </w:rPr>
            </w:pPr>
          </w:p>
        </w:tc>
      </w:tr>
      <w:tr w:rsidR="00DD3EFA" w:rsidRPr="00EC2A1C" w14:paraId="797576AA"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039E1D9A" w14:textId="77777777" w:rsidR="00DD3EFA" w:rsidRPr="00EC2A1C" w:rsidRDefault="00DD3EFA" w:rsidP="00B15ECB">
            <w:pPr>
              <w:rPr>
                <w:rFonts w:ascii="Times New Roman" w:hAnsi="Times New Roman"/>
                <w:b/>
                <w:sz w:val="20"/>
                <w:szCs w:val="2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63E247E1" w14:textId="77777777" w:rsidR="00DD3EFA" w:rsidRPr="00EC2A1C" w:rsidRDefault="00DD3EFA" w:rsidP="00B15ECB">
            <w:pPr>
              <w:spacing w:before="60" w:after="60"/>
              <w:rPr>
                <w:rFonts w:ascii="Times New Roman" w:eastAsia="Times New Roman" w:hAnsi="Times New Roman"/>
                <w:b/>
                <w:sz w:val="20"/>
                <w:szCs w:val="20"/>
              </w:rPr>
            </w:pPr>
            <w:r w:rsidRPr="00EC2A1C">
              <w:rPr>
                <w:rFonts w:ascii="Times New Roman" w:eastAsia="Times New Roman" w:hAnsi="Times New Roman"/>
                <w:b/>
                <w:sz w:val="20"/>
                <w:szCs w:val="20"/>
              </w:rPr>
              <w:t>Možnost využití FN</w:t>
            </w:r>
          </w:p>
        </w:tc>
        <w:tc>
          <w:tcPr>
            <w:tcW w:w="5978" w:type="dxa"/>
            <w:tcBorders>
              <w:top w:val="nil"/>
              <w:left w:val="single" w:sz="4" w:space="0" w:color="auto"/>
              <w:bottom w:val="single" w:sz="4" w:space="0" w:color="auto"/>
              <w:right w:val="single" w:sz="4" w:space="0" w:color="auto"/>
            </w:tcBorders>
            <w:shd w:val="clear" w:color="auto" w:fill="FFFFFF" w:themeFill="background1"/>
            <w:hideMark/>
          </w:tcPr>
          <w:p w14:paraId="7AEC5FA5" w14:textId="77777777" w:rsidR="00DD3EFA" w:rsidRPr="00EC2A1C" w:rsidRDefault="00DD3EFA" w:rsidP="00B15ECB">
            <w:pPr>
              <w:spacing w:before="60" w:after="60"/>
              <w:rPr>
                <w:rFonts w:ascii="Times New Roman" w:eastAsia="Times New Roman" w:hAnsi="Times New Roman"/>
                <w:sz w:val="20"/>
                <w:szCs w:val="20"/>
              </w:rPr>
            </w:pPr>
            <w:r w:rsidRPr="00EC2A1C">
              <w:rPr>
                <w:rFonts w:ascii="Times New Roman" w:eastAsia="Times New Roman" w:hAnsi="Times New Roman"/>
                <w:sz w:val="20"/>
                <w:szCs w:val="20"/>
              </w:rPr>
              <w:t>Při podpoře některých aktivit v oblasti ochrany ovzduší lze v budoucnosti uvažovat o využití finančních nástrojů v kombinaci s nevratnou dotací.</w:t>
            </w:r>
          </w:p>
        </w:tc>
        <w:tc>
          <w:tcPr>
            <w:tcW w:w="249" w:type="dxa"/>
            <w:tcBorders>
              <w:top w:val="nil"/>
              <w:left w:val="single" w:sz="4" w:space="0" w:color="auto"/>
              <w:bottom w:val="nil"/>
              <w:right w:val="single" w:sz="4" w:space="0" w:color="auto"/>
            </w:tcBorders>
            <w:shd w:val="clear" w:color="auto" w:fill="66CCFF"/>
          </w:tcPr>
          <w:p w14:paraId="591E4622" w14:textId="77777777" w:rsidR="00DD3EFA" w:rsidRPr="00EC2A1C" w:rsidRDefault="00DD3EFA" w:rsidP="00B15ECB">
            <w:pPr>
              <w:rPr>
                <w:rFonts w:ascii="Times New Roman" w:hAnsi="Times New Roman"/>
                <w:b/>
                <w:sz w:val="20"/>
                <w:szCs w:val="20"/>
              </w:rPr>
            </w:pPr>
          </w:p>
        </w:tc>
      </w:tr>
      <w:tr w:rsidR="00DD3EFA" w:rsidRPr="00EC2A1C" w14:paraId="326706B5" w14:textId="77777777" w:rsidTr="00B15ECB">
        <w:trPr>
          <w:trHeight w:val="150"/>
        </w:trPr>
        <w:tc>
          <w:tcPr>
            <w:tcW w:w="249" w:type="dxa"/>
            <w:tcBorders>
              <w:top w:val="nil"/>
              <w:left w:val="single" w:sz="4" w:space="0" w:color="auto"/>
              <w:bottom w:val="single" w:sz="4" w:space="0" w:color="auto"/>
              <w:right w:val="nil"/>
            </w:tcBorders>
            <w:shd w:val="clear" w:color="auto" w:fill="66CCFF"/>
          </w:tcPr>
          <w:p w14:paraId="2A5662AD" w14:textId="77777777" w:rsidR="00DD3EFA" w:rsidRPr="00EC2A1C" w:rsidRDefault="00DD3EFA" w:rsidP="00B15ECB">
            <w:pPr>
              <w:rPr>
                <w:rFonts w:ascii="Times New Roman" w:hAnsi="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4F1457B2" w14:textId="77777777" w:rsidR="00DD3EFA" w:rsidRPr="00EC2A1C" w:rsidRDefault="00DD3EFA" w:rsidP="00B15ECB">
            <w:pPr>
              <w:rPr>
                <w:rFonts w:ascii="Times New Roman" w:hAnsi="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5A752121" w14:textId="77777777" w:rsidR="00DD3EFA" w:rsidRPr="00EC2A1C" w:rsidRDefault="00DD3EFA" w:rsidP="00B15ECB">
            <w:pPr>
              <w:rPr>
                <w:rFonts w:ascii="Times New Roman" w:hAnsi="Times New Roman"/>
                <w:b/>
                <w:sz w:val="20"/>
                <w:szCs w:val="20"/>
              </w:rPr>
            </w:pPr>
          </w:p>
        </w:tc>
        <w:tc>
          <w:tcPr>
            <w:tcW w:w="249" w:type="dxa"/>
            <w:tcBorders>
              <w:top w:val="nil"/>
              <w:left w:val="nil"/>
              <w:bottom w:val="single" w:sz="4" w:space="0" w:color="auto"/>
              <w:right w:val="single" w:sz="4" w:space="0" w:color="auto"/>
            </w:tcBorders>
            <w:shd w:val="clear" w:color="auto" w:fill="66CCFF"/>
          </w:tcPr>
          <w:p w14:paraId="5A84C42E" w14:textId="77777777" w:rsidR="00DD3EFA" w:rsidRPr="00EC2A1C" w:rsidRDefault="00DD3EFA" w:rsidP="00B15ECB">
            <w:pPr>
              <w:rPr>
                <w:rFonts w:ascii="Times New Roman" w:hAnsi="Times New Roman"/>
                <w:b/>
                <w:sz w:val="20"/>
                <w:szCs w:val="20"/>
              </w:rPr>
            </w:pPr>
          </w:p>
        </w:tc>
      </w:tr>
    </w:tbl>
    <w:p w14:paraId="35791A1B" w14:textId="77777777" w:rsidR="00DD3EFA" w:rsidRPr="00EC2A1C" w:rsidRDefault="00DD3EFA" w:rsidP="00B15ECB">
      <w:pPr>
        <w:rPr>
          <w:rFonts w:ascii="Times New Roman" w:hAnsi="Times New Roman" w:cs="Times New Roman"/>
          <w:b/>
          <w:sz w:val="20"/>
          <w:szCs w:val="20"/>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567"/>
      </w:tblGrid>
      <w:tr w:rsidR="00DD3EFA" w:rsidRPr="00EC2A1C" w14:paraId="5D147260" w14:textId="77777777" w:rsidTr="00B15ECB">
        <w:trPr>
          <w:trHeight w:val="180"/>
        </w:trPr>
        <w:tc>
          <w:tcPr>
            <w:tcW w:w="249" w:type="dxa"/>
            <w:tcBorders>
              <w:top w:val="single" w:sz="4" w:space="0" w:color="auto"/>
              <w:left w:val="single" w:sz="4" w:space="0" w:color="auto"/>
              <w:bottom w:val="nil"/>
              <w:right w:val="nil"/>
            </w:tcBorders>
            <w:shd w:val="clear" w:color="auto" w:fill="66CCFF"/>
          </w:tcPr>
          <w:p w14:paraId="01EB5B2C"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D1566E6" w14:textId="77777777" w:rsidR="00DD3EFA" w:rsidRPr="00EC2A1C" w:rsidRDefault="00DD3EFA" w:rsidP="00B15ECB">
            <w:pPr>
              <w:rPr>
                <w:b/>
              </w:rPr>
            </w:pPr>
          </w:p>
        </w:tc>
        <w:tc>
          <w:tcPr>
            <w:tcW w:w="5567" w:type="dxa"/>
            <w:tcBorders>
              <w:top w:val="single" w:sz="4" w:space="0" w:color="auto"/>
              <w:left w:val="nil"/>
              <w:bottom w:val="single" w:sz="4" w:space="0" w:color="auto"/>
              <w:right w:val="nil"/>
            </w:tcBorders>
            <w:shd w:val="clear" w:color="auto" w:fill="66CCFF"/>
          </w:tcPr>
          <w:p w14:paraId="79195D12" w14:textId="77777777" w:rsidR="00DD3EFA" w:rsidRPr="00EC2A1C" w:rsidRDefault="00DD3EFA" w:rsidP="00B15ECB">
            <w:pPr>
              <w:rPr>
                <w:b/>
              </w:rPr>
            </w:pPr>
          </w:p>
        </w:tc>
      </w:tr>
      <w:tr w:rsidR="00DD3EFA" w:rsidRPr="00EC2A1C" w14:paraId="08F291DA" w14:textId="77777777" w:rsidTr="00B15ECB">
        <w:trPr>
          <w:trHeight w:val="561"/>
        </w:trPr>
        <w:tc>
          <w:tcPr>
            <w:tcW w:w="249" w:type="dxa"/>
            <w:tcBorders>
              <w:top w:val="nil"/>
              <w:left w:val="single" w:sz="4" w:space="0" w:color="auto"/>
              <w:bottom w:val="nil"/>
              <w:right w:val="single" w:sz="4" w:space="0" w:color="auto"/>
            </w:tcBorders>
            <w:shd w:val="clear" w:color="auto" w:fill="66CCFF"/>
          </w:tcPr>
          <w:p w14:paraId="7474AA02"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0070C0"/>
            <w:hideMark/>
          </w:tcPr>
          <w:p w14:paraId="3AAB0676"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Strategický cíl NKR:</w:t>
            </w:r>
          </w:p>
          <w:p w14:paraId="4E23C0E5"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Zlepšení kvality životního prostředí, zavedení nízkouhlíkové ekonomiky a adaptace na změnu klimatu</w:t>
            </w:r>
          </w:p>
        </w:tc>
        <w:tc>
          <w:tcPr>
            <w:tcW w:w="5567" w:type="dxa"/>
            <w:tcBorders>
              <w:top w:val="single" w:sz="4" w:space="0" w:color="auto"/>
              <w:left w:val="single" w:sz="4" w:space="0" w:color="auto"/>
              <w:bottom w:val="single" w:sz="4" w:space="0" w:color="auto"/>
              <w:right w:val="single" w:sz="4" w:space="0" w:color="auto"/>
            </w:tcBorders>
            <w:shd w:val="clear" w:color="auto" w:fill="0070C0"/>
          </w:tcPr>
          <w:p w14:paraId="4CABFDD6"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53"/>
            </w:r>
            <w:r w:rsidRPr="00EC2A1C">
              <w:rPr>
                <w:rFonts w:eastAsiaTheme="majorEastAsia"/>
                <w:b/>
                <w:color w:val="FFFFFF" w:themeColor="background1"/>
                <w:u w:val="single"/>
              </w:rPr>
              <w:t>:</w:t>
            </w:r>
            <w:r w:rsidRPr="00EC2A1C">
              <w:rPr>
                <w:rFonts w:eastAsiaTheme="majorEastAsia"/>
                <w:b/>
                <w:color w:val="FFFFFF" w:themeColor="background1"/>
              </w:rPr>
              <w:t xml:space="preserve"> </w:t>
            </w:r>
          </w:p>
          <w:p w14:paraId="1756D0B7" w14:textId="77777777" w:rsidR="00DD3EFA" w:rsidRPr="00EC2A1C" w:rsidRDefault="00DD3EFA" w:rsidP="00B15ECB">
            <w:pPr>
              <w:pStyle w:val="Nadpis1"/>
              <w:outlineLvl w:val="0"/>
              <w:rPr>
                <w:rFonts w:ascii="Times New Roman" w:hAnsi="Times New Roman" w:cs="Times New Roman"/>
                <w:b/>
                <w:color w:val="FFFFFF" w:themeColor="background1"/>
                <w:sz w:val="20"/>
                <w:szCs w:val="20"/>
              </w:rPr>
            </w:pPr>
            <w:bookmarkStart w:id="38" w:name="_Toc1476866"/>
            <w:bookmarkStart w:id="39" w:name="_Toc1491418"/>
            <w:r w:rsidRPr="00EC2A1C">
              <w:rPr>
                <w:rFonts w:ascii="Times New Roman" w:hAnsi="Times New Roman" w:cs="Times New Roman"/>
                <w:b/>
                <w:color w:val="FFFFFF" w:themeColor="background1"/>
                <w:sz w:val="20"/>
                <w:szCs w:val="20"/>
              </w:rPr>
              <w:t>Oběhové hospodářství, odpady a účinné využívání zdrojů</w:t>
            </w:r>
            <w:bookmarkEnd w:id="38"/>
            <w:bookmarkEnd w:id="39"/>
          </w:p>
          <w:p w14:paraId="7891B5A6" w14:textId="77777777" w:rsidR="00DD3EFA" w:rsidRPr="00EC2A1C" w:rsidRDefault="00DD3EFA" w:rsidP="00B15ECB">
            <w:pPr>
              <w:spacing w:before="60" w:after="60"/>
              <w:rPr>
                <w:rFonts w:eastAsiaTheme="majorEastAsia"/>
                <w:b/>
                <w:color w:val="FFFFFF" w:themeColor="background1"/>
                <w:u w:val="single"/>
              </w:rPr>
            </w:pPr>
          </w:p>
        </w:tc>
      </w:tr>
      <w:tr w:rsidR="00DD3EFA" w:rsidRPr="00EC2A1C" w14:paraId="4BEE441E" w14:textId="77777777" w:rsidTr="00B15ECB">
        <w:trPr>
          <w:trHeight w:val="180"/>
        </w:trPr>
        <w:tc>
          <w:tcPr>
            <w:tcW w:w="249" w:type="dxa"/>
            <w:tcBorders>
              <w:top w:val="nil"/>
              <w:left w:val="single" w:sz="4" w:space="0" w:color="auto"/>
              <w:bottom w:val="nil"/>
              <w:right w:val="nil"/>
            </w:tcBorders>
            <w:shd w:val="clear" w:color="auto" w:fill="66CCFF"/>
          </w:tcPr>
          <w:p w14:paraId="5CD20513"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019A28B" w14:textId="77777777" w:rsidR="00DD3EFA" w:rsidRPr="00EC2A1C" w:rsidRDefault="00DD3EFA" w:rsidP="00B15ECB">
            <w:pPr>
              <w:rPr>
                <w:b/>
              </w:rPr>
            </w:pPr>
          </w:p>
        </w:tc>
        <w:tc>
          <w:tcPr>
            <w:tcW w:w="5567" w:type="dxa"/>
            <w:tcBorders>
              <w:top w:val="single" w:sz="4" w:space="0" w:color="auto"/>
              <w:left w:val="nil"/>
              <w:bottom w:val="single" w:sz="4" w:space="0" w:color="auto"/>
              <w:right w:val="nil"/>
            </w:tcBorders>
            <w:shd w:val="clear" w:color="auto" w:fill="66CCFF"/>
          </w:tcPr>
          <w:p w14:paraId="727D4C8A" w14:textId="77777777" w:rsidR="00DD3EFA" w:rsidRPr="00EC2A1C" w:rsidRDefault="00DD3EFA" w:rsidP="00B15ECB">
            <w:pPr>
              <w:rPr>
                <w:b/>
              </w:rPr>
            </w:pPr>
          </w:p>
        </w:tc>
      </w:tr>
      <w:tr w:rsidR="00DD3EFA" w:rsidRPr="00EC2A1C" w14:paraId="32234B25" w14:textId="77777777" w:rsidTr="00B15ECB">
        <w:trPr>
          <w:trHeight w:val="892"/>
        </w:trPr>
        <w:tc>
          <w:tcPr>
            <w:tcW w:w="249" w:type="dxa"/>
            <w:tcBorders>
              <w:top w:val="nil"/>
              <w:left w:val="single" w:sz="4" w:space="0" w:color="auto"/>
              <w:bottom w:val="nil"/>
              <w:right w:val="single" w:sz="4" w:space="0" w:color="auto"/>
            </w:tcBorders>
            <w:shd w:val="clear" w:color="auto" w:fill="66CCFF"/>
          </w:tcPr>
          <w:p w14:paraId="0EB80F70"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4FBAD"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9A7FA54" w14:textId="77777777" w:rsidR="00DD3EFA" w:rsidRPr="00EC2A1C" w:rsidRDefault="00DD3EFA" w:rsidP="00B15ECB">
            <w:pPr>
              <w:pStyle w:val="Odstavecseseznamem"/>
              <w:ind w:left="0"/>
              <w:rPr>
                <w:b/>
              </w:rPr>
            </w:pPr>
          </w:p>
          <w:p w14:paraId="3C3B6A97" w14:textId="77777777" w:rsidR="00DD3EFA" w:rsidRPr="00EC2A1C" w:rsidRDefault="00DD3EFA" w:rsidP="00B15ECB">
            <w:pPr>
              <w:pStyle w:val="Odstavecseseznamem"/>
              <w:ind w:left="0"/>
              <w:rPr>
                <w:b/>
              </w:rPr>
            </w:pPr>
            <w:r w:rsidRPr="00EC2A1C">
              <w:rPr>
                <w:b/>
              </w:rPr>
              <w:t>Předpokládané cíle:</w:t>
            </w:r>
          </w:p>
          <w:p w14:paraId="4E750948" w14:textId="77777777" w:rsidR="00DD3EFA" w:rsidRPr="00EC2A1C" w:rsidRDefault="00DD3EFA" w:rsidP="00B15ECB">
            <w:bookmarkStart w:id="40" w:name="_Hlk512988476"/>
            <w:r w:rsidRPr="00EC2A1C">
              <w:t>Přechod na oběhové hospodářství je založen na podpoře účinného využívání zdrojů, tzn. prevence vzniku odpadů na všech úrovních; zvýšení recyklace odpadů a jejich opětovného použití, zásadního omezení skládkování odpadů; vyššího využití druhotných surovin jako náhrady primárních zdrojů; zavádění ekodesignu výrobků, zavádění inovativních technologií v oblasti účinného využívání primárních surovin a získávání, zpracování a využívání druhotných surovin v souladu s Akčním plánem EU pro oběhové hospodářství z roku 2015 (a souvisejících národních strategií, koncepcí a politik).</w:t>
            </w:r>
            <w:r w:rsidRPr="00EC2A1C">
              <w:rPr>
                <w:rFonts w:eastAsia="SimSun"/>
                <w:bCs/>
                <w:lang w:eastAsia="zh-CN"/>
              </w:rPr>
              <w:t xml:space="preserve"> Přechod k oběhovému hospodářství (včetně zlepšení nakládání s odpady) </w:t>
            </w:r>
            <w:r w:rsidRPr="00EC2A1C">
              <w:rPr>
                <w:bCs/>
              </w:rPr>
              <w:t>může přinést následující profity: udržitelný rozvoj, tvorbu nových lokálních pracovních míst, redukci skleníkových plynů, snížení energetické a materiálové náročnosti výroby, úspory provozních nákladů v průmyslové výrobě i službách a celkové zlepšení životního prostředí.</w:t>
            </w:r>
            <w:bookmarkEnd w:id="40"/>
          </w:p>
          <w:p w14:paraId="7AF1F49B" w14:textId="77777777" w:rsidR="00DD3EFA" w:rsidRPr="00EC2A1C" w:rsidRDefault="00DD3EFA" w:rsidP="00B15ECB"/>
          <w:p w14:paraId="2F41DC44" w14:textId="77777777" w:rsidR="00DD3EFA" w:rsidRPr="00EC2A1C" w:rsidRDefault="00DD3EFA" w:rsidP="00B15ECB">
            <w:r w:rsidRPr="00EC2A1C">
              <w:t>Akční plán EU pro oběhové hospodářství představený v roce 2015 obsahuje pět hlavních oblastí, na které je třeba se při přechodu na oběhové hospodářství zaměřit - výrobu, spotřebu, odpadové hospodářství, sekundární/druhotné suroviny, inovace a investice</w:t>
            </w:r>
          </w:p>
          <w:p w14:paraId="0CABDD38" w14:textId="77777777" w:rsidR="00DD3EFA" w:rsidRPr="00EC2A1C" w:rsidRDefault="00DD3EFA" w:rsidP="00B15ECB"/>
          <w:p w14:paraId="38526FE2" w14:textId="77777777" w:rsidR="00DD3EFA" w:rsidRPr="00EC2A1C" w:rsidRDefault="00DD3EFA" w:rsidP="00391907">
            <w:pPr>
              <w:pStyle w:val="Odstavecseseznamem"/>
              <w:numPr>
                <w:ilvl w:val="0"/>
                <w:numId w:val="110"/>
              </w:numPr>
              <w:jc w:val="both"/>
            </w:pPr>
            <w:r w:rsidRPr="00EC2A1C">
              <w:t>Výroba</w:t>
            </w:r>
          </w:p>
          <w:p w14:paraId="4D9AEFF7" w14:textId="77777777" w:rsidR="00DD3EFA" w:rsidRPr="00EC2A1C" w:rsidRDefault="00DD3EFA" w:rsidP="00B15ECB">
            <w:pPr>
              <w:rPr>
                <w:bCs/>
              </w:rPr>
            </w:pPr>
            <w:r w:rsidRPr="00EC2A1C">
              <w:rPr>
                <w:bCs/>
              </w:rPr>
              <w:t>- podpora designu výrobků</w:t>
            </w:r>
          </w:p>
          <w:p w14:paraId="4BF4BFC8" w14:textId="77777777" w:rsidR="00DD3EFA" w:rsidRPr="00EC2A1C" w:rsidRDefault="00DD3EFA" w:rsidP="00B15ECB">
            <w:pPr>
              <w:rPr>
                <w:bCs/>
              </w:rPr>
            </w:pPr>
            <w:r w:rsidRPr="00EC2A1C">
              <w:rPr>
                <w:bCs/>
              </w:rPr>
              <w:t>- materiálový, energetický ekodesign</w:t>
            </w:r>
          </w:p>
          <w:p w14:paraId="076E2876" w14:textId="77777777" w:rsidR="00DD3EFA" w:rsidRPr="00EC2A1C" w:rsidRDefault="00DD3EFA" w:rsidP="00B15ECB">
            <w:pPr>
              <w:rPr>
                <w:bCs/>
              </w:rPr>
            </w:pPr>
            <w:r w:rsidRPr="00EC2A1C">
              <w:rPr>
                <w:bCs/>
              </w:rPr>
              <w:t xml:space="preserve">- efektivní spotřeba zdrojů při výrobě, snížení produkce odpadů </w:t>
            </w:r>
          </w:p>
          <w:p w14:paraId="2812F150" w14:textId="77777777" w:rsidR="00DD3EFA" w:rsidRPr="00EC2A1C" w:rsidRDefault="00DD3EFA" w:rsidP="00B15ECB">
            <w:pPr>
              <w:rPr>
                <w:bCs/>
              </w:rPr>
            </w:pPr>
            <w:r w:rsidRPr="00EC2A1C">
              <w:rPr>
                <w:bCs/>
              </w:rPr>
              <w:t>- opravitelnost výrobků, prodloužení životnosti výrobků, úspora surovin, dostupnost náhradních dílů</w:t>
            </w:r>
          </w:p>
          <w:p w14:paraId="79C0579C" w14:textId="77777777" w:rsidR="00DD3EFA" w:rsidRPr="00EC2A1C" w:rsidRDefault="00DD3EFA" w:rsidP="00B15ECB">
            <w:pPr>
              <w:rPr>
                <w:bCs/>
              </w:rPr>
            </w:pPr>
            <w:r w:rsidRPr="00EC2A1C">
              <w:rPr>
                <w:bCs/>
              </w:rPr>
              <w:t>- eliminace plánovaného zastarávání výrobků</w:t>
            </w:r>
          </w:p>
          <w:p w14:paraId="62EDFBCC" w14:textId="77777777" w:rsidR="00DD3EFA" w:rsidRPr="00EC2A1C" w:rsidRDefault="00DD3EFA" w:rsidP="00B15ECB">
            <w:pPr>
              <w:rPr>
                <w:bCs/>
              </w:rPr>
            </w:pPr>
            <w:r w:rsidRPr="00EC2A1C">
              <w:rPr>
                <w:bCs/>
              </w:rPr>
              <w:t>- průmyslová symbióza</w:t>
            </w:r>
          </w:p>
          <w:p w14:paraId="5EE1B253" w14:textId="77777777" w:rsidR="00DD3EFA" w:rsidRPr="00EC2A1C" w:rsidRDefault="00DD3EFA" w:rsidP="00B15ECB">
            <w:pPr>
              <w:rPr>
                <w:bCs/>
              </w:rPr>
            </w:pPr>
          </w:p>
          <w:p w14:paraId="1383059A" w14:textId="77777777" w:rsidR="00DD3EFA" w:rsidRPr="00EC2A1C" w:rsidRDefault="00DD3EFA" w:rsidP="00391907">
            <w:pPr>
              <w:pStyle w:val="Odstavecseseznamem"/>
              <w:numPr>
                <w:ilvl w:val="0"/>
                <w:numId w:val="110"/>
              </w:numPr>
              <w:jc w:val="both"/>
            </w:pPr>
            <w:r w:rsidRPr="00EC2A1C">
              <w:t>Spotřeba</w:t>
            </w:r>
          </w:p>
          <w:p w14:paraId="247AAA8E" w14:textId="77777777" w:rsidR="00DD3EFA" w:rsidRPr="00EC2A1C" w:rsidRDefault="00DD3EFA" w:rsidP="00B15ECB">
            <w:pPr>
              <w:rPr>
                <w:bCs/>
              </w:rPr>
            </w:pPr>
            <w:r w:rsidRPr="00EC2A1C">
              <w:rPr>
                <w:bCs/>
              </w:rPr>
              <w:t>- znovupoužití výrobků ke zmenšení množství odpadů</w:t>
            </w:r>
          </w:p>
          <w:p w14:paraId="10EDD99D" w14:textId="77777777" w:rsidR="00DD3EFA" w:rsidRPr="00EC2A1C" w:rsidRDefault="00DD3EFA" w:rsidP="00B15ECB">
            <w:pPr>
              <w:rPr>
                <w:bCs/>
              </w:rPr>
            </w:pPr>
            <w:r w:rsidRPr="00EC2A1C">
              <w:rPr>
                <w:bCs/>
              </w:rPr>
              <w:t xml:space="preserve">- dostupné informace pro spotřebitele </w:t>
            </w:r>
          </w:p>
          <w:p w14:paraId="0FC20F37" w14:textId="77777777" w:rsidR="00DD3EFA" w:rsidRPr="00EC2A1C" w:rsidRDefault="00DD3EFA" w:rsidP="00B15ECB">
            <w:pPr>
              <w:rPr>
                <w:bCs/>
              </w:rPr>
            </w:pPr>
            <w:r w:rsidRPr="00EC2A1C">
              <w:rPr>
                <w:bCs/>
              </w:rPr>
              <w:t>- pravidla pro znovupoužití</w:t>
            </w:r>
          </w:p>
          <w:p w14:paraId="22CE66C8" w14:textId="77777777" w:rsidR="00DD3EFA" w:rsidRPr="00EC2A1C" w:rsidRDefault="00DD3EFA" w:rsidP="00B15ECB">
            <w:pPr>
              <w:rPr>
                <w:bCs/>
              </w:rPr>
            </w:pPr>
            <w:r w:rsidRPr="00EC2A1C">
              <w:rPr>
                <w:bCs/>
              </w:rPr>
              <w:t>- záruky pro spotřebitele</w:t>
            </w:r>
          </w:p>
          <w:p w14:paraId="6349CA2A" w14:textId="77777777" w:rsidR="00DD3EFA" w:rsidRPr="00EC2A1C" w:rsidRDefault="00DD3EFA" w:rsidP="00B15ECB">
            <w:pPr>
              <w:rPr>
                <w:bCs/>
              </w:rPr>
            </w:pPr>
            <w:r w:rsidRPr="00EC2A1C">
              <w:rPr>
                <w:bCs/>
              </w:rPr>
              <w:t xml:space="preserve">- pravidla pro zelené zakázky </w:t>
            </w:r>
          </w:p>
          <w:p w14:paraId="20DDA05A" w14:textId="77777777" w:rsidR="00DD3EFA" w:rsidRPr="00EC2A1C" w:rsidRDefault="00DD3EFA" w:rsidP="00B15ECB">
            <w:pPr>
              <w:rPr>
                <w:bCs/>
              </w:rPr>
            </w:pPr>
            <w:r w:rsidRPr="00EC2A1C">
              <w:rPr>
                <w:bCs/>
              </w:rPr>
              <w:t>- výzkum plánovaného zastarávání výrobků s cílem jeho zamezení</w:t>
            </w:r>
          </w:p>
          <w:p w14:paraId="715D502B" w14:textId="1F17A9A0" w:rsidR="00DD3EFA" w:rsidRPr="00EC2A1C" w:rsidRDefault="005C7F05" w:rsidP="00B15ECB">
            <w:pPr>
              <w:rPr>
                <w:bCs/>
              </w:rPr>
            </w:pPr>
            <w:r w:rsidRPr="00EC2A1C">
              <w:rPr>
                <w:bCs/>
              </w:rPr>
              <w:t>- kvalitní a srozumitelné</w:t>
            </w:r>
            <w:r w:rsidR="00DD3EFA" w:rsidRPr="00EC2A1C">
              <w:rPr>
                <w:bCs/>
              </w:rPr>
              <w:t xml:space="preserve"> označování výrobků</w:t>
            </w:r>
          </w:p>
          <w:p w14:paraId="23D979A9" w14:textId="77777777" w:rsidR="00DD3EFA" w:rsidRPr="00EC2A1C" w:rsidRDefault="00DD3EFA" w:rsidP="00B15ECB">
            <w:pPr>
              <w:rPr>
                <w:bCs/>
              </w:rPr>
            </w:pPr>
          </w:p>
          <w:p w14:paraId="691CFB92" w14:textId="77777777" w:rsidR="00DD3EFA" w:rsidRPr="00EC2A1C" w:rsidRDefault="00DD3EFA" w:rsidP="00391907">
            <w:pPr>
              <w:pStyle w:val="Odstavecseseznamem"/>
              <w:numPr>
                <w:ilvl w:val="0"/>
                <w:numId w:val="110"/>
              </w:numPr>
              <w:jc w:val="both"/>
            </w:pPr>
            <w:r w:rsidRPr="00EC2A1C">
              <w:t>Odpadové hospodářství</w:t>
            </w:r>
          </w:p>
          <w:p w14:paraId="17EBEC34" w14:textId="77777777" w:rsidR="00DD3EFA" w:rsidRPr="00EC2A1C" w:rsidRDefault="00DD3EFA" w:rsidP="00B15ECB">
            <w:pPr>
              <w:rPr>
                <w:bCs/>
              </w:rPr>
            </w:pPr>
            <w:r w:rsidRPr="00EC2A1C">
              <w:rPr>
                <w:bCs/>
              </w:rPr>
              <w:t>- prevence vzniku odpadů</w:t>
            </w:r>
          </w:p>
          <w:p w14:paraId="50D14A66" w14:textId="77777777" w:rsidR="00DD3EFA" w:rsidRPr="00EC2A1C" w:rsidRDefault="00DD3EFA" w:rsidP="00B15ECB">
            <w:pPr>
              <w:rPr>
                <w:bCs/>
              </w:rPr>
            </w:pPr>
            <w:r w:rsidRPr="00EC2A1C">
              <w:rPr>
                <w:bCs/>
              </w:rPr>
              <w:t>- zvyšování podílu materiálového a energetického využití odpadů</w:t>
            </w:r>
          </w:p>
          <w:p w14:paraId="08201E26" w14:textId="77777777" w:rsidR="00DD3EFA" w:rsidRPr="00EC2A1C" w:rsidRDefault="00DD3EFA" w:rsidP="00B15ECB">
            <w:pPr>
              <w:rPr>
                <w:bCs/>
              </w:rPr>
            </w:pPr>
            <w:r w:rsidRPr="00EC2A1C">
              <w:rPr>
                <w:bCs/>
              </w:rPr>
              <w:t>-výzkum a inovace v oblasti odpadového hospodářství,</w:t>
            </w:r>
          </w:p>
          <w:p w14:paraId="53314B48" w14:textId="77777777" w:rsidR="00DD3EFA" w:rsidRPr="00EC2A1C" w:rsidRDefault="00DD3EFA" w:rsidP="00B15ECB">
            <w:pPr>
              <w:rPr>
                <w:bCs/>
              </w:rPr>
            </w:pPr>
            <w:r w:rsidRPr="00EC2A1C">
              <w:rPr>
                <w:bCs/>
              </w:rPr>
              <w:t>- technologie pro snižování množství odpadů,</w:t>
            </w:r>
          </w:p>
          <w:p w14:paraId="2521DAD4" w14:textId="77777777" w:rsidR="00DD3EFA" w:rsidRPr="00EC2A1C" w:rsidRDefault="00DD3EFA" w:rsidP="00B15ECB">
            <w:pPr>
              <w:rPr>
                <w:bCs/>
              </w:rPr>
            </w:pPr>
            <w:r w:rsidRPr="00EC2A1C">
              <w:rPr>
                <w:bCs/>
              </w:rPr>
              <w:t>- podpora nejlepších praktik v odpadovém hospodářství</w:t>
            </w:r>
          </w:p>
          <w:p w14:paraId="1ED4D068" w14:textId="77777777" w:rsidR="00DD3EFA" w:rsidRPr="00EC2A1C" w:rsidRDefault="00DD3EFA" w:rsidP="00B15ECB">
            <w:pPr>
              <w:rPr>
                <w:bCs/>
              </w:rPr>
            </w:pPr>
            <w:r w:rsidRPr="00EC2A1C">
              <w:rPr>
                <w:bCs/>
              </w:rPr>
              <w:t xml:space="preserve">- omezování skládkování všech druhů odpadů a udržování jejich hodnoty v ekonomickém cyklu. </w:t>
            </w:r>
          </w:p>
          <w:p w14:paraId="654BF401" w14:textId="77777777" w:rsidR="00DD3EFA" w:rsidRPr="00EC2A1C" w:rsidRDefault="00DD3EFA" w:rsidP="00B15ECB">
            <w:pPr>
              <w:rPr>
                <w:bCs/>
              </w:rPr>
            </w:pPr>
          </w:p>
          <w:p w14:paraId="2DDCBC7B" w14:textId="77777777" w:rsidR="00DD3EFA" w:rsidRPr="00EC2A1C" w:rsidRDefault="00DD3EFA" w:rsidP="00B15ECB">
            <w:pPr>
              <w:rPr>
                <w:bCs/>
              </w:rPr>
            </w:pPr>
          </w:p>
          <w:p w14:paraId="083786AA" w14:textId="77777777" w:rsidR="00DD3EFA" w:rsidRPr="00EC2A1C" w:rsidRDefault="00DD3EFA" w:rsidP="00391907">
            <w:pPr>
              <w:pStyle w:val="Odstavecseseznamem"/>
              <w:numPr>
                <w:ilvl w:val="0"/>
                <w:numId w:val="110"/>
              </w:numPr>
              <w:jc w:val="both"/>
            </w:pPr>
            <w:r w:rsidRPr="00EC2A1C">
              <w:t>Sekundární/druhotné suroviny</w:t>
            </w:r>
          </w:p>
          <w:p w14:paraId="5535E247" w14:textId="77777777" w:rsidR="00DD3EFA" w:rsidRPr="00EC2A1C" w:rsidRDefault="00DD3EFA" w:rsidP="00B15ECB">
            <w:r w:rsidRPr="00EC2A1C">
              <w:t xml:space="preserve">- cenové nebo daňové zvýhodnění druhotných surovin oproti primárním surovinám </w:t>
            </w:r>
          </w:p>
          <w:p w14:paraId="0F369251" w14:textId="77777777" w:rsidR="00DD3EFA" w:rsidRPr="00EC2A1C" w:rsidRDefault="00DD3EFA" w:rsidP="00B15ECB">
            <w:r w:rsidRPr="00EC2A1C">
              <w:t>- podpora komoditních trhů</w:t>
            </w:r>
          </w:p>
          <w:p w14:paraId="3B97DCB5" w14:textId="77777777" w:rsidR="00DD3EFA" w:rsidRPr="00EC2A1C" w:rsidRDefault="00DD3EFA" w:rsidP="00B15ECB">
            <w:r w:rsidRPr="00EC2A1C">
              <w:t>- podpora získávání a zpracování druhotných surovin</w:t>
            </w:r>
          </w:p>
          <w:p w14:paraId="4BFAD6D5" w14:textId="77777777" w:rsidR="00DD3EFA" w:rsidRPr="00EC2A1C" w:rsidRDefault="00DD3EFA" w:rsidP="00B15ECB">
            <w:r w:rsidRPr="00EC2A1C">
              <w:t>- podpora výrobků s obsahem druhotných surovin (včetně podpory jejich nákupu v rámci OP a veřejných zakázek)</w:t>
            </w:r>
          </w:p>
          <w:p w14:paraId="7110835D" w14:textId="77777777" w:rsidR="00DD3EFA" w:rsidRPr="00EC2A1C" w:rsidRDefault="00DD3EFA" w:rsidP="00B15ECB">
            <w:r w:rsidRPr="00EC2A1C">
              <w:t>- odstraňování nadbytečných bariér pro trh s druhotnými surovinami</w:t>
            </w:r>
          </w:p>
          <w:p w14:paraId="218C8CC2" w14:textId="77777777" w:rsidR="00DD3EFA" w:rsidRPr="00EC2A1C" w:rsidRDefault="00DD3EFA" w:rsidP="00B15ECB">
            <w:pPr>
              <w:rPr>
                <w:bCs/>
              </w:rPr>
            </w:pPr>
          </w:p>
          <w:p w14:paraId="2800BFA0" w14:textId="77777777" w:rsidR="00DD3EFA" w:rsidRPr="00EC2A1C" w:rsidRDefault="00DD3EFA" w:rsidP="00391907">
            <w:pPr>
              <w:pStyle w:val="Odstavecseseznamem"/>
              <w:numPr>
                <w:ilvl w:val="0"/>
                <w:numId w:val="110"/>
              </w:numPr>
              <w:jc w:val="both"/>
            </w:pPr>
            <w:r w:rsidRPr="00EC2A1C">
              <w:t>Inovace a investice</w:t>
            </w:r>
          </w:p>
          <w:p w14:paraId="3FC42C1A" w14:textId="77777777" w:rsidR="00DD3EFA" w:rsidRPr="00EC2A1C" w:rsidRDefault="00DD3EFA" w:rsidP="00B15ECB">
            <w:pPr>
              <w:rPr>
                <w:bCs/>
              </w:rPr>
            </w:pPr>
            <w:r w:rsidRPr="00EC2A1C">
              <w:rPr>
                <w:bCs/>
              </w:rPr>
              <w:t xml:space="preserve">- </w:t>
            </w:r>
            <w:r w:rsidRPr="00EC2A1C">
              <w:t>podpora rozvoje recyklačního průmyslu především v oblasti inovativních technologií a kapacit, včetně výrobních a opravárenských kapacit</w:t>
            </w:r>
          </w:p>
          <w:p w14:paraId="63DCA627" w14:textId="77777777" w:rsidR="00DD3EFA" w:rsidRPr="00EC2A1C" w:rsidRDefault="00DD3EFA" w:rsidP="00B15ECB">
            <w:pPr>
              <w:rPr>
                <w:bCs/>
              </w:rPr>
            </w:pPr>
          </w:p>
          <w:p w14:paraId="22DF15AA" w14:textId="77777777" w:rsidR="00DD3EFA" w:rsidRPr="00EC2A1C" w:rsidRDefault="00DD3EFA" w:rsidP="00391907">
            <w:pPr>
              <w:pStyle w:val="Odstavecseseznamem"/>
              <w:numPr>
                <w:ilvl w:val="0"/>
                <w:numId w:val="110"/>
              </w:numPr>
              <w:jc w:val="both"/>
            </w:pPr>
            <w:r w:rsidRPr="00EC2A1C">
              <w:t>Prioritní oblasti (Akční plán EU pro oběhové hospodářství 2015)</w:t>
            </w:r>
          </w:p>
          <w:p w14:paraId="634ED905" w14:textId="77777777" w:rsidR="00DD3EFA" w:rsidRPr="00EC2A1C" w:rsidRDefault="00DD3EFA" w:rsidP="00B15ECB">
            <w:pPr>
              <w:rPr>
                <w:bCs/>
              </w:rPr>
            </w:pPr>
            <w:r w:rsidRPr="00EC2A1C">
              <w:rPr>
                <w:bCs/>
              </w:rPr>
              <w:t xml:space="preserve">- plasty, </w:t>
            </w:r>
          </w:p>
          <w:p w14:paraId="62E892D8" w14:textId="77777777" w:rsidR="00DD3EFA" w:rsidRPr="00EC2A1C" w:rsidRDefault="00DD3EFA" w:rsidP="00B15ECB">
            <w:pPr>
              <w:rPr>
                <w:bCs/>
              </w:rPr>
            </w:pPr>
            <w:r w:rsidRPr="00EC2A1C">
              <w:rPr>
                <w:bCs/>
              </w:rPr>
              <w:t xml:space="preserve">- potravinový odpad, </w:t>
            </w:r>
          </w:p>
          <w:p w14:paraId="0F56563E" w14:textId="77777777" w:rsidR="00DD3EFA" w:rsidRPr="00EC2A1C" w:rsidRDefault="00DD3EFA" w:rsidP="00B15ECB">
            <w:pPr>
              <w:rPr>
                <w:bCs/>
              </w:rPr>
            </w:pPr>
            <w:r w:rsidRPr="00EC2A1C">
              <w:rPr>
                <w:bCs/>
              </w:rPr>
              <w:t>- kritické suroviny,</w:t>
            </w:r>
          </w:p>
          <w:p w14:paraId="7E373FF8" w14:textId="77777777" w:rsidR="00DD3EFA" w:rsidRPr="00EC2A1C" w:rsidRDefault="00DD3EFA" w:rsidP="00B15ECB">
            <w:pPr>
              <w:rPr>
                <w:bCs/>
              </w:rPr>
            </w:pPr>
            <w:r w:rsidRPr="00EC2A1C">
              <w:rPr>
                <w:bCs/>
              </w:rPr>
              <w:t xml:space="preserve">- stavební a demoliční odpady, </w:t>
            </w:r>
          </w:p>
          <w:p w14:paraId="289DF6D2" w14:textId="77777777" w:rsidR="00DD3EFA" w:rsidRPr="00EC2A1C" w:rsidRDefault="00DD3EFA" w:rsidP="00B15ECB">
            <w:r w:rsidRPr="00EC2A1C">
              <w:rPr>
                <w:bCs/>
              </w:rPr>
              <w:t>- bioekonomika.</w:t>
            </w:r>
            <w:r w:rsidRPr="00EC2A1C">
              <w:t xml:space="preserve"> </w:t>
            </w:r>
          </w:p>
          <w:p w14:paraId="4F129527" w14:textId="77777777" w:rsidR="00DD3EFA" w:rsidRPr="00EC2A1C" w:rsidRDefault="00DD3EFA" w:rsidP="00B15ECB">
            <w:pPr>
              <w:spacing w:before="60" w:after="60"/>
              <w:rPr>
                <w:u w:val="single"/>
              </w:rPr>
            </w:pPr>
          </w:p>
          <w:p w14:paraId="16F0E238" w14:textId="77777777" w:rsidR="00DD3EFA" w:rsidRPr="00EC2A1C" w:rsidRDefault="00DD3EFA" w:rsidP="00B15ECB">
            <w:pPr>
              <w:spacing w:before="60" w:after="60"/>
              <w:rPr>
                <w:u w:val="single"/>
              </w:rPr>
            </w:pPr>
            <w:r w:rsidRPr="00EC2A1C">
              <w:t>V roce 2018 představila Evropská komise další dokumenty, které oblast oběhového hospodářství dále rozvíjejí – Strategie EU pro plasty v oběhovém hospodářství, návrh rámce pro sledování pokroku v oběhovém hospodářství a směrnici o omezení vlivu některých plastových výrobků na životní prostředí. Strategie EU pro plasty v oběhovém hospodářství obsahuje konkrétní směřování k udržitelnějšímu nakládání s plasty v celém výrobním procesu a následném zpracování plastových odpadů</w:t>
            </w:r>
            <w:r w:rsidRPr="00EC2A1C">
              <w:rPr>
                <w:u w:val="single"/>
              </w:rPr>
              <w:t xml:space="preserve">. </w:t>
            </w:r>
          </w:p>
        </w:tc>
      </w:tr>
      <w:tr w:rsidR="00DD3EFA" w:rsidRPr="00EC2A1C" w14:paraId="4BB7D3DD" w14:textId="77777777" w:rsidTr="00B15ECB">
        <w:trPr>
          <w:trHeight w:val="46"/>
        </w:trPr>
        <w:tc>
          <w:tcPr>
            <w:tcW w:w="249" w:type="dxa"/>
            <w:tcBorders>
              <w:top w:val="nil"/>
              <w:left w:val="single" w:sz="4" w:space="0" w:color="auto"/>
              <w:bottom w:val="nil"/>
              <w:right w:val="nil"/>
            </w:tcBorders>
            <w:shd w:val="clear" w:color="auto" w:fill="66CCFF"/>
          </w:tcPr>
          <w:p w14:paraId="0F06AB41"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DE483CE" w14:textId="77777777" w:rsidR="00DD3EFA" w:rsidRPr="00EC2A1C" w:rsidRDefault="00DD3EFA" w:rsidP="00B15ECB">
            <w:pPr>
              <w:rPr>
                <w:b/>
              </w:rPr>
            </w:pPr>
          </w:p>
        </w:tc>
        <w:tc>
          <w:tcPr>
            <w:tcW w:w="5567" w:type="dxa"/>
            <w:tcBorders>
              <w:top w:val="single" w:sz="4" w:space="0" w:color="auto"/>
              <w:left w:val="nil"/>
              <w:bottom w:val="single" w:sz="4" w:space="0" w:color="auto"/>
              <w:right w:val="nil"/>
            </w:tcBorders>
            <w:shd w:val="clear" w:color="auto" w:fill="66CCFF"/>
          </w:tcPr>
          <w:p w14:paraId="12A1293D" w14:textId="77777777" w:rsidR="00DD3EFA" w:rsidRPr="00EC2A1C" w:rsidRDefault="00DD3EFA" w:rsidP="00B15ECB">
            <w:pPr>
              <w:rPr>
                <w:b/>
              </w:rPr>
            </w:pPr>
          </w:p>
        </w:tc>
      </w:tr>
      <w:tr w:rsidR="00DD3EFA" w:rsidRPr="00EC2A1C" w14:paraId="3A97A623"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6647A2CB"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3D39F5"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8E561A3" w14:textId="77777777" w:rsidR="00DD3EFA" w:rsidRPr="00EC2A1C" w:rsidRDefault="00DD3EFA" w:rsidP="00B15ECB">
            <w:pPr>
              <w:rPr>
                <w:b/>
              </w:rPr>
            </w:pPr>
          </w:p>
          <w:p w14:paraId="12DFB12A" w14:textId="77777777" w:rsidR="00DD3EFA" w:rsidRPr="00EC2A1C" w:rsidRDefault="00DD3EFA" w:rsidP="00B15ECB">
            <w:pPr>
              <w:rPr>
                <w:b/>
              </w:rPr>
            </w:pPr>
            <w:r w:rsidRPr="00EC2A1C">
              <w:rPr>
                <w:b/>
              </w:rPr>
              <w:t>Oběhové hospodářství</w:t>
            </w:r>
          </w:p>
          <w:p w14:paraId="2A9C50FB" w14:textId="77777777" w:rsidR="00DD3EFA" w:rsidRPr="00EC2A1C" w:rsidRDefault="00DD3EFA" w:rsidP="00B15ECB">
            <w:pPr>
              <w:pStyle w:val="Odstavecseseznamem"/>
              <w:ind w:left="0"/>
            </w:pPr>
            <w:r w:rsidRPr="00EC2A1C">
              <w:t xml:space="preserve">Základním principem oběhového hospodářství je co nejdelší zachování hodnoty výrobků a materiálů v ekonomickém cyklu. Vznik odpadů je minimalizován, zdroje jsou využívány efektivně, a pokud produkt dosáhne konce své životnosti, znovu se použije k výrobě dalších výrobků. Odpady jsou vnímány jako důležité zdroje pro průmysl a zemědělství, nahrazují primární suroviny: </w:t>
            </w:r>
          </w:p>
          <w:p w14:paraId="49DB73EA" w14:textId="77777777" w:rsidR="00DD3EFA" w:rsidRPr="00EC2A1C" w:rsidRDefault="00DD3EFA" w:rsidP="00B15ECB">
            <w:pPr>
              <w:pStyle w:val="Odstavecseseznamem"/>
              <w:ind w:left="0"/>
            </w:pPr>
          </w:p>
          <w:p w14:paraId="02FAC3D5" w14:textId="77777777" w:rsidR="00DD3EFA" w:rsidRPr="00EC2A1C" w:rsidRDefault="00DD3EFA" w:rsidP="00B15ECB">
            <w:pPr>
              <w:pStyle w:val="Odstavecseseznamem"/>
              <w:ind w:left="0"/>
            </w:pPr>
          </w:p>
          <w:p w14:paraId="69378477" w14:textId="77777777" w:rsidR="00DD3EFA" w:rsidRPr="00EC2A1C" w:rsidRDefault="00DD3EFA" w:rsidP="00391907">
            <w:pPr>
              <w:pStyle w:val="Odstavecseseznamem"/>
              <w:numPr>
                <w:ilvl w:val="0"/>
                <w:numId w:val="111"/>
              </w:numPr>
              <w:jc w:val="both"/>
            </w:pPr>
            <w:r w:rsidRPr="00EC2A1C">
              <w:t>je nutné podpořit inovativní technologie pro recyklaci odpadů a využívání druhotných surovin</w:t>
            </w:r>
          </w:p>
          <w:p w14:paraId="11E1AB04" w14:textId="77777777" w:rsidR="00DD3EFA" w:rsidRPr="00EC2A1C" w:rsidRDefault="00DD3EFA" w:rsidP="00391907">
            <w:pPr>
              <w:pStyle w:val="Odstavecseseznamem"/>
              <w:numPr>
                <w:ilvl w:val="0"/>
                <w:numId w:val="111"/>
              </w:numPr>
              <w:jc w:val="both"/>
            </w:pPr>
            <w:r w:rsidRPr="00EC2A1C">
              <w:t>vybavení a zkvalitnění infrastruktury pro získávání, zpracování a využívání druhotných surovin</w:t>
            </w:r>
          </w:p>
          <w:p w14:paraId="196A8482" w14:textId="77777777" w:rsidR="00DD3EFA" w:rsidRPr="00EC2A1C" w:rsidRDefault="00DD3EFA" w:rsidP="00391907">
            <w:pPr>
              <w:pStyle w:val="Odstavecseseznamem"/>
              <w:numPr>
                <w:ilvl w:val="0"/>
                <w:numId w:val="111"/>
              </w:numPr>
              <w:jc w:val="both"/>
            </w:pPr>
            <w:r w:rsidRPr="00EC2A1C">
              <w:t>podporovat trh s druhotnými surovinami a výrobu výrobků recyklovaných materiálů a druhotných surovin</w:t>
            </w:r>
          </w:p>
          <w:p w14:paraId="266A30B7" w14:textId="77777777" w:rsidR="00DD3EFA" w:rsidRPr="00EC2A1C" w:rsidRDefault="00DD3EFA" w:rsidP="00391907">
            <w:pPr>
              <w:pStyle w:val="Odstavecseseznamem"/>
              <w:numPr>
                <w:ilvl w:val="0"/>
                <w:numId w:val="111"/>
              </w:numPr>
              <w:jc w:val="both"/>
            </w:pPr>
            <w:r w:rsidRPr="00EC2A1C">
              <w:t>snížení materiálové a energetické náročnosti výroby</w:t>
            </w:r>
          </w:p>
          <w:p w14:paraId="52DBACE1" w14:textId="77777777" w:rsidR="00DD3EFA" w:rsidRPr="00EC2A1C" w:rsidRDefault="00DD3EFA" w:rsidP="00391907">
            <w:pPr>
              <w:pStyle w:val="Odstavecseseznamem"/>
              <w:numPr>
                <w:ilvl w:val="0"/>
                <w:numId w:val="111"/>
              </w:numPr>
              <w:jc w:val="both"/>
            </w:pPr>
            <w:r w:rsidRPr="00EC2A1C">
              <w:t>snížení provozních nákladů výroby</w:t>
            </w:r>
          </w:p>
          <w:p w14:paraId="508409C1" w14:textId="77777777" w:rsidR="00DD3EFA" w:rsidRPr="00EC2A1C" w:rsidRDefault="00DD3EFA" w:rsidP="00391907">
            <w:pPr>
              <w:pStyle w:val="Odstavecseseznamem"/>
              <w:numPr>
                <w:ilvl w:val="0"/>
                <w:numId w:val="111"/>
              </w:numPr>
              <w:jc w:val="both"/>
            </w:pPr>
            <w:r w:rsidRPr="00EC2A1C">
              <w:t xml:space="preserve">zvýšení zaměstnanosti </w:t>
            </w:r>
          </w:p>
          <w:p w14:paraId="74771F08" w14:textId="77777777" w:rsidR="00DD3EFA" w:rsidRPr="00EC2A1C" w:rsidRDefault="00DD3EFA" w:rsidP="00391907">
            <w:pPr>
              <w:pStyle w:val="Odstavecseseznamem"/>
              <w:numPr>
                <w:ilvl w:val="0"/>
                <w:numId w:val="111"/>
              </w:numPr>
              <w:jc w:val="both"/>
            </w:pPr>
            <w:r w:rsidRPr="00EC2A1C">
              <w:t>eliminace produkce odpadů a jejich skládkování</w:t>
            </w:r>
          </w:p>
          <w:p w14:paraId="18EE61A8" w14:textId="77777777" w:rsidR="00DD3EFA" w:rsidRPr="00EC2A1C" w:rsidRDefault="00DD3EFA" w:rsidP="00391907">
            <w:pPr>
              <w:pStyle w:val="Odstavecseseznamem"/>
              <w:numPr>
                <w:ilvl w:val="0"/>
                <w:numId w:val="111"/>
              </w:numPr>
              <w:jc w:val="both"/>
            </w:pPr>
            <w:r w:rsidRPr="00EC2A1C">
              <w:t xml:space="preserve">úspora primárních zdrojů </w:t>
            </w:r>
          </w:p>
          <w:p w14:paraId="0C25254E" w14:textId="77777777" w:rsidR="00DD3EFA" w:rsidRPr="00EC2A1C" w:rsidRDefault="00DD3EFA" w:rsidP="00391907">
            <w:pPr>
              <w:pStyle w:val="Odstavecseseznamem"/>
              <w:numPr>
                <w:ilvl w:val="0"/>
                <w:numId w:val="111"/>
              </w:numPr>
              <w:jc w:val="both"/>
            </w:pPr>
            <w:r w:rsidRPr="00EC2A1C">
              <w:t>podpora surovinové bezpečnosti státu</w:t>
            </w:r>
          </w:p>
          <w:p w14:paraId="0814C874" w14:textId="77777777" w:rsidR="00DD3EFA" w:rsidRPr="00EC2A1C" w:rsidRDefault="00DD3EFA" w:rsidP="00391907">
            <w:pPr>
              <w:pStyle w:val="Odstavecseseznamem"/>
              <w:numPr>
                <w:ilvl w:val="0"/>
                <w:numId w:val="111"/>
              </w:numPr>
              <w:jc w:val="both"/>
            </w:pPr>
            <w:r w:rsidRPr="00EC2A1C">
              <w:t xml:space="preserve">eliminace negativních vlivů průmyslové výroby na životní prostředí </w:t>
            </w:r>
          </w:p>
          <w:p w14:paraId="205AB693" w14:textId="77777777" w:rsidR="00DD3EFA" w:rsidRPr="00EC2A1C" w:rsidRDefault="00DD3EFA" w:rsidP="00B15ECB">
            <w:pPr>
              <w:pStyle w:val="Odstavecseseznamem"/>
              <w:ind w:left="0"/>
            </w:pPr>
          </w:p>
          <w:p w14:paraId="531AF43A" w14:textId="77777777" w:rsidR="00DD3EFA" w:rsidRPr="00EC2A1C" w:rsidRDefault="00DD3EFA" w:rsidP="00B15ECB">
            <w:pPr>
              <w:pStyle w:val="Odstavecseseznamem"/>
              <w:ind w:left="0"/>
            </w:pPr>
            <w:r w:rsidRPr="00EC2A1C">
              <w:t xml:space="preserve">Stát podporuje hierarchii nakládání s odpady, kdy je předcházení vzniku odpadu preferováno před recyklací, recyklace před energetickým využitím odpadu a energetické využití odpadu před jeho odstraněním. Nutnou podmínkou a součástí podpory oběhového hospodářství je také budování příslušné infrastruktury environmentálních služeb (stanovení a koordinace sítě zařízení k nakládání s odpady v regionech) a jasné přidělení rolí v rámci obcí a dalších zainteresovaných institucí. Zlepšení nakládání s odpady může přinést nová pracovní místa v recyklačním průmyslu. Podpora systémů sledování reálné produkce odpadů může přinést úsporu v nákladech obcí na odpadové hospodářství. Stát podporuje inovativní a chytré přístupy v rámci nakládání s odpady a systematicky zapojuje tématiku odpadů do širšího kontextu hospodářské politiky. </w:t>
            </w:r>
          </w:p>
          <w:p w14:paraId="4C183235" w14:textId="77777777" w:rsidR="00DD3EFA" w:rsidRPr="00EC2A1C" w:rsidRDefault="00DD3EFA" w:rsidP="00B15ECB">
            <w:pPr>
              <w:pStyle w:val="Odstavecseseznamem"/>
              <w:ind w:left="0"/>
            </w:pPr>
          </w:p>
          <w:p w14:paraId="574AECA0" w14:textId="77777777" w:rsidR="00DD3EFA" w:rsidRPr="00EC2A1C" w:rsidRDefault="00DD3EFA" w:rsidP="00B15ECB">
            <w:pPr>
              <w:rPr>
                <w:b/>
              </w:rPr>
            </w:pPr>
            <w:r w:rsidRPr="00EC2A1C">
              <w:rPr>
                <w:b/>
              </w:rPr>
              <w:t>Účinné využívání zdrojů</w:t>
            </w:r>
          </w:p>
          <w:p w14:paraId="70649A00" w14:textId="77777777" w:rsidR="00DD3EFA" w:rsidRPr="00EC2A1C" w:rsidRDefault="00DD3EFA" w:rsidP="00B15ECB">
            <w:pPr>
              <w:pStyle w:val="Odstavecseseznamem"/>
              <w:ind w:left="0"/>
            </w:pPr>
            <w:r w:rsidRPr="00EC2A1C">
              <w:t xml:space="preserve">Využívání odpadů jako zdrojů surovin je součástí strategie a legislativy odpadového hospodářství.  Zakotveno je v Plánu odpadového hospodářství ČR 2015 – 2024 a promítá se i do konkrétních legislativních opatření v rámci zákona o odpadech a prováděcích předpisů. Od roku 2015 je legislativně zakotvena povinnost odděleného sběru biologicky rozložitelných odpadů. V roce 2018 byl sběr bioodpadu rostlinného původu rozšířen na celý rok pro jeho další využití v kompostárnách a bioplynových stanicích. Zavedení povinnosti vejde v účinnost od dubna 2019 (vyhláška č. 210/2018 Sb.). Cílem je dále snižovat množství biologicky rozložitelných komunálních odpadů (BRKO) ukládaných na skládky odpadů a splnit tak cíle stanovené směrnicí Rady č. 1999/31/ES o skládkách odpadů a rovněž dosáhnout adekvátního využití potenciálu BRKO, tedy zisk energie a dodání organických materiálů zpět do půdy. Půda v ČR je dlouhodobě ohrožena nedostatkem organické hmoty. </w:t>
            </w:r>
            <w:r w:rsidRPr="00EC2A1C">
              <w:br/>
              <w:t xml:space="preserve">Od ledna 2020 bude zaveden rovněž povinný sběr jedlých tuků a olejů. Zavedením třídění se významně podpoří snaha o využití neropných zdrojů v ČR a snížení závislosti na dovozu ropných derivátů. Rovněž dojde k omezení negativních jevů ve stokové síti. </w:t>
            </w:r>
          </w:p>
          <w:p w14:paraId="5E74F712" w14:textId="77777777" w:rsidR="00DD3EFA" w:rsidRPr="00EC2A1C" w:rsidRDefault="00DD3EFA" w:rsidP="00B15ECB">
            <w:r w:rsidRPr="00EC2A1C">
              <w:t xml:space="preserve">V nové legislativě odpadového hospodářství, která je v současnosti připravována, bude dále posílen přístup preferovat využití odpadů před jejich odstraněním. </w:t>
            </w:r>
          </w:p>
          <w:p w14:paraId="48375E28" w14:textId="77777777" w:rsidR="00DD3EFA" w:rsidRPr="00EC2A1C" w:rsidRDefault="00DD3EFA" w:rsidP="00B15ECB">
            <w:pPr>
              <w:pStyle w:val="Odstavecseseznamem"/>
              <w:ind w:left="0"/>
            </w:pPr>
            <w:r w:rsidRPr="00EC2A1C">
              <w:t>Rámec účinného využívání zdrojů je rovněž promítnut v Politice druhotných surovin ČR, která se zaměřuje na podporu účinného a udržitelného využívání zdrojů a vytváří tak příznivější podmínky pro vyšší využívání druhotných surovin, které ve výrobě mohou nahradit i významnou část primárních zdrojů .</w:t>
            </w:r>
          </w:p>
          <w:p w14:paraId="0F23FE99" w14:textId="77777777" w:rsidR="00DD3EFA" w:rsidRPr="00EC2A1C" w:rsidRDefault="00DD3EFA" w:rsidP="00B15ECB">
            <w:pPr>
              <w:spacing w:before="60" w:after="60"/>
            </w:pPr>
          </w:p>
          <w:p w14:paraId="72EAF3CB" w14:textId="77777777" w:rsidR="00DD3EFA" w:rsidRPr="00EC2A1C" w:rsidRDefault="00DD3EFA" w:rsidP="00B15ECB">
            <w:pPr>
              <w:spacing w:before="60" w:after="60"/>
            </w:pPr>
          </w:p>
        </w:tc>
      </w:tr>
      <w:tr w:rsidR="00DD3EFA" w:rsidRPr="00EC2A1C" w14:paraId="4AF69592"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66CD5C10"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1B95C"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FFAD" w14:textId="77777777" w:rsidR="00DD3EFA" w:rsidRPr="00EC2A1C" w:rsidRDefault="00DD3EFA" w:rsidP="00B15ECB">
            <w:pPr>
              <w:rPr>
                <w:b/>
              </w:rPr>
            </w:pPr>
          </w:p>
          <w:p w14:paraId="319D5010" w14:textId="77777777" w:rsidR="00DD3EFA" w:rsidRPr="00EC2A1C" w:rsidRDefault="00DD3EFA" w:rsidP="00B15ECB">
            <w:pPr>
              <w:rPr>
                <w:b/>
              </w:rPr>
            </w:pPr>
            <w:r w:rsidRPr="00EC2A1C">
              <w:rPr>
                <w:b/>
              </w:rPr>
              <w:t>Oběhové hospodářství</w:t>
            </w:r>
          </w:p>
          <w:p w14:paraId="7B1542D6" w14:textId="77777777" w:rsidR="00DD3EFA" w:rsidRPr="00EC2A1C" w:rsidRDefault="00DD3EFA" w:rsidP="00391907">
            <w:pPr>
              <w:pStyle w:val="Odstavecseseznamem"/>
              <w:numPr>
                <w:ilvl w:val="0"/>
                <w:numId w:val="112"/>
              </w:numPr>
              <w:jc w:val="both"/>
            </w:pPr>
            <w:r w:rsidRPr="00EC2A1C">
              <w:t>nedostatečná infrastruktura inovativních technologií, pro získávání, zpracování a využívání druhotných surovin jako náhrady primárních surovin v průmyslové výrobě;</w:t>
            </w:r>
          </w:p>
          <w:p w14:paraId="79B20174" w14:textId="77777777" w:rsidR="00DD3EFA" w:rsidRPr="00EC2A1C" w:rsidRDefault="00DD3EFA" w:rsidP="00391907">
            <w:pPr>
              <w:pStyle w:val="Odstavecseseznamem"/>
              <w:numPr>
                <w:ilvl w:val="0"/>
                <w:numId w:val="112"/>
              </w:numPr>
              <w:jc w:val="both"/>
            </w:pPr>
            <w:r w:rsidRPr="00EC2A1C">
              <w:t xml:space="preserve">neexistence normativních dokumentů pro druhotné suroviny a výrobky s obsahem druhotných surovin. </w:t>
            </w:r>
          </w:p>
          <w:p w14:paraId="3CEEA6C4" w14:textId="77777777" w:rsidR="00DD3EFA" w:rsidRPr="00EC2A1C" w:rsidRDefault="00DD3EFA" w:rsidP="00391907">
            <w:pPr>
              <w:pStyle w:val="Odstavecseseznamem"/>
              <w:numPr>
                <w:ilvl w:val="0"/>
                <w:numId w:val="112"/>
              </w:numPr>
              <w:jc w:val="both"/>
            </w:pPr>
            <w:r w:rsidRPr="00EC2A1C">
              <w:rPr>
                <w:lang w:bidi="cs-CZ"/>
              </w:rPr>
              <w:t>pokračující nízká cena environmentálně nevhodných způsobů nakládání s odpady (zejména skládkování odpadů),</w:t>
            </w:r>
          </w:p>
          <w:p w14:paraId="2A808F23" w14:textId="77777777" w:rsidR="00DD3EFA" w:rsidRPr="00EC2A1C" w:rsidRDefault="00DD3EFA" w:rsidP="00391907">
            <w:pPr>
              <w:pStyle w:val="Odstavecseseznamem"/>
              <w:numPr>
                <w:ilvl w:val="0"/>
                <w:numId w:val="112"/>
              </w:numPr>
              <w:jc w:val="both"/>
            </w:pPr>
            <w:r w:rsidRPr="00EC2A1C">
              <w:t>nedostatečný důraz na prevenci vzniku odpadů v rámci průmyslu, stavebnictví a zemědělství,</w:t>
            </w:r>
          </w:p>
          <w:p w14:paraId="20FFF4B4" w14:textId="77777777" w:rsidR="00DD3EFA" w:rsidRPr="00EC2A1C" w:rsidRDefault="00DD3EFA" w:rsidP="00391907">
            <w:pPr>
              <w:pStyle w:val="Odstavecseseznamem"/>
              <w:numPr>
                <w:ilvl w:val="0"/>
                <w:numId w:val="112"/>
              </w:numPr>
              <w:jc w:val="both"/>
            </w:pPr>
            <w:r w:rsidRPr="00EC2A1C">
              <w:t>nedostatečný důraz na opravitelnost, životnost a recyklovatelnost výrobků,</w:t>
            </w:r>
          </w:p>
          <w:p w14:paraId="165B5FB4" w14:textId="77777777" w:rsidR="00DD3EFA" w:rsidRPr="00EC2A1C" w:rsidRDefault="00DD3EFA" w:rsidP="00391907">
            <w:pPr>
              <w:pStyle w:val="Odstavecseseznamem"/>
              <w:numPr>
                <w:ilvl w:val="0"/>
                <w:numId w:val="112"/>
              </w:numPr>
              <w:jc w:val="both"/>
            </w:pPr>
            <w:r w:rsidRPr="00EC2A1C">
              <w:t>nedostatečný důraz na ekodesign výrobků,</w:t>
            </w:r>
          </w:p>
          <w:p w14:paraId="4A734CB7" w14:textId="77777777" w:rsidR="00DD3EFA" w:rsidRPr="00EC2A1C" w:rsidRDefault="00DD3EFA" w:rsidP="00391907">
            <w:pPr>
              <w:pStyle w:val="Odstavecseseznamem"/>
              <w:numPr>
                <w:ilvl w:val="0"/>
                <w:numId w:val="112"/>
              </w:numPr>
              <w:jc w:val="both"/>
            </w:pPr>
            <w:r w:rsidRPr="00EC2A1C">
              <w:t xml:space="preserve">nedostatečná podpora trhu s druhotnými surovinami a s výrobky je obsahující. </w:t>
            </w:r>
          </w:p>
          <w:p w14:paraId="4452D788" w14:textId="77777777" w:rsidR="00DD3EFA" w:rsidRPr="00EC2A1C" w:rsidRDefault="00DD3EFA" w:rsidP="00B15ECB">
            <w:pPr>
              <w:pStyle w:val="Odstavecseseznamem"/>
            </w:pPr>
          </w:p>
          <w:p w14:paraId="39234816" w14:textId="77777777" w:rsidR="00DD3EFA" w:rsidRPr="00EC2A1C" w:rsidRDefault="00DD3EFA" w:rsidP="00B15ECB">
            <w:pPr>
              <w:rPr>
                <w:b/>
              </w:rPr>
            </w:pPr>
            <w:r w:rsidRPr="00EC2A1C">
              <w:rPr>
                <w:b/>
              </w:rPr>
              <w:t>Přínosy:</w:t>
            </w:r>
          </w:p>
          <w:p w14:paraId="19913901" w14:textId="77777777" w:rsidR="00DD3EFA" w:rsidRPr="00EC2A1C" w:rsidRDefault="00DD3EFA" w:rsidP="00391907">
            <w:pPr>
              <w:pStyle w:val="Odstavecseseznamem"/>
              <w:numPr>
                <w:ilvl w:val="0"/>
                <w:numId w:val="112"/>
              </w:numPr>
              <w:jc w:val="both"/>
            </w:pPr>
            <w:r w:rsidRPr="00EC2A1C">
              <w:t xml:space="preserve">vrácení upravených odpadů jako druhotných surovin do ekonomiky a úspora primárních zdrojů </w:t>
            </w:r>
          </w:p>
          <w:p w14:paraId="73449A00" w14:textId="77777777" w:rsidR="00DD3EFA" w:rsidRPr="00EC2A1C" w:rsidRDefault="00DD3EFA" w:rsidP="00391907">
            <w:pPr>
              <w:pStyle w:val="Odstavecseseznamem"/>
              <w:numPr>
                <w:ilvl w:val="0"/>
                <w:numId w:val="112"/>
              </w:numPr>
              <w:jc w:val="both"/>
            </w:pPr>
            <w:r w:rsidRPr="00EC2A1C">
              <w:t>zvýšení soběstačnosti v zajištění deficitních surovinových zdrojů,</w:t>
            </w:r>
          </w:p>
          <w:p w14:paraId="29D4EC82" w14:textId="77777777" w:rsidR="00DD3EFA" w:rsidRPr="00EC2A1C" w:rsidRDefault="00DD3EFA" w:rsidP="00391907">
            <w:pPr>
              <w:pStyle w:val="Odstavecseseznamem"/>
              <w:numPr>
                <w:ilvl w:val="0"/>
                <w:numId w:val="112"/>
              </w:numPr>
              <w:jc w:val="both"/>
            </w:pPr>
            <w:r w:rsidRPr="00EC2A1C">
              <w:t>snížení závislosti na importu surovin,</w:t>
            </w:r>
          </w:p>
          <w:p w14:paraId="68821077" w14:textId="77777777" w:rsidR="00DD3EFA" w:rsidRPr="00EC2A1C" w:rsidRDefault="00DD3EFA" w:rsidP="00391907">
            <w:pPr>
              <w:pStyle w:val="Odstavecseseznamem"/>
              <w:numPr>
                <w:ilvl w:val="0"/>
                <w:numId w:val="112"/>
              </w:numPr>
              <w:jc w:val="both"/>
            </w:pPr>
            <w:r w:rsidRPr="00EC2A1C">
              <w:t>snížení energetické a materiálové náročnosti výroby,</w:t>
            </w:r>
          </w:p>
          <w:p w14:paraId="60BE8BE1" w14:textId="77777777" w:rsidR="00DD3EFA" w:rsidRPr="00EC2A1C" w:rsidRDefault="00DD3EFA" w:rsidP="00391907">
            <w:pPr>
              <w:pStyle w:val="Odstavecseseznamem"/>
              <w:numPr>
                <w:ilvl w:val="0"/>
                <w:numId w:val="112"/>
              </w:numPr>
              <w:jc w:val="both"/>
            </w:pPr>
            <w:r w:rsidRPr="00EC2A1C">
              <w:t>snížení provozních nákladů,</w:t>
            </w:r>
          </w:p>
          <w:p w14:paraId="0909311A" w14:textId="77777777" w:rsidR="00DD3EFA" w:rsidRPr="00EC2A1C" w:rsidRDefault="00DD3EFA" w:rsidP="00391907">
            <w:pPr>
              <w:pStyle w:val="Odstavecseseznamem"/>
              <w:numPr>
                <w:ilvl w:val="0"/>
                <w:numId w:val="112"/>
              </w:numPr>
              <w:jc w:val="both"/>
            </w:pPr>
            <w:r w:rsidRPr="00EC2A1C">
              <w:t>snížení produkce odpadů a jejich skládkování,</w:t>
            </w:r>
          </w:p>
          <w:p w14:paraId="40AD574F" w14:textId="77777777" w:rsidR="00DD3EFA" w:rsidRPr="00EC2A1C" w:rsidRDefault="00DD3EFA" w:rsidP="00391907">
            <w:pPr>
              <w:pStyle w:val="Odstavecseseznamem"/>
              <w:numPr>
                <w:ilvl w:val="0"/>
                <w:numId w:val="112"/>
              </w:numPr>
              <w:jc w:val="both"/>
            </w:pPr>
            <w:r w:rsidRPr="00EC2A1C">
              <w:t>vytvoření nových pracovních míst,</w:t>
            </w:r>
          </w:p>
          <w:p w14:paraId="54FB59A0" w14:textId="77777777" w:rsidR="00DD3EFA" w:rsidRPr="00EC2A1C" w:rsidRDefault="00DD3EFA" w:rsidP="00391907">
            <w:pPr>
              <w:pStyle w:val="Odstavecseseznamem"/>
              <w:numPr>
                <w:ilvl w:val="0"/>
                <w:numId w:val="112"/>
              </w:numPr>
              <w:jc w:val="both"/>
            </w:pPr>
            <w:r w:rsidRPr="00EC2A1C">
              <w:t>vytvoření nových obchodních modelů,</w:t>
            </w:r>
          </w:p>
          <w:p w14:paraId="49AA267E" w14:textId="77777777" w:rsidR="00DD3EFA" w:rsidRPr="00EC2A1C" w:rsidRDefault="00DD3EFA" w:rsidP="00391907">
            <w:pPr>
              <w:pStyle w:val="Odstavecseseznamem"/>
              <w:numPr>
                <w:ilvl w:val="0"/>
                <w:numId w:val="112"/>
              </w:numPr>
              <w:jc w:val="both"/>
            </w:pPr>
            <w:r w:rsidRPr="00EC2A1C">
              <w:t>redukce skleníkových plynů,</w:t>
            </w:r>
          </w:p>
          <w:p w14:paraId="1F9381AC" w14:textId="77777777" w:rsidR="00DD3EFA" w:rsidRPr="00EC2A1C" w:rsidRDefault="00DD3EFA" w:rsidP="00391907">
            <w:pPr>
              <w:pStyle w:val="Odstavecseseznamem"/>
              <w:numPr>
                <w:ilvl w:val="0"/>
                <w:numId w:val="112"/>
              </w:numPr>
              <w:jc w:val="both"/>
            </w:pPr>
            <w:r w:rsidRPr="00EC2A1C">
              <w:t xml:space="preserve">vytváření nových recyklačních kapacit, </w:t>
            </w:r>
          </w:p>
          <w:p w14:paraId="78E26B6A" w14:textId="77777777" w:rsidR="00DD3EFA" w:rsidRPr="00EC2A1C" w:rsidRDefault="00DD3EFA" w:rsidP="00391907">
            <w:pPr>
              <w:pStyle w:val="Odstavecseseznamem"/>
              <w:numPr>
                <w:ilvl w:val="0"/>
                <w:numId w:val="112"/>
              </w:numPr>
              <w:jc w:val="both"/>
            </w:pPr>
            <w:r w:rsidRPr="00EC2A1C">
              <w:t>získávání kritických surovin zpět do ekonomiky,</w:t>
            </w:r>
          </w:p>
          <w:p w14:paraId="213FA9BC" w14:textId="77777777" w:rsidR="00DD3EFA" w:rsidRPr="00EC2A1C" w:rsidRDefault="00DD3EFA" w:rsidP="00391907">
            <w:pPr>
              <w:pStyle w:val="Odstavecseseznamem"/>
              <w:numPr>
                <w:ilvl w:val="0"/>
                <w:numId w:val="112"/>
              </w:numPr>
              <w:jc w:val="both"/>
            </w:pPr>
            <w:r w:rsidRPr="00EC2A1C">
              <w:rPr>
                <w:rFonts w:eastAsia="SimSun"/>
                <w:bCs/>
                <w:lang w:eastAsia="zh-CN"/>
              </w:rPr>
              <w:t>inovace odpadového a recyklačního sektoru.</w:t>
            </w:r>
          </w:p>
          <w:p w14:paraId="225F5E40" w14:textId="77777777" w:rsidR="00DD3EFA" w:rsidRPr="00EC2A1C" w:rsidRDefault="00DD3EFA" w:rsidP="00B15ECB"/>
          <w:p w14:paraId="3FAF85A2" w14:textId="77777777" w:rsidR="00DD3EFA" w:rsidRPr="00EC2A1C" w:rsidRDefault="00DD3EFA" w:rsidP="00B15ECB">
            <w:pPr>
              <w:rPr>
                <w:b/>
              </w:rPr>
            </w:pPr>
            <w:r w:rsidRPr="00EC2A1C">
              <w:rPr>
                <w:b/>
              </w:rPr>
              <w:t>Účinné využívání druhotných surovin po těžbě nerostů jako náhrady primárních zdrojů</w:t>
            </w:r>
          </w:p>
          <w:p w14:paraId="4BA65D29" w14:textId="77777777" w:rsidR="00DD3EFA" w:rsidRPr="00EC2A1C" w:rsidRDefault="00DD3EFA" w:rsidP="00B15ECB">
            <w:r w:rsidRPr="00EC2A1C">
              <w:t>V oblasti účinného využívání zdrojů bude pozornost zaměřena na výsypky, odvaly a odkaliště.</w:t>
            </w:r>
          </w:p>
          <w:p w14:paraId="4850C868" w14:textId="77777777" w:rsidR="00DD3EFA" w:rsidRPr="00EC2A1C" w:rsidRDefault="00DD3EFA" w:rsidP="00B15ECB">
            <w:pPr>
              <w:rPr>
                <w:rFonts w:eastAsiaTheme="majorEastAsia"/>
              </w:rPr>
            </w:pPr>
            <w:r w:rsidRPr="00EC2A1C">
              <w:rPr>
                <w:rFonts w:eastAsiaTheme="majorEastAsia"/>
              </w:rPr>
              <w:t>Bude podporován průzkum z hlediska možného výskytu kritických nerostných surovin s cílem jejich ekonomického využití.</w:t>
            </w:r>
          </w:p>
          <w:p w14:paraId="5E2527CE" w14:textId="77777777" w:rsidR="00DD3EFA" w:rsidRPr="00EC2A1C" w:rsidRDefault="00DD3EFA" w:rsidP="00B15ECB">
            <w:pPr>
              <w:rPr>
                <w:rFonts w:eastAsiaTheme="majorEastAsia"/>
              </w:rPr>
            </w:pPr>
            <w:r w:rsidRPr="00EC2A1C">
              <w:rPr>
                <w:rFonts w:eastAsiaTheme="majorEastAsia"/>
              </w:rPr>
              <w:t>Přechod k principům oběhového hospodářství povede k účinnému využívání nerostných surovin a současnému naplnění dvou cílů. Staré těžební zátěže budou upraveny podle dnešních moderních standardů ukládání těžebních odpadů a budou získány suroviny, které byly v minulosti pokládány za nežádoucí příměs, separovány do odpadu, ale dnes mají zásadní význam v elektronice a moderních technologiích.</w:t>
            </w:r>
          </w:p>
          <w:p w14:paraId="5274E480" w14:textId="77777777" w:rsidR="00DD3EFA" w:rsidRPr="00EC2A1C" w:rsidRDefault="00DD3EFA" w:rsidP="00B15ECB"/>
          <w:p w14:paraId="696ED418" w14:textId="77777777" w:rsidR="00DD3EFA" w:rsidRPr="00EC2A1C" w:rsidRDefault="00DD3EFA" w:rsidP="00B15ECB">
            <w:pPr>
              <w:rPr>
                <w:b/>
              </w:rPr>
            </w:pPr>
            <w:r w:rsidRPr="00EC2A1C">
              <w:rPr>
                <w:b/>
              </w:rPr>
              <w:t>Odpadové hospodářství</w:t>
            </w:r>
          </w:p>
          <w:p w14:paraId="5BCB9580" w14:textId="77777777" w:rsidR="00DD3EFA" w:rsidRPr="00EC2A1C" w:rsidRDefault="00DD3EFA" w:rsidP="00B15ECB">
            <w:r w:rsidRPr="00EC2A1C">
              <w:t xml:space="preserve">V oblasti předcházení vzniku odpadů a snižování měrné produkce odpadů je především nutné koordinovaným a jednotným přístupem změnit vzorce spotřeby, poskytovat možnosti využívat výrobky s delší životností, prosazovat opravitelnost a recyklovatelnost výrobků, omezit produkci nerecyklovatelných výrobků, více využívat ekonomické nástroje a tím snižovat produkci odpadů. Současně je nezbytné v rámci kontinuálního vzdělávání a osvěty informovat o možnostech a způsobech předcházení vzniku odpadů. </w:t>
            </w:r>
          </w:p>
          <w:p w14:paraId="2C334836" w14:textId="77777777" w:rsidR="00DD3EFA" w:rsidRPr="00EC2A1C" w:rsidRDefault="00DD3EFA" w:rsidP="00B15ECB">
            <w:pPr>
              <w:autoSpaceDE w:val="0"/>
              <w:autoSpaceDN w:val="0"/>
              <w:adjustRightInd w:val="0"/>
              <w:rPr>
                <w:b/>
                <w:bCs/>
              </w:rPr>
            </w:pPr>
          </w:p>
          <w:p w14:paraId="46660AFF" w14:textId="77777777" w:rsidR="00DD3EFA" w:rsidRPr="00EC2A1C" w:rsidRDefault="00DD3EFA" w:rsidP="00B15ECB">
            <w:pPr>
              <w:autoSpaceDE w:val="0"/>
              <w:autoSpaceDN w:val="0"/>
              <w:adjustRightInd w:val="0"/>
            </w:pPr>
            <w:r w:rsidRPr="00EC2A1C">
              <w:t xml:space="preserve">Je potřeba maximálně využívat odpady a druhotné suroviny jako náhradu primárních surovin či zdrojů a ve stále větší míře přecházet na principy a procesy oběhového hospodářství. </w:t>
            </w:r>
          </w:p>
          <w:p w14:paraId="53C0A822" w14:textId="77777777" w:rsidR="00DD3EFA" w:rsidRPr="00EC2A1C" w:rsidRDefault="00DD3EFA" w:rsidP="00B15ECB"/>
          <w:p w14:paraId="20FF15D7" w14:textId="77777777" w:rsidR="00DD3EFA" w:rsidRPr="00EC2A1C" w:rsidRDefault="00DD3EFA" w:rsidP="00B15ECB">
            <w:pPr>
              <w:autoSpaceDE w:val="0"/>
              <w:autoSpaceDN w:val="0"/>
              <w:adjustRightInd w:val="0"/>
            </w:pPr>
            <w:r w:rsidRPr="00EC2A1C">
              <w:t xml:space="preserve">Při nakládání s odpady je nezbytně nutné uplatňovat důsledně </w:t>
            </w:r>
            <w:r w:rsidRPr="00EC2A1C">
              <w:rPr>
                <w:b/>
              </w:rPr>
              <w:t>hierarchii nakládání s odpady</w:t>
            </w:r>
            <w:r w:rsidRPr="00EC2A1C">
              <w:t xml:space="preserve"> v pořadí: předcházení vzniku, příprava k opětovnému použití, recyklace, jiné využití (například energetické využití či jiné hospodářské využití – např. v zemědělství, stavebnictví) a na posledním místě bezpečné odstranění, a to při dodržení požadavků na ochranu životního prostředí podle příslušné legislativy. Musí dojít k minimalizaci skládkování nebo prostému spalování recyklovatelných materiálů, a rovněž bude významně omezeno skládkování všech druhů odpadů. Při uplatňování hierarchie nakládání s odpady je nutné zohlednit zásadu udržitelnosti včetně technické proveditelnosti a hospodářské udržitelnosti.</w:t>
            </w:r>
          </w:p>
          <w:p w14:paraId="74F5ABC0" w14:textId="77777777" w:rsidR="00DD3EFA" w:rsidRPr="00EC2A1C" w:rsidRDefault="00DD3EFA" w:rsidP="00B15ECB">
            <w:pPr>
              <w:autoSpaceDE w:val="0"/>
              <w:autoSpaceDN w:val="0"/>
              <w:adjustRightInd w:val="0"/>
            </w:pPr>
            <w:r w:rsidRPr="00EC2A1C">
              <w:t xml:space="preserve">V oblasti komunálního odpadu se kromě již dříve tříděných materiálů (papír, sklo, plast) od roku 2015 zavedl povinný oddělený sběr kovů a biologicky rozložitelných odpadů za účelem dalšího využití (v kompostárnách nebo bioplynových stanicích). K navyšování recyklace komunálních odpadů bude v následujících letech přispívat i další posilování primárního tříděného sběru. Zavedení celoročního povinného tříděného sběru biologicky rozložitelných odpadů od roku 2019 a jedlých olejů a tuků od roku 2020. Energetické využití bioodpadu, který je vhodný pro výrobu bioplynu, se podrobněji věnuje karta pro podoblast obnovitelných zdrojů v rámci oblasti Posun k nízkouhlíkovému hospodářství. </w:t>
            </w:r>
          </w:p>
          <w:p w14:paraId="0FCACC01" w14:textId="77777777" w:rsidR="00DD3EFA" w:rsidRPr="00EC2A1C" w:rsidRDefault="00DD3EFA" w:rsidP="00B15ECB">
            <w:pPr>
              <w:autoSpaceDE w:val="0"/>
              <w:autoSpaceDN w:val="0"/>
              <w:adjustRightInd w:val="0"/>
            </w:pPr>
          </w:p>
          <w:p w14:paraId="72010186" w14:textId="77777777" w:rsidR="00DD3EFA" w:rsidRPr="00EC2A1C" w:rsidRDefault="00DD3EFA" w:rsidP="00B15ECB">
            <w:pPr>
              <w:autoSpaceDE w:val="0"/>
              <w:autoSpaceDN w:val="0"/>
              <w:adjustRightInd w:val="0"/>
            </w:pPr>
            <w:r w:rsidRPr="00EC2A1C">
              <w:t xml:space="preserve">Pokud jde o stavební a demoliční odpad (největší podíl na celkové produkci odpadů v ČR), ve větší míře bude kladen důraz na přípravu k opětovnému použití při stavbách, rekonstrukcích a dekonstrukcích staveb s ohledem na větší míru recyklace, pokud to charakter materiálu umožňuje. Bude prosazována selektivní demolice tak, aby bylo možné získávat vytříděné suroviny přímo při demolicích v souladu s Protokolem EK ke stavebním a demoličním odpadům, Předdemoličním auditem a s pokyny MŽP. </w:t>
            </w:r>
          </w:p>
          <w:p w14:paraId="2BA4769B" w14:textId="77777777" w:rsidR="00DD3EFA" w:rsidRPr="00EC2A1C" w:rsidRDefault="00DD3EFA" w:rsidP="00B15ECB"/>
          <w:p w14:paraId="5F66D4C6" w14:textId="77777777" w:rsidR="00DD3EFA" w:rsidRPr="00EC2A1C" w:rsidRDefault="00DD3EFA" w:rsidP="00B15ECB">
            <w:r w:rsidRPr="00EC2A1C">
              <w:t>Samostatnou kapitolu nakládání s odpady představují specifické toky odpadů: nebezpečné odpady, odpady ze zdravotnictví, elektroodpady, autovraky, pneumatiky, průmyslové a kuchyňské oleje, gastroodpady, kaly z ČOV (získávání fosforu), odpady s obsahem kritických surovin a další. Bude pokračovat rozvoj technologií na vhodné využití uvedených druhů odpadů.</w:t>
            </w:r>
          </w:p>
          <w:p w14:paraId="06FDA02D" w14:textId="77777777" w:rsidR="00DD3EFA" w:rsidRPr="00EC2A1C" w:rsidRDefault="00DD3EFA" w:rsidP="00B15ECB">
            <w:pPr>
              <w:spacing w:before="60" w:after="60"/>
              <w:rPr>
                <w:i/>
              </w:rPr>
            </w:pPr>
          </w:p>
        </w:tc>
      </w:tr>
      <w:tr w:rsidR="00DD3EFA" w:rsidRPr="002D2123" w14:paraId="1F44D816"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70D4D6DB"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30438114" w14:textId="77777777" w:rsidR="00DD3EFA" w:rsidRPr="002D2123" w:rsidRDefault="00DD3EFA" w:rsidP="00B15ECB">
            <w:pPr>
              <w:spacing w:before="60" w:after="60"/>
              <w:rPr>
                <w:rFonts w:eastAsiaTheme="majorEastAsia"/>
                <w:b/>
              </w:rPr>
            </w:pPr>
            <w:r w:rsidRPr="002D2123">
              <w:rPr>
                <w:rFonts w:eastAsiaTheme="majorEastAsia"/>
                <w:b/>
              </w:rPr>
              <w:t>Definice cíle – změny, které chceme dosáhnout</w:t>
            </w:r>
          </w:p>
          <w:p w14:paraId="28BB96F0" w14:textId="77777777" w:rsidR="00DD3EFA" w:rsidRPr="002D2123" w:rsidRDefault="00DD3EFA" w:rsidP="00B15ECB">
            <w:pPr>
              <w:spacing w:before="60" w:after="60"/>
              <w:rPr>
                <w:rFonts w:eastAsiaTheme="majorEastAsia"/>
                <w:b/>
              </w:rPr>
            </w:pP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F9A3148" w14:textId="47849A55" w:rsidR="00DD3EFA" w:rsidRPr="002D2123" w:rsidRDefault="00DD3EFA" w:rsidP="00B15ECB">
            <w:pPr>
              <w:spacing w:before="60" w:after="60"/>
            </w:pPr>
            <w:r w:rsidRPr="002D2123">
              <w:t>Hlavním cílem je intenzivní přechod na principy oběhového hospodářství prostřednictvím podpory výrobní fáze, designu výrobků (ekodesign), opravitelnosti výrobků, spotřební fáze, zelených veřejných zakázek (green procurement), odpadového hospodářství, trhu s druhotnými surovinami, inovací, výzkumu a investic, vedoucí k udržitelnému nakládání s primárními zdroji a jejich pos</w:t>
            </w:r>
            <w:r w:rsidR="005C7F05">
              <w:t xml:space="preserve">tupnému nahrazování druhotnými </w:t>
            </w:r>
            <w:r w:rsidRPr="002D2123">
              <w:t>surovinami v souladu s technickým rozvojem.</w:t>
            </w:r>
          </w:p>
          <w:p w14:paraId="1961648F" w14:textId="77777777" w:rsidR="00DD3EFA" w:rsidRPr="002D2123" w:rsidRDefault="00DD3EFA" w:rsidP="00B15ECB">
            <w:pPr>
              <w:spacing w:before="60" w:after="60"/>
            </w:pPr>
            <w:r w:rsidRPr="002D2123">
              <w:t>Souhrn hlavních opatření a změn pro dosažení cíle:</w:t>
            </w:r>
          </w:p>
          <w:p w14:paraId="485B8DC7" w14:textId="77777777" w:rsidR="00DD3EFA" w:rsidRPr="002D2123" w:rsidRDefault="00DD3EFA" w:rsidP="00391907">
            <w:pPr>
              <w:pStyle w:val="Odstavecseseznamem"/>
              <w:numPr>
                <w:ilvl w:val="0"/>
                <w:numId w:val="122"/>
              </w:numPr>
              <w:spacing w:before="60" w:after="60"/>
              <w:rPr>
                <w:rFonts w:eastAsiaTheme="majorEastAsia"/>
              </w:rPr>
            </w:pPr>
            <w:r w:rsidRPr="002D2123">
              <w:rPr>
                <w:rFonts w:eastAsiaTheme="majorEastAsia"/>
              </w:rPr>
              <w:t>zvýšit účinnost využívání zdrojů</w:t>
            </w:r>
          </w:p>
          <w:p w14:paraId="7B5ADE3C" w14:textId="77777777" w:rsidR="00DD3EFA" w:rsidRPr="002D2123" w:rsidRDefault="00DD3EFA" w:rsidP="00391907">
            <w:pPr>
              <w:pStyle w:val="Odstavecseseznamem"/>
              <w:numPr>
                <w:ilvl w:val="0"/>
                <w:numId w:val="122"/>
              </w:numPr>
              <w:spacing w:before="60" w:after="60"/>
              <w:rPr>
                <w:rFonts w:eastAsiaTheme="majorEastAsia"/>
              </w:rPr>
            </w:pPr>
            <w:r w:rsidRPr="002D2123">
              <w:rPr>
                <w:rFonts w:eastAsiaTheme="majorEastAsia"/>
              </w:rPr>
              <w:t>zvýšit využívání druhotných surovin jako náhradu primárních surovin</w:t>
            </w:r>
          </w:p>
          <w:p w14:paraId="680CA6EB" w14:textId="77777777" w:rsidR="00DD3EFA" w:rsidRPr="002D2123" w:rsidRDefault="00DD3EFA" w:rsidP="00391907">
            <w:pPr>
              <w:pStyle w:val="Odstavecseseznamem"/>
              <w:numPr>
                <w:ilvl w:val="0"/>
                <w:numId w:val="122"/>
              </w:numPr>
              <w:spacing w:before="60" w:after="60"/>
              <w:rPr>
                <w:rFonts w:eastAsiaTheme="majorEastAsia"/>
              </w:rPr>
            </w:pPr>
            <w:r w:rsidRPr="002D2123">
              <w:rPr>
                <w:rFonts w:eastAsiaTheme="majorEastAsia"/>
              </w:rPr>
              <w:t>zavádět inovativní technologie pro účinné využívání primárních surovin a získávání a zpracování druhotných surovin</w:t>
            </w:r>
          </w:p>
          <w:p w14:paraId="486C80C7" w14:textId="77777777" w:rsidR="00DD3EFA" w:rsidRPr="002D2123" w:rsidRDefault="00DD3EFA" w:rsidP="00391907">
            <w:pPr>
              <w:pStyle w:val="Odstavecseseznamem"/>
              <w:numPr>
                <w:ilvl w:val="0"/>
                <w:numId w:val="122"/>
              </w:numPr>
              <w:spacing w:before="60" w:after="60"/>
              <w:rPr>
                <w:rFonts w:eastAsiaTheme="majorEastAsia"/>
              </w:rPr>
            </w:pPr>
            <w:r w:rsidRPr="002D2123">
              <w:rPr>
                <w:rFonts w:eastAsiaTheme="majorEastAsia"/>
              </w:rPr>
              <w:t>zavádět materiálový ekodesign výrobků</w:t>
            </w:r>
          </w:p>
          <w:p w14:paraId="0595325B" w14:textId="77777777" w:rsidR="00DD3EFA" w:rsidRPr="002D2123" w:rsidRDefault="00DD3EFA" w:rsidP="00391907">
            <w:pPr>
              <w:pStyle w:val="Odstavecseseznamem"/>
              <w:numPr>
                <w:ilvl w:val="0"/>
                <w:numId w:val="122"/>
              </w:numPr>
              <w:spacing w:before="60" w:after="60"/>
              <w:rPr>
                <w:rFonts w:eastAsiaTheme="majorEastAsia"/>
              </w:rPr>
            </w:pPr>
            <w:r w:rsidRPr="002D2123">
              <w:rPr>
                <w:rFonts w:eastAsiaTheme="majorEastAsia"/>
              </w:rPr>
              <w:t>zvýšit recyklaci odpadů a jejich opětovné použití</w:t>
            </w:r>
          </w:p>
          <w:p w14:paraId="47B97B4A" w14:textId="77777777" w:rsidR="00DD3EFA" w:rsidRPr="002D2123" w:rsidRDefault="00DD3EFA" w:rsidP="00391907">
            <w:pPr>
              <w:pStyle w:val="Odstavecseseznamem"/>
              <w:numPr>
                <w:ilvl w:val="0"/>
                <w:numId w:val="122"/>
              </w:numPr>
              <w:spacing w:before="60" w:after="60"/>
              <w:rPr>
                <w:rFonts w:eastAsiaTheme="majorEastAsia"/>
              </w:rPr>
            </w:pPr>
            <w:r w:rsidRPr="002D2123">
              <w:rPr>
                <w:rFonts w:eastAsiaTheme="majorEastAsia"/>
              </w:rPr>
              <w:t>omezit sládkování odpadů</w:t>
            </w:r>
          </w:p>
          <w:p w14:paraId="31BBA27F" w14:textId="77777777" w:rsidR="00DD3EFA" w:rsidRPr="002D2123" w:rsidRDefault="00DD3EFA" w:rsidP="00391907">
            <w:pPr>
              <w:pStyle w:val="Odstavecseseznamem"/>
              <w:numPr>
                <w:ilvl w:val="0"/>
                <w:numId w:val="122"/>
              </w:numPr>
              <w:spacing w:before="60" w:after="60"/>
              <w:rPr>
                <w:rFonts w:eastAsiaTheme="majorEastAsia"/>
              </w:rPr>
            </w:pPr>
            <w:r w:rsidRPr="002D2123">
              <w:rPr>
                <w:rFonts w:eastAsiaTheme="majorEastAsia"/>
              </w:rPr>
              <w:t>podpořit proces přechodu ČR na nový ekonomický systém oběhové hospodářství/Circular Economy a přispět k jeho průběhu a dokončení</w:t>
            </w:r>
          </w:p>
          <w:p w14:paraId="0655A919" w14:textId="77777777" w:rsidR="00DD3EFA" w:rsidRPr="002D2123" w:rsidRDefault="00DD3EFA" w:rsidP="00B15ECB">
            <w:pPr>
              <w:spacing w:before="60" w:after="60"/>
              <w:rPr>
                <w:rFonts w:eastAsiaTheme="majorEastAsia"/>
                <w:i/>
                <w:u w:val="single"/>
              </w:rPr>
            </w:pPr>
          </w:p>
        </w:tc>
      </w:tr>
      <w:tr w:rsidR="00DD3EFA" w:rsidRPr="002D2123" w14:paraId="1A784605"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2F2279B8"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A44462" w14:textId="77777777" w:rsidR="00DD3EFA" w:rsidRPr="002D2123" w:rsidRDefault="00DD3EFA" w:rsidP="00B15ECB">
            <w:pPr>
              <w:spacing w:before="60" w:after="60"/>
              <w:rPr>
                <w:rFonts w:eastAsiaTheme="majorEastAsia"/>
                <w:b/>
              </w:rPr>
            </w:pPr>
            <w:r w:rsidRPr="002D2123">
              <w:rPr>
                <w:rFonts w:eastAsiaTheme="majorEastAsia"/>
                <w:b/>
              </w:rPr>
              <w:t>Defininice předpokládaných výstupů/výsledků/dopadů</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E05AD0" w14:textId="77777777" w:rsidR="00DD3EFA" w:rsidRPr="002D2123" w:rsidRDefault="00DD3EFA" w:rsidP="00B15ECB">
            <w:pPr>
              <w:spacing w:before="60" w:after="60"/>
              <w:rPr>
                <w:i/>
              </w:rPr>
            </w:pPr>
            <w:r w:rsidRPr="002D2123">
              <w:rPr>
                <w:i/>
              </w:rPr>
              <w:t>Uvést předpokládané měřitelné výstupy – výsledky – dopady (deskriptivní popis).</w:t>
            </w:r>
          </w:p>
          <w:p w14:paraId="2A08B707" w14:textId="77777777" w:rsidR="00DD3EFA" w:rsidRPr="002D2123" w:rsidRDefault="00DD3EFA" w:rsidP="00B15ECB">
            <w:pPr>
              <w:spacing w:before="60" w:after="60"/>
            </w:pPr>
            <w:r w:rsidRPr="002D2123">
              <w:t>Systém indikátorů bude navazovat na systém využívaný v současném období a bude respektovat požadavky evropských i národních metodik. Předpokládáme, že indikátory budou popsány v kartách intervenční logiky.</w:t>
            </w:r>
          </w:p>
          <w:p w14:paraId="2B625CBD" w14:textId="77777777" w:rsidR="00DD3EFA" w:rsidRPr="002D2123" w:rsidRDefault="00DD3EFA" w:rsidP="00B15ECB">
            <w:pPr>
              <w:spacing w:before="60" w:after="60"/>
            </w:pPr>
            <w:r w:rsidRPr="002D2123">
              <w:t xml:space="preserve">Evropská komise zveřejnila v roce 2018 sadu 10 indikátorů pro sledování postupu v rámci oběhového hospodářství - </w:t>
            </w:r>
            <w:hyperlink r:id="rId42" w:history="1">
              <w:r w:rsidRPr="002D2123">
                <w:rPr>
                  <w:rStyle w:val="Hypertextovodkaz"/>
                </w:rPr>
                <w:t>https://ec.europa.eu/eurostat/web/circular-economy/indicators/monitoring-framework</w:t>
              </w:r>
            </w:hyperlink>
            <w:r w:rsidRPr="002D2123">
              <w:t>. Z této sady a dalších indikátorů se bude dále vycházet při rámcovém stanovení prioritně  podporovaných aktivit v následujícím období 2020+. Z nich pak bude  stanoven očekávaný přínos pro danou oblast.</w:t>
            </w:r>
          </w:p>
          <w:p w14:paraId="778C864A" w14:textId="70E6F10E" w:rsidR="00DD3EFA" w:rsidRPr="002D2123" w:rsidRDefault="00DD3EFA" w:rsidP="00B15ECB">
            <w:pPr>
              <w:spacing w:before="60" w:after="60"/>
              <w:rPr>
                <w:rStyle w:val="tlid-translation"/>
                <w:color w:val="777777"/>
              </w:rPr>
            </w:pPr>
            <w:r w:rsidRPr="002D2123">
              <w:rPr>
                <w:rStyle w:val="tlid-translation"/>
              </w:rPr>
              <w:t>Zlepšení odpadového hospodářství, zavádění principů oběhového hospodářství a udržitelné využívání zdrojů může přinést snížení energetické a materiálové náročnosti výroby, pozitivní dopady v oblasti udržitelného rozvoje, úspory provozních nákla</w:t>
            </w:r>
            <w:r w:rsidR="005C7F05">
              <w:rPr>
                <w:rStyle w:val="tlid-translation"/>
              </w:rPr>
              <w:t>dů v průmyslu i sektoru služeb,</w:t>
            </w:r>
            <w:r w:rsidRPr="002D2123">
              <w:rPr>
                <w:rStyle w:val="tlid-translation"/>
              </w:rPr>
              <w:t xml:space="preserve"> tvorby nových pracovních pozic, redukci skleníkových plynů a zlepšení životního prostředí</w:t>
            </w:r>
            <w:r w:rsidRPr="002D2123">
              <w:rPr>
                <w:rStyle w:val="tlid-translation"/>
                <w:color w:val="777777"/>
              </w:rPr>
              <w:t xml:space="preserve">. </w:t>
            </w:r>
          </w:p>
          <w:p w14:paraId="6508B799" w14:textId="77777777" w:rsidR="00DD3EFA" w:rsidRPr="002D2123" w:rsidRDefault="00DD3EFA" w:rsidP="00B15ECB">
            <w:pPr>
              <w:rPr>
                <w:rFonts w:eastAsiaTheme="majorEastAsia"/>
                <w:i/>
                <w:u w:val="single"/>
              </w:rPr>
            </w:pPr>
          </w:p>
        </w:tc>
      </w:tr>
      <w:tr w:rsidR="00DD3EFA" w:rsidRPr="00EC2A1C" w14:paraId="5B368380"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1322F4B4"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24A6C" w14:textId="77777777" w:rsidR="00DD3EFA" w:rsidRPr="002D2123" w:rsidRDefault="00DD3EFA" w:rsidP="00B15ECB">
            <w:pPr>
              <w:spacing w:before="60" w:after="60"/>
              <w:rPr>
                <w:rFonts w:eastAsiaTheme="majorEastAsia"/>
                <w:b/>
              </w:rPr>
            </w:pPr>
            <w:r w:rsidRPr="002D2123">
              <w:rPr>
                <w:rFonts w:eastAsiaTheme="majorEastAsia"/>
                <w:b/>
              </w:rPr>
              <w:t>Stanovení předpokládaného podílu ESIF na plnění specifického cíle NKR</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BBDF171" w14:textId="77777777" w:rsidR="00DD3EFA" w:rsidRPr="00EC2A1C" w:rsidRDefault="00DD3EFA" w:rsidP="00B15ECB">
            <w:pPr>
              <w:rPr>
                <w:iCs/>
              </w:rPr>
            </w:pPr>
            <w:r w:rsidRPr="00EC2A1C">
              <w:rPr>
                <w:iCs/>
              </w:rPr>
              <w:t xml:space="preserve">Stanovení předpokládaného podílu ESIF na plnění specifického cíle NKR „Zavedení principů oběhového hospodářství a účinné využívání zdrojů“ nelze přesně odhadnout, zejména s ohledem na skutečnost, že problematika oběhového hospodářství je komplexně řešena až v poslední době a jako taková nebyla předmětem čerpání ESIF v minulém programovém období. Lze však důvodně předpokládat značné navýšení potřeby finanční podpory, s ohledem na zavedení významných změn souvisejících s přechodem na oběhové hospodářství.   </w:t>
            </w:r>
          </w:p>
          <w:p w14:paraId="00E45E96" w14:textId="77777777" w:rsidR="00DD3EFA" w:rsidRPr="00EC2A1C" w:rsidRDefault="00DD3EFA" w:rsidP="00B15ECB">
            <w:pPr>
              <w:rPr>
                <w:iCs/>
              </w:rPr>
            </w:pPr>
          </w:p>
          <w:p w14:paraId="540D4E7F" w14:textId="77777777" w:rsidR="00DD3EFA" w:rsidRPr="00EC2A1C" w:rsidRDefault="00DD3EFA" w:rsidP="00B15ECB">
            <w:pPr>
              <w:spacing w:before="60" w:after="60"/>
              <w:rPr>
                <w:rFonts w:eastAsia="Calibri"/>
              </w:rPr>
            </w:pPr>
            <w:r w:rsidRPr="00EC2A1C">
              <w:rPr>
                <w:rFonts w:eastAsia="Calibri"/>
              </w:rPr>
              <w:t>MŽP odhaduje výši příspěvku podpory z ESIF pro období 2020+ dle míry financování v OPŽP 2007-2013 a OPŽP 2014-2020 a předpokládá, že míra budoucího financování bude poměrně významná (60 - 80 %).</w:t>
            </w:r>
          </w:p>
          <w:p w14:paraId="1D894C36" w14:textId="77777777" w:rsidR="00DD3EFA" w:rsidRPr="00EC2A1C" w:rsidRDefault="00DD3EFA" w:rsidP="00B15ECB">
            <w:pPr>
              <w:spacing w:before="60" w:after="60"/>
              <w:rPr>
                <w:iCs/>
              </w:rPr>
            </w:pPr>
            <w:r w:rsidRPr="00EC2A1C">
              <w:rPr>
                <w:iCs/>
              </w:rPr>
              <w:t>Problematiku oběhového hospodářství a účinného využívání zdrojů vnímá MŽP i MPO jako velmi důležitou, o to více v kontextu nové politiky Evropské unie pro oběhové hospodářství a účinného využívání zdrojů, a proto je nutné stanovit maximální možný podíl  ESIF na její plnění.</w:t>
            </w:r>
          </w:p>
          <w:p w14:paraId="373D6C0A" w14:textId="77777777" w:rsidR="00DD3EFA" w:rsidRPr="00EC2A1C" w:rsidRDefault="00DD3EFA" w:rsidP="00B15ECB">
            <w:pPr>
              <w:rPr>
                <w:iCs/>
              </w:rPr>
            </w:pPr>
            <w:r w:rsidRPr="00EC2A1C">
              <w:rPr>
                <w:iCs/>
              </w:rPr>
              <w:t>Podpora poskytnutá z prostředků ESIF významně přispěje k přechodu společnosti na oběhové hospodářství, k podpoře investic do potřebné infrastruktury a finanční prostředky ESIF napomohou k plnění nových cílů EU pro oběhové hospodářství.</w:t>
            </w:r>
          </w:p>
          <w:p w14:paraId="4A668CDB" w14:textId="77777777" w:rsidR="00DD3EFA" w:rsidRPr="00EC2A1C" w:rsidRDefault="00DD3EFA" w:rsidP="00B15ECB">
            <w:pPr>
              <w:rPr>
                <w:rFonts w:eastAsiaTheme="majorEastAsia"/>
                <w:u w:val="single"/>
              </w:rPr>
            </w:pPr>
          </w:p>
        </w:tc>
      </w:tr>
      <w:tr w:rsidR="00DD3EFA" w:rsidRPr="00EC2A1C" w14:paraId="24199C5B"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555FAC73"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67A7A5" w14:textId="77777777" w:rsidR="00DD3EFA" w:rsidRPr="002D2123" w:rsidRDefault="00DD3EFA" w:rsidP="00B15ECB">
            <w:pPr>
              <w:spacing w:before="60" w:after="60"/>
              <w:rPr>
                <w:rFonts w:eastAsiaTheme="majorEastAsia"/>
                <w:b/>
              </w:rPr>
            </w:pPr>
            <w:r w:rsidRPr="002D2123">
              <w:rPr>
                <w:rFonts w:eastAsiaTheme="majorEastAsia"/>
                <w:b/>
              </w:rPr>
              <w:t>Posun intervencí oproti dosavadním obdobím</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D97460C" w14:textId="77777777" w:rsidR="00DD3EFA" w:rsidRPr="00EC2A1C" w:rsidRDefault="00DD3EFA" w:rsidP="00B15ECB">
            <w:pPr>
              <w:rPr>
                <w:rFonts w:eastAsiaTheme="majorEastAsia"/>
                <w:b/>
              </w:rPr>
            </w:pPr>
            <w:r w:rsidRPr="00EC2A1C">
              <w:rPr>
                <w:rFonts w:eastAsiaTheme="majorEastAsia"/>
                <w:b/>
              </w:rPr>
              <w:t>Oběhové hospodářství</w:t>
            </w:r>
          </w:p>
          <w:p w14:paraId="5F6723C8" w14:textId="77777777" w:rsidR="00DD3EFA" w:rsidRPr="00EC2A1C" w:rsidRDefault="00DD3EFA" w:rsidP="00B15ECB">
            <w:pPr>
              <w:rPr>
                <w:rFonts w:eastAsiaTheme="majorEastAsia"/>
              </w:rPr>
            </w:pPr>
            <w:r w:rsidRPr="00EC2A1C">
              <w:rPr>
                <w:rFonts w:eastAsiaTheme="majorEastAsia"/>
              </w:rPr>
              <w:t xml:space="preserve">Jedná se o nový přístup k nakládání se zdroji. Dochází ke změně současného lineárního modelu na model oběhový, kdy jsou potenciální odpady vraceny zpět do ekonomického procesu a uzavírají kruhový cyklus. Evropská komise představila nový balíček k oběhovému hospodářství v prosinci 2015, výsledné legislativní úpravy byly  v Oficiálním věstníku EU publikovány v červnu 2018. Od července 2018 jsou změny evropské legislativy pro odpady a obaly platné. V roce 2018 představila Evropská komise zcela novou Evropskou strategii pro plasty v oběhovém hospodářství, kde jsou stanoveny další vize, jak by se mělo nakládání s plasty a plastovými odpady změnit tak, aby neznamenalo ohrožování životního prostředí. Taktéž se plánuje nová legislativní regulace jednorázových plastových výrobků (směrnice o omezení dopadu některých jednorázových výrobků na životní prostředí). V prosinci roku 2018 byla uzavřena předběžná dohoda s Evropským parlamentem o nové směrnici, která stanovuje nová přísnější omezení pro plasty na jedno použití. Do poloviny roku 2019 bude tato nová směrnice platit.  Na všechny tyto výzvy bude muset Česká republika reagovat a využít jich jako příležitosti. </w:t>
            </w:r>
          </w:p>
          <w:p w14:paraId="12D49F61" w14:textId="77777777" w:rsidR="00DD3EFA" w:rsidRPr="00EC2A1C" w:rsidRDefault="00DD3EFA" w:rsidP="00B15ECB">
            <w:pPr>
              <w:rPr>
                <w:rFonts w:eastAsiaTheme="majorEastAsia"/>
              </w:rPr>
            </w:pPr>
            <w:r w:rsidRPr="00EC2A1C">
              <w:rPr>
                <w:rFonts w:eastAsiaTheme="majorEastAsia"/>
              </w:rPr>
              <w:t xml:space="preserve">Lze předpokládat, že i nová Evropská komise bude považovat téma oběhového hospodářství za svou prioritu. </w:t>
            </w:r>
          </w:p>
          <w:p w14:paraId="01F2F90D" w14:textId="77777777" w:rsidR="00DD3EFA" w:rsidRPr="00EC2A1C" w:rsidRDefault="00DD3EFA" w:rsidP="00B15ECB">
            <w:pPr>
              <w:rPr>
                <w:rFonts w:eastAsiaTheme="majorEastAsia"/>
                <w:b/>
              </w:rPr>
            </w:pPr>
          </w:p>
          <w:p w14:paraId="61490CA9" w14:textId="77777777" w:rsidR="00DD3EFA" w:rsidRPr="00EC2A1C" w:rsidRDefault="00DD3EFA" w:rsidP="00B15ECB">
            <w:pPr>
              <w:rPr>
                <w:rFonts w:eastAsiaTheme="majorEastAsia"/>
                <w:b/>
              </w:rPr>
            </w:pPr>
            <w:r w:rsidRPr="00EC2A1C">
              <w:rPr>
                <w:rFonts w:eastAsiaTheme="majorEastAsia"/>
                <w:b/>
              </w:rPr>
              <w:t xml:space="preserve">Druhotné suroviny </w:t>
            </w:r>
          </w:p>
          <w:p w14:paraId="4A779E4A" w14:textId="77777777" w:rsidR="00DD3EFA" w:rsidRPr="00EC2A1C" w:rsidRDefault="00DD3EFA" w:rsidP="00B15ECB">
            <w:pPr>
              <w:rPr>
                <w:rFonts w:eastAsiaTheme="majorEastAsia"/>
              </w:rPr>
            </w:pPr>
            <w:r w:rsidRPr="00EC2A1C">
              <w:rPr>
                <w:rFonts w:eastAsiaTheme="majorEastAsia"/>
              </w:rPr>
              <w:t>Dne 28. 1.2019 vzala  vláda ČR  aktualizovanou Politiku druhotných surovin České republiky na vědomí s tím, že ke schválení bude vládě předložena po ukončení procesu posuzování vlivu koncepce na životní prostředí. V Politice je  stanoveno  19 nových úkolů na podporu přechodu ČR k oběhovému hospodářství. </w:t>
            </w:r>
          </w:p>
          <w:p w14:paraId="6A006721" w14:textId="77777777" w:rsidR="00DD3EFA" w:rsidRPr="00EC2A1C" w:rsidRDefault="00DD3EFA" w:rsidP="00B15ECB">
            <w:pPr>
              <w:rPr>
                <w:rFonts w:eastAsiaTheme="majorEastAsia"/>
              </w:rPr>
            </w:pPr>
            <w:r w:rsidRPr="00EC2A1C">
              <w:rPr>
                <w:rFonts w:eastAsiaTheme="majorEastAsia"/>
              </w:rPr>
              <w:t xml:space="preserve">V souladu s Akčním plánem EU pro oběhové hospodářství budou uvedená opatření prioritně zaměřena na řešení plastů, kritických surovin, stavebních a demoličních odpadů a řady dalších. </w:t>
            </w:r>
          </w:p>
          <w:p w14:paraId="2C814C8F" w14:textId="77777777" w:rsidR="00DD3EFA" w:rsidRPr="00EC2A1C" w:rsidRDefault="00DD3EFA" w:rsidP="00B15ECB">
            <w:pPr>
              <w:rPr>
                <w:rFonts w:eastAsiaTheme="majorEastAsia"/>
              </w:rPr>
            </w:pPr>
          </w:p>
          <w:p w14:paraId="7762CF2E" w14:textId="77777777" w:rsidR="00DD3EFA" w:rsidRPr="00EC2A1C" w:rsidRDefault="00DD3EFA" w:rsidP="00B15ECB">
            <w:pPr>
              <w:pStyle w:val="Odstavecseseznamem"/>
              <w:ind w:left="0"/>
            </w:pPr>
            <w:r w:rsidRPr="00EC2A1C">
              <w:t>V aktualizované Politice druhotných surovin ČR pro období 2019 – 2022 jsou  stanovené úkoly zaměřeny na  podporu vyššího využití zejména 10 vybraných komodit druhotných surovin a jejích zdrojů významných pro průmysl ČR, jako jsou kovy, papír, plasty, sklo, stavební a demoliční hmoty, vedlejší energetické produkty, vozidla s ukončenou životností (autovraky), odpadní (vyřazená) elektrická a elektronická zařízení, použité pneumatiky a odpadní pryž, odpadní (vyřazené) baterie a akumulátory.</w:t>
            </w:r>
          </w:p>
          <w:p w14:paraId="24B3119F" w14:textId="77777777" w:rsidR="00DD3EFA" w:rsidRPr="00EC2A1C" w:rsidRDefault="00DD3EFA" w:rsidP="00B15ECB">
            <w:pPr>
              <w:rPr>
                <w:rFonts w:eastAsiaTheme="majorEastAsia"/>
              </w:rPr>
            </w:pPr>
            <w:r w:rsidRPr="00EC2A1C">
              <w:t xml:space="preserve">Splněním stanovených úkolů se vytvoří příznivější podmínky pro vyšší využívání uvedených komodit, které ve výrobě nahradí část primárních zdrojů.  </w:t>
            </w:r>
          </w:p>
          <w:p w14:paraId="04B7C89F" w14:textId="77777777" w:rsidR="00DD3EFA" w:rsidRPr="00EC2A1C" w:rsidRDefault="00DD3EFA" w:rsidP="00B15ECB">
            <w:pPr>
              <w:rPr>
                <w:rFonts w:eastAsiaTheme="majorEastAsia"/>
              </w:rPr>
            </w:pPr>
          </w:p>
          <w:p w14:paraId="199836A8" w14:textId="77777777" w:rsidR="00DD3EFA" w:rsidRPr="00EC2A1C" w:rsidRDefault="00DD3EFA" w:rsidP="00B15ECB">
            <w:pPr>
              <w:rPr>
                <w:rFonts w:eastAsiaTheme="majorEastAsia"/>
              </w:rPr>
            </w:pPr>
            <w:r w:rsidRPr="00EC2A1C">
              <w:rPr>
                <w:rFonts w:eastAsiaTheme="majorEastAsia"/>
              </w:rPr>
              <w:t>Zamýšlenými podporovanými aktivitami budou zejména:</w:t>
            </w:r>
          </w:p>
          <w:p w14:paraId="7F759C06" w14:textId="77777777" w:rsidR="00DD3EFA" w:rsidRPr="00EC2A1C" w:rsidRDefault="00DD3EFA" w:rsidP="00B15ECB">
            <w:pPr>
              <w:rPr>
                <w:rFonts w:eastAsiaTheme="majorEastAsia"/>
              </w:rPr>
            </w:pPr>
            <w:r w:rsidRPr="00EC2A1C">
              <w:rPr>
                <w:rFonts w:eastAsiaTheme="majorEastAsia"/>
              </w:rPr>
              <w:t>- výzkum a vývoj inovativních technologií na získávání druhotných surovin z výrobků a materiálů s ukončenou životností;</w:t>
            </w:r>
          </w:p>
          <w:p w14:paraId="5DEF9FF1" w14:textId="77777777" w:rsidR="00DD3EFA" w:rsidRPr="00EC2A1C" w:rsidRDefault="00DD3EFA" w:rsidP="00B15ECB">
            <w:pPr>
              <w:rPr>
                <w:rFonts w:eastAsiaTheme="majorEastAsia"/>
              </w:rPr>
            </w:pPr>
            <w:r w:rsidRPr="00EC2A1C">
              <w:rPr>
                <w:rFonts w:eastAsiaTheme="majorEastAsia"/>
              </w:rPr>
              <w:t>- pořízení inovativních technologií na získávání, zpracování a využívání druhotných surovin z výrobků a materiálů s ukončenou životností a na výrobu výrobků s obsahem druhotných surovin;</w:t>
            </w:r>
          </w:p>
          <w:p w14:paraId="4CD7D3DD" w14:textId="77777777" w:rsidR="00DD3EFA" w:rsidRPr="00EC2A1C" w:rsidRDefault="00DD3EFA" w:rsidP="00B15ECB">
            <w:pPr>
              <w:rPr>
                <w:rFonts w:eastAsiaTheme="majorEastAsia"/>
              </w:rPr>
            </w:pPr>
            <w:r w:rsidRPr="00EC2A1C">
              <w:rPr>
                <w:rFonts w:eastAsiaTheme="majorEastAsia"/>
              </w:rPr>
              <w:t>- zpracování návrhu chybějících normativních dokumentů a provedení revize stávajících s cílem podpory vyššího využívání druhotných zdrojů a výrobků s obsahem druhotných surovin;</w:t>
            </w:r>
          </w:p>
          <w:p w14:paraId="0EE7B408" w14:textId="77777777" w:rsidR="00DD3EFA" w:rsidRPr="00EC2A1C" w:rsidRDefault="00DD3EFA" w:rsidP="00B15ECB">
            <w:pPr>
              <w:rPr>
                <w:rFonts w:eastAsiaTheme="majorEastAsia"/>
              </w:rPr>
            </w:pPr>
            <w:r w:rsidRPr="00EC2A1C">
              <w:rPr>
                <w:rFonts w:eastAsiaTheme="majorEastAsia"/>
              </w:rPr>
              <w:t xml:space="preserve">- intenzivní osvěta a vzdělávání odborné i občanské veřejnosti v rámci vzdělávacího systému a zároveň i dobrovolnými aktivitami např. na konferencích, seminářích, workshopech, veletrzích a výstavách, soutěží apod., která je pro široké celospolečenské přijetí principů oběhového hospodářství zcela zásadní a nezbytná. </w:t>
            </w:r>
          </w:p>
          <w:p w14:paraId="69F25C36" w14:textId="77777777" w:rsidR="00DD3EFA" w:rsidRPr="00EC2A1C" w:rsidRDefault="00DD3EFA" w:rsidP="00B15ECB">
            <w:pPr>
              <w:rPr>
                <w:rFonts w:eastAsiaTheme="majorEastAsia"/>
              </w:rPr>
            </w:pPr>
          </w:p>
          <w:p w14:paraId="11C8847F" w14:textId="77777777" w:rsidR="00DD3EFA" w:rsidRPr="00EC2A1C" w:rsidRDefault="00DD3EFA" w:rsidP="00B15ECB">
            <w:pPr>
              <w:rPr>
                <w:rFonts w:eastAsiaTheme="majorEastAsia"/>
              </w:rPr>
            </w:pPr>
          </w:p>
          <w:p w14:paraId="548FBFCC" w14:textId="77777777" w:rsidR="00DD3EFA" w:rsidRPr="00EC2A1C" w:rsidRDefault="00DD3EFA" w:rsidP="00B15ECB">
            <w:pPr>
              <w:rPr>
                <w:rFonts w:eastAsiaTheme="majorEastAsia"/>
              </w:rPr>
            </w:pPr>
            <w:r w:rsidRPr="00EC2A1C">
              <w:rPr>
                <w:rFonts w:eastAsiaTheme="majorEastAsia"/>
              </w:rPr>
              <w:t xml:space="preserve"> </w:t>
            </w:r>
          </w:p>
          <w:p w14:paraId="29BDCFC6" w14:textId="77777777" w:rsidR="00DD3EFA" w:rsidRPr="00EC2A1C" w:rsidRDefault="00DD3EFA" w:rsidP="00B15ECB">
            <w:pPr>
              <w:rPr>
                <w:rFonts w:eastAsiaTheme="majorEastAsia"/>
                <w:b/>
              </w:rPr>
            </w:pPr>
            <w:r w:rsidRPr="00EC2A1C">
              <w:rPr>
                <w:rFonts w:eastAsiaTheme="majorEastAsia"/>
                <w:b/>
              </w:rPr>
              <w:t>Odpady</w:t>
            </w:r>
          </w:p>
          <w:p w14:paraId="71D8B086" w14:textId="77777777" w:rsidR="00DD3EFA" w:rsidRPr="00EC2A1C" w:rsidRDefault="00DD3EFA" w:rsidP="00B15ECB">
            <w:pPr>
              <w:rPr>
                <w:rFonts w:eastAsiaTheme="majorEastAsia"/>
              </w:rPr>
            </w:pPr>
            <w:r w:rsidRPr="00EC2A1C">
              <w:rPr>
                <w:rFonts w:eastAsiaTheme="majorEastAsia"/>
              </w:rPr>
              <w:t xml:space="preserve">V současné době oproti minulosti klesá podíl skládkování komunálních odpadů a zvyšuje se podíl materiálově využitých komunálních odpadů. I nadále ovšem představuje skládkování komunálních odpadů dominantní způsob nakládání s komunálními odpady v ČR. Tuto situaci způsobuje velmi nízká cena skládkování. </w:t>
            </w:r>
          </w:p>
          <w:p w14:paraId="20F8FD77" w14:textId="77777777" w:rsidR="00DD3EFA" w:rsidRPr="00EC2A1C" w:rsidRDefault="00DD3EFA" w:rsidP="00B15ECB">
            <w:pPr>
              <w:rPr>
                <w:rFonts w:eastAsiaTheme="majorEastAsia"/>
              </w:rPr>
            </w:pPr>
            <w:r w:rsidRPr="00EC2A1C">
              <w:rPr>
                <w:rFonts w:eastAsiaTheme="majorEastAsia"/>
              </w:rPr>
              <w:t xml:space="preserve">Důraz je kladen na zlepšení sběru biologicky rozložitelných odpadů </w:t>
            </w:r>
            <w:r w:rsidRPr="00EC2A1C">
              <w:t>a jejich zpracování a využití,</w:t>
            </w:r>
            <w:r w:rsidRPr="00EC2A1C">
              <w:rPr>
                <w:rFonts w:eastAsiaTheme="majorEastAsia"/>
              </w:rPr>
              <w:t xml:space="preserve"> podporu opatření omezujících vznik odpadů, podporu snižování vlivu nakládání s odpady na životní prostředí a na opětovné použití a recyklaci odpadů.</w:t>
            </w:r>
          </w:p>
          <w:p w14:paraId="0B209095" w14:textId="77777777" w:rsidR="00DD3EFA" w:rsidRPr="00EC2A1C" w:rsidRDefault="00DD3EFA" w:rsidP="00B15ECB">
            <w:pPr>
              <w:rPr>
                <w:rFonts w:eastAsiaTheme="majorEastAsia"/>
              </w:rPr>
            </w:pPr>
            <w:r w:rsidRPr="00EC2A1C">
              <w:rPr>
                <w:rFonts w:eastAsiaTheme="majorEastAsia"/>
              </w:rPr>
              <w:t>Při nakládání s odpady se lépe, nicméně nedostatečně, uplatňuje hierarchie nakládání s odpady.</w:t>
            </w:r>
          </w:p>
          <w:p w14:paraId="7B574924" w14:textId="77777777" w:rsidR="00DD3EFA" w:rsidRPr="00EC2A1C" w:rsidRDefault="00DD3EFA" w:rsidP="00B15ECB">
            <w:pPr>
              <w:rPr>
                <w:rFonts w:eastAsiaTheme="majorEastAsia"/>
              </w:rPr>
            </w:pPr>
            <w:r w:rsidRPr="00EC2A1C">
              <w:rPr>
                <w:rFonts w:eastAsiaTheme="majorEastAsia"/>
              </w:rPr>
              <w:t xml:space="preserve">V následujících letech se bude podpora významně odvíjet od schválených změn legislativy v oblasti odpadového a oběhového hospodářství, strategie EU pro oběhové hospodářství a Evropské strategie pro plasty v oběhovém hospodářství. </w:t>
            </w:r>
          </w:p>
          <w:p w14:paraId="5E9DDFF0" w14:textId="77777777" w:rsidR="00DD3EFA" w:rsidRPr="00EC2A1C" w:rsidRDefault="00DD3EFA" w:rsidP="00B15ECB">
            <w:pPr>
              <w:rPr>
                <w:rFonts w:eastAsiaTheme="majorEastAsia"/>
              </w:rPr>
            </w:pPr>
            <w:r w:rsidRPr="00EC2A1C">
              <w:rPr>
                <w:rFonts w:eastAsiaTheme="majorEastAsia"/>
              </w:rPr>
              <w:t>V novém programovém období budou podporovány aktivity, které umožní dosáhnout zvyšující se cíle pro recyklaci odpadů:</w:t>
            </w:r>
          </w:p>
          <w:p w14:paraId="69A4EFBF" w14:textId="77777777" w:rsidR="00DD3EFA" w:rsidRPr="00EC2A1C" w:rsidRDefault="00DD3EFA" w:rsidP="00B15ECB">
            <w:pPr>
              <w:rPr>
                <w:rFonts w:eastAsiaTheme="majorEastAsia"/>
              </w:rPr>
            </w:pPr>
            <w:r w:rsidRPr="00EC2A1C">
              <w:rPr>
                <w:rFonts w:eastAsiaTheme="majorEastAsia"/>
              </w:rPr>
              <w:t>- podpora odděleného sběru jednotlivých druhů odpadů,</w:t>
            </w:r>
          </w:p>
          <w:p w14:paraId="778E725C" w14:textId="77777777" w:rsidR="00DD3EFA" w:rsidRPr="00EC2A1C" w:rsidRDefault="00DD3EFA" w:rsidP="00B15ECB">
            <w:pPr>
              <w:rPr>
                <w:rFonts w:eastAsiaTheme="majorEastAsia"/>
              </w:rPr>
            </w:pPr>
            <w:r w:rsidRPr="00EC2A1C">
              <w:rPr>
                <w:rFonts w:eastAsiaTheme="majorEastAsia"/>
              </w:rPr>
              <w:t>- podpora komplexních systémů nakládání s odpady v regionech,</w:t>
            </w:r>
          </w:p>
          <w:p w14:paraId="2EC63CEB" w14:textId="77777777" w:rsidR="00DD3EFA" w:rsidRPr="00EC2A1C" w:rsidRDefault="00DD3EFA" w:rsidP="00B15ECB">
            <w:pPr>
              <w:rPr>
                <w:rFonts w:eastAsiaTheme="majorEastAsia"/>
              </w:rPr>
            </w:pPr>
            <w:r w:rsidRPr="00EC2A1C">
              <w:rPr>
                <w:rFonts w:eastAsiaTheme="majorEastAsia"/>
              </w:rPr>
              <w:t>- podpora průmyslu a zemědělství v omezování vzniku odpadů,</w:t>
            </w:r>
          </w:p>
          <w:p w14:paraId="061BC2D7" w14:textId="77777777" w:rsidR="00DD3EFA" w:rsidRPr="00EC2A1C" w:rsidRDefault="00DD3EFA" w:rsidP="00B15ECB">
            <w:pPr>
              <w:rPr>
                <w:rFonts w:eastAsiaTheme="majorEastAsia"/>
              </w:rPr>
            </w:pPr>
            <w:r w:rsidRPr="00EC2A1C">
              <w:rPr>
                <w:rFonts w:eastAsiaTheme="majorEastAsia"/>
              </w:rPr>
              <w:t>- podpora vysoce účinných třídících systémů,</w:t>
            </w:r>
          </w:p>
          <w:p w14:paraId="720E5FCF" w14:textId="77777777" w:rsidR="00DD3EFA" w:rsidRPr="00EC2A1C" w:rsidRDefault="00DD3EFA" w:rsidP="00B15ECB">
            <w:pPr>
              <w:rPr>
                <w:rFonts w:eastAsiaTheme="majorEastAsia"/>
              </w:rPr>
            </w:pPr>
            <w:r w:rsidRPr="00EC2A1C">
              <w:rPr>
                <w:rFonts w:eastAsiaTheme="majorEastAsia"/>
              </w:rPr>
              <w:t>- podpora rozvoje recyklačního průmyslu,</w:t>
            </w:r>
          </w:p>
          <w:p w14:paraId="2C7E80C3" w14:textId="77777777" w:rsidR="00DD3EFA" w:rsidRPr="00EC2A1C" w:rsidRDefault="00DD3EFA" w:rsidP="00B15ECB">
            <w:pPr>
              <w:rPr>
                <w:rFonts w:eastAsiaTheme="majorEastAsia"/>
              </w:rPr>
            </w:pPr>
            <w:r w:rsidRPr="00EC2A1C">
              <w:rPr>
                <w:rFonts w:eastAsiaTheme="majorEastAsia"/>
              </w:rPr>
              <w:t xml:space="preserve">- podpora osvětových aktivit v oblasti oběhového hospodářství preferující výrobky z druhotných surovin, třídění, recyklace aj. </w:t>
            </w:r>
          </w:p>
          <w:p w14:paraId="0C1E765C" w14:textId="77777777" w:rsidR="00DD3EFA" w:rsidRPr="00EC2A1C" w:rsidRDefault="00DD3EFA" w:rsidP="00B15ECB">
            <w:pPr>
              <w:rPr>
                <w:rFonts w:eastAsiaTheme="majorEastAsia"/>
              </w:rPr>
            </w:pPr>
            <w:r w:rsidRPr="00EC2A1C">
              <w:rPr>
                <w:rFonts w:eastAsiaTheme="majorEastAsia"/>
              </w:rPr>
              <w:t>- podpora inovativních technologií v oblasti zvýšení využívání druhotných surovin.</w:t>
            </w:r>
          </w:p>
          <w:p w14:paraId="07AF5FC6" w14:textId="77777777" w:rsidR="00DD3EFA" w:rsidRPr="00EC2A1C" w:rsidRDefault="00DD3EFA" w:rsidP="00B15ECB">
            <w:pPr>
              <w:rPr>
                <w:rFonts w:eastAsiaTheme="majorEastAsia"/>
              </w:rPr>
            </w:pPr>
            <w:r w:rsidRPr="00EC2A1C">
              <w:rPr>
                <w:rFonts w:eastAsiaTheme="majorEastAsia"/>
              </w:rPr>
              <w:t xml:space="preserve">Bude kladen důraz na prevenci vzniku odpadů, zejména plastů a jednorázových plastů. Budou podporována </w:t>
            </w:r>
            <w:r w:rsidRPr="00EC2A1C">
              <w:rPr>
                <w:color w:val="000000" w:themeColor="text1"/>
              </w:rPr>
              <w:t>opatření z Programu předcházení vzniku odpadů.</w:t>
            </w:r>
          </w:p>
          <w:p w14:paraId="6DF9D2D1" w14:textId="77777777" w:rsidR="00DD3EFA" w:rsidRPr="00EC2A1C" w:rsidRDefault="00DD3EFA" w:rsidP="00B15ECB">
            <w:pPr>
              <w:pStyle w:val="slovanodstavec"/>
              <w:tabs>
                <w:tab w:val="left" w:pos="284"/>
              </w:tabs>
              <w:suppressAutoHyphens/>
              <w:spacing w:line="240" w:lineRule="auto"/>
              <w:rPr>
                <w:rFonts w:ascii="Times New Roman" w:hAnsi="Times New Roman"/>
                <w:i/>
              </w:rPr>
            </w:pPr>
            <w:r w:rsidRPr="00EC2A1C">
              <w:rPr>
                <w:rFonts w:ascii="Times New Roman" w:hAnsi="Times New Roman"/>
                <w:color w:val="000000" w:themeColor="text1"/>
              </w:rPr>
              <w:t xml:space="preserve">Musí dojít k zásadnímu omezení skládkování navýšením cen za skládkování a zákazem skládkování všech využitelných a recyklovatelných odpadů. </w:t>
            </w:r>
          </w:p>
        </w:tc>
      </w:tr>
      <w:tr w:rsidR="00DD3EFA" w:rsidRPr="00EC2A1C" w14:paraId="2E293328" w14:textId="77777777" w:rsidTr="00B15ECB">
        <w:trPr>
          <w:trHeight w:val="272"/>
        </w:trPr>
        <w:tc>
          <w:tcPr>
            <w:tcW w:w="249" w:type="dxa"/>
            <w:tcBorders>
              <w:top w:val="nil"/>
              <w:left w:val="single" w:sz="4" w:space="0" w:color="auto"/>
              <w:bottom w:val="nil"/>
              <w:right w:val="nil"/>
            </w:tcBorders>
            <w:shd w:val="clear" w:color="auto" w:fill="66CCFF"/>
          </w:tcPr>
          <w:p w14:paraId="05900F6D"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02AC7D34" w14:textId="77777777" w:rsidR="00DD3EFA" w:rsidRPr="002D2123" w:rsidRDefault="00DD3EFA" w:rsidP="00B15ECB">
            <w:pPr>
              <w:spacing w:before="60" w:after="60"/>
              <w:rPr>
                <w:rFonts w:eastAsiaTheme="majorEastAsia"/>
                <w:b/>
              </w:rPr>
            </w:pPr>
          </w:p>
        </w:tc>
        <w:tc>
          <w:tcPr>
            <w:tcW w:w="5567" w:type="dxa"/>
            <w:tcBorders>
              <w:top w:val="single" w:sz="4" w:space="0" w:color="auto"/>
              <w:left w:val="nil"/>
              <w:bottom w:val="single" w:sz="4" w:space="0" w:color="auto"/>
              <w:right w:val="nil"/>
            </w:tcBorders>
            <w:shd w:val="clear" w:color="auto" w:fill="66CCFF"/>
          </w:tcPr>
          <w:p w14:paraId="2E4BD4A3" w14:textId="77777777" w:rsidR="00DD3EFA" w:rsidRPr="00EC2A1C" w:rsidRDefault="00DD3EFA" w:rsidP="00B15ECB">
            <w:pPr>
              <w:spacing w:before="60" w:after="60"/>
              <w:rPr>
                <w:rFonts w:eastAsiaTheme="majorEastAsia"/>
                <w:i/>
                <w:u w:val="single"/>
              </w:rPr>
            </w:pPr>
          </w:p>
        </w:tc>
      </w:tr>
      <w:tr w:rsidR="00DD3EFA" w:rsidRPr="00EC2A1C" w14:paraId="20EAB7A6" w14:textId="77777777" w:rsidTr="00B15ECB">
        <w:trPr>
          <w:trHeight w:val="835"/>
        </w:trPr>
        <w:tc>
          <w:tcPr>
            <w:tcW w:w="249" w:type="dxa"/>
            <w:tcBorders>
              <w:top w:val="nil"/>
              <w:left w:val="single" w:sz="4" w:space="0" w:color="auto"/>
              <w:bottom w:val="nil"/>
              <w:right w:val="single" w:sz="4" w:space="0" w:color="auto"/>
            </w:tcBorders>
            <w:shd w:val="clear" w:color="auto" w:fill="66CCFF"/>
          </w:tcPr>
          <w:p w14:paraId="7D9C4A03"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auto"/>
          </w:tcPr>
          <w:p w14:paraId="6FD0560A" w14:textId="77777777" w:rsidR="00DD3EFA" w:rsidRPr="002D2123" w:rsidRDefault="00DD3EFA" w:rsidP="00B15ECB">
            <w:pPr>
              <w:spacing w:before="60" w:after="60"/>
              <w:rPr>
                <w:rFonts w:eastAsiaTheme="majorEastAsia"/>
                <w:b/>
              </w:rPr>
            </w:pPr>
            <w:r w:rsidRPr="002D2123">
              <w:rPr>
                <w:rFonts w:eastAsiaTheme="majorEastAsia"/>
                <w:b/>
              </w:rPr>
              <w:t>Dílčí cíle podpory</w:t>
            </w:r>
          </w:p>
          <w:p w14:paraId="2681AEB4" w14:textId="77777777" w:rsidR="00DD3EFA" w:rsidRPr="002D2123" w:rsidRDefault="00DD3EFA" w:rsidP="00B15ECB">
            <w:pPr>
              <w:spacing w:before="60" w:after="60"/>
              <w:rPr>
                <w:rFonts w:eastAsiaTheme="majorEastAsia"/>
                <w:b/>
              </w:rPr>
            </w:pPr>
          </w:p>
        </w:tc>
        <w:tc>
          <w:tcPr>
            <w:tcW w:w="5567" w:type="dxa"/>
            <w:tcBorders>
              <w:top w:val="single" w:sz="4" w:space="0" w:color="auto"/>
              <w:left w:val="single" w:sz="4" w:space="0" w:color="auto"/>
              <w:bottom w:val="single" w:sz="4" w:space="0" w:color="auto"/>
              <w:right w:val="single" w:sz="4" w:space="0" w:color="auto"/>
            </w:tcBorders>
            <w:shd w:val="clear" w:color="auto" w:fill="auto"/>
          </w:tcPr>
          <w:p w14:paraId="5817E69D" w14:textId="77777777" w:rsidR="00DD3EFA" w:rsidRPr="00EC2A1C" w:rsidRDefault="00DD3EFA" w:rsidP="00B15ECB">
            <w:r w:rsidRPr="00EC2A1C">
              <w:t>Koncept oběhového hospodářství zahrnuje udržitelné nakládání s primárními zdroji a jejich postupné nahrazování druhotnými  surovinami v souladu s technickým rozvojem. Je nezbytné začít vnímat odpady jako zdroje a intenzivně podporovat:</w:t>
            </w:r>
          </w:p>
          <w:p w14:paraId="27F6E9DB" w14:textId="77777777" w:rsidR="00DD3EFA" w:rsidRPr="00EC2A1C" w:rsidRDefault="00DD3EFA" w:rsidP="00B15ECB">
            <w:pPr>
              <w:rPr>
                <w:b/>
              </w:rPr>
            </w:pPr>
          </w:p>
          <w:p w14:paraId="467641B6" w14:textId="77777777" w:rsidR="00DD3EFA" w:rsidRPr="00EC2A1C" w:rsidRDefault="00DD3EFA" w:rsidP="00391907">
            <w:pPr>
              <w:pStyle w:val="Odstavecseseznamem"/>
              <w:numPr>
                <w:ilvl w:val="0"/>
                <w:numId w:val="123"/>
              </w:numPr>
              <w:jc w:val="both"/>
            </w:pPr>
            <w:r w:rsidRPr="00EC2A1C">
              <w:t>oblast výroby:</w:t>
            </w:r>
          </w:p>
          <w:p w14:paraId="41C3C413" w14:textId="77777777" w:rsidR="00DD3EFA" w:rsidRPr="00EC2A1C" w:rsidRDefault="00DD3EFA" w:rsidP="00B15ECB">
            <w:r w:rsidRPr="00EC2A1C">
              <w:t>- zavádění ekodesignu výrobků, podpora materiálového a energetického ekodesignu;</w:t>
            </w:r>
          </w:p>
          <w:p w14:paraId="0E45E865" w14:textId="77777777" w:rsidR="00DD3EFA" w:rsidRPr="00EC2A1C" w:rsidRDefault="00DD3EFA" w:rsidP="00B15ECB">
            <w:r w:rsidRPr="00EC2A1C">
              <w:t>- podpora opravitelnosti výrobků, prodlužování doby jejich životnosti a recyklovatelnost výrobků;</w:t>
            </w:r>
          </w:p>
          <w:p w14:paraId="2AF115DA" w14:textId="77777777" w:rsidR="00DD3EFA" w:rsidRPr="00EC2A1C" w:rsidRDefault="00DD3EFA" w:rsidP="00B15ECB">
            <w:r w:rsidRPr="00EC2A1C">
              <w:t>- efektivní spotřeba zdrojů při výrobě;</w:t>
            </w:r>
          </w:p>
          <w:p w14:paraId="7DE017A5" w14:textId="77777777" w:rsidR="00DD3EFA" w:rsidRPr="00EC2A1C" w:rsidRDefault="00DD3EFA" w:rsidP="00B15ECB">
            <w:r w:rsidRPr="00EC2A1C">
              <w:t>- eliminace plánovaného zastarávání výrobků;</w:t>
            </w:r>
          </w:p>
          <w:p w14:paraId="18F811C6" w14:textId="77777777" w:rsidR="00DD3EFA" w:rsidRPr="00EC2A1C" w:rsidRDefault="00DD3EFA" w:rsidP="00B15ECB">
            <w:r w:rsidRPr="00EC2A1C">
              <w:t>- podpora vzájemné spolupráce v průmyslovém sektoru</w:t>
            </w:r>
          </w:p>
          <w:p w14:paraId="7FCEA414" w14:textId="77777777" w:rsidR="00DD3EFA" w:rsidRPr="00EC2A1C" w:rsidRDefault="00DD3EFA" w:rsidP="00B15ECB"/>
          <w:p w14:paraId="35799A96" w14:textId="77777777" w:rsidR="00DD3EFA" w:rsidRPr="00EC2A1C" w:rsidRDefault="00DD3EFA" w:rsidP="00391907">
            <w:pPr>
              <w:pStyle w:val="Odstavecseseznamem"/>
              <w:numPr>
                <w:ilvl w:val="0"/>
                <w:numId w:val="123"/>
              </w:numPr>
              <w:jc w:val="both"/>
            </w:pPr>
            <w:r w:rsidRPr="00EC2A1C">
              <w:t>oblast spotřeby:</w:t>
            </w:r>
          </w:p>
          <w:p w14:paraId="152C4822" w14:textId="77777777" w:rsidR="00DD3EFA" w:rsidRPr="00EC2A1C" w:rsidRDefault="00DD3EFA" w:rsidP="00B15ECB">
            <w:r w:rsidRPr="00EC2A1C">
              <w:t>- podpora znovupoužití výrobků ke zmenšení množství odpadů</w:t>
            </w:r>
          </w:p>
          <w:p w14:paraId="5ED7F972" w14:textId="77777777" w:rsidR="00DD3EFA" w:rsidRPr="00EC2A1C" w:rsidRDefault="00DD3EFA" w:rsidP="00B15ECB">
            <w:r w:rsidRPr="00EC2A1C">
              <w:t>- zaváděním pravidel pro znovupoužití výrobků</w:t>
            </w:r>
          </w:p>
          <w:p w14:paraId="1E8973FE" w14:textId="77777777" w:rsidR="00DD3EFA" w:rsidRPr="00EC2A1C" w:rsidRDefault="00DD3EFA" w:rsidP="00B15ECB">
            <w:r w:rsidRPr="00EC2A1C">
              <w:t>- podpora záruk pro spotřebitele</w:t>
            </w:r>
          </w:p>
          <w:p w14:paraId="1A338821" w14:textId="77777777" w:rsidR="00DD3EFA" w:rsidRPr="00EC2A1C" w:rsidRDefault="00DD3EFA" w:rsidP="00B15ECB">
            <w:r w:rsidRPr="00EC2A1C">
              <w:t>- zelené veřejné zakázky</w:t>
            </w:r>
          </w:p>
          <w:p w14:paraId="45FA1DF3" w14:textId="77777777" w:rsidR="00DD3EFA" w:rsidRPr="00EC2A1C" w:rsidRDefault="00DD3EFA" w:rsidP="00B15ECB">
            <w:r w:rsidRPr="00EC2A1C">
              <w:t>- zlepšení dostupnosti informací pro spotřebitele</w:t>
            </w:r>
          </w:p>
          <w:p w14:paraId="275BC374" w14:textId="77777777" w:rsidR="00DD3EFA" w:rsidRPr="00EC2A1C" w:rsidRDefault="00DD3EFA" w:rsidP="00B15ECB"/>
          <w:p w14:paraId="0665FA42" w14:textId="77777777" w:rsidR="00DD3EFA" w:rsidRPr="00EC2A1C" w:rsidRDefault="00DD3EFA" w:rsidP="00391907">
            <w:pPr>
              <w:pStyle w:val="Odstavecseseznamem"/>
              <w:numPr>
                <w:ilvl w:val="0"/>
                <w:numId w:val="123"/>
              </w:numPr>
              <w:jc w:val="both"/>
            </w:pPr>
            <w:r w:rsidRPr="00EC2A1C">
              <w:t>oblast odpadového hospodářství</w:t>
            </w:r>
          </w:p>
          <w:p w14:paraId="113E6389" w14:textId="77777777" w:rsidR="00DD3EFA" w:rsidRPr="00EC2A1C" w:rsidRDefault="00DD3EFA" w:rsidP="00B15ECB">
            <w:r w:rsidRPr="00EC2A1C">
              <w:t>- prevence vzniku odpadů na všech úrovních, především pak v rámci průmyslu,  stavebnictví a zemědělství</w:t>
            </w:r>
          </w:p>
          <w:p w14:paraId="217D4308" w14:textId="77777777" w:rsidR="00DD3EFA" w:rsidRPr="00EC2A1C" w:rsidRDefault="00DD3EFA" w:rsidP="00B15ECB">
            <w:r w:rsidRPr="00EC2A1C">
              <w:rPr>
                <w:bCs/>
              </w:rPr>
              <w:t>- zvyšování podílu materiálového a energetického využití odpadů</w:t>
            </w:r>
          </w:p>
          <w:p w14:paraId="5D814F97" w14:textId="77777777" w:rsidR="00DD3EFA" w:rsidRPr="00EC2A1C" w:rsidRDefault="00DD3EFA" w:rsidP="00B15ECB">
            <w:pPr>
              <w:spacing w:before="60" w:after="60"/>
            </w:pPr>
            <w:r w:rsidRPr="00EC2A1C">
              <w:t>-  podpora nejlepších praktik v odpadovém hospodářství</w:t>
            </w:r>
          </w:p>
          <w:p w14:paraId="44D72AD9" w14:textId="77777777" w:rsidR="00DD3EFA" w:rsidRPr="00EC2A1C" w:rsidRDefault="00DD3EFA" w:rsidP="00B15ECB">
            <w:pPr>
              <w:spacing w:before="60" w:after="60"/>
            </w:pPr>
            <w:r w:rsidRPr="00EC2A1C">
              <w:t xml:space="preserve">- zvýšení recyklace odpadů a jejich opětovného použití, </w:t>
            </w:r>
          </w:p>
          <w:p w14:paraId="0D939C41" w14:textId="77777777" w:rsidR="00DD3EFA" w:rsidRPr="00EC2A1C" w:rsidRDefault="00DD3EFA" w:rsidP="00B15ECB">
            <w:pPr>
              <w:spacing w:before="60" w:after="60"/>
            </w:pPr>
            <w:r w:rsidRPr="00EC2A1C">
              <w:t>- zásadní omezení skládkování všech druhů odpadů odpadů a udržování jejich hodnoty v ekonomickém cyklu</w:t>
            </w:r>
          </w:p>
          <w:p w14:paraId="72DE1FC9" w14:textId="77777777" w:rsidR="00DD3EFA" w:rsidRPr="00EC2A1C" w:rsidRDefault="00DD3EFA" w:rsidP="00B15ECB"/>
          <w:p w14:paraId="4E76485F" w14:textId="77777777" w:rsidR="00DD3EFA" w:rsidRPr="00EC2A1C" w:rsidRDefault="00DD3EFA" w:rsidP="00391907">
            <w:pPr>
              <w:pStyle w:val="Odstavecseseznamem"/>
              <w:numPr>
                <w:ilvl w:val="0"/>
                <w:numId w:val="123"/>
              </w:numPr>
              <w:jc w:val="both"/>
            </w:pPr>
            <w:r w:rsidRPr="00EC2A1C">
              <w:t>oblast druhotných surovin</w:t>
            </w:r>
          </w:p>
          <w:p w14:paraId="2AC34326" w14:textId="77777777" w:rsidR="00DD3EFA" w:rsidRPr="00EC2A1C" w:rsidRDefault="00DD3EFA" w:rsidP="00B15ECB">
            <w:r w:rsidRPr="00EC2A1C">
              <w:t>- získávání, zpracování a využívání druhotných surovin v souladu s Akčním plánem EU pro oběhové hospodářství (a souvisejících národních strategií, koncepcí a politik)</w:t>
            </w:r>
          </w:p>
          <w:p w14:paraId="1FF3CC18" w14:textId="77777777" w:rsidR="00DD3EFA" w:rsidRPr="00EC2A1C" w:rsidRDefault="00DD3EFA" w:rsidP="00B15ECB">
            <w:pPr>
              <w:spacing w:before="60" w:after="60"/>
            </w:pPr>
            <w:r w:rsidRPr="00EC2A1C">
              <w:t>- podpora výrobků s obsahem druhotných surovin</w:t>
            </w:r>
          </w:p>
          <w:p w14:paraId="66E96C8A" w14:textId="77777777" w:rsidR="00DD3EFA" w:rsidRPr="00EC2A1C" w:rsidRDefault="00DD3EFA" w:rsidP="00B15ECB">
            <w:pPr>
              <w:spacing w:before="60" w:after="60"/>
            </w:pPr>
            <w:r w:rsidRPr="00EC2A1C">
              <w:t>- cenové a daňové zvýhodnění druhotných surovin oproti primárním surovinám;</w:t>
            </w:r>
          </w:p>
          <w:p w14:paraId="23F5D056" w14:textId="77777777" w:rsidR="00DD3EFA" w:rsidRPr="00EC2A1C" w:rsidRDefault="00DD3EFA" w:rsidP="00B15ECB">
            <w:r w:rsidRPr="00EC2A1C">
              <w:t>- odstraňování nadbytečných bariér pro trh s druhotnými surovinami</w:t>
            </w:r>
          </w:p>
          <w:p w14:paraId="284643CB" w14:textId="77777777" w:rsidR="00DD3EFA" w:rsidRPr="00EC2A1C" w:rsidRDefault="00DD3EFA" w:rsidP="00B15ECB">
            <w:r w:rsidRPr="00EC2A1C">
              <w:t>- získávání a vyšší využití druhotných surovin jako náhrady primárních zdrojů</w:t>
            </w:r>
          </w:p>
          <w:p w14:paraId="2AA38057" w14:textId="77777777" w:rsidR="00DD3EFA" w:rsidRPr="00EC2A1C" w:rsidRDefault="00DD3EFA" w:rsidP="00B15ECB">
            <w:pPr>
              <w:pStyle w:val="Odstavecseseznamem"/>
            </w:pPr>
          </w:p>
          <w:p w14:paraId="5D7F48EB" w14:textId="77777777" w:rsidR="00DD3EFA" w:rsidRPr="00EC2A1C" w:rsidRDefault="00DD3EFA" w:rsidP="00391907">
            <w:pPr>
              <w:pStyle w:val="Odstavecseseznamem"/>
              <w:numPr>
                <w:ilvl w:val="0"/>
                <w:numId w:val="123"/>
              </w:numPr>
              <w:jc w:val="both"/>
            </w:pPr>
            <w:r w:rsidRPr="00EC2A1C">
              <w:t>oblast inovací a investic</w:t>
            </w:r>
          </w:p>
          <w:p w14:paraId="771D4BDD" w14:textId="77777777" w:rsidR="00DD3EFA" w:rsidRPr="00EC2A1C" w:rsidRDefault="00DD3EFA" w:rsidP="00B15ECB">
            <w:r w:rsidRPr="00EC2A1C">
              <w:t>- zavádění inovativních technologií v oblasti účinného využívání primárních surovin</w:t>
            </w:r>
          </w:p>
          <w:p w14:paraId="39F45E16" w14:textId="77777777" w:rsidR="00DD3EFA" w:rsidRPr="00EC2A1C" w:rsidRDefault="00DD3EFA" w:rsidP="00B15ECB">
            <w:pPr>
              <w:spacing w:before="60" w:after="60"/>
            </w:pPr>
            <w:r w:rsidRPr="00EC2A1C">
              <w:t>- výzkum a inovace v oblasti odpadového hospodářství</w:t>
            </w:r>
          </w:p>
          <w:p w14:paraId="6ECA551F" w14:textId="77777777" w:rsidR="00DD3EFA" w:rsidRPr="00EC2A1C" w:rsidRDefault="00DD3EFA" w:rsidP="00B15ECB">
            <w:pPr>
              <w:spacing w:before="60" w:after="60"/>
            </w:pPr>
            <w:r w:rsidRPr="00EC2A1C">
              <w:t>- podpora inovací a spolupráce průmyslového sektoru, vysokých škol a vědeckých institucí</w:t>
            </w:r>
          </w:p>
          <w:p w14:paraId="63306C03" w14:textId="77777777" w:rsidR="00DD3EFA" w:rsidRPr="00EC2A1C" w:rsidRDefault="00DD3EFA" w:rsidP="00B15ECB">
            <w:pPr>
              <w:spacing w:before="60" w:after="60"/>
            </w:pPr>
            <w:r w:rsidRPr="00EC2A1C">
              <w:t>- podpora inovativních technologií pro snižování množství odpadů</w:t>
            </w:r>
          </w:p>
          <w:p w14:paraId="53ACA2B4" w14:textId="77777777" w:rsidR="00DD3EFA" w:rsidRPr="00EC2A1C" w:rsidRDefault="00DD3EFA" w:rsidP="00B15ECB">
            <w:pPr>
              <w:spacing w:before="60" w:after="60"/>
              <w:ind w:left="-4"/>
              <w:rPr>
                <w:rFonts w:eastAsiaTheme="majorEastAsia"/>
                <w:i/>
              </w:rPr>
            </w:pPr>
            <w:r w:rsidRPr="00EC2A1C">
              <w:t>- podpora vzdělávání a přenosu informací v oblasti oběhového hospodářství</w:t>
            </w:r>
          </w:p>
        </w:tc>
      </w:tr>
      <w:tr w:rsidR="00DD3EFA" w:rsidRPr="00EC2A1C" w14:paraId="51D36928" w14:textId="77777777" w:rsidTr="00B15ECB">
        <w:trPr>
          <w:trHeight w:val="377"/>
        </w:trPr>
        <w:tc>
          <w:tcPr>
            <w:tcW w:w="249" w:type="dxa"/>
            <w:tcBorders>
              <w:top w:val="nil"/>
              <w:left w:val="single" w:sz="4" w:space="0" w:color="auto"/>
              <w:bottom w:val="nil"/>
              <w:right w:val="nil"/>
            </w:tcBorders>
            <w:shd w:val="clear" w:color="auto" w:fill="66CCFF"/>
          </w:tcPr>
          <w:p w14:paraId="67941021"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363B9E00" w14:textId="77777777" w:rsidR="00DD3EFA" w:rsidRPr="002D2123" w:rsidRDefault="00DD3EFA" w:rsidP="00B15ECB">
            <w:pPr>
              <w:spacing w:before="60" w:after="60"/>
              <w:rPr>
                <w:rFonts w:eastAsiaTheme="majorEastAsia"/>
                <w:b/>
              </w:rPr>
            </w:pPr>
          </w:p>
        </w:tc>
        <w:tc>
          <w:tcPr>
            <w:tcW w:w="5567" w:type="dxa"/>
            <w:tcBorders>
              <w:top w:val="single" w:sz="4" w:space="0" w:color="auto"/>
              <w:left w:val="nil"/>
              <w:bottom w:val="single" w:sz="4" w:space="0" w:color="auto"/>
              <w:right w:val="nil"/>
            </w:tcBorders>
            <w:shd w:val="clear" w:color="auto" w:fill="66CCFF"/>
          </w:tcPr>
          <w:p w14:paraId="282941F0" w14:textId="77777777" w:rsidR="00DD3EFA" w:rsidRPr="00EC2A1C" w:rsidRDefault="00DD3EFA" w:rsidP="00B15ECB">
            <w:pPr>
              <w:spacing w:before="60" w:after="60"/>
              <w:rPr>
                <w:rFonts w:eastAsiaTheme="majorEastAsia"/>
                <w:i/>
              </w:rPr>
            </w:pPr>
          </w:p>
        </w:tc>
      </w:tr>
      <w:tr w:rsidR="00DD3EFA" w:rsidRPr="00EC2A1C" w14:paraId="3CBF446E"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3675FC9F" w14:textId="77777777" w:rsidR="00DD3EFA" w:rsidRPr="002D2123" w:rsidRDefault="00DD3EFA" w:rsidP="00B15ECB">
            <w:pPr>
              <w:rPr>
                <w:b/>
                <w:sz w:val="10"/>
                <w:szCs w:val="10"/>
              </w:rPr>
            </w:pPr>
          </w:p>
        </w:tc>
        <w:tc>
          <w:tcPr>
            <w:tcW w:w="81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769387A"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p w14:paraId="4AA87C8F" w14:textId="77777777" w:rsidR="00DD3EFA" w:rsidRPr="00EC2A1C" w:rsidRDefault="00DD3EFA" w:rsidP="00B15ECB">
            <w:pPr>
              <w:spacing w:before="60" w:after="60"/>
              <w:rPr>
                <w:rFonts w:eastAsiaTheme="majorEastAsia"/>
                <w:i/>
                <w:u w:val="single"/>
              </w:rPr>
            </w:pPr>
          </w:p>
        </w:tc>
      </w:tr>
      <w:tr w:rsidR="00DD3EFA" w:rsidRPr="00EC2A1C" w14:paraId="6D30E132"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10B0F892"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703CACE3"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Územní dimenze</w:t>
            </w:r>
          </w:p>
          <w:p w14:paraId="62C174FA" w14:textId="77777777" w:rsidR="00DD3EFA" w:rsidRPr="002D2123" w:rsidRDefault="00DD3EFA" w:rsidP="00B15ECB">
            <w:pPr>
              <w:spacing w:before="60" w:after="60"/>
              <w:rPr>
                <w:rFonts w:eastAsiaTheme="majorEastAsia"/>
                <w:b/>
              </w:rPr>
            </w:pP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1860B" w14:textId="77777777" w:rsidR="00DD3EFA" w:rsidRPr="00EC2A1C" w:rsidRDefault="00DD3EFA" w:rsidP="00B15ECB">
            <w:r w:rsidRPr="00EC2A1C">
              <w:t>Problematika má celorepublikový charakter a jednotlivé regiony disponují širokým potenciálem v oblasti řešení oběhového hospodářství.</w:t>
            </w:r>
          </w:p>
          <w:p w14:paraId="5F702B10" w14:textId="77777777" w:rsidR="00DD3EFA" w:rsidRPr="00EC2A1C" w:rsidRDefault="00DD3EFA" w:rsidP="00B15ECB">
            <w:pPr>
              <w:rPr>
                <w:rFonts w:eastAsiaTheme="majorEastAsia"/>
                <w:i/>
              </w:rPr>
            </w:pPr>
            <w:r w:rsidRPr="00EC2A1C">
              <w:t>Ústecký a Moravskoslezský kraj jsou významné průmyslové regiony a je zde významný prostor pro zavádění principů oběhového hospodářství. S ohledem na rozmístění a kapacitu stávajících ZEVO (Praha, Plzeňský kraj, Liberecký kraj a Jihomoravský kraj) není v Karlovarském, Moravskoslezském a Zlínském kraji dořešena kapacita pro zpracování odpadů. Ve všech typech sídel přetrvávají problémy se zpracováním druhotných surovin v rámci oběhového hospodářství vzhledem k deficitu inovativních technologií na získávání a zpracování druhotných surovin. Je nutné směřovat další investice do prevence vzniku odpadů, oblasti zlepšení nakládání s odpady a zvyšování míry jejich materiálového využití.</w:t>
            </w:r>
          </w:p>
        </w:tc>
      </w:tr>
      <w:tr w:rsidR="00DD3EFA" w:rsidRPr="00EC2A1C" w14:paraId="31339C81"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073C39F2"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2C87B947" w14:textId="77777777" w:rsidR="00DD3EFA" w:rsidRPr="002D2123" w:rsidRDefault="00DD3EFA" w:rsidP="00391907">
            <w:pPr>
              <w:pStyle w:val="Odstavecseseznamem"/>
              <w:numPr>
                <w:ilvl w:val="0"/>
                <w:numId w:val="2"/>
              </w:numPr>
              <w:spacing w:before="60" w:after="60"/>
              <w:rPr>
                <w:rFonts w:eastAsiaTheme="majorEastAsia"/>
                <w:b/>
              </w:rPr>
            </w:pPr>
            <w:r w:rsidRPr="002D2123">
              <w:rPr>
                <w:rFonts w:eastAsiaTheme="majorEastAsia"/>
                <w:b/>
              </w:rPr>
              <w:t>Adaptace na změnu klimatu</w:t>
            </w:r>
          </w:p>
          <w:p w14:paraId="6DDBB3C1" w14:textId="77777777" w:rsidR="00DD3EFA" w:rsidRPr="002D2123" w:rsidRDefault="00DD3EFA" w:rsidP="00B15ECB">
            <w:pPr>
              <w:spacing w:before="60" w:after="60"/>
              <w:rPr>
                <w:rFonts w:eastAsiaTheme="majorEastAsia"/>
                <w:b/>
              </w:rPr>
            </w:pP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BE096" w14:textId="77777777" w:rsidR="00DD3EFA" w:rsidRPr="00EC2A1C" w:rsidRDefault="00DD3EFA">
            <w:pPr>
              <w:spacing w:before="60" w:after="60"/>
              <w:rPr>
                <w:rFonts w:eastAsiaTheme="majorEastAsia"/>
              </w:rPr>
            </w:pPr>
            <w:r w:rsidRPr="00EC2A1C">
              <w:rPr>
                <w:rFonts w:eastAsiaTheme="majorEastAsia"/>
              </w:rPr>
              <w:t>Oběhové hospodářství má silné synergie s cíli EU v oblasti klimatu, energetiky, snižování úrovní emisí oxidu uhličitého, udržitelné spotřeby a výroby, ale i s balíčkem opatření „Čistá energie pro všechny Evropany“, a též se sdělením EK COM(2018)773 „Čistá planeta pro všechny – Evropská dlouhodobá vize prosperující, moderní konkurenceschopné a klimaticky neutrální ekonomiky“. Oběhové hospodářství prostřednictvím snižování množství odpadu a tím eliminace jeho skládkování, zvyšování úspor energie a snižování emisí skleníkových plynů přispívá sekundárně rovněž i k adaptaci na změnu klimatu. Příkladem mohou být „znovuvyužité“ výrobky ve stavebnictví a průmyslu, jejichž inovativní vlastnosti pomohou lepšímu přizpůsobení se změně klimatu. (Národní akční plán adaptace na změnu klimatu ČR definuje např.opatření „Podpora výzkumu a vývoje nových materiálů a technologií ke snížení rizika dopadů změny klimatu“;„Zvýšení efektivity využívání vodních zdrojů ve výrobních procesech“; „Prostřednictvím inovací technologií a technologických procesů podpořit "circular economy" - zvyšování efektivity využití vodních zdrojů ve výrobě“)  .</w:t>
            </w:r>
          </w:p>
        </w:tc>
      </w:tr>
      <w:tr w:rsidR="00DD3EFA" w:rsidRPr="00EC2A1C" w14:paraId="1A673773"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2407DBAE"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35B61" w14:textId="77777777" w:rsidR="00DD3EFA" w:rsidRPr="002D2123" w:rsidRDefault="00DD3EFA" w:rsidP="00B15ECB">
            <w:pPr>
              <w:spacing w:before="60" w:after="60"/>
              <w:rPr>
                <w:rFonts w:eastAsiaTheme="majorEastAsia"/>
                <w:b/>
              </w:rPr>
            </w:pPr>
            <w:r w:rsidRPr="002D2123">
              <w:rPr>
                <w:b/>
              </w:rPr>
              <w:t>Digitální ekonomika a společnost</w:t>
            </w:r>
            <w:r w:rsidRPr="002D2123">
              <w:rPr>
                <w:rFonts w:eastAsiaTheme="majorEastAsia"/>
                <w:b/>
              </w:rPr>
              <w:t xml:space="preserve"> </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5588C8" w14:textId="77777777" w:rsidR="00DD3EFA" w:rsidRPr="00EC2A1C" w:rsidRDefault="00DD3EFA" w:rsidP="00B15ECB">
            <w:r w:rsidRPr="00EC2A1C">
              <w:t xml:space="preserve">Odpadové a oběhové hospodářství jsou nezbytnou součástí realizace konceptu „smart cities“. Koncept „smart cities“ (případně „smart villages“) musí zcela jasně obsahovat komplexní inovativní přístupy k systému nakládání s odpady (v oblasti svozu odpadů počítá s alternativou celoplošného monitoringu vozidel svozu odpadu a detekce naplněnosti sběrných kontejnerů s cílem sledovat množství vytříděného odpadu (minimálně na úrovni mikroregionu, statutárního města). Některá města rovněž přistoupila k monitoringu toho, zda a jak domácnosti třídí odpad prostřednictvím pytlů pro tříděný odpad s čárovými kódy. V informačním systému pak podle množství produkovaného opadu nastavují individuálně výši poplatků za odpad. Informace z odpadového hospodářství se mohou propojovat s dalšími poznatky z fungování měst a obcí. Digitalizace a informatizace je tak integrální částí oběhového hospodářství. </w:t>
            </w:r>
          </w:p>
          <w:p w14:paraId="0A6D33C1" w14:textId="77777777" w:rsidR="00DD3EFA" w:rsidRPr="00EC2A1C" w:rsidRDefault="00DD3EFA" w:rsidP="00B15ECB">
            <w:pPr>
              <w:spacing w:before="60" w:after="60"/>
              <w:rPr>
                <w:rFonts w:eastAsiaTheme="majorEastAsia"/>
                <w:i/>
              </w:rPr>
            </w:pPr>
            <w:r w:rsidRPr="00EC2A1C">
              <w:t>V souvislosti se strategickou koncepcí „Digitální ekonomika a společnost“ se otevírá otázka přípravy státní koncepce získávání, využití a výzkumu materiálů strategicky významných pro implementaci Průmyslu 4.0, včetně logistického řetězce materiálového toku a recyklace.</w:t>
            </w:r>
          </w:p>
        </w:tc>
      </w:tr>
      <w:tr w:rsidR="00DD3EFA" w:rsidRPr="00EC2A1C" w14:paraId="3F37EA50"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04C7036F"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DB65D4" w14:textId="77777777" w:rsidR="00DD3EFA" w:rsidRPr="002D2123" w:rsidRDefault="00DD3EFA" w:rsidP="00B15ECB">
            <w:pPr>
              <w:spacing w:before="60" w:after="60"/>
              <w:rPr>
                <w:rFonts w:eastAsiaTheme="majorEastAsia"/>
                <w:b/>
              </w:rPr>
            </w:pPr>
            <w:r w:rsidRPr="002D2123">
              <w:rPr>
                <w:rFonts w:eastAsiaTheme="majorEastAsia"/>
                <w:b/>
              </w:rPr>
              <w:t>Vazba na megatrendy</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DE722C" w14:textId="77777777" w:rsidR="00DD3EFA" w:rsidRPr="00EC2A1C" w:rsidRDefault="00DD3EFA" w:rsidP="00B15ECB">
            <w:pPr>
              <w:spacing w:before="60" w:after="60"/>
            </w:pPr>
            <w:r w:rsidRPr="00EC2A1C">
              <w:t>Oběhové hospodářství přispívá a podporuje řešení následujících megatrendů:</w:t>
            </w:r>
          </w:p>
          <w:p w14:paraId="48CEDB00" w14:textId="77777777" w:rsidR="00DD3EFA" w:rsidRPr="00EC2A1C" w:rsidRDefault="00DD3EFA" w:rsidP="00B15ECB">
            <w:pPr>
              <w:spacing w:before="60" w:after="60"/>
            </w:pPr>
            <w:r w:rsidRPr="00EC2A1C">
              <w:t>GMT 2.  Degradace ekosystémů</w:t>
            </w:r>
          </w:p>
          <w:p w14:paraId="42B460BF" w14:textId="77777777" w:rsidR="00DD3EFA" w:rsidRPr="00EC2A1C" w:rsidRDefault="00DD3EFA" w:rsidP="00B15ECB">
            <w:pPr>
              <w:spacing w:before="60" w:after="60"/>
            </w:pPr>
            <w:r w:rsidRPr="00EC2A1C">
              <w:t>GMT 4. Globální ekonomický růst</w:t>
            </w:r>
          </w:p>
          <w:p w14:paraId="1CF05FBF" w14:textId="77777777" w:rsidR="00DD3EFA" w:rsidRPr="00EC2A1C" w:rsidRDefault="00DD3EFA" w:rsidP="00B15ECB">
            <w:pPr>
              <w:spacing w:before="60" w:after="60"/>
            </w:pPr>
            <w:r w:rsidRPr="00EC2A1C">
              <w:t>GMT 9. Potravinová bezpečnost</w:t>
            </w:r>
          </w:p>
          <w:p w14:paraId="4C95EC7E" w14:textId="77777777" w:rsidR="00DD3EFA" w:rsidRPr="00EC2A1C" w:rsidRDefault="00DD3EFA" w:rsidP="00B15ECB">
            <w:pPr>
              <w:spacing w:before="60" w:after="60"/>
            </w:pPr>
            <w:r w:rsidRPr="00EC2A1C">
              <w:t>GMT 11. Rostoucí bezpečnost</w:t>
            </w:r>
          </w:p>
          <w:p w14:paraId="2E9E69E7" w14:textId="77777777" w:rsidR="00DD3EFA" w:rsidRPr="00EC2A1C" w:rsidRDefault="00DD3EFA" w:rsidP="00B15ECB">
            <w:pPr>
              <w:spacing w:before="60" w:after="60"/>
            </w:pPr>
            <w:r w:rsidRPr="00EC2A1C">
              <w:t>GMT 17. Rostoucí spotřeba zdrojů</w:t>
            </w:r>
          </w:p>
          <w:p w14:paraId="0E518B61" w14:textId="77777777" w:rsidR="00DD3EFA" w:rsidRPr="00EC2A1C" w:rsidRDefault="00DD3EFA" w:rsidP="00B15ECB">
            <w:pPr>
              <w:spacing w:before="60" w:after="60"/>
            </w:pPr>
            <w:r w:rsidRPr="00EC2A1C">
              <w:t>GMT 18. Rostoucí spotřeba energie</w:t>
            </w:r>
          </w:p>
          <w:p w14:paraId="695CAE26" w14:textId="77777777" w:rsidR="00DD3EFA" w:rsidRPr="00EC2A1C" w:rsidRDefault="00DD3EFA" w:rsidP="00B15ECB">
            <w:pPr>
              <w:spacing w:before="60" w:after="60"/>
            </w:pPr>
            <w:r w:rsidRPr="00EC2A1C">
              <w:t>GMT 19. Rostoucí zadluženost (ekologické dluhy)</w:t>
            </w:r>
          </w:p>
          <w:p w14:paraId="2391E490" w14:textId="77777777" w:rsidR="00DD3EFA" w:rsidRPr="00EC2A1C" w:rsidRDefault="00DD3EFA" w:rsidP="00B15ECB">
            <w:pPr>
              <w:spacing w:before="60" w:after="60"/>
            </w:pPr>
            <w:r w:rsidRPr="00EC2A1C">
              <w:t>GMT 26. Změna klimatu a její dopady</w:t>
            </w:r>
          </w:p>
          <w:p w14:paraId="2EFA2C59" w14:textId="77777777" w:rsidR="00DD3EFA" w:rsidRPr="00EC2A1C" w:rsidRDefault="00DD3EFA" w:rsidP="00B15ECB">
            <w:pPr>
              <w:spacing w:before="60" w:after="60"/>
            </w:pPr>
            <w:r w:rsidRPr="00EC2A1C">
              <w:t>GMT 28. Zvyšující se rychlost technologické změny</w:t>
            </w:r>
          </w:p>
          <w:p w14:paraId="4E842979" w14:textId="77777777" w:rsidR="00DD3EFA" w:rsidRPr="00EC2A1C" w:rsidRDefault="00DD3EFA" w:rsidP="00B15ECB">
            <w:pPr>
              <w:spacing w:before="60" w:after="60"/>
              <w:rPr>
                <w:rFonts w:eastAsiaTheme="majorEastAsia"/>
              </w:rPr>
            </w:pPr>
            <w:r w:rsidRPr="00EC2A1C">
              <w:t>GMT 29. Zvyšující se soutěž o zdroje</w:t>
            </w:r>
          </w:p>
        </w:tc>
      </w:tr>
      <w:tr w:rsidR="00DD3EFA" w:rsidRPr="00EC2A1C" w14:paraId="6E9012FB"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5F24D35B"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CD3129"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politické cíle ON, specifické cíle nařízení k jednotlivým relevantním fondům</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E3C956" w14:textId="77777777" w:rsidR="00DD3EFA" w:rsidRPr="00EC2A1C" w:rsidRDefault="00DD3EFA" w:rsidP="00B15ECB">
            <w:pPr>
              <w:spacing w:before="60" w:after="60"/>
              <w:rPr>
                <w:rFonts w:eastAsiaTheme="majorEastAsia"/>
              </w:rPr>
            </w:pPr>
            <w:r w:rsidRPr="00EC2A1C">
              <w:rPr>
                <w:rFonts w:eastAsiaTheme="majorEastAsia"/>
              </w:rPr>
              <w:t>Podoblast přispívá k CP2, přechod na intenzívnější oběhové hospodářství, což je jedna z hlavních priorit Evropské komise a důležitá součást při snaze o modernizaci a udržitelné směřování evropské ekonomiky (</w:t>
            </w:r>
            <w:r w:rsidRPr="00EC2A1C">
              <w:t>SC podpory přechodu k oběhovému hospodářství)</w:t>
            </w:r>
            <w:r w:rsidRPr="00EC2A1C">
              <w:rPr>
                <w:rFonts w:eastAsiaTheme="majorEastAsia"/>
              </w:rPr>
              <w:t>. Podoblast rovněž přispívá k naplňování CP1 podporou investic do výzkumu a vývoje pokročilých a inovativních technologií (</w:t>
            </w:r>
            <w:r w:rsidRPr="00EC2A1C">
              <w:t>SC posílení výzkumných a inovačních kapacit a zavádění pokročilých technologií</w:t>
            </w:r>
            <w:r w:rsidRPr="00EC2A1C">
              <w:rPr>
                <w:rFonts w:eastAsiaTheme="majorEastAsia"/>
              </w:rPr>
              <w:t>).</w:t>
            </w:r>
          </w:p>
          <w:p w14:paraId="21AFC11C" w14:textId="77777777" w:rsidR="00DD3EFA" w:rsidRPr="00EC2A1C" w:rsidRDefault="00DD3EFA" w:rsidP="00B15ECB">
            <w:pPr>
              <w:spacing w:before="60" w:after="60"/>
              <w:rPr>
                <w:rFonts w:eastAsiaTheme="majorEastAsia"/>
              </w:rPr>
            </w:pPr>
            <w:r w:rsidRPr="00EC2A1C">
              <w:rPr>
                <w:rFonts w:eastAsiaTheme="majorEastAsia"/>
              </w:rPr>
              <w:t>Podoblast přispívá k plnění většiny cílů udržitelného rozvoje (SDGs).</w:t>
            </w:r>
          </w:p>
        </w:tc>
      </w:tr>
      <w:tr w:rsidR="00DD3EFA" w:rsidRPr="00EC2A1C" w14:paraId="30EAE043"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28350FC9"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AB5B61"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SDR</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DD450C" w14:textId="77777777" w:rsidR="00DD3EFA" w:rsidRPr="00EC2A1C" w:rsidRDefault="00DD3EFA" w:rsidP="00B15ECB">
            <w:pPr>
              <w:spacing w:before="60" w:after="60"/>
              <w:rPr>
                <w:rFonts w:eastAsiaTheme="majorEastAsia"/>
              </w:rPr>
            </w:pPr>
            <w:r w:rsidRPr="00EC2A1C">
              <w:rPr>
                <w:rFonts w:eastAsiaTheme="majorEastAsia"/>
              </w:rPr>
              <w:t>Aktuální znění SDR pro rok 2018 neobsahuje žádná doporučení relevantní pro tuto oblast.</w:t>
            </w:r>
          </w:p>
          <w:p w14:paraId="31AEA8AA" w14:textId="77777777" w:rsidR="00DD3EFA" w:rsidRPr="00EC2A1C" w:rsidRDefault="00DD3EFA" w:rsidP="00B15ECB">
            <w:pPr>
              <w:spacing w:before="60" w:after="60"/>
              <w:rPr>
                <w:rFonts w:eastAsiaTheme="majorEastAsia"/>
              </w:rPr>
            </w:pPr>
            <w:r w:rsidRPr="00EC2A1C">
              <w:rPr>
                <w:rFonts w:eastAsiaTheme="majorEastAsia"/>
              </w:rPr>
              <w:t>Oblast je výslovně zmíněna v části ANNEX D - Investment Guidance on Cohesion Policy Funding 2021-2027 for the Czech Republic – Draft  Country Report 2019.</w:t>
            </w:r>
          </w:p>
          <w:p w14:paraId="14894A4B" w14:textId="77777777" w:rsidR="00DD3EFA" w:rsidRPr="00EC2A1C" w:rsidRDefault="00DD3EFA" w:rsidP="00B15ECB">
            <w:pPr>
              <w:spacing w:before="60" w:after="60"/>
              <w:rPr>
                <w:rFonts w:eastAsiaTheme="majorEastAsia"/>
              </w:rPr>
            </w:pPr>
          </w:p>
          <w:p w14:paraId="71F3CC20" w14:textId="77777777" w:rsidR="00DD3EFA" w:rsidRPr="00EC2A1C" w:rsidRDefault="00DD3EFA" w:rsidP="00B15ECB">
            <w:pPr>
              <w:spacing w:before="60" w:after="60"/>
              <w:rPr>
                <w:rFonts w:eastAsiaTheme="majorEastAsia"/>
              </w:rPr>
            </w:pPr>
            <w:r w:rsidRPr="00EC2A1C">
              <w:rPr>
                <w:rFonts w:eastAsiaTheme="majorEastAsia"/>
              </w:rPr>
              <w:t xml:space="preserve">Podoblast naplňuje novou legislativu EU (balíček pro oběhové hospodářství 2015, balíček pro oběhové hospodářství 2018). Podoblast rovněž naplňuje doporučení ze strany OECD, vycházející z Hodnocení stavu a politik životního prostředí v oblasti nakládání s odpady a přechodu na oběhové hospodářství.                 </w:t>
            </w:r>
          </w:p>
        </w:tc>
      </w:tr>
      <w:tr w:rsidR="00DD3EFA" w:rsidRPr="00EC2A1C" w14:paraId="410586EA" w14:textId="77777777" w:rsidTr="00B15ECB">
        <w:trPr>
          <w:trHeight w:val="180"/>
        </w:trPr>
        <w:tc>
          <w:tcPr>
            <w:tcW w:w="249" w:type="dxa"/>
            <w:tcBorders>
              <w:top w:val="nil"/>
              <w:left w:val="single" w:sz="4" w:space="0" w:color="auto"/>
              <w:bottom w:val="nil"/>
              <w:right w:val="nil"/>
            </w:tcBorders>
            <w:shd w:val="clear" w:color="auto" w:fill="66CCFF"/>
          </w:tcPr>
          <w:p w14:paraId="3DAA2EE6"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44D60F1D" w14:textId="77777777" w:rsidR="00DD3EFA" w:rsidRPr="002D2123" w:rsidRDefault="00DD3EFA" w:rsidP="00B15ECB">
            <w:pPr>
              <w:rPr>
                <w:b/>
                <w:sz w:val="10"/>
                <w:szCs w:val="10"/>
              </w:rPr>
            </w:pPr>
          </w:p>
        </w:tc>
        <w:tc>
          <w:tcPr>
            <w:tcW w:w="5567" w:type="dxa"/>
            <w:tcBorders>
              <w:top w:val="single" w:sz="4" w:space="0" w:color="auto"/>
              <w:left w:val="nil"/>
              <w:bottom w:val="single" w:sz="4" w:space="0" w:color="auto"/>
              <w:right w:val="nil"/>
            </w:tcBorders>
            <w:shd w:val="clear" w:color="auto" w:fill="66CCFF"/>
          </w:tcPr>
          <w:p w14:paraId="630E920A" w14:textId="77777777" w:rsidR="00DD3EFA" w:rsidRPr="00EC2A1C" w:rsidRDefault="00DD3EFA" w:rsidP="00B15ECB">
            <w:pPr>
              <w:rPr>
                <w:b/>
              </w:rPr>
            </w:pPr>
          </w:p>
        </w:tc>
      </w:tr>
      <w:tr w:rsidR="00DD3EFA" w:rsidRPr="00EC2A1C" w14:paraId="7C78067A"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0C158D76"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31E0A22A" w14:textId="77777777" w:rsidR="00DD3EFA" w:rsidRPr="002D2123" w:rsidRDefault="00DD3EFA" w:rsidP="00B15ECB">
            <w:pPr>
              <w:spacing w:before="60" w:after="60"/>
              <w:rPr>
                <w:rFonts w:eastAsiaTheme="majorEastAsia"/>
                <w:b/>
              </w:rPr>
            </w:pPr>
            <w:r w:rsidRPr="002D2123">
              <w:rPr>
                <w:rFonts w:eastAsiaTheme="majorEastAsia"/>
                <w:b/>
              </w:rPr>
              <w:t>Strategický dokument pro daný cíl pro období 2020+; v případě více dokumentů identifikujte strategii dominantní ve vztahu k cíli.</w:t>
            </w:r>
          </w:p>
          <w:p w14:paraId="11B9E4E0" w14:textId="77777777" w:rsidR="00DD3EFA" w:rsidRPr="002D2123" w:rsidRDefault="00DD3EFA" w:rsidP="00B15ECB">
            <w:pPr>
              <w:pStyle w:val="Odstavecseseznamem"/>
              <w:spacing w:before="60" w:after="60"/>
              <w:ind w:left="360"/>
              <w:rPr>
                <w:rFonts w:eastAsiaTheme="majorEastAsia"/>
                <w:b/>
              </w:rPr>
            </w:pP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8E2105" w14:textId="77777777" w:rsidR="00DD3EFA" w:rsidRPr="00EC2A1C" w:rsidRDefault="00DD3EFA" w:rsidP="00B15ECB">
            <w:pPr>
              <w:rPr>
                <w:b/>
              </w:rPr>
            </w:pPr>
            <w:r w:rsidRPr="00EC2A1C">
              <w:rPr>
                <w:b/>
              </w:rPr>
              <w:t>Prioritní dokumenty:</w:t>
            </w:r>
          </w:p>
          <w:p w14:paraId="1E9586C6" w14:textId="77777777" w:rsidR="00DD3EFA" w:rsidRPr="00EC2A1C" w:rsidRDefault="00DD3EFA" w:rsidP="00B15ECB">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sidRPr="00EC2A1C">
              <w:rPr>
                <w:b/>
              </w:rPr>
              <w:t>Cirkulární Česko 2040</w:t>
            </w:r>
            <w:r w:rsidRPr="00EC2A1C">
              <w:t xml:space="preserve"> – </w:t>
            </w:r>
            <w:r w:rsidRPr="00EC2A1C">
              <w:rPr>
                <w:color w:val="000000"/>
              </w:rPr>
              <w:t>strategický rámec pro rozvoj oběhové hospodářství v České republice - „Cirkulární Česko 2040“ reflektuje nezbytnost prosazení principů oběhového hospodářství v České republice. Česká republika oproti řadě zemí Evropské unie doposud nevydala svůj vlastní strategický dokument k oběhovému hospodářství, Tato potřeba bude zesilovat s ohledem na aktivity Evropské komise v oblasti legislativy i nelegislativních kroků k oběhovému hospodářství. D</w:t>
            </w:r>
            <w:r w:rsidRPr="00EC2A1C">
              <w:t>okument bude implementovat Akční plán EU pro oběhové hospodářství schválený Evropskou komisí.</w:t>
            </w:r>
            <w:r w:rsidRPr="00EC2A1C">
              <w:rPr>
                <w:color w:val="000000"/>
              </w:rPr>
              <w:t xml:space="preserve"> Oběhové hospodářství může posílit konkurenceschopnost České republiky, přinést nová pracovní místa, zvýšit surovinovou bezpečnost a zlepšit ochranu životního prostředí v České republice. </w:t>
            </w:r>
          </w:p>
          <w:p w14:paraId="6960181E" w14:textId="77777777" w:rsidR="00DD3EFA" w:rsidRPr="00EC2A1C" w:rsidRDefault="00DD3EFA" w:rsidP="00B15ECB">
            <w:pPr>
              <w:rPr>
                <w:color w:val="000000"/>
              </w:rPr>
            </w:pPr>
            <w:r w:rsidRPr="00EC2A1C">
              <w:rPr>
                <w:color w:val="000000"/>
              </w:rPr>
              <w:t>Cílem strategického rámce bude analyzovat stávající situaci, definovat priority České republiky v oblasti oběhového hospodářství, formulovat jednotlivé cíle v rámci těchto priorit a určit, jakými opatřeními a nástroji jich Česká republika má dosáhnout.</w:t>
            </w:r>
          </w:p>
          <w:p w14:paraId="268A2DF6" w14:textId="77777777" w:rsidR="00DD3EFA" w:rsidRPr="00EC2A1C" w:rsidRDefault="00DD3EFA" w:rsidP="00B15ECB">
            <w:pPr>
              <w:rPr>
                <w:color w:val="000000"/>
              </w:rPr>
            </w:pPr>
            <w:r w:rsidRPr="00EC2A1C">
              <w:rPr>
                <w:color w:val="000000"/>
              </w:rPr>
              <w:br/>
              <w:t xml:space="preserve">Příprava strategického rámce byla zahájena na podzim 2018 a bude dále pokračovat v roce 2019 vytvořením pracovních skupin a zahájením přípravy analytické části a ekonomické analýzy. </w:t>
            </w:r>
          </w:p>
          <w:p w14:paraId="1E1201E6" w14:textId="77777777" w:rsidR="00DD3EFA" w:rsidRPr="00EC2A1C" w:rsidRDefault="00DD3EFA" w:rsidP="00B15ECB">
            <w:pPr>
              <w:pStyle w:val="slovanodstavec"/>
              <w:tabs>
                <w:tab w:val="left" w:pos="284"/>
              </w:tabs>
              <w:suppressAutoHyphens/>
              <w:spacing w:line="240" w:lineRule="auto"/>
              <w:rPr>
                <w:rFonts w:ascii="Times New Roman" w:hAnsi="Times New Roman"/>
                <w:u w:val="single"/>
              </w:rPr>
            </w:pPr>
          </w:p>
          <w:p w14:paraId="33DF8BA1" w14:textId="77777777" w:rsidR="00DD3EFA" w:rsidRPr="00EC2A1C" w:rsidRDefault="00DD3EFA" w:rsidP="00B15ECB">
            <w:pPr>
              <w:pStyle w:val="slovanodstavec"/>
              <w:tabs>
                <w:tab w:val="left" w:pos="284"/>
              </w:tabs>
              <w:suppressAutoHyphens/>
              <w:spacing w:after="0" w:line="240" w:lineRule="auto"/>
              <w:rPr>
                <w:rFonts w:ascii="Times New Roman" w:hAnsi="Times New Roman"/>
                <w:b/>
                <w:u w:val="single"/>
              </w:rPr>
            </w:pPr>
            <w:r w:rsidRPr="00EC2A1C">
              <w:rPr>
                <w:rFonts w:ascii="Times New Roman" w:hAnsi="Times New Roman"/>
                <w:b/>
                <w:u w:val="single"/>
              </w:rPr>
              <w:t>Plán odpadového hospodářství ČR na r. 2015-2024</w:t>
            </w:r>
          </w:p>
          <w:p w14:paraId="21FC665F"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 představuje klíčový dokument formulující opatření a dlouhodobé strategie v oblasti nakládání s odpady, obalovými odpady a výrobky s ukončenou životností. Hlavními cíli POH ČR je předcházení vzniku odpadů a zvýšení recyklace a materiálového využití odpadů. Plán se zaměřuje na upřednostnění způsobů nakládání s odpady podle celoevropské odpadové hierarchie a plnění evropských cílů ve všech oblastech nakládání s odpady. </w:t>
            </w:r>
          </w:p>
          <w:p w14:paraId="6AF01DE8"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Hlavním dokumentem v oblasti prevence odpadů je Program předcházení vzniku odpadů.</w:t>
            </w:r>
          </w:p>
          <w:p w14:paraId="18B82D7E"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V novém programovém období 2021 – 2027 se předpokládá změna stávajícího případně přijetí nového POH ČR, který bude zcela respektovat principy dané nově přijatou legislativou EU.</w:t>
            </w:r>
          </w:p>
          <w:p w14:paraId="6CB5F6F0" w14:textId="77777777" w:rsidR="00DD3EFA" w:rsidRPr="00EC2A1C" w:rsidRDefault="00DD3EFA" w:rsidP="00B15ECB">
            <w:pPr>
              <w:rPr>
                <w:rFonts w:eastAsia="Calibri"/>
                <w:b/>
                <w:u w:val="single"/>
              </w:rPr>
            </w:pPr>
            <w:r w:rsidRPr="00EC2A1C">
              <w:rPr>
                <w:rFonts w:eastAsia="Calibri"/>
                <w:b/>
                <w:u w:val="single"/>
              </w:rPr>
              <w:t>Politika druhotných surovin ČR pro období 2019 – 2022</w:t>
            </w:r>
          </w:p>
          <w:p w14:paraId="1BCF4FEC" w14:textId="77777777" w:rsidR="00DD3EFA" w:rsidRPr="00EC2A1C" w:rsidRDefault="00DD3EFA" w:rsidP="00B15ECB">
            <w:r w:rsidRPr="00EC2A1C">
              <w:t xml:space="preserve">- prioritním cílem aktualizované Politiky je vytváření vhodných podmínek pro efektivní využívání druhotných surovin, snižování spotřeby primárních zdrojů a tím přispění k zajištění surovinové soběstačnosti České republiky, </w:t>
            </w:r>
          </w:p>
          <w:p w14:paraId="7B39D896" w14:textId="77777777" w:rsidR="00DD3EFA" w:rsidRPr="00EC2A1C" w:rsidRDefault="00DD3EFA" w:rsidP="00B15ECB">
            <w:r w:rsidRPr="00EC2A1C">
              <w:t xml:space="preserve">- využíváním druhotných surovin snižovat energetickou i materiálovou náročnost výroby a tím i provozní náklady v průmyslu i v sektoru služeb, </w:t>
            </w:r>
          </w:p>
          <w:p w14:paraId="7536FA1C" w14:textId="77777777" w:rsidR="00DD3EFA" w:rsidRPr="00EC2A1C" w:rsidRDefault="00DD3EFA" w:rsidP="00B15ECB">
            <w:r w:rsidRPr="00EC2A1C">
              <w:t xml:space="preserve">- pro naplnění 5 strategických cílů  je stanoveno 19 nových úkolů pro následující 4leté období, kterými se podpoří   přechod na oběhové hospodářství,  </w:t>
            </w:r>
          </w:p>
          <w:p w14:paraId="5925FBAE" w14:textId="77777777" w:rsidR="00DD3EFA" w:rsidRPr="00EC2A1C" w:rsidRDefault="00DD3EFA" w:rsidP="00B15ECB">
            <w:r w:rsidRPr="00EC2A1C">
              <w:t>- přidanou hodnotou je podpora rozvoje recyklačního průmyslu a s tím související snížení produkce odpadů s pozitivními dopady na životní prostředí.</w:t>
            </w:r>
          </w:p>
          <w:p w14:paraId="213537A0" w14:textId="77777777" w:rsidR="00DD3EFA" w:rsidRPr="00EC2A1C" w:rsidRDefault="00DD3EFA" w:rsidP="00B15ECB">
            <w:r w:rsidRPr="00EC2A1C">
              <w:t>Jako podkladový dokument pro aktualizaci Politiky druhotných surovin České republiky pro období 2019 – 2022 byla zpracována Analýza současného stavu vybraných komodit druhotných surovin a jejich zdrojů včetně vize rozvoje daného odvětví. Analýza detailně popisuje 10 hlavních komodit druhotných surovin a jejich zdrojů významných pro hospodářství České republiky a může být rovněž použita pro přípravu strategie Cirkulární Česko 2040.</w:t>
            </w:r>
          </w:p>
          <w:p w14:paraId="11A3C0CE" w14:textId="77777777" w:rsidR="00DD3EFA" w:rsidRPr="00EC2A1C" w:rsidRDefault="00DD3EFA" w:rsidP="00B15ECB">
            <w:pPr>
              <w:rPr>
                <w:b/>
                <w:lang w:eastAsia="cs-CZ"/>
              </w:rPr>
            </w:pPr>
          </w:p>
          <w:p w14:paraId="522863D8" w14:textId="77777777" w:rsidR="00DD3EFA" w:rsidRPr="00EC2A1C" w:rsidRDefault="00DD3EFA" w:rsidP="00B15ECB">
            <w:pPr>
              <w:rPr>
                <w:b/>
                <w:lang w:eastAsia="cs-CZ"/>
              </w:rPr>
            </w:pPr>
            <w:r w:rsidRPr="00EC2A1C">
              <w:rPr>
                <w:b/>
                <w:lang w:eastAsia="cs-CZ"/>
              </w:rPr>
              <w:t>Další strategické dokumenty:</w:t>
            </w:r>
          </w:p>
          <w:p w14:paraId="728B3A78" w14:textId="77777777" w:rsidR="00DD3EFA" w:rsidRPr="00EC2A1C" w:rsidRDefault="00DD3EFA" w:rsidP="00391907">
            <w:pPr>
              <w:pStyle w:val="Odstavecseseznamem"/>
              <w:numPr>
                <w:ilvl w:val="0"/>
                <w:numId w:val="112"/>
              </w:numPr>
              <w:jc w:val="both"/>
            </w:pPr>
            <w:r w:rsidRPr="00EC2A1C">
              <w:t>Akční plán EU pro oběhové hospodářství</w:t>
            </w:r>
          </w:p>
          <w:p w14:paraId="624F081A" w14:textId="77777777" w:rsidR="00DD3EFA" w:rsidRPr="00EC2A1C" w:rsidRDefault="00DD3EFA" w:rsidP="00391907">
            <w:pPr>
              <w:pStyle w:val="Odstavecseseznamem"/>
              <w:numPr>
                <w:ilvl w:val="0"/>
                <w:numId w:val="112"/>
              </w:numPr>
              <w:jc w:val="both"/>
            </w:pPr>
            <w:r w:rsidRPr="00EC2A1C">
              <w:rPr>
                <w:rFonts w:eastAsia="Calibri"/>
              </w:rPr>
              <w:t>Sdělení COM (2014)445 o účinném využívání zdrojů ve  stavebnictví</w:t>
            </w:r>
          </w:p>
          <w:p w14:paraId="0CF6A6B0" w14:textId="77777777" w:rsidR="00DD3EFA" w:rsidRPr="00EC2A1C" w:rsidRDefault="00DD3EFA" w:rsidP="00391907">
            <w:pPr>
              <w:pStyle w:val="Odstavecseseznamem"/>
              <w:numPr>
                <w:ilvl w:val="0"/>
                <w:numId w:val="112"/>
              </w:numPr>
              <w:jc w:val="both"/>
            </w:pPr>
            <w:r w:rsidRPr="00EC2A1C">
              <w:t>Evropská strategie pro plasty v oběhovém hospodářství</w:t>
            </w:r>
          </w:p>
          <w:p w14:paraId="6D656E39" w14:textId="77777777" w:rsidR="00DD3EFA" w:rsidRPr="00EC2A1C" w:rsidRDefault="00DD3EFA" w:rsidP="00391907">
            <w:pPr>
              <w:pStyle w:val="Odstavecseseznamem"/>
              <w:numPr>
                <w:ilvl w:val="0"/>
                <w:numId w:val="112"/>
              </w:numPr>
              <w:jc w:val="both"/>
            </w:pPr>
            <w:r w:rsidRPr="00EC2A1C">
              <w:rPr>
                <w:rFonts w:eastAsia="Calibri"/>
              </w:rPr>
              <w:t>Státní politika životního prostředí ČR 2012-2020</w:t>
            </w:r>
          </w:p>
          <w:p w14:paraId="67427B10" w14:textId="77777777" w:rsidR="00DD3EFA" w:rsidRPr="00EC2A1C" w:rsidRDefault="00DD3EFA" w:rsidP="00391907">
            <w:pPr>
              <w:pStyle w:val="Odstavecseseznamem"/>
              <w:numPr>
                <w:ilvl w:val="0"/>
                <w:numId w:val="112"/>
              </w:numPr>
              <w:jc w:val="both"/>
              <w:rPr>
                <w:i/>
                <w:u w:val="single"/>
              </w:rPr>
            </w:pPr>
            <w:r w:rsidRPr="00EC2A1C">
              <w:rPr>
                <w:rFonts w:eastAsia="Calibri"/>
              </w:rPr>
              <w:t>Surovinová politika ČR v oblasti nerostných surovin a jejich zdrojů</w:t>
            </w:r>
          </w:p>
        </w:tc>
      </w:tr>
      <w:tr w:rsidR="00DD3EFA" w:rsidRPr="00EC2A1C" w14:paraId="18BE7D97"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239D6537"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6840C239" w14:textId="77777777" w:rsidR="00DD3EFA" w:rsidRPr="002D2123" w:rsidRDefault="00DD3EFA" w:rsidP="00391907">
            <w:pPr>
              <w:pStyle w:val="Odstavecseseznamem"/>
              <w:numPr>
                <w:ilvl w:val="0"/>
                <w:numId w:val="3"/>
              </w:numPr>
              <w:spacing w:before="60" w:after="60"/>
              <w:rPr>
                <w:rFonts w:eastAsiaTheme="majorEastAsia"/>
                <w:b/>
              </w:rPr>
            </w:pPr>
            <w:r w:rsidRPr="002D2123">
              <w:rPr>
                <w:rFonts w:eastAsiaTheme="majorEastAsia"/>
                <w:b/>
              </w:rPr>
              <w:t>analýza problémů a potřeb</w:t>
            </w:r>
          </w:p>
          <w:p w14:paraId="1767FD58" w14:textId="77777777" w:rsidR="00DD3EFA" w:rsidRPr="002D2123" w:rsidRDefault="00DD3EFA" w:rsidP="00B15ECB">
            <w:pPr>
              <w:spacing w:before="60" w:after="60"/>
              <w:rPr>
                <w:rFonts w:eastAsiaTheme="majorEastAsia"/>
                <w:b/>
                <w:highlight w:val="yellow"/>
              </w:rPr>
            </w:pP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6EDD62"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Strategie České republiky v oblasti odpadového hospodářství je zpracována v rámci Plánu odpadového hospodářství ČR 2015-2024. </w:t>
            </w:r>
            <w:r w:rsidRPr="00EC2A1C">
              <w:rPr>
                <w:rFonts w:ascii="Times New Roman" w:hAnsi="Times New Roman"/>
              </w:rPr>
              <w:br/>
              <w:t xml:space="preserve">Přestože v oblasti odpadového hospodářství došlo k řadě pozitivních změn, je z hlediska dalšího směřování nutné upravit a dobudovat některé oblasti odpadového hospodářství v souladu s posílením principu posunu k vyšším stupňům hierarchie nakládání s odpady. (zejména oblast prevence vzniku odpadů, recyklace a využívání odpadů). </w:t>
            </w:r>
          </w:p>
          <w:p w14:paraId="372FA5DC" w14:textId="77777777" w:rsidR="00DD3EFA" w:rsidRPr="00EC2A1C" w:rsidRDefault="00DD3EFA"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V oblasti předcházení vzniku odpadů a snižování měrné produkce odpadů je nezbytné:</w:t>
            </w:r>
          </w:p>
          <w:p w14:paraId="39FAB7AC" w14:textId="77777777" w:rsidR="00DD3EFA" w:rsidRPr="00EC2A1C" w:rsidRDefault="00DD3EFA" w:rsidP="00391907">
            <w:pPr>
              <w:pStyle w:val="slovanodstavec"/>
              <w:numPr>
                <w:ilvl w:val="0"/>
                <w:numId w:val="112"/>
              </w:numPr>
              <w:tabs>
                <w:tab w:val="left" w:pos="284"/>
              </w:tabs>
              <w:suppressAutoHyphens/>
              <w:spacing w:after="0" w:line="240" w:lineRule="auto"/>
              <w:rPr>
                <w:rFonts w:ascii="Times New Roman" w:hAnsi="Times New Roman"/>
              </w:rPr>
            </w:pPr>
            <w:r w:rsidRPr="00EC2A1C">
              <w:rPr>
                <w:rFonts w:ascii="Times New Roman" w:hAnsi="Times New Roman"/>
              </w:rPr>
              <w:t>jednotným přístupem změnit vzorce spotřeby</w:t>
            </w:r>
          </w:p>
          <w:p w14:paraId="626517A6" w14:textId="77777777" w:rsidR="00DD3EFA" w:rsidRPr="00EC2A1C" w:rsidRDefault="00DD3EFA" w:rsidP="00391907">
            <w:pPr>
              <w:pStyle w:val="slovanodstavec"/>
              <w:numPr>
                <w:ilvl w:val="0"/>
                <w:numId w:val="112"/>
              </w:numPr>
              <w:tabs>
                <w:tab w:val="left" w:pos="284"/>
              </w:tabs>
              <w:suppressAutoHyphens/>
              <w:spacing w:after="0" w:line="240" w:lineRule="auto"/>
              <w:rPr>
                <w:rFonts w:ascii="Times New Roman" w:hAnsi="Times New Roman"/>
              </w:rPr>
            </w:pPr>
            <w:r w:rsidRPr="00EC2A1C">
              <w:rPr>
                <w:rFonts w:ascii="Times New Roman" w:hAnsi="Times New Roman"/>
              </w:rPr>
              <w:t>poskytovat možnosti využívat výrobky s delší životností</w:t>
            </w:r>
          </w:p>
          <w:p w14:paraId="5B493729" w14:textId="77777777" w:rsidR="00DD3EFA" w:rsidRPr="00EC2A1C" w:rsidRDefault="00DD3EFA" w:rsidP="00391907">
            <w:pPr>
              <w:pStyle w:val="slovanodstavec"/>
              <w:numPr>
                <w:ilvl w:val="0"/>
                <w:numId w:val="112"/>
              </w:numPr>
              <w:tabs>
                <w:tab w:val="left" w:pos="284"/>
              </w:tabs>
              <w:suppressAutoHyphens/>
              <w:spacing w:after="0" w:line="240" w:lineRule="auto"/>
              <w:rPr>
                <w:rFonts w:ascii="Times New Roman" w:hAnsi="Times New Roman"/>
              </w:rPr>
            </w:pPr>
            <w:r w:rsidRPr="00EC2A1C">
              <w:rPr>
                <w:rFonts w:ascii="Times New Roman" w:hAnsi="Times New Roman"/>
              </w:rPr>
              <w:t>prosazovat opravitelnost a recyklovatelnost výrobků</w:t>
            </w:r>
          </w:p>
          <w:p w14:paraId="22D60367" w14:textId="77777777" w:rsidR="00DD3EFA" w:rsidRPr="00EC2A1C" w:rsidRDefault="00DD3EFA" w:rsidP="00391907">
            <w:pPr>
              <w:pStyle w:val="slovanodstavec"/>
              <w:numPr>
                <w:ilvl w:val="0"/>
                <w:numId w:val="112"/>
              </w:numPr>
              <w:tabs>
                <w:tab w:val="left" w:pos="284"/>
              </w:tabs>
              <w:suppressAutoHyphens/>
              <w:spacing w:after="0" w:line="240" w:lineRule="auto"/>
              <w:rPr>
                <w:rFonts w:ascii="Times New Roman" w:hAnsi="Times New Roman"/>
              </w:rPr>
            </w:pPr>
            <w:r w:rsidRPr="00EC2A1C">
              <w:rPr>
                <w:rFonts w:ascii="Times New Roman" w:hAnsi="Times New Roman"/>
              </w:rPr>
              <w:t>omezovat produkci nerecyklovatelných výrobků</w:t>
            </w:r>
          </w:p>
          <w:p w14:paraId="074D424A" w14:textId="77777777" w:rsidR="00DD3EFA" w:rsidRPr="00EC2A1C" w:rsidRDefault="00DD3EFA" w:rsidP="00391907">
            <w:pPr>
              <w:pStyle w:val="slovanodstavec"/>
              <w:numPr>
                <w:ilvl w:val="0"/>
                <w:numId w:val="112"/>
              </w:numPr>
              <w:tabs>
                <w:tab w:val="left" w:pos="284"/>
              </w:tabs>
              <w:suppressAutoHyphens/>
              <w:spacing w:after="0" w:line="240" w:lineRule="auto"/>
              <w:rPr>
                <w:rFonts w:ascii="Times New Roman" w:hAnsi="Times New Roman"/>
              </w:rPr>
            </w:pPr>
            <w:r w:rsidRPr="00EC2A1C">
              <w:rPr>
                <w:rFonts w:ascii="Times New Roman" w:hAnsi="Times New Roman"/>
              </w:rPr>
              <w:t>využívat ekonomické nástroje a snižovat tak produkci odpadů</w:t>
            </w:r>
          </w:p>
          <w:p w14:paraId="39F4C961" w14:textId="77777777" w:rsidR="00DD3EFA" w:rsidRPr="00EC2A1C" w:rsidRDefault="00DD3EFA" w:rsidP="00391907">
            <w:pPr>
              <w:pStyle w:val="slovanodstavec"/>
              <w:numPr>
                <w:ilvl w:val="0"/>
                <w:numId w:val="112"/>
              </w:numPr>
              <w:tabs>
                <w:tab w:val="left" w:pos="284"/>
              </w:tabs>
              <w:suppressAutoHyphens/>
              <w:spacing w:after="0" w:line="240" w:lineRule="auto"/>
              <w:rPr>
                <w:rFonts w:ascii="Times New Roman" w:hAnsi="Times New Roman"/>
              </w:rPr>
            </w:pPr>
            <w:r w:rsidRPr="00EC2A1C">
              <w:rPr>
                <w:rFonts w:ascii="Times New Roman" w:hAnsi="Times New Roman"/>
              </w:rPr>
              <w:t>kontinuálně vzdělávat a informovat o možnostech předcházení vzniku odpadů.</w:t>
            </w:r>
          </w:p>
          <w:p w14:paraId="7EDE666D" w14:textId="77777777" w:rsidR="00DD3EFA" w:rsidRPr="00EC2A1C" w:rsidRDefault="00DD3EFA" w:rsidP="00B15ECB">
            <w:pPr>
              <w:pStyle w:val="slovanodstavec"/>
              <w:tabs>
                <w:tab w:val="left" w:pos="284"/>
              </w:tabs>
              <w:suppressAutoHyphens/>
              <w:spacing w:after="0" w:line="240" w:lineRule="auto"/>
              <w:rPr>
                <w:rFonts w:ascii="Times New Roman" w:hAnsi="Times New Roman"/>
              </w:rPr>
            </w:pPr>
          </w:p>
          <w:p w14:paraId="350C5BC9" w14:textId="77777777" w:rsidR="00DD3EFA" w:rsidRPr="00EC2A1C" w:rsidRDefault="00DD3EFA"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 xml:space="preserve">V oblasti nakládání s odpady je nutné důsledně uplatňovat hierarchii nakládání s odpady v pořadí: </w:t>
            </w:r>
          </w:p>
          <w:p w14:paraId="3629EEFC" w14:textId="77777777" w:rsidR="00DD3EFA" w:rsidRPr="00EC2A1C" w:rsidRDefault="00DD3EFA" w:rsidP="00391907">
            <w:pPr>
              <w:pStyle w:val="slovanodstavec"/>
              <w:numPr>
                <w:ilvl w:val="0"/>
                <w:numId w:val="127"/>
              </w:numPr>
              <w:tabs>
                <w:tab w:val="left" w:pos="284"/>
              </w:tabs>
              <w:suppressAutoHyphens/>
              <w:spacing w:after="0" w:line="240" w:lineRule="auto"/>
              <w:rPr>
                <w:rFonts w:ascii="Times New Roman" w:hAnsi="Times New Roman"/>
              </w:rPr>
            </w:pPr>
            <w:r w:rsidRPr="00EC2A1C">
              <w:rPr>
                <w:rFonts w:ascii="Times New Roman" w:hAnsi="Times New Roman"/>
              </w:rPr>
              <w:t xml:space="preserve">předcházení vzniku, </w:t>
            </w:r>
          </w:p>
          <w:p w14:paraId="01C1FF89" w14:textId="77777777" w:rsidR="00DD3EFA" w:rsidRPr="00EC2A1C" w:rsidRDefault="00DD3EFA" w:rsidP="00391907">
            <w:pPr>
              <w:pStyle w:val="slovanodstavec"/>
              <w:numPr>
                <w:ilvl w:val="0"/>
                <w:numId w:val="127"/>
              </w:numPr>
              <w:tabs>
                <w:tab w:val="left" w:pos="284"/>
              </w:tabs>
              <w:suppressAutoHyphens/>
              <w:spacing w:after="0" w:line="240" w:lineRule="auto"/>
              <w:rPr>
                <w:rFonts w:ascii="Times New Roman" w:hAnsi="Times New Roman"/>
              </w:rPr>
            </w:pPr>
            <w:r w:rsidRPr="00EC2A1C">
              <w:rPr>
                <w:rFonts w:ascii="Times New Roman" w:hAnsi="Times New Roman"/>
              </w:rPr>
              <w:t xml:space="preserve">příprava k opětovnému použití, </w:t>
            </w:r>
          </w:p>
          <w:p w14:paraId="0A74D0E9" w14:textId="77777777" w:rsidR="00DD3EFA" w:rsidRPr="00EC2A1C" w:rsidRDefault="00DD3EFA" w:rsidP="00391907">
            <w:pPr>
              <w:pStyle w:val="slovanodstavec"/>
              <w:numPr>
                <w:ilvl w:val="0"/>
                <w:numId w:val="127"/>
              </w:numPr>
              <w:tabs>
                <w:tab w:val="left" w:pos="284"/>
              </w:tabs>
              <w:suppressAutoHyphens/>
              <w:spacing w:after="0" w:line="240" w:lineRule="auto"/>
              <w:rPr>
                <w:rFonts w:ascii="Times New Roman" w:hAnsi="Times New Roman"/>
              </w:rPr>
            </w:pPr>
            <w:r w:rsidRPr="00EC2A1C">
              <w:rPr>
                <w:rFonts w:ascii="Times New Roman" w:hAnsi="Times New Roman"/>
              </w:rPr>
              <w:t xml:space="preserve">recyklace, </w:t>
            </w:r>
          </w:p>
          <w:p w14:paraId="3E7F3F95" w14:textId="77777777" w:rsidR="00DD3EFA" w:rsidRPr="00EC2A1C" w:rsidRDefault="00DD3EFA" w:rsidP="00391907">
            <w:pPr>
              <w:pStyle w:val="slovanodstavec"/>
              <w:numPr>
                <w:ilvl w:val="0"/>
                <w:numId w:val="127"/>
              </w:numPr>
              <w:tabs>
                <w:tab w:val="left" w:pos="284"/>
              </w:tabs>
              <w:suppressAutoHyphens/>
              <w:spacing w:after="0" w:line="240" w:lineRule="auto"/>
              <w:rPr>
                <w:rFonts w:ascii="Times New Roman" w:hAnsi="Times New Roman"/>
              </w:rPr>
            </w:pPr>
            <w:r w:rsidRPr="00EC2A1C">
              <w:rPr>
                <w:rFonts w:ascii="Times New Roman" w:hAnsi="Times New Roman"/>
              </w:rPr>
              <w:t xml:space="preserve">jiné využití (například energetické využití či jiné hospodářské využití – např. v zemědělství, stavebnictví) </w:t>
            </w:r>
          </w:p>
          <w:p w14:paraId="32B705CC" w14:textId="77777777" w:rsidR="00DD3EFA" w:rsidRPr="00EC2A1C" w:rsidRDefault="00DD3EFA" w:rsidP="00391907">
            <w:pPr>
              <w:pStyle w:val="slovanodstavec"/>
              <w:numPr>
                <w:ilvl w:val="0"/>
                <w:numId w:val="126"/>
              </w:numPr>
              <w:tabs>
                <w:tab w:val="left" w:pos="284"/>
              </w:tabs>
              <w:suppressAutoHyphens/>
              <w:spacing w:after="0" w:line="240" w:lineRule="auto"/>
              <w:rPr>
                <w:rFonts w:ascii="Times New Roman" w:hAnsi="Times New Roman"/>
              </w:rPr>
            </w:pPr>
            <w:r w:rsidRPr="00EC2A1C">
              <w:rPr>
                <w:rFonts w:ascii="Times New Roman" w:hAnsi="Times New Roman"/>
              </w:rPr>
              <w:t>bezpečné odstranění, a to při dodržení požadavků na ochranu životního prostředí podle příslušné legislativy.</w:t>
            </w:r>
          </w:p>
          <w:p w14:paraId="32662306" w14:textId="77777777" w:rsidR="00DD3EFA" w:rsidRPr="00EC2A1C" w:rsidRDefault="00DD3EFA" w:rsidP="00B15ECB">
            <w:pPr>
              <w:autoSpaceDE w:val="0"/>
              <w:autoSpaceDN w:val="0"/>
              <w:adjustRightInd w:val="0"/>
            </w:pPr>
            <w:r w:rsidRPr="00EC2A1C">
              <w:t xml:space="preserve">Postupně bude docházet k minimalizaci skládkování nebo spalování recyklovatelných materiálů, a rovněž bude významně omezováno skládkování všech druhů odpadů. </w:t>
            </w:r>
          </w:p>
          <w:p w14:paraId="135A74B3" w14:textId="77777777" w:rsidR="00DD3EFA" w:rsidRPr="00EC2A1C" w:rsidRDefault="00DD3EFA" w:rsidP="00B15ECB">
            <w:pPr>
              <w:pStyle w:val="slovanodstavec"/>
              <w:tabs>
                <w:tab w:val="left" w:pos="284"/>
              </w:tabs>
              <w:suppressAutoHyphens/>
              <w:spacing w:line="240" w:lineRule="auto"/>
              <w:rPr>
                <w:rFonts w:ascii="Times New Roman" w:eastAsiaTheme="minorHAnsi" w:hAnsi="Times New Roman"/>
                <w:noProof/>
              </w:rPr>
            </w:pPr>
            <w:r w:rsidRPr="00EC2A1C">
              <w:rPr>
                <w:rFonts w:ascii="Times New Roman" w:eastAsiaTheme="minorHAnsi" w:hAnsi="Times New Roman"/>
                <w:noProof/>
              </w:rPr>
              <w:t>Při uplatňování hierarchie nakládání s odpady je nutné zohlednit zásadu udržitelnosti včetně technické proveditelnosti a hospodářské udržitelnosti.</w:t>
            </w:r>
          </w:p>
          <w:p w14:paraId="103BB080" w14:textId="77777777" w:rsidR="00DD3EFA" w:rsidRPr="00EC2A1C" w:rsidRDefault="00DD3EFA" w:rsidP="00B15ECB">
            <w:r w:rsidRPr="00EC2A1C">
              <w:rPr>
                <w:rFonts w:eastAsia="Calibri"/>
              </w:rPr>
              <w:t>Potřeby a problémy v oblasti druhotných surovin jsou uvedeny v dokumentu „</w:t>
            </w:r>
            <w:r w:rsidRPr="00EC2A1C">
              <w:t xml:space="preserve">Analýza současného stavu vybraných komodit druhotných surovin a jejich zdrojů včetně vize rozvoje daného odvětví“, který byl podkladovým dokumentem pro zpracování aktualizace </w:t>
            </w:r>
            <w:r w:rsidRPr="00EC2A1C">
              <w:rPr>
                <w:rFonts w:eastAsia="Calibri"/>
              </w:rPr>
              <w:t xml:space="preserve">Politiky druhotných surovin ČR pro období 2019 – 2022. </w:t>
            </w:r>
            <w:r w:rsidRPr="00EC2A1C">
              <w:t>Hlavní vize dokumentu „Udržitelné využívání zdrojů základem pro oběhové hospodářství“, představuje základní poslání tohoto strategického dokumentu.  Základní problémy a potřeby, na které je potřeba  se zaměřit jsou:</w:t>
            </w:r>
          </w:p>
          <w:p w14:paraId="5CEEDE30" w14:textId="77777777" w:rsidR="00DD3EFA" w:rsidRPr="00EC2A1C" w:rsidRDefault="00DD3EFA" w:rsidP="00B15ECB">
            <w:r w:rsidRPr="00EC2A1C">
              <w:t xml:space="preserve">- zajišťovat vysokou kvalitu získaných druhotných surovin pro jejich využití jako náhrady primárních zdrojů </w:t>
            </w:r>
          </w:p>
          <w:p w14:paraId="52CEC069" w14:textId="77777777" w:rsidR="00DD3EFA" w:rsidRPr="00EC2A1C" w:rsidRDefault="00DD3EFA" w:rsidP="00B15ECB">
            <w:r w:rsidRPr="00EC2A1C">
              <w:t>-podporovat výzkum, vývoj a komerční uplatnění inovativních technologií pro recyklaci s cílem získávání druhotných surovin s vyšší přidanou hodnotou</w:t>
            </w:r>
          </w:p>
          <w:p w14:paraId="60B86857" w14:textId="77777777" w:rsidR="00DD3EFA" w:rsidRPr="00EC2A1C" w:rsidRDefault="00DD3EFA" w:rsidP="00B15ECB">
            <w:r w:rsidRPr="00EC2A1C">
              <w:t>- podporovat trh s druhotnými surovinami i výrobky s obsahem druhotných surovin</w:t>
            </w:r>
          </w:p>
          <w:p w14:paraId="1D87B689" w14:textId="77777777" w:rsidR="00DD3EFA" w:rsidRPr="00EC2A1C" w:rsidRDefault="00DD3EFA" w:rsidP="00B15ECB">
            <w:r w:rsidRPr="00EC2A1C">
              <w:t>- zajišťovat zpracování standardů pro vedlejší produkty a odpady, které přestaly být odpadem s cílem jejich vyššího a bezpečného využití</w:t>
            </w:r>
          </w:p>
          <w:p w14:paraId="7A7272F1" w14:textId="77777777" w:rsidR="00DD3EFA" w:rsidRPr="00EC2A1C" w:rsidRDefault="00DD3EFA" w:rsidP="00B15ECB">
            <w:r w:rsidRPr="00EC2A1C">
              <w:t>- podporovat osvětu a vzdělávání v oblasti oběhového hospodářství.</w:t>
            </w:r>
          </w:p>
          <w:p w14:paraId="13B08B34" w14:textId="77777777" w:rsidR="00DD3EFA" w:rsidRPr="00EC2A1C" w:rsidRDefault="00DD3EFA" w:rsidP="00B15ECB"/>
          <w:p w14:paraId="76D902E8" w14:textId="77777777" w:rsidR="00DD3EFA" w:rsidRPr="00EC2A1C" w:rsidRDefault="00DD3EFA" w:rsidP="00B15ECB"/>
          <w:p w14:paraId="7E51873F" w14:textId="77777777" w:rsidR="00DD3EFA" w:rsidRPr="00EC2A1C" w:rsidRDefault="00DD3EFA" w:rsidP="00B15ECB">
            <w:pPr>
              <w:pStyle w:val="slovanodstavec"/>
              <w:rPr>
                <w:rFonts w:ascii="Times New Roman" w:hAnsi="Times New Roman"/>
              </w:rPr>
            </w:pPr>
            <w:r w:rsidRPr="00EC2A1C">
              <w:rPr>
                <w:rFonts w:ascii="Times New Roman" w:hAnsi="Times New Roman"/>
              </w:rPr>
              <w:t xml:space="preserve">Analýzy potřeb a problémů, s ohledem na nově schválený Oběhový balíček, budou rovněž součástí připravovaného dokumentu </w:t>
            </w:r>
            <w:r w:rsidRPr="00EC2A1C">
              <w:rPr>
                <w:rFonts w:ascii="Times New Roman" w:hAnsi="Times New Roman"/>
                <w:b/>
              </w:rPr>
              <w:t>Cirkulární Česko 2040.</w:t>
            </w:r>
          </w:p>
        </w:tc>
      </w:tr>
      <w:tr w:rsidR="00DD3EFA" w:rsidRPr="00EC2A1C" w14:paraId="45893153"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5EE4CD84"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0AAD1B9F" w14:textId="77777777" w:rsidR="00DD3EFA" w:rsidRPr="002D2123" w:rsidRDefault="00DD3EFA" w:rsidP="00391907">
            <w:pPr>
              <w:pStyle w:val="Odstavecseseznamem"/>
              <w:numPr>
                <w:ilvl w:val="0"/>
                <w:numId w:val="3"/>
              </w:numPr>
              <w:spacing w:before="60" w:after="60"/>
              <w:rPr>
                <w:rFonts w:eastAsiaTheme="majorEastAsia"/>
                <w:b/>
              </w:rPr>
            </w:pPr>
            <w:r w:rsidRPr="002D2123">
              <w:rPr>
                <w:rFonts w:eastAsiaTheme="majorEastAsia"/>
                <w:b/>
              </w:rPr>
              <w:t>jasně definované cíle a opatření</w:t>
            </w:r>
          </w:p>
          <w:p w14:paraId="2E094DFF" w14:textId="77777777" w:rsidR="00DD3EFA" w:rsidRPr="002D2123" w:rsidRDefault="00DD3EFA" w:rsidP="00B15ECB">
            <w:pPr>
              <w:spacing w:before="60" w:after="60"/>
              <w:rPr>
                <w:rFonts w:eastAsiaTheme="majorEastAsia"/>
                <w:b/>
                <w:highlight w:val="yellow"/>
              </w:rPr>
            </w:pP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602020F"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Analýza odpadového hospodářství v České republice je zpracována v rámci Plánu odpadového hospodářství (POH) ČR 2015 -2024, který plně vychází z požadavků rámcové směrnice o odpadech. POH ČR formuluje čtyři strategické cíle:</w:t>
            </w:r>
          </w:p>
          <w:p w14:paraId="0615CBCD" w14:textId="77777777" w:rsidR="00DD3EFA" w:rsidRPr="00EC2A1C" w:rsidRDefault="00DD3EFA" w:rsidP="00391907">
            <w:pPr>
              <w:pStyle w:val="slovanodstavec"/>
              <w:numPr>
                <w:ilvl w:val="0"/>
                <w:numId w:val="124"/>
              </w:numPr>
              <w:tabs>
                <w:tab w:val="left" w:pos="284"/>
              </w:tabs>
              <w:suppressAutoHyphens/>
              <w:rPr>
                <w:rFonts w:ascii="Times New Roman" w:hAnsi="Times New Roman"/>
              </w:rPr>
            </w:pPr>
            <w:r w:rsidRPr="00EC2A1C">
              <w:rPr>
                <w:rFonts w:ascii="Times New Roman" w:hAnsi="Times New Roman"/>
              </w:rPr>
              <w:t>Předcházení vzniku odpadů a snižování měrné produkce odpadů</w:t>
            </w:r>
          </w:p>
          <w:p w14:paraId="0D381C7E" w14:textId="77777777" w:rsidR="00DD3EFA" w:rsidRPr="00EC2A1C" w:rsidRDefault="00DD3EFA" w:rsidP="00391907">
            <w:pPr>
              <w:pStyle w:val="slovanodstavec"/>
              <w:numPr>
                <w:ilvl w:val="0"/>
                <w:numId w:val="124"/>
              </w:numPr>
              <w:tabs>
                <w:tab w:val="left" w:pos="284"/>
              </w:tabs>
              <w:suppressAutoHyphens/>
              <w:rPr>
                <w:rFonts w:ascii="Times New Roman" w:hAnsi="Times New Roman"/>
              </w:rPr>
            </w:pPr>
            <w:r w:rsidRPr="00EC2A1C">
              <w:rPr>
                <w:rFonts w:ascii="Times New Roman" w:hAnsi="Times New Roman"/>
              </w:rPr>
              <w:t xml:space="preserve"> Minimalizace nepříznivých účinků vzniku odpadů a nakládání s nimi na lidské zdraví a životní prostředí</w:t>
            </w:r>
          </w:p>
          <w:p w14:paraId="3CA9B6E9" w14:textId="77777777" w:rsidR="00DD3EFA" w:rsidRPr="00EC2A1C" w:rsidRDefault="00DD3EFA" w:rsidP="00391907">
            <w:pPr>
              <w:pStyle w:val="slovanodstavec"/>
              <w:numPr>
                <w:ilvl w:val="0"/>
                <w:numId w:val="124"/>
              </w:numPr>
              <w:tabs>
                <w:tab w:val="left" w:pos="284"/>
              </w:tabs>
              <w:suppressAutoHyphens/>
              <w:rPr>
                <w:rFonts w:ascii="Times New Roman" w:hAnsi="Times New Roman"/>
              </w:rPr>
            </w:pPr>
            <w:r w:rsidRPr="00EC2A1C">
              <w:rPr>
                <w:rFonts w:ascii="Times New Roman" w:hAnsi="Times New Roman"/>
              </w:rPr>
              <w:t xml:space="preserve"> Udržitelný rozvoj společnosti a přiblížení se k evropské „recyklační společnosti“</w:t>
            </w:r>
          </w:p>
          <w:p w14:paraId="55DAD7C5" w14:textId="77777777" w:rsidR="00DD3EFA" w:rsidRPr="00EC2A1C" w:rsidRDefault="00DD3EFA" w:rsidP="00391907">
            <w:pPr>
              <w:pStyle w:val="slovanodstavec"/>
              <w:numPr>
                <w:ilvl w:val="0"/>
                <w:numId w:val="124"/>
              </w:numPr>
              <w:tabs>
                <w:tab w:val="left" w:pos="284"/>
              </w:tabs>
              <w:suppressAutoHyphens/>
              <w:rPr>
                <w:rFonts w:ascii="Times New Roman" w:hAnsi="Times New Roman"/>
              </w:rPr>
            </w:pPr>
            <w:r w:rsidRPr="00EC2A1C">
              <w:rPr>
                <w:rFonts w:ascii="Times New Roman" w:hAnsi="Times New Roman"/>
              </w:rPr>
              <w:t>Maximální využívání odpadů jako náhrady primárních zdrojů a přechod na oběhové hospodářství.</w:t>
            </w:r>
          </w:p>
          <w:p w14:paraId="47947336"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Stanovené cíle a priority jsou dle průběžné Hodnotící zprávy o plnění cílů POH prozatím plněny.</w:t>
            </w:r>
          </w:p>
          <w:p w14:paraId="2514C5DF" w14:textId="77777777" w:rsidR="00DD3EFA" w:rsidRPr="00EC2A1C" w:rsidRDefault="00DD3EFA" w:rsidP="00B15ECB">
            <w:r w:rsidRPr="00EC2A1C">
              <w:t>Politika druhotných surovin ČR pro období 2019 – 2022 (Politika), stanovuje 5 hlavních strategických cílů a 19 konkrétních úkolů pro jejich naplnění.</w:t>
            </w:r>
          </w:p>
          <w:p w14:paraId="28F7BB07" w14:textId="77777777" w:rsidR="00DD3EFA" w:rsidRPr="00EC2A1C" w:rsidRDefault="00DD3EFA" w:rsidP="00B15ECB"/>
          <w:p w14:paraId="42CECC2A" w14:textId="77777777" w:rsidR="00DD3EFA" w:rsidRPr="00EC2A1C" w:rsidRDefault="00DD3EFA" w:rsidP="00B15ECB">
            <w:r w:rsidRPr="00EC2A1C">
              <w:t>Strategické cíle Politiky:</w:t>
            </w:r>
          </w:p>
          <w:p w14:paraId="127B522F" w14:textId="77777777" w:rsidR="00DD3EFA" w:rsidRPr="00EC2A1C" w:rsidRDefault="00DD3EFA" w:rsidP="00B15ECB"/>
          <w:p w14:paraId="200C9045" w14:textId="77777777" w:rsidR="00DD3EFA" w:rsidRPr="00EC2A1C" w:rsidRDefault="00DD3EFA" w:rsidP="00B15ECB">
            <w:r w:rsidRPr="00EC2A1C">
              <w:t>I. Zvyšovat soběstačnost České republiky v surovinových zdrojích nahrazováním primárních zdrojů druhotnými surovinami.</w:t>
            </w:r>
          </w:p>
          <w:p w14:paraId="1D076D94" w14:textId="77777777" w:rsidR="00DD3EFA" w:rsidRPr="00EC2A1C" w:rsidRDefault="00DD3EFA" w:rsidP="00B15ECB"/>
          <w:p w14:paraId="41037752" w14:textId="77777777" w:rsidR="00DD3EFA" w:rsidRPr="00EC2A1C" w:rsidRDefault="00DD3EFA" w:rsidP="00B15ECB">
            <w:r w:rsidRPr="00EC2A1C">
              <w:t>II. Podporovat inovace a rozvoj oběhového hospodářství  v rámci podnikání.</w:t>
            </w:r>
          </w:p>
          <w:p w14:paraId="3D05533D" w14:textId="77777777" w:rsidR="00DD3EFA" w:rsidRPr="00EC2A1C" w:rsidRDefault="00DD3EFA" w:rsidP="00B15ECB"/>
          <w:p w14:paraId="10572BD2" w14:textId="77777777" w:rsidR="00DD3EFA" w:rsidRPr="00EC2A1C" w:rsidRDefault="00DD3EFA" w:rsidP="00B15ECB">
            <w:r w:rsidRPr="00EC2A1C">
              <w:t>III. Podporovat využívání druhotných surovin jako nástroje pro snižování materiálové i energetické náročnosti průmyslové výroby.</w:t>
            </w:r>
          </w:p>
          <w:p w14:paraId="7B38D6E6" w14:textId="77777777" w:rsidR="00DD3EFA" w:rsidRPr="00EC2A1C" w:rsidRDefault="00DD3EFA" w:rsidP="00B15ECB"/>
          <w:p w14:paraId="4E993DEC" w14:textId="77777777" w:rsidR="00DD3EFA" w:rsidRPr="00EC2A1C" w:rsidRDefault="00DD3EFA" w:rsidP="00B15ECB">
            <w:r w:rsidRPr="00EC2A1C">
              <w:t>IV. Intenzivně podporovat osvětu a vzdělávání v oblasti oběhového hospodářství.</w:t>
            </w:r>
          </w:p>
          <w:p w14:paraId="67E9770D" w14:textId="77777777" w:rsidR="00DD3EFA" w:rsidRPr="00EC2A1C" w:rsidRDefault="00DD3EFA" w:rsidP="00B15ECB"/>
          <w:p w14:paraId="02891248" w14:textId="2EF7322F" w:rsidR="00DD3EFA" w:rsidRPr="00EC2A1C" w:rsidRDefault="00DD3EFA" w:rsidP="00B15ECB">
            <w:r w:rsidRPr="00EC2A1C">
              <w:t>V. Aktualizovat statistická zjišťování v oblasti druhotných surovin</w:t>
            </w:r>
            <w:r w:rsidR="00747AAD" w:rsidRPr="00EC2A1C">
              <w:t xml:space="preserve"> k monitoringu a vyhodnocování </w:t>
            </w:r>
            <w:r w:rsidRPr="00EC2A1C">
              <w:t xml:space="preserve">oběhového hospodářství.  </w:t>
            </w:r>
          </w:p>
          <w:p w14:paraId="5F8EFE7D" w14:textId="77777777" w:rsidR="00DD3EFA" w:rsidRPr="00EC2A1C" w:rsidRDefault="00DD3EFA" w:rsidP="00B15ECB"/>
          <w:p w14:paraId="0BC5F34F" w14:textId="6CDB51BB" w:rsidR="00DD3EFA" w:rsidRPr="00EC2A1C" w:rsidRDefault="00747AAD" w:rsidP="00B15ECB">
            <w:r w:rsidRPr="00EC2A1C">
              <w:t xml:space="preserve">Konkrétní úkoly pro </w:t>
            </w:r>
            <w:r w:rsidR="00DD3EFA" w:rsidRPr="00EC2A1C">
              <w:t xml:space="preserve">plnění uvedených strategických cílů v období 2019 – 2022 jsou k dispozici na webu MPO: https://www.mpo.cz/cz/prumysl/politika-druhotnych-surovin-cr/ </w:t>
            </w:r>
          </w:p>
          <w:p w14:paraId="4413C569" w14:textId="77777777" w:rsidR="00DD3EFA" w:rsidRPr="00EC2A1C" w:rsidRDefault="00DD3EFA" w:rsidP="00B15ECB">
            <w:pPr>
              <w:pStyle w:val="slovanodstavec"/>
              <w:tabs>
                <w:tab w:val="left" w:pos="284"/>
              </w:tabs>
              <w:suppressAutoHyphens/>
              <w:spacing w:line="240" w:lineRule="auto"/>
              <w:rPr>
                <w:rFonts w:ascii="Times New Roman" w:hAnsi="Times New Roman"/>
              </w:rPr>
            </w:pPr>
          </w:p>
        </w:tc>
      </w:tr>
      <w:tr w:rsidR="00DD3EFA" w:rsidRPr="00EC2A1C" w14:paraId="59D2A138"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3B36115F"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244549A6" w14:textId="77777777" w:rsidR="00DD3EFA" w:rsidRPr="002D2123" w:rsidRDefault="00DD3EFA" w:rsidP="00391907">
            <w:pPr>
              <w:pStyle w:val="Odstavecseseznamem"/>
              <w:numPr>
                <w:ilvl w:val="0"/>
                <w:numId w:val="3"/>
              </w:numPr>
              <w:spacing w:before="60" w:after="60"/>
              <w:rPr>
                <w:rFonts w:eastAsiaTheme="majorEastAsia"/>
                <w:b/>
              </w:rPr>
            </w:pPr>
            <w:r w:rsidRPr="002D2123">
              <w:rPr>
                <w:rFonts w:eastAsiaTheme="majorEastAsia"/>
                <w:b/>
              </w:rPr>
              <w:t>implementační mechanismus</w:t>
            </w:r>
          </w:p>
          <w:p w14:paraId="11271A82" w14:textId="77777777" w:rsidR="00DD3EFA" w:rsidRPr="002D2123" w:rsidRDefault="00DD3EFA" w:rsidP="00B15ECB">
            <w:pPr>
              <w:spacing w:before="60" w:after="60"/>
              <w:rPr>
                <w:rFonts w:eastAsiaTheme="majorEastAsia"/>
                <w:b/>
                <w:highlight w:val="yellow"/>
              </w:rPr>
            </w:pP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9F5B"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Implementace je součástí POH ČR 2015-2024 a Programu předcházení vzniku odpadů. V průběhu nového programového období 2021 – 2027 se předpokládá přijetí nového POH ČR, který bude zohledňovat změny legislativy v oblasti odpadového a oběhového hospodářství, které byly v roce 2018 přijaty.</w:t>
            </w:r>
          </w:p>
          <w:p w14:paraId="785E2D63"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Institucionální zabezpečení odpadového hospodářství je zajištěno na úrovni státní správy i samosprávy. Kompetence jednotlivých institucí ve velké míře vymezuje zákon o odpadech.</w:t>
            </w:r>
          </w:p>
          <w:p w14:paraId="50002C2B"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 Implementace je zajištěna i na úrovni samosprávy zakotvením povinností POH v zákoně o odpadech. Plány krajů musí závazně vycházet a respektovat Plán odpadového hospodářství České republiky. Veřejná správa na úrovni obcí v odpadovém hospodářství je dána povinnostmi </w:t>
            </w:r>
            <w:r w:rsidRPr="00EC2A1C">
              <w:rPr>
                <w:rFonts w:ascii="Times New Roman" w:hAnsi="Times New Roman"/>
                <w:i/>
              </w:rPr>
              <w:t>obcí</w:t>
            </w:r>
            <w:r w:rsidRPr="00EC2A1C">
              <w:rPr>
                <w:rFonts w:ascii="Times New Roman" w:hAnsi="Times New Roman"/>
              </w:rPr>
              <w:t xml:space="preserve"> dle platného zákona o odpadech.</w:t>
            </w:r>
          </w:p>
          <w:p w14:paraId="31AB5B8B"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V případě druhotných surovin je hlavním řídícím prvkem Pracovní skupina pro druhotné suroviny ustavená při Radě vlády pro energetickou a surovinovou strategii ČR (PS). Vedení této PS a zajištění sekretariátu a činnosti je v gesci odboru průmyslové ekologie na MPO. Členy PS jsou zástupci rezortů, průmyslových svazů, asociací, sdružení, akademické obce, neziskových organizací.</w:t>
            </w:r>
          </w:p>
          <w:p w14:paraId="15E3A8E2"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PS se podílí na přípravě, aktualizaci a implementaci Politiky druhotných surovin ČR. </w:t>
            </w:r>
          </w:p>
        </w:tc>
      </w:tr>
      <w:tr w:rsidR="00DD3EFA" w:rsidRPr="00EC2A1C" w14:paraId="49FF29CA"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007FC740"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0B96ED" w14:textId="77777777" w:rsidR="00DD3EFA" w:rsidRPr="002D2123" w:rsidRDefault="00DD3EFA" w:rsidP="00391907">
            <w:pPr>
              <w:pStyle w:val="Odstavecseseznamem"/>
              <w:numPr>
                <w:ilvl w:val="0"/>
                <w:numId w:val="5"/>
              </w:numPr>
              <w:spacing w:before="60" w:after="60"/>
              <w:rPr>
                <w:rFonts w:eastAsiaTheme="majorEastAsia"/>
                <w:b/>
              </w:rPr>
            </w:pPr>
            <w:r w:rsidRPr="002D2123">
              <w:rPr>
                <w:rFonts w:eastAsiaTheme="majorEastAsia"/>
                <w:b/>
              </w:rPr>
              <w:t>monitoring a evaluace</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4A9D02C"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Plán odpadového hospodářství České republiky je nástrojem pro řízení odpadového hospodářství ČR a představuje klíčový dokument pro realizaci dlouhodobé strategie nakládání s odpady.</w:t>
            </w:r>
            <w:r w:rsidRPr="00EC2A1C">
              <w:rPr>
                <w:rFonts w:ascii="Times New Roman" w:hAnsi="Times New Roman"/>
              </w:rPr>
              <w:br/>
              <w:t>MŽP pravidelně vyhodnocuje stav odpadového hospodářství a tedy účinnost POH ČR včetně Programu předcházení vzniku odpadů ČR prostřednictvím zvolené soustavy indikátorů.</w:t>
            </w:r>
          </w:p>
          <w:p w14:paraId="31A417A1"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MŽP hodnotící nástroje používané v odpadovém hospodářství dle potřeby upravuje a stanovuje postup jejich aplikace pro odpadové hospodářství České republiky.</w:t>
            </w:r>
          </w:p>
          <w:p w14:paraId="7F2B47D6"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Strategický dokument Politika druhotných surovin ČR 2019-2022 představuje rámec pro efektivní využívání druhotných surovin.</w:t>
            </w:r>
            <w:r w:rsidRPr="00EC2A1C" w:rsidDel="00697331">
              <w:rPr>
                <w:rFonts w:ascii="Times New Roman" w:hAnsi="Times New Roman"/>
              </w:rPr>
              <w:t xml:space="preserve"> </w:t>
            </w:r>
            <w:r w:rsidRPr="00EC2A1C">
              <w:rPr>
                <w:rFonts w:ascii="Times New Roman" w:hAnsi="Times New Roman"/>
              </w:rPr>
              <w:t xml:space="preserve">Monitoring se zaměřuje na plnění schváleného harmonogramu, kterým jsou v Politice stanoveny termíny pro jednotlivé úkoly.  </w:t>
            </w:r>
          </w:p>
          <w:p w14:paraId="3A6FE078"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V závěru roku je podávána souhrnná zpráva o stavu rozpracovanosti a plnění stanovených úkolů vedení MPO a Radě vlády pro energetickou a surovinovou strategii ČR po předběžném projednání a schválení Pracovní skupinou pro druhotné suroviny.</w:t>
            </w:r>
          </w:p>
          <w:p w14:paraId="71031BA8"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Celkové vyhodnocení plnění stanovených úkolů včetně aktualizace dokumentu Politika druhotných surovin ČR bude předloženo vládě ke schválení v roce 2022. Předmětem aktualizace bude stanovení nových úkolů pro další 4 leté období, jejichž zaměření bude vycházet opět z provedené analýzy sledovaných významných oblastí hospodářství ČR. </w:t>
            </w:r>
          </w:p>
          <w:p w14:paraId="1F48E17D" w14:textId="77777777" w:rsidR="00DD3EFA" w:rsidRPr="00EC2A1C" w:rsidRDefault="00DD3EFA" w:rsidP="00B15ECB">
            <w:pPr>
              <w:pStyle w:val="slovanodstavec"/>
              <w:tabs>
                <w:tab w:val="left" w:pos="284"/>
              </w:tabs>
              <w:suppressAutoHyphens/>
              <w:spacing w:line="240" w:lineRule="auto"/>
              <w:rPr>
                <w:rFonts w:ascii="Times New Roman" w:hAnsi="Times New Roman"/>
              </w:rPr>
            </w:pPr>
          </w:p>
        </w:tc>
      </w:tr>
      <w:tr w:rsidR="00DD3EFA" w:rsidRPr="00EC2A1C" w14:paraId="3097E9B1" w14:textId="77777777" w:rsidTr="00B15ECB">
        <w:trPr>
          <w:trHeight w:val="130"/>
        </w:trPr>
        <w:tc>
          <w:tcPr>
            <w:tcW w:w="249" w:type="dxa"/>
            <w:tcBorders>
              <w:top w:val="nil"/>
              <w:left w:val="single" w:sz="4" w:space="0" w:color="auto"/>
              <w:bottom w:val="nil"/>
              <w:right w:val="nil"/>
            </w:tcBorders>
            <w:shd w:val="clear" w:color="auto" w:fill="66CCFF"/>
          </w:tcPr>
          <w:p w14:paraId="5CF2F8C2"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703E042A" w14:textId="77777777" w:rsidR="00DD3EFA" w:rsidRPr="002D2123" w:rsidRDefault="00DD3EFA" w:rsidP="00B15ECB">
            <w:pPr>
              <w:rPr>
                <w:b/>
                <w:sz w:val="10"/>
                <w:szCs w:val="10"/>
              </w:rPr>
            </w:pPr>
          </w:p>
        </w:tc>
        <w:tc>
          <w:tcPr>
            <w:tcW w:w="5567" w:type="dxa"/>
            <w:tcBorders>
              <w:top w:val="single" w:sz="4" w:space="0" w:color="auto"/>
              <w:left w:val="nil"/>
              <w:bottom w:val="single" w:sz="4" w:space="0" w:color="auto"/>
              <w:right w:val="nil"/>
            </w:tcBorders>
            <w:shd w:val="clear" w:color="auto" w:fill="66CCFF"/>
          </w:tcPr>
          <w:p w14:paraId="1632A95C" w14:textId="77777777" w:rsidR="00DD3EFA" w:rsidRPr="00EC2A1C" w:rsidRDefault="00DD3EFA" w:rsidP="00B15ECB">
            <w:pPr>
              <w:pStyle w:val="slovanodstavec"/>
              <w:tabs>
                <w:tab w:val="left" w:pos="284"/>
              </w:tabs>
              <w:suppressAutoHyphens/>
              <w:spacing w:line="240" w:lineRule="auto"/>
              <w:rPr>
                <w:rFonts w:ascii="Times New Roman" w:eastAsiaTheme="minorHAnsi" w:hAnsi="Times New Roman"/>
                <w:b/>
                <w:noProof/>
              </w:rPr>
            </w:pPr>
          </w:p>
        </w:tc>
      </w:tr>
      <w:tr w:rsidR="00DD3EFA" w:rsidRPr="00EC2A1C" w14:paraId="3DBC2D34" w14:textId="77777777" w:rsidTr="00B15ECB">
        <w:trPr>
          <w:trHeight w:val="1258"/>
        </w:trPr>
        <w:tc>
          <w:tcPr>
            <w:tcW w:w="249" w:type="dxa"/>
            <w:tcBorders>
              <w:top w:val="nil"/>
              <w:left w:val="single" w:sz="4" w:space="0" w:color="auto"/>
              <w:bottom w:val="nil"/>
              <w:right w:val="nil"/>
            </w:tcBorders>
            <w:shd w:val="clear" w:color="auto" w:fill="66CCFF"/>
          </w:tcPr>
          <w:p w14:paraId="4EECF8C7" w14:textId="77777777" w:rsidR="00DD3EFA" w:rsidRPr="002D2123" w:rsidRDefault="00DD3EFA" w:rsidP="00B15ECB">
            <w:pPr>
              <w:rPr>
                <w:b/>
                <w:sz w:val="10"/>
                <w:szCs w:val="10"/>
              </w:rPr>
            </w:pPr>
          </w:p>
        </w:tc>
        <w:tc>
          <w:tcPr>
            <w:tcW w:w="81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10BD16"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4132EA2E" w14:textId="77777777" w:rsidR="00DD3EFA" w:rsidRPr="00EC2A1C" w:rsidRDefault="00DD3EFA" w:rsidP="00B15ECB">
            <w:pPr>
              <w:rPr>
                <w:rFonts w:eastAsiaTheme="majorEastAsia"/>
                <w:b/>
              </w:rPr>
            </w:pPr>
          </w:p>
          <w:p w14:paraId="594EC3D8" w14:textId="77777777" w:rsidR="00DD3EFA" w:rsidRPr="00EC2A1C" w:rsidRDefault="00DD3EFA" w:rsidP="00B15ECB">
            <w:pPr>
              <w:pStyle w:val="slovanodstavec"/>
              <w:tabs>
                <w:tab w:val="left" w:pos="284"/>
              </w:tabs>
              <w:suppressAutoHyphens/>
              <w:spacing w:line="240" w:lineRule="auto"/>
              <w:jc w:val="left"/>
              <w:rPr>
                <w:rFonts w:ascii="Times New Roman" w:hAnsi="Times New Roman"/>
                <w:i/>
                <w:u w:val="single"/>
              </w:rPr>
            </w:pPr>
          </w:p>
        </w:tc>
      </w:tr>
      <w:tr w:rsidR="00DD3EFA" w:rsidRPr="00EC2A1C" w14:paraId="67023240" w14:textId="77777777" w:rsidTr="00B15ECB">
        <w:trPr>
          <w:trHeight w:val="1258"/>
        </w:trPr>
        <w:tc>
          <w:tcPr>
            <w:tcW w:w="249" w:type="dxa"/>
            <w:tcBorders>
              <w:top w:val="nil"/>
              <w:left w:val="single" w:sz="4" w:space="0" w:color="auto"/>
              <w:bottom w:val="nil"/>
              <w:right w:val="nil"/>
            </w:tcBorders>
            <w:shd w:val="clear" w:color="auto" w:fill="66CCFF"/>
          </w:tcPr>
          <w:p w14:paraId="771F07C4"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9EF46" w14:textId="77777777" w:rsidR="00DD3EFA" w:rsidRPr="002D2123" w:rsidRDefault="00DD3EFA" w:rsidP="00B15ECB">
            <w:pPr>
              <w:rPr>
                <w:rFonts w:eastAsiaTheme="majorEastAsia"/>
                <w:b/>
              </w:rPr>
            </w:pPr>
            <w:r w:rsidRPr="002D2123">
              <w:rPr>
                <w:rFonts w:eastAsiaTheme="majorEastAsia"/>
                <w:b/>
              </w:rPr>
              <w:t>Věcný posun oblasti</w:t>
            </w:r>
          </w:p>
          <w:p w14:paraId="6CDD410B" w14:textId="77777777" w:rsidR="00DD3EFA" w:rsidRPr="002D2123" w:rsidRDefault="00DD3EFA" w:rsidP="00B15ECB">
            <w:pPr>
              <w:rPr>
                <w:rFonts w:eastAsiaTheme="majorEastAsia"/>
                <w:b/>
                <w:highlight w:val="yellow"/>
              </w:rPr>
            </w:pPr>
            <w:r w:rsidRPr="002D2123">
              <w:rPr>
                <w:rFonts w:eastAsiaTheme="majorEastAsia"/>
                <w:b/>
              </w:rPr>
              <w:t>(tj. v období 2014 – 2020, příp. 2007 – 2013)</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F15437F" w14:textId="77777777" w:rsidR="00DD3EFA" w:rsidRPr="00EC2A1C" w:rsidRDefault="00DD3EFA" w:rsidP="00B15ECB">
            <w:pPr>
              <w:spacing w:before="60" w:after="60" w:line="276" w:lineRule="auto"/>
              <w:rPr>
                <w:b/>
              </w:rPr>
            </w:pPr>
          </w:p>
          <w:p w14:paraId="6DCB4CC1" w14:textId="2CBC09E3" w:rsidR="00DD3EFA" w:rsidRPr="00EC2A1C" w:rsidRDefault="00747AAD" w:rsidP="00B15ECB">
            <w:pPr>
              <w:spacing w:before="60" w:after="60" w:line="276" w:lineRule="auto"/>
            </w:pPr>
            <w:r w:rsidRPr="00EC2A1C">
              <w:t xml:space="preserve">Podpora ESIF přináší měřitelné přínosy. Priority podpory jsou </w:t>
            </w:r>
            <w:r w:rsidR="00DD3EFA" w:rsidRPr="00EC2A1C">
              <w:t>důsledně provázány s cíli POH ČR. Dochází k rozvoji v oblasti předcházení vzniku odpadů; klesá podíl skládkování komunálních odpadů;   poklesu produkce SKO; poklesu skládkování BRKO; zvyšování míry recyklovaných odpadů z obalů; zvyšování míry materiálového využití odpadů. Vývoj v oblasti odpadového hospodářství je vyznačen i v aktuálním přehledu indikátorů odpadového hospodářství.</w:t>
            </w:r>
          </w:p>
          <w:p w14:paraId="2B4C7E6D" w14:textId="77777777" w:rsidR="00DD3EFA" w:rsidRPr="00EC2A1C" w:rsidRDefault="00DD3EFA" w:rsidP="00B15ECB">
            <w:pPr>
              <w:pStyle w:val="Nadpis6"/>
              <w:outlineLvl w:val="5"/>
              <w:rPr>
                <w:rFonts w:ascii="Times New Roman" w:eastAsiaTheme="minorHAnsi" w:hAnsi="Times New Roman" w:cs="Times New Roman"/>
                <w:b/>
                <w:iCs w:val="0"/>
                <w:color w:val="auto"/>
                <w:sz w:val="20"/>
                <w:szCs w:val="20"/>
              </w:rPr>
            </w:pPr>
            <w:r w:rsidRPr="00EC2A1C">
              <w:rPr>
                <w:rFonts w:ascii="Times New Roman" w:hAnsi="Times New Roman" w:cs="Times New Roman"/>
                <w:b/>
                <w:color w:val="auto"/>
                <w:sz w:val="20"/>
                <w:szCs w:val="20"/>
              </w:rPr>
              <w:t xml:space="preserve">Příspěvek OPŽP 2014-2020 k řešení specifických problémů v oblasti odpadového hospodářství: </w:t>
            </w:r>
          </w:p>
          <w:p w14:paraId="309AEE3F" w14:textId="77777777" w:rsidR="00DD3EFA" w:rsidRPr="00EC2A1C" w:rsidRDefault="00DD3EFA" w:rsidP="00B15ECB">
            <w:pPr>
              <w:pStyle w:val="Nadpis6"/>
              <w:outlineLvl w:val="5"/>
              <w:rPr>
                <w:rFonts w:ascii="Times New Roman" w:eastAsiaTheme="minorHAnsi" w:hAnsi="Times New Roman" w:cs="Times New Roman"/>
                <w:b/>
                <w:iCs w:val="0"/>
                <w:color w:val="auto"/>
                <w:sz w:val="20"/>
                <w:szCs w:val="20"/>
              </w:rPr>
            </w:pPr>
            <w:r w:rsidRPr="00EC2A1C">
              <w:rPr>
                <w:rFonts w:ascii="Times New Roman" w:eastAsiaTheme="minorHAnsi" w:hAnsi="Times New Roman" w:cs="Times New Roman"/>
                <w:color w:val="auto"/>
                <w:sz w:val="20"/>
                <w:szCs w:val="20"/>
              </w:rPr>
              <w:t>V </w:t>
            </w:r>
            <w:r w:rsidRPr="00EC2A1C">
              <w:rPr>
                <w:rFonts w:ascii="Times New Roman" w:eastAsiaTheme="minorHAnsi" w:hAnsi="Times New Roman" w:cs="Times New Roman"/>
                <w:b/>
                <w:color w:val="auto"/>
                <w:sz w:val="20"/>
                <w:szCs w:val="20"/>
              </w:rPr>
              <w:t xml:space="preserve">prioritní ose 3 Odpady a materiálové toky, ekologické zátěže a rizika </w:t>
            </w:r>
            <w:r w:rsidRPr="00EC2A1C">
              <w:rPr>
                <w:rFonts w:ascii="Times New Roman" w:eastAsiaTheme="minorHAnsi" w:hAnsi="Times New Roman" w:cs="Times New Roman"/>
                <w:color w:val="auto"/>
                <w:sz w:val="20"/>
                <w:szCs w:val="20"/>
              </w:rPr>
              <w:t>je podporován SC 3.1 Prevence vzniku odpadů, SC 3.2 Zvýšit podíl materiálového a energetického využití odpadů,</w:t>
            </w:r>
            <w:r w:rsidRPr="00EC2A1C">
              <w:rPr>
                <w:rFonts w:ascii="Times New Roman" w:eastAsiaTheme="minorHAnsi" w:hAnsi="Times New Roman" w:cs="Times New Roman"/>
                <w:b/>
                <w:color w:val="auto"/>
                <w:sz w:val="20"/>
                <w:szCs w:val="20"/>
              </w:rPr>
              <w:t xml:space="preserve"> </w:t>
            </w:r>
          </w:p>
          <w:p w14:paraId="42B2A7C6" w14:textId="77777777" w:rsidR="00DD3EFA" w:rsidRPr="00EC2A1C" w:rsidRDefault="00DD3EFA" w:rsidP="00B15ECB">
            <w:pPr>
              <w:pStyle w:val="Nadpis6"/>
              <w:outlineLvl w:val="5"/>
              <w:rPr>
                <w:rFonts w:ascii="Times New Roman" w:eastAsiaTheme="minorHAnsi" w:hAnsi="Times New Roman" w:cs="Times New Roman"/>
                <w:b/>
                <w:iCs w:val="0"/>
                <w:color w:val="auto"/>
                <w:sz w:val="20"/>
                <w:szCs w:val="20"/>
              </w:rPr>
            </w:pPr>
            <w:r w:rsidRPr="00EC2A1C">
              <w:rPr>
                <w:rFonts w:ascii="Times New Roman" w:eastAsiaTheme="minorHAnsi" w:hAnsi="Times New Roman" w:cs="Times New Roman"/>
                <w:b/>
                <w:color w:val="auto"/>
                <w:sz w:val="20"/>
                <w:szCs w:val="20"/>
              </w:rPr>
              <w:t xml:space="preserve">Pro SC 3.1 a 3.2 bylo stanoveno 7 společných a specifických programových ukazatelů výstupu: </w:t>
            </w:r>
          </w:p>
          <w:p w14:paraId="5ADB3C4E" w14:textId="68AC0C3E" w:rsidR="00DD3EFA" w:rsidRPr="00EC2A1C" w:rsidRDefault="00DD3EFA" w:rsidP="00391907">
            <w:pPr>
              <w:pStyle w:val="Odstavecseseznamem"/>
              <w:numPr>
                <w:ilvl w:val="0"/>
                <w:numId w:val="120"/>
              </w:numPr>
              <w:jc w:val="both"/>
            </w:pPr>
            <w:r w:rsidRPr="00EC2A1C">
              <w:t xml:space="preserve">Zvýšení kapacity pro recyklaci odpadů s cílovou </w:t>
            </w:r>
            <w:r w:rsidR="00747AAD" w:rsidRPr="00EC2A1C">
              <w:t>hodnotou</w:t>
            </w:r>
            <w:r w:rsidRPr="00EC2A1C">
              <w:t xml:space="preserve"> (2023) 700 000 t/rok</w:t>
            </w:r>
          </w:p>
          <w:p w14:paraId="27A57353" w14:textId="62B0B443" w:rsidR="00DD3EFA" w:rsidRPr="00EC2A1C" w:rsidRDefault="00DD3EFA" w:rsidP="00391907">
            <w:pPr>
              <w:pStyle w:val="Odstavecseseznamem"/>
              <w:numPr>
                <w:ilvl w:val="0"/>
                <w:numId w:val="120"/>
              </w:numPr>
              <w:jc w:val="both"/>
            </w:pPr>
            <w:r w:rsidRPr="00EC2A1C">
              <w:t xml:space="preserve">Nově vybudovaná kapacita pro předcházení vzniku komunálního odpadu s cílovou </w:t>
            </w:r>
            <w:r w:rsidR="00747AAD" w:rsidRPr="00EC2A1C">
              <w:t>hodnotou</w:t>
            </w:r>
            <w:r w:rsidRPr="00EC2A1C">
              <w:t xml:space="preserve"> (2023) 40 000 t/rok</w:t>
            </w:r>
          </w:p>
          <w:p w14:paraId="1145FBB7" w14:textId="2C1F68E8" w:rsidR="00DD3EFA" w:rsidRPr="00EC2A1C" w:rsidRDefault="00DD3EFA" w:rsidP="00391907">
            <w:pPr>
              <w:pStyle w:val="Odstavecseseznamem"/>
              <w:numPr>
                <w:ilvl w:val="0"/>
                <w:numId w:val="120"/>
              </w:numPr>
              <w:jc w:val="both"/>
            </w:pPr>
            <w:r w:rsidRPr="00EC2A1C">
              <w:t xml:space="preserve">Množství nevyprodukovaného průmyslového odpadu s cílovou </w:t>
            </w:r>
            <w:r w:rsidR="00747AAD" w:rsidRPr="00EC2A1C">
              <w:t>hodnotou</w:t>
            </w:r>
            <w:r w:rsidRPr="00EC2A1C">
              <w:t xml:space="preserve"> (2023) 1500 t/rok</w:t>
            </w:r>
          </w:p>
          <w:p w14:paraId="44D656AD" w14:textId="239314D0" w:rsidR="00DD3EFA" w:rsidRPr="00EC2A1C" w:rsidRDefault="00DD3EFA" w:rsidP="00391907">
            <w:pPr>
              <w:pStyle w:val="Odstavecseseznamem"/>
              <w:numPr>
                <w:ilvl w:val="0"/>
                <w:numId w:val="120"/>
              </w:numPr>
              <w:jc w:val="both"/>
            </w:pPr>
            <w:r w:rsidRPr="00EC2A1C">
              <w:t xml:space="preserve">Kapacita nově podpořených nebo zmodernizovaných zařízení pro nakládání s nebezpečnými odpady s cílovou </w:t>
            </w:r>
            <w:r w:rsidR="00747AAD" w:rsidRPr="00EC2A1C">
              <w:t>hodnotou</w:t>
            </w:r>
            <w:r w:rsidRPr="00EC2A1C">
              <w:t xml:space="preserve"> (2023) 50 000 t/rok</w:t>
            </w:r>
          </w:p>
          <w:p w14:paraId="6DC7F15A" w14:textId="71A39F7A" w:rsidR="00DD3EFA" w:rsidRPr="00EC2A1C" w:rsidRDefault="00DD3EFA" w:rsidP="00391907">
            <w:pPr>
              <w:pStyle w:val="Odstavecseseznamem"/>
              <w:numPr>
                <w:ilvl w:val="0"/>
                <w:numId w:val="120"/>
              </w:numPr>
              <w:jc w:val="both"/>
            </w:pPr>
            <w:r w:rsidRPr="00EC2A1C">
              <w:t xml:space="preserve">Kapacita podpořených zařízení pro materiálové využití ostatních odpadů s cílovou </w:t>
            </w:r>
            <w:r w:rsidR="00747AAD" w:rsidRPr="00EC2A1C">
              <w:t>hodnotou</w:t>
            </w:r>
            <w:r w:rsidRPr="00EC2A1C">
              <w:t xml:space="preserve"> (2023) 300 000 t/rok</w:t>
            </w:r>
          </w:p>
          <w:p w14:paraId="2A8306FA" w14:textId="77777777" w:rsidR="00DD3EFA" w:rsidRPr="00EC2A1C" w:rsidRDefault="00DD3EFA" w:rsidP="00391907">
            <w:pPr>
              <w:pStyle w:val="Odstavecseseznamem"/>
              <w:numPr>
                <w:ilvl w:val="0"/>
                <w:numId w:val="120"/>
              </w:numPr>
              <w:jc w:val="both"/>
            </w:pPr>
            <w:r w:rsidRPr="00EC2A1C">
              <w:t>Nově vytvořená kapacita systémů separace a svozu všech odpadů s cílovou hodnoutou (2023) 400 000 t/rok</w:t>
            </w:r>
          </w:p>
          <w:p w14:paraId="7FAF7344" w14:textId="77777777" w:rsidR="00DD3EFA" w:rsidRPr="00EC2A1C" w:rsidRDefault="00DD3EFA" w:rsidP="00391907">
            <w:pPr>
              <w:pStyle w:val="Odstavecseseznamem"/>
              <w:numPr>
                <w:ilvl w:val="0"/>
                <w:numId w:val="120"/>
              </w:numPr>
              <w:jc w:val="both"/>
            </w:pPr>
            <w:r w:rsidRPr="00EC2A1C">
              <w:t>Kapacita nově vybudovaných nebo zmodernizovaných zařízení na energetické využití ostatních odpadů s cílovou hodnoutou (2023) 400 000 t/rok</w:t>
            </w:r>
          </w:p>
          <w:p w14:paraId="08E5FEBA" w14:textId="77777777" w:rsidR="00DD3EFA" w:rsidRPr="00EC2A1C" w:rsidRDefault="00DD3EFA" w:rsidP="00B15ECB">
            <w:pPr>
              <w:pStyle w:val="slovanodstavec"/>
              <w:tabs>
                <w:tab w:val="left" w:pos="284"/>
              </w:tabs>
              <w:suppressAutoHyphens/>
              <w:spacing w:line="240" w:lineRule="auto"/>
              <w:jc w:val="left"/>
              <w:rPr>
                <w:rFonts w:ascii="Times New Roman" w:hAnsi="Times New Roman"/>
                <w:b/>
              </w:rPr>
            </w:pPr>
          </w:p>
          <w:p w14:paraId="7A69E555"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 xml:space="preserve">Příspěvek </w:t>
            </w:r>
            <w:r w:rsidRPr="00EC2A1C">
              <w:rPr>
                <w:rFonts w:ascii="Times New Roman" w:hAnsi="Times New Roman"/>
                <w:b/>
              </w:rPr>
              <w:t>OPŽP 2007-2013</w:t>
            </w:r>
            <w:r w:rsidRPr="00EC2A1C">
              <w:rPr>
                <w:rFonts w:ascii="Times New Roman" w:hAnsi="Times New Roman"/>
              </w:rPr>
              <w:t xml:space="preserve"> k řešení specifických problémů v oblasti odpadového hospodářství:</w:t>
            </w:r>
          </w:p>
          <w:p w14:paraId="4B8FDDD2" w14:textId="77777777" w:rsidR="00DD3EFA" w:rsidRPr="00EC2A1C" w:rsidRDefault="00DD3EFA" w:rsidP="00B15ECB">
            <w:pPr>
              <w:pStyle w:val="slovanodstavec"/>
              <w:tabs>
                <w:tab w:val="left" w:pos="284"/>
              </w:tabs>
              <w:suppressAutoHyphens/>
              <w:spacing w:line="240" w:lineRule="auto"/>
              <w:jc w:val="left"/>
              <w:rPr>
                <w:rFonts w:ascii="Times New Roman" w:eastAsiaTheme="minorHAnsi" w:hAnsi="Times New Roman"/>
                <w:b/>
                <w:noProof/>
              </w:rPr>
            </w:pPr>
            <w:r w:rsidRPr="00EC2A1C">
              <w:rPr>
                <w:rFonts w:ascii="Times New Roman" w:hAnsi="Times New Roman"/>
                <w:b/>
              </w:rPr>
              <w:t xml:space="preserve"> </w:t>
            </w:r>
            <w:r w:rsidRPr="00EC2A1C">
              <w:rPr>
                <w:rFonts w:ascii="Times New Roman" w:eastAsiaTheme="minorHAnsi" w:hAnsi="Times New Roman"/>
                <w:b/>
                <w:noProof/>
              </w:rPr>
              <w:t>Prioritní osa 4 - Zkvalitnění nakládání s odpady a odstraňování starých ekologických zátěží</w:t>
            </w:r>
          </w:p>
          <w:p w14:paraId="693DA983" w14:textId="7214E91E" w:rsidR="00DD3EFA" w:rsidRPr="00EC2A1C" w:rsidRDefault="00DD3EFA" w:rsidP="00B15ECB">
            <w:pPr>
              <w:spacing w:before="60" w:after="60" w:line="276" w:lineRule="auto"/>
            </w:pPr>
            <w:r w:rsidRPr="00EC2A1C">
              <w:t xml:space="preserve">V programovém období OPŽP 2007 – 2013 bylo v rámci oblasti 4.1 </w:t>
            </w:r>
            <w:r w:rsidRPr="00EC2A1C">
              <w:rPr>
                <w:i/>
              </w:rPr>
              <w:t>Zkvalitnění nakládání s odpad</w:t>
            </w:r>
            <w:r w:rsidRPr="00EC2A1C">
              <w:t xml:space="preserve">y podpořeno celkem 4044 projektů zaměřených na nakládání s odpady (oproti cílové hodnotě 250 projektů). V rámci OP 4.1 bylo podpořeno celkem 456 sběrných dvorů, 2 325 systémů odděleného sběru, 603 kompostáren a bioplynových stanic, 77 rekultivací skládek, 18 překládacích stanic odpadů, 313 ostatních zařízení na zpracování odpadů, 252 projektů kombinujících výše uvedené typy projektů. Celková kapacita zařízení pro nakládání s odpady vzrostla na 10 471 043 t/rok a kapacita systému separace a svozu odpadů vzrostla díky podpoře z OPŽP na 1 617 518 t/rok. Podíl využitého komunálního odpadu tak za uplynulé programové období vzrostl z 29,5 % na 47,36 %. Podíl recyklovaných odpadů </w:t>
            </w:r>
            <w:r w:rsidR="00747AAD" w:rsidRPr="00EC2A1C">
              <w:t>vzrostl</w:t>
            </w:r>
            <w:r w:rsidRPr="00EC2A1C">
              <w:t xml:space="preserve"> z výchozích 61 % na 83,21 % ke konci roku 201</w:t>
            </w:r>
            <w:r w:rsidR="00747AAD" w:rsidRPr="00EC2A1C">
              <w:t xml:space="preserve">5.  Dále bylo dosaženo </w:t>
            </w:r>
            <w:r w:rsidRPr="00EC2A1C">
              <w:t>rekultivace starých skládek o ploše 1 087 215 m2 a odstraněno 9 nepovolených skládek v ZCHÚ. V rámci oblasti podpory 4.1 byly příjemcům proplaceny prostředky ve výši 18,878 mld. Kč (718 mil. EUR).</w:t>
            </w:r>
          </w:p>
          <w:p w14:paraId="7D9CF9D3" w14:textId="77777777" w:rsidR="00DD3EFA" w:rsidRPr="00EC2A1C" w:rsidRDefault="00DD3EFA" w:rsidP="00B15ECB">
            <w:pPr>
              <w:spacing w:before="60" w:after="60" w:line="276" w:lineRule="auto"/>
            </w:pPr>
          </w:p>
          <w:p w14:paraId="0A2921CC" w14:textId="77777777" w:rsidR="00DD3EFA" w:rsidRPr="00EC2A1C" w:rsidRDefault="00DD3EFA" w:rsidP="00B15ECB">
            <w:pPr>
              <w:spacing w:before="60" w:after="60" w:line="276" w:lineRule="auto"/>
            </w:pPr>
            <w:r w:rsidRPr="00EC2A1C">
              <w:rPr>
                <w:rFonts w:eastAsiaTheme="majorEastAsia"/>
              </w:rPr>
              <w:t xml:space="preserve">Problematika oběhového hospodářství představuje nový přístup k nakládání se zdroji. Je obtížné stanovit posun, neboť takovéto celé komplexní řešení nebylo předmětem dotačních titulů v předchozích obdobích a až nyní je stanovena měřitelná hodnota sledování pokroku v této oblasti - </w:t>
            </w:r>
            <w:r w:rsidRPr="00EC2A1C">
              <w:t>Indikátor míry cyklického využívání materiálů</w:t>
            </w:r>
            <w:r w:rsidRPr="00EC2A1C">
              <w:rPr>
                <w:rFonts w:eastAsiaTheme="majorEastAsia"/>
              </w:rPr>
              <w:t xml:space="preserve"> </w:t>
            </w:r>
            <w:r w:rsidRPr="00EC2A1C">
              <w:t xml:space="preserve">- </w:t>
            </w:r>
            <w:r w:rsidRPr="00EC2A1C">
              <w:rPr>
                <w:i/>
              </w:rPr>
              <w:t xml:space="preserve">Circular material use rate, </w:t>
            </w:r>
            <w:r w:rsidRPr="00EC2A1C">
              <w:t>který je jedním z indikátorů EUROSTAT pro sledování vývoje v oblasti oběhového hospodářství</w:t>
            </w:r>
            <w:r w:rsidRPr="00EC2A1C">
              <w:rPr>
                <w:rFonts w:eastAsiaTheme="majorEastAsia"/>
              </w:rPr>
              <w:t>. Hodnota tohoto ukazatele byla v roce 2010 za ČR ve výši 5,3 % a postupně se zvyšovala, až na hodnotu 7,6 % v roce 2016. Přes toto zvýšení je stále hodnota indikátoru pod průměrem, EU, který je 11,7 %.  Cílem ČR je v co nejkratší době dosáhnout průměru EU. Jedním z opatření jsou i programy podpory v rámci OP PIK.</w:t>
            </w:r>
          </w:p>
        </w:tc>
      </w:tr>
      <w:tr w:rsidR="00DD3EFA" w:rsidRPr="00EC2A1C" w14:paraId="06955522" w14:textId="77777777" w:rsidTr="00B15ECB">
        <w:trPr>
          <w:trHeight w:val="1258"/>
        </w:trPr>
        <w:tc>
          <w:tcPr>
            <w:tcW w:w="249" w:type="dxa"/>
            <w:tcBorders>
              <w:top w:val="nil"/>
              <w:left w:val="single" w:sz="4" w:space="0" w:color="auto"/>
              <w:bottom w:val="nil"/>
              <w:right w:val="nil"/>
            </w:tcBorders>
            <w:shd w:val="clear" w:color="auto" w:fill="66CCFF"/>
          </w:tcPr>
          <w:p w14:paraId="5A4EA25B"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B7667C" w14:textId="77777777" w:rsidR="00DD3EFA" w:rsidRPr="002D2123" w:rsidRDefault="00DD3EFA" w:rsidP="00B15ECB">
            <w:pPr>
              <w:rPr>
                <w:rFonts w:eastAsiaTheme="majorEastAsia"/>
                <w:b/>
              </w:rPr>
            </w:pPr>
            <w:r w:rsidRPr="002D2123">
              <w:rPr>
                <w:rFonts w:eastAsiaTheme="majorEastAsia"/>
                <w:b/>
              </w:rPr>
              <w:t>Synergické a multiplikační efekty</w:t>
            </w:r>
          </w:p>
          <w:p w14:paraId="37E36C54" w14:textId="77777777" w:rsidR="00DD3EFA" w:rsidRPr="002D2123" w:rsidRDefault="00DD3EFA" w:rsidP="00B15ECB">
            <w:pPr>
              <w:rPr>
                <w:rFonts w:eastAsiaTheme="majorEastAsia"/>
                <w:b/>
                <w:highlight w:val="yellow"/>
              </w:rPr>
            </w:pPr>
            <w:r w:rsidRPr="002D2123">
              <w:rPr>
                <w:rFonts w:eastAsiaTheme="majorEastAsia"/>
                <w:b/>
              </w:rPr>
              <w:t>(tj. v období 2014 – 2020, příp. 2007 – 2013)</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BF9EB8"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Oběhové hospodářství má silné synergie s cíli EU v oblasti klimatu, energetiky, snižování úrovní emisí oxidu uhličitého, udržitelné spotřeby a výroby.</w:t>
            </w:r>
            <w:r w:rsidRPr="00EC2A1C">
              <w:rPr>
                <w:rFonts w:ascii="Times New Roman" w:hAnsi="Times New Roman"/>
              </w:rPr>
              <w:br/>
              <w:t xml:space="preserve">Navržená opatření přispějí k doplnění chybějící části životního cyklu výrobků. Veškeré suroviny, výrobky a odpady se budou podle schválených politik, plánů a strategií v maximální míře zhodnocovat a využívat. Naplňování principů oběhového hospodářství tedy přispěje k celkovému zlepšení odpadového hospodářství; udržitelnému rozvoji; tvorbě nových pracovních </w:t>
            </w:r>
            <w:r w:rsidRPr="00EC2A1C">
              <w:rPr>
                <w:rFonts w:ascii="Times New Roman" w:hAnsi="Times New Roman"/>
                <w:bCs/>
              </w:rPr>
              <w:t>jak ve zpracovatelském průmyslu, tak zejména v digitálních technologiích</w:t>
            </w:r>
            <w:r w:rsidRPr="00EC2A1C">
              <w:rPr>
                <w:rFonts w:ascii="Times New Roman" w:hAnsi="Times New Roman"/>
              </w:rPr>
              <w:t xml:space="preserve"> míst; omezení produkce skleníkových plynů; úsporám provozních nákladů ve výrobě i službách; ke snížení spotřeby materiálů a energií a pozitivnímu dopadu na životní prostředí.</w:t>
            </w:r>
          </w:p>
          <w:p w14:paraId="1438C845" w14:textId="77777777" w:rsidR="00DD3EFA" w:rsidRPr="00EC2A1C" w:rsidRDefault="00DD3EFA" w:rsidP="00B15ECB">
            <w:pPr>
              <w:pStyle w:val="slovanodstavec"/>
              <w:tabs>
                <w:tab w:val="left" w:pos="284"/>
              </w:tabs>
              <w:suppressAutoHyphens/>
              <w:spacing w:line="240" w:lineRule="auto"/>
              <w:jc w:val="left"/>
              <w:rPr>
                <w:rFonts w:ascii="Times New Roman" w:hAnsi="Times New Roman"/>
              </w:rPr>
            </w:pPr>
            <w:r w:rsidRPr="00EC2A1C">
              <w:rPr>
                <w:rFonts w:ascii="Times New Roman" w:hAnsi="Times New Roman"/>
              </w:rPr>
              <w:t>Současně je nezbytné provádět kontinuální osvětu, vzdělávání a informovat o principech oběhového hospodářství.</w:t>
            </w:r>
          </w:p>
          <w:p w14:paraId="6167C738"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 xml:space="preserve">Ve vztahu k ostatním kartám NKR přispívá k </w:t>
            </w:r>
          </w:p>
          <w:p w14:paraId="6552AC79" w14:textId="77777777" w:rsidR="00DD3EFA" w:rsidRPr="00EC2A1C" w:rsidRDefault="00DD3EFA" w:rsidP="00391907">
            <w:pPr>
              <w:pStyle w:val="slovanodstavec"/>
              <w:numPr>
                <w:ilvl w:val="0"/>
                <w:numId w:val="116"/>
              </w:numPr>
              <w:tabs>
                <w:tab w:val="left" w:pos="284"/>
              </w:tabs>
              <w:suppressAutoHyphens/>
              <w:spacing w:after="0" w:line="240" w:lineRule="auto"/>
              <w:jc w:val="left"/>
              <w:rPr>
                <w:rFonts w:ascii="Times New Roman" w:hAnsi="Times New Roman"/>
              </w:rPr>
            </w:pPr>
            <w:r w:rsidRPr="00EC2A1C">
              <w:rPr>
                <w:rFonts w:ascii="Times New Roman" w:hAnsi="Times New Roman"/>
              </w:rPr>
              <w:t>Podpora podnikání a průmyslu, především v oblasti stavebnictví</w:t>
            </w:r>
          </w:p>
          <w:p w14:paraId="2FAF84D6" w14:textId="77777777" w:rsidR="00DD3EFA" w:rsidRPr="00EC2A1C" w:rsidRDefault="00DD3EFA" w:rsidP="00391907">
            <w:pPr>
              <w:pStyle w:val="slovanodstavec"/>
              <w:numPr>
                <w:ilvl w:val="0"/>
                <w:numId w:val="116"/>
              </w:numPr>
              <w:tabs>
                <w:tab w:val="left" w:pos="284"/>
              </w:tabs>
              <w:suppressAutoHyphens/>
              <w:spacing w:after="0" w:line="240" w:lineRule="auto"/>
              <w:jc w:val="left"/>
              <w:rPr>
                <w:rFonts w:ascii="Times New Roman" w:hAnsi="Times New Roman"/>
              </w:rPr>
            </w:pPr>
            <w:r w:rsidRPr="00EC2A1C">
              <w:rPr>
                <w:rFonts w:ascii="Times New Roman" w:hAnsi="Times New Roman"/>
              </w:rPr>
              <w:t xml:space="preserve">Doprava, </w:t>
            </w:r>
          </w:p>
          <w:p w14:paraId="7B87C846" w14:textId="77777777" w:rsidR="00DD3EFA" w:rsidRPr="00EC2A1C" w:rsidRDefault="00DD3EFA" w:rsidP="00391907">
            <w:pPr>
              <w:pStyle w:val="slovanodstavec"/>
              <w:numPr>
                <w:ilvl w:val="0"/>
                <w:numId w:val="116"/>
              </w:numPr>
              <w:tabs>
                <w:tab w:val="left" w:pos="284"/>
              </w:tabs>
              <w:suppressAutoHyphens/>
              <w:spacing w:after="0" w:line="240" w:lineRule="auto"/>
              <w:jc w:val="left"/>
              <w:rPr>
                <w:rFonts w:ascii="Times New Roman" w:hAnsi="Times New Roman"/>
              </w:rPr>
            </w:pPr>
            <w:r w:rsidRPr="00EC2A1C">
              <w:rPr>
                <w:rFonts w:ascii="Times New Roman" w:hAnsi="Times New Roman"/>
              </w:rPr>
              <w:t xml:space="preserve">Posun k nízkouhlíkovému hospodářství, </w:t>
            </w:r>
          </w:p>
          <w:p w14:paraId="231B3106" w14:textId="77777777" w:rsidR="00DD3EFA" w:rsidRPr="00EC2A1C" w:rsidRDefault="00DD3EFA" w:rsidP="00391907">
            <w:pPr>
              <w:pStyle w:val="slovanodstavec"/>
              <w:numPr>
                <w:ilvl w:val="0"/>
                <w:numId w:val="116"/>
              </w:numPr>
              <w:tabs>
                <w:tab w:val="left" w:pos="284"/>
              </w:tabs>
              <w:suppressAutoHyphens/>
              <w:spacing w:after="0" w:line="240" w:lineRule="auto"/>
              <w:jc w:val="left"/>
              <w:rPr>
                <w:rFonts w:ascii="Times New Roman" w:hAnsi="Times New Roman"/>
              </w:rPr>
            </w:pPr>
            <w:r w:rsidRPr="00EC2A1C">
              <w:rPr>
                <w:rFonts w:ascii="Times New Roman" w:hAnsi="Times New Roman"/>
              </w:rPr>
              <w:t xml:space="preserve">Sociální začleňování, sociální služby a systém péče o zdraví, </w:t>
            </w:r>
          </w:p>
          <w:p w14:paraId="653475F0" w14:textId="77777777" w:rsidR="00DD3EFA" w:rsidRPr="00EC2A1C" w:rsidRDefault="00DD3EFA" w:rsidP="00391907">
            <w:pPr>
              <w:pStyle w:val="slovanodstavec"/>
              <w:numPr>
                <w:ilvl w:val="0"/>
                <w:numId w:val="116"/>
              </w:numPr>
              <w:tabs>
                <w:tab w:val="left" w:pos="284"/>
              </w:tabs>
              <w:suppressAutoHyphens/>
              <w:spacing w:after="0" w:line="240" w:lineRule="auto"/>
              <w:jc w:val="left"/>
              <w:rPr>
                <w:rFonts w:ascii="Times New Roman" w:hAnsi="Times New Roman"/>
              </w:rPr>
            </w:pPr>
            <w:r w:rsidRPr="00EC2A1C">
              <w:rPr>
                <w:rFonts w:ascii="Times New Roman" w:hAnsi="Times New Roman"/>
              </w:rPr>
              <w:t>Trh práce a zaměstnanosti</w:t>
            </w:r>
          </w:p>
          <w:p w14:paraId="289D7253"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p>
          <w:p w14:paraId="3B37907A" w14:textId="77777777" w:rsidR="00DD3EFA" w:rsidRPr="00EC2A1C" w:rsidRDefault="00DD3EFA" w:rsidP="00B15ECB">
            <w:pPr>
              <w:pStyle w:val="slovanodstavec"/>
              <w:tabs>
                <w:tab w:val="left" w:pos="284"/>
              </w:tabs>
              <w:suppressAutoHyphens/>
              <w:spacing w:line="240" w:lineRule="auto"/>
              <w:rPr>
                <w:rFonts w:ascii="Times New Roman" w:hAnsi="Times New Roman"/>
              </w:rPr>
            </w:pPr>
          </w:p>
          <w:p w14:paraId="5DAE663F"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p>
        </w:tc>
      </w:tr>
      <w:tr w:rsidR="00DD3EFA" w:rsidRPr="00EC2A1C" w14:paraId="3D0C32D7" w14:textId="77777777" w:rsidTr="00B15ECB">
        <w:trPr>
          <w:trHeight w:val="180"/>
        </w:trPr>
        <w:tc>
          <w:tcPr>
            <w:tcW w:w="249" w:type="dxa"/>
            <w:tcBorders>
              <w:top w:val="nil"/>
              <w:left w:val="single" w:sz="4" w:space="0" w:color="auto"/>
              <w:bottom w:val="nil"/>
              <w:right w:val="nil"/>
            </w:tcBorders>
            <w:shd w:val="clear" w:color="auto" w:fill="66CCFF"/>
          </w:tcPr>
          <w:p w14:paraId="29EFAF74"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6B2AAE29" w14:textId="77777777" w:rsidR="00DD3EFA" w:rsidRPr="002D2123" w:rsidRDefault="00DD3EFA" w:rsidP="00B15ECB">
            <w:pPr>
              <w:rPr>
                <w:b/>
                <w:sz w:val="10"/>
                <w:szCs w:val="10"/>
              </w:rPr>
            </w:pPr>
          </w:p>
        </w:tc>
        <w:tc>
          <w:tcPr>
            <w:tcW w:w="5567" w:type="dxa"/>
            <w:tcBorders>
              <w:top w:val="single" w:sz="4" w:space="0" w:color="auto"/>
              <w:left w:val="nil"/>
              <w:bottom w:val="single" w:sz="4" w:space="0" w:color="auto"/>
              <w:right w:val="nil"/>
            </w:tcBorders>
            <w:shd w:val="clear" w:color="auto" w:fill="66CCFF"/>
          </w:tcPr>
          <w:p w14:paraId="5F683D80" w14:textId="77777777" w:rsidR="00DD3EFA" w:rsidRPr="00EC2A1C" w:rsidRDefault="00DD3EFA" w:rsidP="00B15ECB">
            <w:pPr>
              <w:rPr>
                <w:b/>
              </w:rPr>
            </w:pPr>
          </w:p>
        </w:tc>
      </w:tr>
      <w:tr w:rsidR="00DD3EFA" w:rsidRPr="00EC2A1C" w14:paraId="62136B1A" w14:textId="77777777" w:rsidTr="00B15ECB">
        <w:trPr>
          <w:trHeight w:val="990"/>
        </w:trPr>
        <w:tc>
          <w:tcPr>
            <w:tcW w:w="249" w:type="dxa"/>
            <w:tcBorders>
              <w:top w:val="nil"/>
              <w:left w:val="single" w:sz="4" w:space="0" w:color="auto"/>
              <w:bottom w:val="nil"/>
              <w:right w:val="single" w:sz="4" w:space="0" w:color="auto"/>
            </w:tcBorders>
            <w:shd w:val="clear" w:color="auto" w:fill="66CCFF"/>
          </w:tcPr>
          <w:p w14:paraId="180725B2" w14:textId="77777777" w:rsidR="00DD3EFA" w:rsidRPr="002D2123" w:rsidRDefault="00DD3EFA" w:rsidP="00B15ECB">
            <w:pPr>
              <w:rPr>
                <w:b/>
                <w:sz w:val="10"/>
                <w:szCs w:val="10"/>
              </w:rPr>
            </w:pPr>
          </w:p>
        </w:tc>
        <w:tc>
          <w:tcPr>
            <w:tcW w:w="81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3DCAFE" w14:textId="77777777" w:rsidR="00DD3EFA" w:rsidRPr="00EC2A1C" w:rsidRDefault="00DD3EFA"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0EA16E5C" w14:textId="77777777" w:rsidR="00DD3EFA" w:rsidRPr="00EC2A1C" w:rsidRDefault="00DD3EFA">
            <w:pPr>
              <w:spacing w:before="60" w:after="60"/>
              <w:rPr>
                <w:rFonts w:eastAsiaTheme="majorEastAsia"/>
              </w:rPr>
            </w:pPr>
          </w:p>
        </w:tc>
      </w:tr>
      <w:tr w:rsidR="00DD3EFA" w:rsidRPr="00EC2A1C" w14:paraId="344E6622" w14:textId="77777777" w:rsidTr="00B15ECB">
        <w:trPr>
          <w:trHeight w:val="1260"/>
        </w:trPr>
        <w:tc>
          <w:tcPr>
            <w:tcW w:w="249" w:type="dxa"/>
            <w:tcBorders>
              <w:top w:val="nil"/>
              <w:left w:val="single" w:sz="4" w:space="0" w:color="auto"/>
              <w:bottom w:val="nil"/>
              <w:right w:val="single" w:sz="4" w:space="0" w:color="auto"/>
            </w:tcBorders>
            <w:shd w:val="clear" w:color="auto" w:fill="66CCFF"/>
          </w:tcPr>
          <w:p w14:paraId="1E00C0AE"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C8CD5" w14:textId="77777777" w:rsidR="00DD3EFA" w:rsidRPr="002D2123" w:rsidRDefault="00DD3EFA" w:rsidP="00391907">
            <w:pPr>
              <w:pStyle w:val="Odstavecseseznamem"/>
              <w:numPr>
                <w:ilvl w:val="0"/>
                <w:numId w:val="5"/>
              </w:numPr>
              <w:spacing w:before="60" w:after="60"/>
              <w:jc w:val="both"/>
              <w:rPr>
                <w:rFonts w:eastAsiaTheme="majorEastAsia"/>
                <w:b/>
              </w:rPr>
            </w:pPr>
            <w:r w:rsidRPr="002D2123">
              <w:rPr>
                <w:rFonts w:eastAsiaTheme="majorEastAsia"/>
                <w:b/>
              </w:rPr>
              <w:t>Zhodnocení abs. kapacity v minulém a stávajícím období (tj. v období 2014 – 2020, příp. 2007 – 2013)</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E39502" w14:textId="77777777" w:rsidR="00DD3EFA" w:rsidRPr="00EC2A1C" w:rsidRDefault="00DD3EFA" w:rsidP="00B15ECB">
            <w:r w:rsidRPr="00EC2A1C">
              <w:t xml:space="preserve">V </w:t>
            </w:r>
            <w:r w:rsidRPr="00EC2A1C">
              <w:rPr>
                <w:b/>
              </w:rPr>
              <w:t>OPŽP 2007-2013</w:t>
            </w:r>
            <w:r w:rsidRPr="00EC2A1C">
              <w:t xml:space="preserve"> se počet projektů ve vyhlašovaných výzvách navyšoval a objem předložených žádostí předčil plánovanou alokaci. Podpořené aktivity vedly ke zvýšení podílu recyklovaných odpadů v ČR a ke zvýšenému podílu využitého komunálního odpadu. Celkově došlo ke zlepšení naplňování hierarchie nakládání s odpady. </w:t>
            </w:r>
          </w:p>
          <w:p w14:paraId="33D82819" w14:textId="77777777" w:rsidR="00DD3EFA" w:rsidRPr="00EC2A1C" w:rsidRDefault="00DD3EFA" w:rsidP="00B15ECB"/>
          <w:p w14:paraId="06870DAB" w14:textId="77777777" w:rsidR="00DD3EFA" w:rsidRPr="00EC2A1C" w:rsidRDefault="00DD3EFA" w:rsidP="00B15ECB">
            <w:pPr>
              <w:rPr>
                <w:b/>
              </w:rPr>
            </w:pPr>
            <w:r w:rsidRPr="00EC2A1C">
              <w:t xml:space="preserve">V </w:t>
            </w:r>
            <w:r w:rsidRPr="00EC2A1C">
              <w:rPr>
                <w:b/>
              </w:rPr>
              <w:t>OPŽP 2014-2020</w:t>
            </w:r>
            <w:r w:rsidRPr="00EC2A1C">
              <w:t xml:space="preserve"> je dle výročních zpráv reflektován zvyšující se zájem o podporované aktivity ze strany žadatelů. </w:t>
            </w:r>
          </w:p>
          <w:p w14:paraId="062410A6" w14:textId="77777777" w:rsidR="00DD3EFA" w:rsidRPr="00EC2A1C" w:rsidRDefault="00DD3EFA" w:rsidP="00B15ECB">
            <w:pPr>
              <w:rPr>
                <w:b/>
              </w:rPr>
            </w:pPr>
          </w:p>
          <w:p w14:paraId="309F5446" w14:textId="77777777" w:rsidR="00DD3EFA" w:rsidRPr="00EC2A1C" w:rsidRDefault="00DD3EFA" w:rsidP="00B15ECB">
            <w:pPr>
              <w:rPr>
                <w:b/>
              </w:rPr>
            </w:pPr>
            <w:r w:rsidRPr="00EC2A1C">
              <w:rPr>
                <w:b/>
              </w:rPr>
              <w:t>OPŽP 2014-2020 - Prioritní osa 3</w:t>
            </w:r>
          </w:p>
          <w:p w14:paraId="6B70BC19" w14:textId="77777777" w:rsidR="00DD3EFA" w:rsidRPr="00EC2A1C" w:rsidRDefault="00DD3EFA" w:rsidP="00B15ECB">
            <w:pPr>
              <w:rPr>
                <w:b/>
              </w:rPr>
            </w:pPr>
            <w:r w:rsidRPr="00EC2A1C">
              <w:rPr>
                <w:b/>
              </w:rPr>
              <w:t>Specifický cíl 3.1 Prevence vzniku odpadů</w:t>
            </w:r>
          </w:p>
          <w:p w14:paraId="5EECED89" w14:textId="77777777" w:rsidR="00DD3EFA" w:rsidRPr="00EC2A1C" w:rsidRDefault="00DD3EFA" w:rsidP="00B15ECB">
            <w:pPr>
              <w:rPr>
                <w:b/>
              </w:rPr>
            </w:pPr>
            <w:r w:rsidRPr="00EC2A1C">
              <w:rPr>
                <w:b/>
              </w:rPr>
              <w:t>Specifický cíl 3.2 Zvyšování podílu materiálového a energetického využití odpadů</w:t>
            </w:r>
          </w:p>
          <w:p w14:paraId="426194AF"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xml:space="preserve">Priority v oblasti odpadů a oběhového hospodářství určuje zejména Plán odpadového hospodářství ČR 2015-2024 jakožto základní strategický dokument a nástroj pro řízení odpadového hospodářství v ČR. Přechod na oběhové hospodářství je jedním ze strategických cílů POH ČR 2015 – 2024. </w:t>
            </w:r>
          </w:p>
          <w:p w14:paraId="3491D757"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Příspěvek OPŽP 2014-2020 k řešení specifických problémů v oblasti odpadového hospodářství tedy vychází z podpory projektů vedoucích ke snížení množství vznikajících odpadů a předcházení vzniku odpadů v souladu s hierarchií nakládání s odpady. Dále pak podporou technologií využívajících odpady a specifické druhy odpadů apod.</w:t>
            </w:r>
          </w:p>
          <w:p w14:paraId="59FEEF4F" w14:textId="77777777" w:rsidR="00DD3EFA" w:rsidRPr="00EC2A1C" w:rsidRDefault="00DD3EFA" w:rsidP="00B15ECB">
            <w:pPr>
              <w:pStyle w:val="Default"/>
              <w:jc w:val="both"/>
              <w:rPr>
                <w:rFonts w:ascii="Times New Roman" w:hAnsi="Times New Roman" w:cs="Times New Roman"/>
                <w:sz w:val="20"/>
                <w:szCs w:val="20"/>
              </w:rPr>
            </w:pPr>
          </w:p>
          <w:p w14:paraId="242F8736" w14:textId="77777777" w:rsidR="00DD3EFA" w:rsidRPr="00EC2A1C" w:rsidRDefault="00DD3EFA" w:rsidP="00391907">
            <w:pPr>
              <w:pStyle w:val="Default"/>
              <w:numPr>
                <w:ilvl w:val="0"/>
                <w:numId w:val="110"/>
              </w:numPr>
              <w:jc w:val="both"/>
              <w:rPr>
                <w:rFonts w:ascii="Times New Roman" w:hAnsi="Times New Roman" w:cs="Times New Roman"/>
                <w:sz w:val="20"/>
                <w:szCs w:val="20"/>
              </w:rPr>
            </w:pPr>
            <w:r w:rsidRPr="00EC2A1C">
              <w:rPr>
                <w:rFonts w:ascii="Times New Roman" w:hAnsi="Times New Roman" w:cs="Times New Roman"/>
                <w:sz w:val="20"/>
                <w:szCs w:val="20"/>
              </w:rPr>
              <w:t>Specifický cíl 3.1 „Předcházení vzniku odpadů“</w:t>
            </w:r>
          </w:p>
          <w:p w14:paraId="4E62F078"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xml:space="preserve"> - zahrnuje dvě podporované aktivity:</w:t>
            </w:r>
          </w:p>
          <w:p w14:paraId="44AFFADE"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Aktivita 3.1.1 – Předcházení vzniku komunálních odpadů</w:t>
            </w:r>
          </w:p>
          <w:p w14:paraId="2E37F73B"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Aktivita 3.1.2 – Předcházení vzniku průmyslových odpadů</w:t>
            </w:r>
          </w:p>
          <w:p w14:paraId="34147172" w14:textId="77777777" w:rsidR="00DD3EFA" w:rsidRPr="00EC2A1C" w:rsidRDefault="00DD3EFA" w:rsidP="00B15ECB">
            <w:pPr>
              <w:pStyle w:val="Default"/>
              <w:jc w:val="both"/>
              <w:rPr>
                <w:rFonts w:ascii="Times New Roman" w:hAnsi="Times New Roman" w:cs="Times New Roman"/>
                <w:sz w:val="20"/>
                <w:szCs w:val="20"/>
              </w:rPr>
            </w:pPr>
          </w:p>
          <w:p w14:paraId="0F50E22E"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xml:space="preserve">Mezi hlavní cíle patří: </w:t>
            </w:r>
          </w:p>
          <w:p w14:paraId="2D01C84B"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předcházet vzniku komunálních odpadů</w:t>
            </w:r>
          </w:p>
          <w:p w14:paraId="386DA6F6"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předcházet vzniku průmyslových odpadů</w:t>
            </w:r>
          </w:p>
          <w:p w14:paraId="61AAEA4E"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podporovat zavádění systému door-to-door ve smyslu prevence vzniku odpadů</w:t>
            </w:r>
          </w:p>
          <w:p w14:paraId="74EBA25A"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podporovat přípravu výrobků na konci životnosti pro opětovné použití</w:t>
            </w:r>
          </w:p>
          <w:p w14:paraId="0EC045BE" w14:textId="77777777" w:rsidR="00DD3EFA" w:rsidRPr="00EC2A1C" w:rsidRDefault="00DD3EFA" w:rsidP="00B15ECB">
            <w:pPr>
              <w:pStyle w:val="Default"/>
              <w:jc w:val="both"/>
              <w:rPr>
                <w:rFonts w:ascii="Times New Roman" w:hAnsi="Times New Roman" w:cs="Times New Roman"/>
                <w:sz w:val="20"/>
                <w:szCs w:val="20"/>
              </w:rPr>
            </w:pPr>
          </w:p>
          <w:p w14:paraId="014044FF" w14:textId="77777777" w:rsidR="00DD3EFA" w:rsidRPr="00EC2A1C" w:rsidRDefault="00DD3EFA" w:rsidP="00B15ECB">
            <w:pPr>
              <w:spacing w:before="60" w:after="60" w:line="276" w:lineRule="auto"/>
            </w:pPr>
            <w:r w:rsidRPr="00EC2A1C">
              <w:t>Ke dni 15. 1. 2019 bylo ve SC 3.1 zaregistrováno celkem 1052 projektových žádostí s celkovým požadovaným příspěvkem EU ve výši cca 1,6 mld. Kč, z toho 377 žádostí (s příspěvkem EU ve výši cca 611 mil. Kč) bylo schváleno. Všechny schválené projekty mají aktuálně vydaný právní akt.</w:t>
            </w:r>
          </w:p>
          <w:p w14:paraId="19A39C3E" w14:textId="77777777" w:rsidR="00DD3EFA" w:rsidRPr="00EC2A1C" w:rsidRDefault="00DD3EFA" w:rsidP="00B15ECB">
            <w:pPr>
              <w:pStyle w:val="Default"/>
              <w:jc w:val="both"/>
              <w:rPr>
                <w:rFonts w:ascii="Times New Roman" w:hAnsi="Times New Roman" w:cs="Times New Roman"/>
                <w:sz w:val="20"/>
                <w:szCs w:val="20"/>
              </w:rPr>
            </w:pPr>
          </w:p>
          <w:p w14:paraId="34ADB371"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xml:space="preserve">Největší zájem je ze strany žadatelů o podporovanou aktivitu 3.1.1 Prevenci vzniku komunálních odpadů, prostřednictvím domácích kompostérů pro občany. </w:t>
            </w:r>
          </w:p>
          <w:p w14:paraId="06C9CEE2" w14:textId="77777777" w:rsidR="00DD3EFA" w:rsidRPr="00EC2A1C" w:rsidRDefault="00DD3EFA" w:rsidP="00B15ECB">
            <w:pPr>
              <w:pStyle w:val="Default"/>
              <w:jc w:val="both"/>
              <w:rPr>
                <w:rFonts w:ascii="Times New Roman" w:hAnsi="Times New Roman" w:cs="Times New Roman"/>
                <w:sz w:val="20"/>
                <w:szCs w:val="20"/>
              </w:rPr>
            </w:pPr>
          </w:p>
          <w:p w14:paraId="07126140"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Podpora aktivity 3.1.2 – Předcházení vzniku průmyslových odpadů byla umožněna v 68. výzvě, v níž byl zájem minimální, předložena byla pouze jedna žádost. Zájem ze strany žadatelů snižovaly stanovené podmínky a omezení (veř. podpora, snížená míra dotace). Dále byla podpora aktivity umožněna ve 103. výzvě.</w:t>
            </w:r>
          </w:p>
          <w:p w14:paraId="6729855D" w14:textId="77777777" w:rsidR="00DD3EFA" w:rsidRPr="00EC2A1C" w:rsidRDefault="00DD3EFA" w:rsidP="00B15ECB">
            <w:pPr>
              <w:pStyle w:val="Default"/>
              <w:jc w:val="both"/>
              <w:rPr>
                <w:rFonts w:ascii="Times New Roman" w:hAnsi="Times New Roman" w:cs="Times New Roman"/>
                <w:sz w:val="20"/>
                <w:szCs w:val="20"/>
              </w:rPr>
            </w:pPr>
          </w:p>
          <w:p w14:paraId="3EEE3051"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xml:space="preserve">Opatření k prevenci vzniku odpadů byla prozatím podpořena v rámci 40. a 68. a 103. dotační výzvy. </w:t>
            </w:r>
          </w:p>
          <w:p w14:paraId="52C06865" w14:textId="77777777" w:rsidR="00DD3EFA" w:rsidRPr="00EC2A1C" w:rsidRDefault="00DD3EFA" w:rsidP="00B15ECB">
            <w:pPr>
              <w:pStyle w:val="Default"/>
              <w:jc w:val="both"/>
              <w:rPr>
                <w:rFonts w:ascii="Times New Roman" w:hAnsi="Times New Roman" w:cs="Times New Roman"/>
                <w:sz w:val="20"/>
                <w:szCs w:val="20"/>
              </w:rPr>
            </w:pPr>
          </w:p>
          <w:p w14:paraId="3A71C3C8" w14:textId="77777777" w:rsidR="00DD3EFA" w:rsidRPr="00EC2A1C" w:rsidRDefault="00DD3EFA" w:rsidP="00391907">
            <w:pPr>
              <w:pStyle w:val="Default"/>
              <w:numPr>
                <w:ilvl w:val="0"/>
                <w:numId w:val="110"/>
              </w:numPr>
              <w:jc w:val="both"/>
              <w:rPr>
                <w:rFonts w:ascii="Times New Roman" w:hAnsi="Times New Roman" w:cs="Times New Roman"/>
                <w:sz w:val="20"/>
                <w:szCs w:val="20"/>
              </w:rPr>
            </w:pPr>
            <w:r w:rsidRPr="00EC2A1C">
              <w:rPr>
                <w:rFonts w:ascii="Times New Roman" w:hAnsi="Times New Roman" w:cs="Times New Roman"/>
                <w:sz w:val="20"/>
                <w:szCs w:val="20"/>
              </w:rPr>
              <w:t xml:space="preserve">Specifický cíl 3.2 Zvýšit podíl materiálového a energetického využití odpadů </w:t>
            </w:r>
          </w:p>
          <w:p w14:paraId="3970A85F"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zahrnuje čtyři podporované aktivity</w:t>
            </w:r>
          </w:p>
          <w:p w14:paraId="31F820C0" w14:textId="77777777" w:rsidR="00DD3EFA" w:rsidRPr="00EC2A1C" w:rsidRDefault="00DD3EFA" w:rsidP="00B15ECB">
            <w:pPr>
              <w:pStyle w:val="Default"/>
              <w:jc w:val="both"/>
              <w:rPr>
                <w:rFonts w:ascii="Times New Roman" w:hAnsi="Times New Roman" w:cs="Times New Roman"/>
                <w:sz w:val="20"/>
                <w:szCs w:val="20"/>
              </w:rPr>
            </w:pPr>
          </w:p>
          <w:p w14:paraId="170D303B"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Aktivita 3.2.1 – Výstavba a modernizace zařízení pro sběr třídění a úpravu odpadů</w:t>
            </w:r>
          </w:p>
          <w:p w14:paraId="70001009" w14:textId="77777777" w:rsidR="00DD3EFA" w:rsidRPr="00EC2A1C" w:rsidRDefault="00DD3EFA" w:rsidP="00B15ECB">
            <w:pPr>
              <w:pStyle w:val="Default"/>
              <w:jc w:val="both"/>
              <w:rPr>
                <w:rFonts w:ascii="Times New Roman" w:hAnsi="Times New Roman" w:cs="Times New Roman"/>
                <w:sz w:val="20"/>
                <w:szCs w:val="20"/>
              </w:rPr>
            </w:pPr>
          </w:p>
          <w:p w14:paraId="4D7429D9"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Aktivita 3.2.2 – Výstavba a modernizace zařízení pro materiálové využití odpadů</w:t>
            </w:r>
          </w:p>
          <w:p w14:paraId="7C7637FB" w14:textId="77777777" w:rsidR="00DD3EFA" w:rsidRPr="00EC2A1C" w:rsidRDefault="00DD3EFA" w:rsidP="00B15ECB">
            <w:pPr>
              <w:pStyle w:val="Default"/>
              <w:jc w:val="both"/>
              <w:rPr>
                <w:rFonts w:ascii="Times New Roman" w:hAnsi="Times New Roman" w:cs="Times New Roman"/>
                <w:sz w:val="20"/>
                <w:szCs w:val="20"/>
              </w:rPr>
            </w:pPr>
          </w:p>
          <w:p w14:paraId="5E4E8354"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Aktivita 3.2.3 – Výstavba a modernizace zařízení pro energetické využití odpadů a související infrastruktury</w:t>
            </w:r>
          </w:p>
          <w:p w14:paraId="05112422" w14:textId="77777777" w:rsidR="00DD3EFA" w:rsidRPr="00EC2A1C" w:rsidRDefault="00DD3EFA" w:rsidP="00B15ECB">
            <w:pPr>
              <w:pStyle w:val="Default"/>
              <w:jc w:val="both"/>
              <w:rPr>
                <w:rFonts w:ascii="Times New Roman" w:hAnsi="Times New Roman" w:cs="Times New Roman"/>
                <w:sz w:val="20"/>
                <w:szCs w:val="20"/>
              </w:rPr>
            </w:pPr>
          </w:p>
          <w:p w14:paraId="7DA3CE11"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Aktivita 3.2.4 – Výstavba a modernizace zařízení pro nakládání s nebezpečnými odpady včetně zdravotnických odpadů.</w:t>
            </w:r>
          </w:p>
          <w:p w14:paraId="10255857" w14:textId="77777777" w:rsidR="00DD3EFA" w:rsidRPr="00EC2A1C" w:rsidRDefault="00DD3EFA" w:rsidP="00B15ECB">
            <w:pPr>
              <w:pStyle w:val="Default"/>
              <w:jc w:val="both"/>
              <w:rPr>
                <w:rFonts w:ascii="Times New Roman" w:hAnsi="Times New Roman" w:cs="Times New Roman"/>
                <w:sz w:val="20"/>
                <w:szCs w:val="20"/>
              </w:rPr>
            </w:pPr>
          </w:p>
          <w:p w14:paraId="03BAC652"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xml:space="preserve">Mezi hlavní cíle patří: </w:t>
            </w:r>
          </w:p>
          <w:p w14:paraId="2F56DA8F"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podporovat způsoby nakládání s odpady, využívající odpad jako zdroj druhotných surovin</w:t>
            </w:r>
          </w:p>
          <w:p w14:paraId="320B5E37"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podporovat recyklaci a nakládání s odpady vedoucí ke zvýšení ekonomické hodnoty odpadu</w:t>
            </w:r>
          </w:p>
          <w:p w14:paraId="792A3BA5"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podporovat oddělený sběr odpadů</w:t>
            </w:r>
          </w:p>
          <w:p w14:paraId="643F16B6"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podporovat systémy odděleně sbíraných specifických druhů odpadů a tzv. „door to door“ systém</w:t>
            </w:r>
          </w:p>
          <w:p w14:paraId="63572200" w14:textId="77777777" w:rsidR="00DD3EFA" w:rsidRPr="00EC2A1C" w:rsidRDefault="00DD3EFA" w:rsidP="00B15ECB">
            <w:pPr>
              <w:pStyle w:val="Default"/>
              <w:jc w:val="both"/>
              <w:rPr>
                <w:rFonts w:ascii="Times New Roman" w:hAnsi="Times New Roman" w:cs="Times New Roman"/>
                <w:sz w:val="20"/>
                <w:szCs w:val="20"/>
              </w:rPr>
            </w:pPr>
          </w:p>
          <w:p w14:paraId="20C04AB2" w14:textId="77777777" w:rsidR="00DD3EFA" w:rsidRPr="00EC2A1C" w:rsidRDefault="00DD3EFA" w:rsidP="00B15ECB">
            <w:pPr>
              <w:pStyle w:val="Default"/>
              <w:jc w:val="both"/>
              <w:rPr>
                <w:rFonts w:ascii="Times New Roman" w:hAnsi="Times New Roman" w:cs="Times New Roman"/>
                <w:sz w:val="20"/>
                <w:szCs w:val="20"/>
              </w:rPr>
            </w:pPr>
            <w:r w:rsidRPr="00EC2A1C">
              <w:rPr>
                <w:rFonts w:ascii="Times New Roman" w:hAnsi="Times New Roman" w:cs="Times New Roman"/>
                <w:sz w:val="20"/>
                <w:szCs w:val="20"/>
              </w:rPr>
              <w:t xml:space="preserve">Na podporu těchto opatření byly v aktuálním programovém období doposud vyhlášeno celkem 6 dotačních výzev, z toho 2 zatím s ohledem na termíny pro příjem žádostí nebyly prozatím vyhodnoceny. </w:t>
            </w:r>
          </w:p>
          <w:p w14:paraId="0BFE4956" w14:textId="77777777" w:rsidR="00DD3EFA" w:rsidRPr="00EC2A1C" w:rsidRDefault="00DD3EFA" w:rsidP="00B15ECB">
            <w:pPr>
              <w:pStyle w:val="Default"/>
              <w:jc w:val="both"/>
              <w:rPr>
                <w:rFonts w:ascii="Times New Roman" w:hAnsi="Times New Roman" w:cs="Times New Roman"/>
                <w:sz w:val="20"/>
                <w:szCs w:val="20"/>
              </w:rPr>
            </w:pPr>
          </w:p>
          <w:p w14:paraId="35502456" w14:textId="77777777" w:rsidR="00DD3EFA" w:rsidRPr="00EC2A1C" w:rsidRDefault="00DD3EFA" w:rsidP="00B15ECB">
            <w:pPr>
              <w:pStyle w:val="Default"/>
              <w:jc w:val="both"/>
              <w:rPr>
                <w:rFonts w:ascii="Times New Roman" w:hAnsi="Times New Roman" w:cs="Times New Roman"/>
                <w:sz w:val="20"/>
                <w:szCs w:val="20"/>
                <w:lang w:eastAsia="en-GB"/>
              </w:rPr>
            </w:pPr>
            <w:r w:rsidRPr="00EC2A1C">
              <w:rPr>
                <w:rFonts w:ascii="Times New Roman" w:hAnsi="Times New Roman" w:cs="Times New Roman"/>
                <w:sz w:val="20"/>
                <w:szCs w:val="20"/>
                <w:lang w:eastAsia="en-GB"/>
              </w:rPr>
              <w:t>Od začátku programového období</w:t>
            </w:r>
            <w:r w:rsidRPr="00EC2A1C">
              <w:rPr>
                <w:rFonts w:ascii="Times New Roman" w:hAnsi="Times New Roman" w:cs="Times New Roman"/>
                <w:sz w:val="20"/>
                <w:szCs w:val="20"/>
              </w:rPr>
              <w:t xml:space="preserve"> bylo ke zvýšení podílu </w:t>
            </w:r>
            <w:r w:rsidRPr="00EC2A1C">
              <w:rPr>
                <w:rFonts w:ascii="Times New Roman" w:hAnsi="Times New Roman" w:cs="Times New Roman"/>
                <w:sz w:val="20"/>
                <w:szCs w:val="20"/>
                <w:lang w:eastAsia="en-GB"/>
              </w:rPr>
              <w:t xml:space="preserve">materiálového a energetického využití odpadů předloženo 1984 projektových žádostí. Výběrová komise prozatím doporučila k financování 1138 projektů za 3,94 mld. Kč příspěvku EU, z toho 1066 projektů (s příspěvkem EU ve výši cca 3,3 mld. Kč) je v realizaci. </w:t>
            </w:r>
          </w:p>
          <w:p w14:paraId="5E8EC4A4" w14:textId="77777777" w:rsidR="00DD3EFA" w:rsidRPr="00EC2A1C" w:rsidRDefault="00DD3EFA" w:rsidP="00B15ECB">
            <w:pPr>
              <w:pStyle w:val="Default"/>
              <w:jc w:val="both"/>
              <w:rPr>
                <w:rFonts w:ascii="Times New Roman" w:hAnsi="Times New Roman" w:cs="Times New Roman"/>
                <w:sz w:val="20"/>
                <w:szCs w:val="20"/>
                <w:lang w:eastAsia="en-GB"/>
              </w:rPr>
            </w:pPr>
          </w:p>
          <w:p w14:paraId="261AB9C5" w14:textId="77777777" w:rsidR="00DD3EFA" w:rsidRPr="00EC2A1C" w:rsidRDefault="00DD3EFA" w:rsidP="00B15ECB">
            <w:pPr>
              <w:pStyle w:val="Default"/>
              <w:jc w:val="both"/>
              <w:rPr>
                <w:rFonts w:ascii="Times New Roman" w:hAnsi="Times New Roman" w:cs="Times New Roman"/>
                <w:sz w:val="20"/>
                <w:szCs w:val="20"/>
                <w:lang w:eastAsia="en-GB"/>
              </w:rPr>
            </w:pPr>
            <w:r w:rsidRPr="00EC2A1C">
              <w:rPr>
                <w:rFonts w:ascii="Times New Roman" w:hAnsi="Times New Roman" w:cs="Times New Roman"/>
                <w:sz w:val="20"/>
                <w:szCs w:val="20"/>
                <w:lang w:eastAsia="en-GB"/>
              </w:rPr>
              <w:t>Největší zájem ze strany žadatelů je v tomto SC o podporu na oddělený sběr odpadů a sběrné dvory. Velký zájem byl také o podporu kompostáren, které byly podporovány v prvních výzvách. Množství kompostáren se již nyní na většině území ČR jeví jako dostatečné, proto již nejsou z OPŽP podporovány.</w:t>
            </w:r>
          </w:p>
          <w:p w14:paraId="6A558D83" w14:textId="77777777" w:rsidR="00DD3EFA" w:rsidRPr="00EC2A1C" w:rsidRDefault="00DD3EFA" w:rsidP="00B15ECB">
            <w:pPr>
              <w:pStyle w:val="Default"/>
              <w:jc w:val="both"/>
              <w:rPr>
                <w:rFonts w:ascii="Times New Roman" w:hAnsi="Times New Roman" w:cs="Times New Roman"/>
                <w:sz w:val="20"/>
                <w:szCs w:val="20"/>
                <w:lang w:eastAsia="en-GB"/>
              </w:rPr>
            </w:pPr>
          </w:p>
          <w:p w14:paraId="6F22B759" w14:textId="77777777" w:rsidR="00DD3EFA" w:rsidRPr="00EC2A1C" w:rsidRDefault="00DD3EFA" w:rsidP="00B15ECB">
            <w:pPr>
              <w:pStyle w:val="Default"/>
              <w:jc w:val="both"/>
              <w:rPr>
                <w:rFonts w:ascii="Times New Roman" w:hAnsi="Times New Roman" w:cs="Times New Roman"/>
                <w:sz w:val="20"/>
                <w:szCs w:val="20"/>
                <w:lang w:eastAsia="en-GB"/>
              </w:rPr>
            </w:pPr>
            <w:r w:rsidRPr="00EC2A1C">
              <w:rPr>
                <w:rFonts w:ascii="Times New Roman" w:hAnsi="Times New Roman" w:cs="Times New Roman"/>
                <w:sz w:val="20"/>
                <w:szCs w:val="20"/>
                <w:lang w:eastAsia="en-GB"/>
              </w:rPr>
              <w:t xml:space="preserve">Obecně ve SC 3.2 zájem o podporu výrazně převyšuje alokace výzev. Např. v rámci 69. výzvy s alokací 800 mil. Kč byly předloženy projekty za cca 2,6 mld. Kč požadovaného příspěvku EU.  Nižší zájem byl jen u 23. výzvy, která byla zaměřena pouze na podporu bioplynových stanic.  </w:t>
            </w:r>
          </w:p>
          <w:p w14:paraId="21E0CC97" w14:textId="77777777" w:rsidR="00DD3EFA" w:rsidRPr="00EC2A1C" w:rsidRDefault="00DD3EFA" w:rsidP="00B15ECB">
            <w:pPr>
              <w:pStyle w:val="Default"/>
              <w:jc w:val="both"/>
              <w:rPr>
                <w:rFonts w:ascii="Times New Roman" w:hAnsi="Times New Roman" w:cs="Times New Roman"/>
                <w:sz w:val="20"/>
                <w:szCs w:val="20"/>
                <w:lang w:eastAsia="en-GB"/>
              </w:rPr>
            </w:pPr>
          </w:p>
          <w:p w14:paraId="48158F0D" w14:textId="77777777" w:rsidR="00DD3EFA" w:rsidRPr="00EC2A1C" w:rsidRDefault="00DD3EFA" w:rsidP="00B15ECB">
            <w:pPr>
              <w:pStyle w:val="Default"/>
              <w:jc w:val="both"/>
              <w:rPr>
                <w:rFonts w:ascii="Times New Roman" w:hAnsi="Times New Roman" w:cs="Times New Roman"/>
                <w:sz w:val="20"/>
                <w:szCs w:val="20"/>
                <w:lang w:eastAsia="en-GB"/>
              </w:rPr>
            </w:pPr>
          </w:p>
          <w:p w14:paraId="7E1DC986" w14:textId="77777777" w:rsidR="00DD3EFA" w:rsidRPr="00EC2A1C" w:rsidRDefault="00DD3EFA" w:rsidP="00B15ECB">
            <w:pPr>
              <w:rPr>
                <w:b/>
              </w:rPr>
            </w:pPr>
            <w:r w:rsidRPr="00EC2A1C">
              <w:rPr>
                <w:b/>
              </w:rPr>
              <w:t>OP PIK 2014-2020 Prioritní osa 3</w:t>
            </w:r>
          </w:p>
          <w:p w14:paraId="57C917C8" w14:textId="77777777" w:rsidR="00DD3EFA" w:rsidRPr="00EC2A1C" w:rsidRDefault="00DD3EFA" w:rsidP="00B15ECB">
            <w:pPr>
              <w:rPr>
                <w:b/>
              </w:rPr>
            </w:pPr>
            <w:r w:rsidRPr="00EC2A1C">
              <w:rPr>
                <w:b/>
              </w:rPr>
              <w:t>Program 3/3.4. Nízkouhlíkové technologie</w:t>
            </w:r>
          </w:p>
          <w:p w14:paraId="58A24878" w14:textId="77777777" w:rsidR="00DD3EFA" w:rsidRPr="00EC2A1C" w:rsidRDefault="00DD3EFA" w:rsidP="00B15ECB">
            <w:pPr>
              <w:pStyle w:val="Default"/>
              <w:jc w:val="both"/>
              <w:rPr>
                <w:rFonts w:ascii="Times New Roman" w:hAnsi="Times New Roman" w:cs="Times New Roman"/>
                <w:b/>
                <w:sz w:val="20"/>
                <w:szCs w:val="20"/>
              </w:rPr>
            </w:pPr>
            <w:r w:rsidRPr="00EC2A1C">
              <w:rPr>
                <w:rFonts w:ascii="Times New Roman" w:hAnsi="Times New Roman" w:cs="Times New Roman"/>
                <w:b/>
                <w:sz w:val="20"/>
                <w:szCs w:val="20"/>
              </w:rPr>
              <w:t>Specifický cíl 3.4 Uplatnit inovativní nízkouhlíkové technologie v oblasti nakládání energií a při využívání druhotných surovin</w:t>
            </w:r>
          </w:p>
          <w:p w14:paraId="64C30440" w14:textId="77777777" w:rsidR="00DD3EFA" w:rsidRPr="00EC2A1C" w:rsidRDefault="00DD3EFA" w:rsidP="00B15ECB">
            <w:pPr>
              <w:rPr>
                <w:lang w:eastAsia="cs-CZ"/>
              </w:rPr>
            </w:pPr>
            <w:r w:rsidRPr="00EC2A1C">
              <w:rPr>
                <w:bCs/>
                <w:lang w:eastAsia="cs-CZ"/>
              </w:rPr>
              <w:t xml:space="preserve">Cílem programu podpory a Výzvy je podpořit konkurenceschopnost podniků a udržitelnost české ekonomiky prostřednictvím zaváděním inovativních technologií v oblasti elektromobility, nakládání s energií a </w:t>
            </w:r>
            <w:r w:rsidRPr="00EC2A1C">
              <w:rPr>
                <w:b/>
                <w:bCs/>
                <w:lang w:eastAsia="cs-CZ"/>
              </w:rPr>
              <w:t>využití druhotných surovin</w:t>
            </w:r>
            <w:r w:rsidRPr="00EC2A1C">
              <w:rPr>
                <w:bCs/>
                <w:lang w:eastAsia="cs-CZ"/>
              </w:rPr>
              <w:t>. Dalším cílem je zvýšení využití efektivnějších a spolehlivějších nízkouhlíkových technologií, které se zatím v ČR běžně neuplatňují. Výstupem projektů realizovaných v rámci této Výzvy je rozšiřování nabíjecí infrastruktury, počet pořízených elektromobilů, využití potenciálu pro zavádění moderních nízkouhlíkových technologií v oblasti nakládání energií a zvýšení soběstačnosti ČR v surovinových zdrojích substitucí primárních zdrojů druhotnými surovinami, čímž se zvyšuje vedle konkurenceschopnosti rovněž i celkový inovační potenciál ČR.</w:t>
            </w:r>
          </w:p>
          <w:p w14:paraId="2886F13B" w14:textId="77777777" w:rsidR="00DD3EFA" w:rsidRPr="00EC2A1C" w:rsidRDefault="00DD3EFA" w:rsidP="00B15ECB">
            <w:pPr>
              <w:pStyle w:val="Default"/>
              <w:jc w:val="both"/>
              <w:rPr>
                <w:rFonts w:ascii="Times New Roman" w:hAnsi="Times New Roman" w:cs="Times New Roman"/>
                <w:b/>
                <w:sz w:val="20"/>
                <w:szCs w:val="20"/>
              </w:rPr>
            </w:pPr>
            <w:r w:rsidRPr="00EC2A1C">
              <w:rPr>
                <w:rFonts w:ascii="Times New Roman" w:hAnsi="Times New Roman" w:cs="Times New Roman"/>
                <w:b/>
                <w:sz w:val="20"/>
                <w:szCs w:val="20"/>
              </w:rPr>
              <w:t>Podporované aktivity:</w:t>
            </w:r>
          </w:p>
          <w:p w14:paraId="5BE12013" w14:textId="77777777" w:rsidR="00DD3EFA" w:rsidRPr="00EC2A1C" w:rsidRDefault="00DD3EFA" w:rsidP="00391907">
            <w:pPr>
              <w:pStyle w:val="Odstavecseseznamem"/>
              <w:numPr>
                <w:ilvl w:val="0"/>
                <w:numId w:val="112"/>
              </w:numPr>
              <w:jc w:val="both"/>
            </w:pPr>
            <w:r w:rsidRPr="00EC2A1C">
              <w:t>zavádění technologií k získávání druhotných surovin v kvalitě vhodné pro další využití v průmyslové výrobě např. z použitého papíru, skla, kovů, pneumatik, textilu, plastů, stavebních a demoličních odpadů, vedlejších energetických produktů a řady dalších výrobků s ukončenou životností,</w:t>
            </w:r>
          </w:p>
          <w:p w14:paraId="66986938" w14:textId="77777777" w:rsidR="00DD3EFA" w:rsidRPr="00EC2A1C" w:rsidRDefault="00DD3EFA" w:rsidP="00391907">
            <w:pPr>
              <w:pStyle w:val="Odstavecseseznamem"/>
              <w:numPr>
                <w:ilvl w:val="0"/>
                <w:numId w:val="112"/>
              </w:numPr>
              <w:jc w:val="both"/>
            </w:pPr>
            <w:r w:rsidRPr="00EC2A1C">
              <w:t>zavádění inovativních technologií, kterými se budou z použitých výrobků získávat efektivním způsobem cenné druhotné suroviny, které jsou v ČR i v EU deficitní (zejména kritické suroviny),</w:t>
            </w:r>
          </w:p>
          <w:p w14:paraId="00096DE7" w14:textId="77777777" w:rsidR="00DD3EFA" w:rsidRPr="00EC2A1C" w:rsidRDefault="00DD3EFA" w:rsidP="00391907">
            <w:pPr>
              <w:pStyle w:val="Odstavecseseznamem"/>
              <w:numPr>
                <w:ilvl w:val="0"/>
                <w:numId w:val="112"/>
              </w:numPr>
              <w:jc w:val="both"/>
            </w:pPr>
            <w:r w:rsidRPr="00EC2A1C">
              <w:t>zavádění inovativních technologií na výrobu inovativních výrobků vyrobených z druhotných surovin, včetně náhrad primárních zdrojů druhotnými surovinami, tam kde je to ekonomicky výhodné.</w:t>
            </w:r>
          </w:p>
          <w:p w14:paraId="04C9E142" w14:textId="77777777" w:rsidR="00DD3EFA" w:rsidRPr="00EC2A1C" w:rsidRDefault="00DD3EFA" w:rsidP="00B15ECB">
            <w:pPr>
              <w:pStyle w:val="Default"/>
              <w:jc w:val="both"/>
              <w:rPr>
                <w:rFonts w:ascii="Times New Roman" w:hAnsi="Times New Roman" w:cs="Times New Roman"/>
                <w:sz w:val="20"/>
                <w:szCs w:val="20"/>
              </w:rPr>
            </w:pPr>
          </w:p>
          <w:p w14:paraId="4FD34624"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Přehled výzev v rámci SC 3.4. – Druhotné suroviny, celkem bylo dosud schváleno 39 projektů.</w:t>
            </w:r>
          </w:p>
          <w:p w14:paraId="7736BE2B" w14:textId="77777777" w:rsidR="00DD3EFA" w:rsidRPr="00EC2A1C" w:rsidRDefault="00DD3EFA" w:rsidP="00391907">
            <w:pPr>
              <w:pStyle w:val="Odstavecseseznamem"/>
              <w:numPr>
                <w:ilvl w:val="0"/>
                <w:numId w:val="112"/>
              </w:numPr>
              <w:jc w:val="both"/>
            </w:pPr>
            <w:r w:rsidRPr="00EC2A1C">
              <w:t>I. výzva - schváleno 19 projektů. Souhrnná výše podpory cca 173 mil. Kč</w:t>
            </w:r>
          </w:p>
          <w:p w14:paraId="0A2A5F40" w14:textId="77777777" w:rsidR="00DD3EFA" w:rsidRPr="00EC2A1C" w:rsidRDefault="00DD3EFA" w:rsidP="00391907">
            <w:pPr>
              <w:pStyle w:val="Odstavecseseznamem"/>
              <w:numPr>
                <w:ilvl w:val="0"/>
                <w:numId w:val="112"/>
              </w:numPr>
              <w:jc w:val="both"/>
            </w:pPr>
            <w:r w:rsidRPr="00EC2A1C">
              <w:t>II. výzva -</w:t>
            </w:r>
            <w:r w:rsidRPr="00EC2A1C">
              <w:tab/>
              <w:t>schváleno 11 projektů. Souhrnná výše podpory cca 159 mil. Kč.</w:t>
            </w:r>
          </w:p>
          <w:p w14:paraId="1694D5D2" w14:textId="77777777" w:rsidR="00DD3EFA" w:rsidRPr="00EC2A1C" w:rsidRDefault="00DD3EFA" w:rsidP="00391907">
            <w:pPr>
              <w:pStyle w:val="Odstavecseseznamem"/>
              <w:numPr>
                <w:ilvl w:val="0"/>
                <w:numId w:val="112"/>
              </w:numPr>
              <w:jc w:val="both"/>
            </w:pPr>
            <w:r w:rsidRPr="00EC2A1C">
              <w:t>III. výzva – schváleno 9 projektů. Souhrnná výše podpory cca 215 mil. Kč.</w:t>
            </w:r>
          </w:p>
          <w:p w14:paraId="66DB9C46" w14:textId="77777777" w:rsidR="00DD3EFA" w:rsidRPr="00EC2A1C" w:rsidRDefault="00DD3EFA" w:rsidP="00391907">
            <w:pPr>
              <w:pStyle w:val="Odstavecseseznamem"/>
              <w:numPr>
                <w:ilvl w:val="0"/>
                <w:numId w:val="112"/>
              </w:numPr>
              <w:jc w:val="both"/>
            </w:pPr>
            <w:r w:rsidRPr="00EC2A1C">
              <w:rPr>
                <w:lang w:val="en-US"/>
              </w:rPr>
              <w:t>IV. v</w:t>
            </w:r>
            <w:r w:rsidRPr="00EC2A1C">
              <w:t>ýz</w:t>
            </w:r>
            <w:r w:rsidRPr="00EC2A1C">
              <w:rPr>
                <w:lang w:val="en-US"/>
              </w:rPr>
              <w:t>va – vyhlášena 30.11.2018, termín podání žádostí je stanoven do 31.5.2019, alokace pro aktivitu Druhotné suroviny je stanovena ve výši 500 mil. Kč</w:t>
            </w:r>
          </w:p>
          <w:p w14:paraId="1207121C" w14:textId="77777777" w:rsidR="00DD3EFA" w:rsidRPr="00EC2A1C" w:rsidRDefault="00DD3EFA" w:rsidP="00B15ECB">
            <w:pPr>
              <w:spacing w:before="60" w:after="60"/>
              <w:rPr>
                <w:rFonts w:eastAsiaTheme="majorEastAsia"/>
                <w:i/>
              </w:rPr>
            </w:pPr>
          </w:p>
        </w:tc>
      </w:tr>
      <w:tr w:rsidR="00DD3EFA" w:rsidRPr="002D2123" w14:paraId="7B77B62E" w14:textId="77777777" w:rsidTr="00B15ECB">
        <w:trPr>
          <w:trHeight w:val="850"/>
        </w:trPr>
        <w:tc>
          <w:tcPr>
            <w:tcW w:w="249" w:type="dxa"/>
            <w:tcBorders>
              <w:top w:val="nil"/>
              <w:left w:val="single" w:sz="4" w:space="0" w:color="auto"/>
              <w:bottom w:val="nil"/>
              <w:right w:val="single" w:sz="4" w:space="0" w:color="auto"/>
            </w:tcBorders>
            <w:shd w:val="clear" w:color="auto" w:fill="66CCFF"/>
          </w:tcPr>
          <w:p w14:paraId="3EB0F567"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33C19" w14:textId="77777777" w:rsidR="00DD3EFA" w:rsidRPr="002D2123" w:rsidRDefault="00DD3EFA" w:rsidP="00391907">
            <w:pPr>
              <w:pStyle w:val="Odstavecseseznamem"/>
              <w:numPr>
                <w:ilvl w:val="0"/>
                <w:numId w:val="5"/>
              </w:numPr>
              <w:spacing w:before="60" w:after="60"/>
              <w:jc w:val="both"/>
              <w:rPr>
                <w:rFonts w:eastAsiaTheme="majorEastAsia"/>
                <w:b/>
              </w:rPr>
            </w:pPr>
            <w:r w:rsidRPr="002D2123">
              <w:rPr>
                <w:rFonts w:eastAsiaTheme="majorEastAsia"/>
                <w:b/>
              </w:rPr>
              <w:t>Poptávka příjemců</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E55017" w14:textId="46E41885" w:rsidR="00DD3EFA" w:rsidRPr="002D2123" w:rsidRDefault="00DD3EFA" w:rsidP="00B15ECB">
            <w:pPr>
              <w:spacing w:before="60" w:after="60"/>
              <w:rPr>
                <w:rFonts w:eastAsiaTheme="majorEastAsia"/>
              </w:rPr>
            </w:pPr>
            <w:r w:rsidRPr="002D2123">
              <w:rPr>
                <w:rFonts w:eastAsiaTheme="majorEastAsia"/>
              </w:rPr>
              <w:t xml:space="preserve">Dle výročních zpráv OPŽP přispěla ke zlepšení stavu v oblasti nakládání s odpady opatření na prevenci vzniku </w:t>
            </w:r>
            <w:r w:rsidR="00747AAD" w:rsidRPr="002D2123">
              <w:rPr>
                <w:rFonts w:eastAsiaTheme="majorEastAsia"/>
              </w:rPr>
              <w:t>odpadů, k financování</w:t>
            </w:r>
            <w:r w:rsidRPr="002D2123">
              <w:rPr>
                <w:rFonts w:eastAsiaTheme="majorEastAsia"/>
              </w:rPr>
              <w:t xml:space="preserve"> byly doporučeny projekty v hodnotě 13 mil. EUR CZV. Ke zvyšování podílu materiálového a </w:t>
            </w:r>
            <w:r w:rsidR="00747AAD" w:rsidRPr="002D2123">
              <w:rPr>
                <w:rFonts w:eastAsiaTheme="majorEastAsia"/>
              </w:rPr>
              <w:t>energetického</w:t>
            </w:r>
            <w:r w:rsidRPr="002D2123">
              <w:rPr>
                <w:rFonts w:eastAsiaTheme="majorEastAsia"/>
              </w:rPr>
              <w:t xml:space="preserve"> využití odpadů bylo k financování doporučeny projekty v hodnotě 0,15 mld. EUR CZV. Vzhledem k plánovaných aktivitám podpory v operačním období 2020+ lze předpokládat zvýšený zájem ze strany příjemců.</w:t>
            </w:r>
          </w:p>
          <w:p w14:paraId="713E675B" w14:textId="067F9583" w:rsidR="00DD3EFA" w:rsidRPr="002D2123" w:rsidRDefault="00DD3EFA" w:rsidP="00B15ECB">
            <w:pPr>
              <w:spacing w:before="60" w:after="60"/>
              <w:rPr>
                <w:rFonts w:eastAsiaTheme="majorEastAsia"/>
              </w:rPr>
            </w:pPr>
            <w:r w:rsidRPr="002D2123">
              <w:rPr>
                <w:rFonts w:eastAsiaTheme="majorEastAsia"/>
              </w:rPr>
              <w:t xml:space="preserve">V jednotlivých výzvách OP PIK, konkrétně programu podpory Nízkouhlíkové technologie, SC 3.4 </w:t>
            </w:r>
            <w:r w:rsidRPr="002D2123">
              <w:rPr>
                <w:rFonts w:eastAsiaTheme="majorEastAsia"/>
                <w:i/>
              </w:rPr>
              <w:t>Uplatnit inovativní nízkouhlíkové technologie v oblasti nakládání energií a při využívání druhotných surovin</w:t>
            </w:r>
            <w:r w:rsidR="00747AAD">
              <w:rPr>
                <w:rFonts w:eastAsiaTheme="majorEastAsia"/>
              </w:rPr>
              <w:t xml:space="preserve">, </w:t>
            </w:r>
            <w:r w:rsidRPr="002D2123">
              <w:rPr>
                <w:rFonts w:eastAsiaTheme="majorEastAsia"/>
              </w:rPr>
              <w:t>pro aktivitu Druhotné suroviny byl vždy evidován významný převis projektů, jejichž požadavky přesahovali navržené alokace.</w:t>
            </w:r>
          </w:p>
          <w:p w14:paraId="02100892" w14:textId="77777777" w:rsidR="00DD3EFA" w:rsidRPr="002D2123" w:rsidRDefault="00DD3EFA" w:rsidP="00B15ECB">
            <w:pPr>
              <w:spacing w:before="60" w:after="60"/>
              <w:rPr>
                <w:rFonts w:eastAsiaTheme="majorEastAsia"/>
              </w:rPr>
            </w:pPr>
            <w:r w:rsidRPr="002D2123">
              <w:rPr>
                <w:rFonts w:eastAsiaTheme="majorEastAsia"/>
              </w:rPr>
              <w:t>V rámci jednotlivých výzev programu Nízkouhlíkové technologie, aktivity Druhotné suroviny byly následující požadované dotace/alokace v mil. Kč:</w:t>
            </w:r>
          </w:p>
          <w:p w14:paraId="3C257BEA" w14:textId="77777777" w:rsidR="00DD3EFA" w:rsidRPr="002D2123" w:rsidRDefault="00DD3EFA" w:rsidP="00B15ECB">
            <w:pPr>
              <w:spacing w:before="60" w:after="60"/>
              <w:rPr>
                <w:rFonts w:eastAsiaTheme="majorEastAsia"/>
              </w:rPr>
            </w:pPr>
            <w:r w:rsidRPr="002D2123">
              <w:rPr>
                <w:rFonts w:eastAsiaTheme="majorEastAsia"/>
              </w:rPr>
              <w:t>I. výzva – 287/100</w:t>
            </w:r>
          </w:p>
          <w:p w14:paraId="050FA6AA" w14:textId="77777777" w:rsidR="00DD3EFA" w:rsidRPr="002D2123" w:rsidRDefault="00DD3EFA" w:rsidP="00B15ECB">
            <w:pPr>
              <w:spacing w:before="60" w:after="60"/>
              <w:rPr>
                <w:rFonts w:eastAsiaTheme="majorEastAsia"/>
              </w:rPr>
            </w:pPr>
            <w:r w:rsidRPr="002D2123">
              <w:rPr>
                <w:rFonts w:eastAsiaTheme="majorEastAsia"/>
              </w:rPr>
              <w:t>II. výzva – 283/150</w:t>
            </w:r>
          </w:p>
          <w:p w14:paraId="44798C64" w14:textId="77777777" w:rsidR="00DD3EFA" w:rsidRPr="002D2123" w:rsidRDefault="00DD3EFA" w:rsidP="00B15ECB">
            <w:pPr>
              <w:spacing w:before="60" w:after="60"/>
              <w:rPr>
                <w:rFonts w:eastAsiaTheme="majorEastAsia"/>
                <w:i/>
              </w:rPr>
            </w:pPr>
            <w:r w:rsidRPr="002D2123">
              <w:rPr>
                <w:rFonts w:eastAsiaTheme="majorEastAsia"/>
              </w:rPr>
              <w:t>III. výzva – 215/70</w:t>
            </w:r>
          </w:p>
          <w:p w14:paraId="060BC0DB" w14:textId="5062F9F0" w:rsidR="00DD3EFA" w:rsidRPr="002D2123" w:rsidRDefault="00DD3EFA" w:rsidP="00B15ECB">
            <w:pPr>
              <w:spacing w:before="60" w:after="60"/>
              <w:rPr>
                <w:rFonts w:eastAsiaTheme="majorEastAsia"/>
              </w:rPr>
            </w:pPr>
            <w:r w:rsidRPr="002D2123">
              <w:rPr>
                <w:rFonts w:eastAsiaTheme="majorEastAsia"/>
              </w:rPr>
              <w:t xml:space="preserve">IV. výzva vyhlášena s termínem ukončení příjmu do </w:t>
            </w:r>
            <w:r w:rsidR="00747AAD" w:rsidRPr="002D2123">
              <w:rPr>
                <w:rFonts w:eastAsiaTheme="majorEastAsia"/>
              </w:rPr>
              <w:t>31. 5. 2019</w:t>
            </w:r>
            <w:r w:rsidRPr="002D2123">
              <w:rPr>
                <w:rFonts w:eastAsiaTheme="majorEastAsia"/>
              </w:rPr>
              <w:t>, alokace navýšena na 500 mil. Kč vzhledem k převisu poptávky ve všech předcházejících výzvách.</w:t>
            </w:r>
          </w:p>
          <w:p w14:paraId="0BF253F3" w14:textId="77777777" w:rsidR="00DD3EFA" w:rsidRPr="002D2123" w:rsidRDefault="00DD3EFA" w:rsidP="00B15ECB">
            <w:pPr>
              <w:spacing w:before="60" w:after="60"/>
              <w:rPr>
                <w:rFonts w:eastAsiaTheme="majorEastAsia"/>
              </w:rPr>
            </w:pPr>
          </w:p>
          <w:p w14:paraId="6A8B4234" w14:textId="77777777" w:rsidR="00DD3EFA" w:rsidRPr="002D2123" w:rsidRDefault="00DD3EFA" w:rsidP="00B15ECB">
            <w:r w:rsidRPr="002D2123">
              <w:rPr>
                <w:rFonts w:eastAsiaTheme="majorEastAsia"/>
              </w:rPr>
              <w:t xml:space="preserve">MPO v současnosti řeší/soutěží </w:t>
            </w:r>
            <w:r w:rsidRPr="002D2123">
              <w:t xml:space="preserve">veřejnou zakázku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Využity budou zkušenosti z předchozích období (dosavadních včetně bariér čerpání) 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Součástí vyhodnocení budou závěry, výsledky a doporučení dodavatele, včetně zdůvodnění a potřebné argumentace za účelem jejich řádného využití při dalších pracích MPO na OPK. </w:t>
            </w:r>
          </w:p>
        </w:tc>
      </w:tr>
      <w:tr w:rsidR="00DD3EFA" w:rsidRPr="002D2123" w14:paraId="53A7DEE7" w14:textId="77777777" w:rsidTr="00B15ECB">
        <w:trPr>
          <w:trHeight w:val="925"/>
        </w:trPr>
        <w:tc>
          <w:tcPr>
            <w:tcW w:w="249" w:type="dxa"/>
            <w:tcBorders>
              <w:top w:val="nil"/>
              <w:left w:val="single" w:sz="4" w:space="0" w:color="auto"/>
              <w:bottom w:val="nil"/>
              <w:right w:val="single" w:sz="4" w:space="0" w:color="auto"/>
            </w:tcBorders>
            <w:shd w:val="clear" w:color="auto" w:fill="66CCFF"/>
          </w:tcPr>
          <w:p w14:paraId="3A94F521"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8CB48C" w14:textId="77777777" w:rsidR="00DD3EFA" w:rsidRPr="002D2123" w:rsidRDefault="00DD3EFA" w:rsidP="00391907">
            <w:pPr>
              <w:pStyle w:val="Odstavecseseznamem"/>
              <w:numPr>
                <w:ilvl w:val="0"/>
                <w:numId w:val="5"/>
              </w:numPr>
              <w:spacing w:before="60" w:after="60"/>
              <w:jc w:val="both"/>
              <w:rPr>
                <w:rFonts w:eastAsiaTheme="majorEastAsia"/>
                <w:b/>
              </w:rPr>
            </w:pPr>
            <w:r w:rsidRPr="002D2123">
              <w:rPr>
                <w:rFonts w:eastAsiaTheme="majorEastAsia"/>
                <w:b/>
              </w:rPr>
              <w:t>Příprava projektových záměrů</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75C97" w14:textId="54D8086D" w:rsidR="00DD3EFA" w:rsidRPr="002D2123" w:rsidRDefault="00DD3EFA" w:rsidP="00B15ECB">
            <w:pPr>
              <w:spacing w:before="60" w:after="60"/>
              <w:rPr>
                <w:rFonts w:eastAsiaTheme="majorEastAsia"/>
              </w:rPr>
            </w:pPr>
            <w:r w:rsidRPr="002D2123">
              <w:rPr>
                <w:rFonts w:eastAsiaTheme="majorEastAsia"/>
              </w:rPr>
              <w:t xml:space="preserve">Příprava projektových záměrů pro budoucí období zahrnuje kromě projektů z rezortu MŽP i projekty rezortu MPO. Vzhledem k očekávaným prioritám podpory v programovém období 2020+, které budou reflektovat stanovené cíle pro oběhové </w:t>
            </w:r>
            <w:r w:rsidR="00747AAD" w:rsidRPr="002D2123">
              <w:rPr>
                <w:rFonts w:eastAsiaTheme="majorEastAsia"/>
              </w:rPr>
              <w:t>hospodářství, jsou</w:t>
            </w:r>
            <w:r w:rsidRPr="002D2123">
              <w:rPr>
                <w:rFonts w:eastAsiaTheme="majorEastAsia"/>
              </w:rPr>
              <w:t xml:space="preserve"> ze strany příjemců </w:t>
            </w:r>
            <w:r w:rsidR="00747AAD" w:rsidRPr="002D2123">
              <w:rPr>
                <w:rFonts w:eastAsiaTheme="majorEastAsia"/>
              </w:rPr>
              <w:t>rámcově připraveny</w:t>
            </w:r>
            <w:r w:rsidRPr="002D2123">
              <w:rPr>
                <w:rFonts w:eastAsiaTheme="majorEastAsia"/>
              </w:rPr>
              <w:t xml:space="preserve"> dílčí projektové záměry.</w:t>
            </w:r>
          </w:p>
        </w:tc>
      </w:tr>
      <w:tr w:rsidR="00DD3EFA" w:rsidRPr="002D2123" w14:paraId="32A81186" w14:textId="77777777" w:rsidTr="00B15ECB">
        <w:trPr>
          <w:trHeight w:val="1001"/>
        </w:trPr>
        <w:tc>
          <w:tcPr>
            <w:tcW w:w="249" w:type="dxa"/>
            <w:tcBorders>
              <w:top w:val="nil"/>
              <w:left w:val="single" w:sz="4" w:space="0" w:color="auto"/>
              <w:bottom w:val="nil"/>
              <w:right w:val="single" w:sz="4" w:space="0" w:color="auto"/>
            </w:tcBorders>
            <w:shd w:val="clear" w:color="auto" w:fill="66CCFF"/>
          </w:tcPr>
          <w:p w14:paraId="6A1F19C9" w14:textId="77777777" w:rsidR="00DD3EFA" w:rsidRPr="002D2123" w:rsidRDefault="00DD3EFA" w:rsidP="00B15ECB">
            <w:pPr>
              <w:rPr>
                <w:b/>
                <w:sz w:val="10"/>
                <w:szCs w:val="10"/>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2D1401" w14:textId="77777777" w:rsidR="00DD3EFA" w:rsidRPr="002D2123" w:rsidRDefault="00DD3EFA" w:rsidP="00391907">
            <w:pPr>
              <w:pStyle w:val="Odstavecseseznamem"/>
              <w:numPr>
                <w:ilvl w:val="0"/>
                <w:numId w:val="5"/>
              </w:numPr>
              <w:spacing w:before="60" w:after="60"/>
              <w:jc w:val="both"/>
              <w:rPr>
                <w:rFonts w:eastAsiaTheme="majorEastAsia"/>
                <w:b/>
              </w:rPr>
            </w:pPr>
            <w:r w:rsidRPr="002D2123">
              <w:rPr>
                <w:rFonts w:eastAsiaTheme="majorEastAsia"/>
                <w:b/>
              </w:rPr>
              <w:t>Bariéry</w:t>
            </w:r>
          </w:p>
        </w:tc>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537FD" w14:textId="77777777" w:rsidR="00DD3EFA" w:rsidRPr="002D2123" w:rsidRDefault="00DD3EFA" w:rsidP="00B15ECB">
            <w:pPr>
              <w:spacing w:before="60" w:after="60"/>
              <w:rPr>
                <w:rFonts w:eastAsiaTheme="majorEastAsia"/>
              </w:rPr>
            </w:pPr>
            <w:r w:rsidRPr="002D2123">
              <w:rPr>
                <w:rFonts w:eastAsiaTheme="majorEastAsia"/>
              </w:rPr>
              <w:t>Dílčí bariéry pro využití podpory existují:</w:t>
            </w:r>
          </w:p>
          <w:p w14:paraId="2821C5A5" w14:textId="77777777" w:rsidR="00DD3EFA" w:rsidRPr="002D2123" w:rsidRDefault="00DD3EFA" w:rsidP="00B15ECB">
            <w:pPr>
              <w:spacing w:before="60" w:after="60"/>
              <w:rPr>
                <w:rFonts w:eastAsiaTheme="majorEastAsia"/>
              </w:rPr>
            </w:pPr>
            <w:r w:rsidRPr="002D2123">
              <w:rPr>
                <w:rFonts w:eastAsiaTheme="majorEastAsia"/>
              </w:rPr>
              <w:t>např. pravidla veřejné podpory, snížená procentuální míra dotační podpory, vyčerpaná alokace, zvýšený zájem o podporu – nedostačující alokace</w:t>
            </w:r>
          </w:p>
        </w:tc>
      </w:tr>
      <w:tr w:rsidR="00DD3EFA" w:rsidRPr="002D2123" w14:paraId="37EE9826"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74B51F90" w14:textId="77777777" w:rsidR="00DD3EFA" w:rsidRPr="002D2123" w:rsidRDefault="00DD3EFA" w:rsidP="00B15ECB">
            <w:pPr>
              <w:rPr>
                <w:b/>
                <w:sz w:val="10"/>
                <w:szCs w:val="10"/>
              </w:rPr>
            </w:pPr>
          </w:p>
        </w:tc>
        <w:tc>
          <w:tcPr>
            <w:tcW w:w="2548" w:type="dxa"/>
            <w:tcBorders>
              <w:top w:val="single" w:sz="4" w:space="0" w:color="auto"/>
              <w:left w:val="nil"/>
              <w:bottom w:val="single" w:sz="4" w:space="0" w:color="auto"/>
              <w:right w:val="nil"/>
            </w:tcBorders>
            <w:shd w:val="clear" w:color="auto" w:fill="66CCFF"/>
          </w:tcPr>
          <w:p w14:paraId="6388C801" w14:textId="77777777" w:rsidR="00DD3EFA" w:rsidRPr="002D2123" w:rsidRDefault="00DD3EFA" w:rsidP="00B15ECB">
            <w:pPr>
              <w:spacing w:before="60" w:after="60"/>
              <w:rPr>
                <w:rFonts w:eastAsiaTheme="majorEastAsia"/>
                <w:b/>
              </w:rPr>
            </w:pPr>
          </w:p>
        </w:tc>
        <w:tc>
          <w:tcPr>
            <w:tcW w:w="5567" w:type="dxa"/>
            <w:tcBorders>
              <w:top w:val="single" w:sz="4" w:space="0" w:color="auto"/>
              <w:left w:val="nil"/>
              <w:bottom w:val="single" w:sz="4" w:space="0" w:color="auto"/>
              <w:right w:val="nil"/>
            </w:tcBorders>
            <w:shd w:val="clear" w:color="auto" w:fill="66CCFF"/>
          </w:tcPr>
          <w:p w14:paraId="116DAF66" w14:textId="77777777" w:rsidR="00DD3EFA" w:rsidRPr="002D2123" w:rsidRDefault="00DD3EFA" w:rsidP="00B15ECB">
            <w:pPr>
              <w:spacing w:before="60" w:after="60"/>
              <w:rPr>
                <w:rFonts w:eastAsiaTheme="majorEastAsia"/>
                <w:i/>
              </w:rPr>
            </w:pPr>
          </w:p>
        </w:tc>
      </w:tr>
      <w:tr w:rsidR="00DD3EFA" w:rsidRPr="002D2123" w14:paraId="3517F42A" w14:textId="77777777" w:rsidTr="00B15ECB">
        <w:trPr>
          <w:trHeight w:val="1559"/>
        </w:trPr>
        <w:tc>
          <w:tcPr>
            <w:tcW w:w="249" w:type="dxa"/>
            <w:tcBorders>
              <w:top w:val="single" w:sz="4" w:space="0" w:color="auto"/>
              <w:left w:val="single" w:sz="4" w:space="0" w:color="auto"/>
              <w:bottom w:val="nil"/>
              <w:right w:val="single" w:sz="4" w:space="0" w:color="auto"/>
            </w:tcBorders>
            <w:shd w:val="clear" w:color="auto" w:fill="66CCFF"/>
          </w:tcPr>
          <w:p w14:paraId="574FB734" w14:textId="77777777" w:rsidR="00DD3EFA" w:rsidRPr="002D2123" w:rsidRDefault="00DD3EFA" w:rsidP="00B15ECB">
            <w:pPr>
              <w:rPr>
                <w:b/>
                <w:sz w:val="10"/>
                <w:szCs w:val="10"/>
              </w:rPr>
            </w:pPr>
          </w:p>
        </w:tc>
        <w:tc>
          <w:tcPr>
            <w:tcW w:w="81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43815" w14:textId="77777777" w:rsidR="00DD3EFA" w:rsidRPr="002D2123" w:rsidRDefault="00DD3EFA" w:rsidP="00B15ECB">
            <w:pPr>
              <w:spacing w:before="60" w:after="60"/>
              <w:rPr>
                <w:rFonts w:eastAsiaTheme="majorEastAsia"/>
                <w:b/>
              </w:rPr>
            </w:pPr>
            <w:r w:rsidRPr="002D2123">
              <w:rPr>
                <w:rFonts w:eastAsiaTheme="majorEastAsia"/>
                <w:b/>
              </w:rPr>
              <w:t>Alternativní zdroje</w:t>
            </w:r>
          </w:p>
          <w:p w14:paraId="76585092" w14:textId="77777777" w:rsidR="00DD3EFA" w:rsidRPr="002D2123" w:rsidRDefault="00DD3EFA" w:rsidP="00B15ECB">
            <w:pPr>
              <w:spacing w:before="60" w:after="60"/>
              <w:rPr>
                <w:rFonts w:eastAsiaTheme="majorEastAsia"/>
                <w:u w:val="single"/>
              </w:rPr>
            </w:pPr>
          </w:p>
        </w:tc>
      </w:tr>
      <w:tr w:rsidR="00DD3EFA" w:rsidRPr="002D2123" w14:paraId="63F0638A"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72FEC44C" w14:textId="77777777" w:rsidR="00DD3EFA" w:rsidRPr="002D2123" w:rsidRDefault="00DD3EFA" w:rsidP="00B15ECB">
            <w:pPr>
              <w:rPr>
                <w:b/>
                <w:sz w:val="10"/>
                <w:szCs w:val="1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32BD9E08" w14:textId="77777777" w:rsidR="00DD3EFA" w:rsidRPr="002D2123" w:rsidRDefault="00DD3EFA" w:rsidP="00B15ECB">
            <w:pPr>
              <w:spacing w:before="60" w:after="60"/>
              <w:rPr>
                <w:rFonts w:eastAsiaTheme="majorEastAsia"/>
                <w:b/>
              </w:rPr>
            </w:pPr>
            <w:r w:rsidRPr="002D2123">
              <w:rPr>
                <w:rFonts w:eastAsiaTheme="majorEastAsia"/>
                <w:b/>
              </w:rPr>
              <w:t>Unijní programy</w:t>
            </w:r>
          </w:p>
        </w:tc>
        <w:tc>
          <w:tcPr>
            <w:tcW w:w="5567" w:type="dxa"/>
            <w:tcBorders>
              <w:top w:val="nil"/>
              <w:left w:val="single" w:sz="4" w:space="0" w:color="auto"/>
              <w:bottom w:val="single" w:sz="4" w:space="0" w:color="auto"/>
              <w:right w:val="single" w:sz="4" w:space="0" w:color="auto"/>
            </w:tcBorders>
            <w:shd w:val="clear" w:color="auto" w:fill="FFFFFF" w:themeFill="background1"/>
            <w:hideMark/>
          </w:tcPr>
          <w:p w14:paraId="2F646DA7" w14:textId="77777777" w:rsidR="00DD3EFA" w:rsidRPr="002D2123" w:rsidRDefault="00DD3EFA" w:rsidP="00B15ECB">
            <w:pPr>
              <w:spacing w:before="60" w:after="60"/>
              <w:rPr>
                <w:rFonts w:eastAsiaTheme="majorEastAsia"/>
              </w:rPr>
            </w:pPr>
            <w:r w:rsidRPr="002D2123">
              <w:rPr>
                <w:rFonts w:eastAsiaTheme="majorEastAsia"/>
              </w:rPr>
              <w:t xml:space="preserve">Z programu LIFE je možné financovat demonstrační a malé pilotní projekty, je komplementární k podpoře z ESIF. Program LIFE nepodporuje projekty, které mohou být financovány v rámci jiných finančních nástrojů Evropské komise. </w:t>
            </w:r>
          </w:p>
          <w:p w14:paraId="3ACF63DA" w14:textId="77777777" w:rsidR="00DD3EFA" w:rsidRPr="002D2123" w:rsidRDefault="00DD3EFA" w:rsidP="00B15ECB">
            <w:pPr>
              <w:spacing w:before="60" w:after="60"/>
              <w:rPr>
                <w:rFonts w:eastAsiaTheme="majorEastAsia"/>
              </w:rPr>
            </w:pPr>
            <w:r w:rsidRPr="002D2123">
              <w:rPr>
                <w:rFonts w:eastAsiaTheme="majorEastAsia"/>
              </w:rPr>
              <w:t xml:space="preserve">Z programu Horizont 2020 je možné financovat výzkumné inovativní a pilotní projekty. </w:t>
            </w:r>
          </w:p>
          <w:p w14:paraId="41368746" w14:textId="77777777" w:rsidR="00DD3EFA" w:rsidRPr="002D2123" w:rsidRDefault="00DD3EFA" w:rsidP="00B15ECB">
            <w:pPr>
              <w:spacing w:before="60" w:after="60"/>
              <w:rPr>
                <w:rFonts w:eastAsiaTheme="majorEastAsia"/>
              </w:rPr>
            </w:pPr>
            <w:r w:rsidRPr="002D2123">
              <w:rPr>
                <w:rFonts w:eastAsiaTheme="majorEastAsia"/>
              </w:rPr>
              <w:t>Podpora z ESIF je pro plnění stanovených cílů v oblasti klíčová.</w:t>
            </w:r>
          </w:p>
        </w:tc>
      </w:tr>
      <w:tr w:rsidR="00DD3EFA" w:rsidRPr="002D2123" w14:paraId="42EC994E"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1827A08B" w14:textId="77777777" w:rsidR="00DD3EFA" w:rsidRPr="002D2123" w:rsidRDefault="00DD3EFA" w:rsidP="00B15ECB">
            <w:pPr>
              <w:rPr>
                <w:b/>
                <w:sz w:val="10"/>
                <w:szCs w:val="1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4346AE31" w14:textId="77777777" w:rsidR="00DD3EFA" w:rsidRPr="002D2123" w:rsidRDefault="00DD3EFA" w:rsidP="00B15ECB">
            <w:pPr>
              <w:spacing w:before="60" w:after="60"/>
              <w:rPr>
                <w:rFonts w:eastAsiaTheme="majorEastAsia"/>
                <w:b/>
              </w:rPr>
            </w:pPr>
            <w:r w:rsidRPr="002D2123">
              <w:rPr>
                <w:rFonts w:eastAsiaTheme="majorEastAsia"/>
                <w:b/>
              </w:rPr>
              <w:t>Státní rozpočet a další národní zdroje</w:t>
            </w:r>
          </w:p>
        </w:tc>
        <w:tc>
          <w:tcPr>
            <w:tcW w:w="5567" w:type="dxa"/>
            <w:tcBorders>
              <w:top w:val="nil"/>
              <w:left w:val="single" w:sz="4" w:space="0" w:color="auto"/>
              <w:bottom w:val="single" w:sz="4" w:space="0" w:color="auto"/>
              <w:right w:val="single" w:sz="4" w:space="0" w:color="auto"/>
            </w:tcBorders>
            <w:shd w:val="clear" w:color="auto" w:fill="FFFFFF" w:themeFill="background1"/>
            <w:hideMark/>
          </w:tcPr>
          <w:p w14:paraId="09956266" w14:textId="77777777" w:rsidR="00DD3EFA" w:rsidRPr="002D2123" w:rsidRDefault="00DD3EFA" w:rsidP="00B15ECB">
            <w:pPr>
              <w:spacing w:before="60" w:after="60"/>
              <w:rPr>
                <w:rFonts w:eastAsiaTheme="majorEastAsia"/>
              </w:rPr>
            </w:pPr>
            <w:r w:rsidRPr="002D2123">
              <w:rPr>
                <w:rFonts w:eastAsiaTheme="majorEastAsia"/>
              </w:rPr>
              <w:t>K dispozici jsou další veřejné zdroje např. Národní program životní prostředí ČR; Programy TA ČR; Podpora pro nestátní neziskové organizace. Jejich finanční objem je však zcela nedostatečný. Oblast podpory bude oproti předchozímu období výrazně rozšířena z důvodu nových požadavků EU.</w:t>
            </w:r>
          </w:p>
        </w:tc>
      </w:tr>
      <w:tr w:rsidR="00DD3EFA" w:rsidRPr="002D2123" w14:paraId="3E4B0C75"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09C20C4C" w14:textId="77777777" w:rsidR="00DD3EFA" w:rsidRPr="002D2123" w:rsidRDefault="00DD3EFA" w:rsidP="00B15ECB">
            <w:pPr>
              <w:rPr>
                <w:b/>
                <w:sz w:val="10"/>
                <w:szCs w:val="1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745E739B" w14:textId="77777777" w:rsidR="00DD3EFA" w:rsidRPr="002D2123" w:rsidRDefault="00DD3EFA" w:rsidP="00B15ECB">
            <w:pPr>
              <w:spacing w:before="60" w:after="60"/>
              <w:rPr>
                <w:rFonts w:eastAsiaTheme="majorEastAsia"/>
                <w:b/>
              </w:rPr>
            </w:pPr>
            <w:r w:rsidRPr="002D2123">
              <w:rPr>
                <w:rFonts w:eastAsiaTheme="majorEastAsia"/>
                <w:b/>
              </w:rPr>
              <w:t>Další zdroje mimo veřejné rozpočty</w:t>
            </w:r>
          </w:p>
        </w:tc>
        <w:tc>
          <w:tcPr>
            <w:tcW w:w="5567" w:type="dxa"/>
            <w:tcBorders>
              <w:top w:val="nil"/>
              <w:left w:val="single" w:sz="4" w:space="0" w:color="auto"/>
              <w:bottom w:val="single" w:sz="4" w:space="0" w:color="auto"/>
              <w:right w:val="single" w:sz="4" w:space="0" w:color="auto"/>
            </w:tcBorders>
            <w:shd w:val="clear" w:color="auto" w:fill="FFFFFF" w:themeFill="background1"/>
            <w:hideMark/>
          </w:tcPr>
          <w:p w14:paraId="668603C2" w14:textId="77777777" w:rsidR="00DD3EFA" w:rsidRPr="002D2123" w:rsidRDefault="00DD3EFA" w:rsidP="00B15ECB">
            <w:pPr>
              <w:spacing w:before="60" w:after="60"/>
              <w:rPr>
                <w:rFonts w:eastAsiaTheme="majorEastAsia"/>
              </w:rPr>
            </w:pPr>
            <w:r w:rsidRPr="002D2123">
              <w:rPr>
                <w:rFonts w:eastAsiaTheme="majorEastAsia"/>
              </w:rPr>
              <w:t>Využití komerční formy financování dané podoblasti je možné, ale vzhledem k stanoveným cílům je nezbytné zajistit urychlení přechodu na principy oběhového hospodářství, čehož lze dosáhnout výhradně dotačními tituly.</w:t>
            </w:r>
          </w:p>
        </w:tc>
      </w:tr>
      <w:tr w:rsidR="00DD3EFA" w:rsidRPr="002D2123" w14:paraId="78759591"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6029BC51" w14:textId="77777777" w:rsidR="00DD3EFA" w:rsidRPr="002D2123" w:rsidRDefault="00DD3EFA" w:rsidP="00B15ECB">
            <w:pPr>
              <w:rPr>
                <w:b/>
                <w:sz w:val="10"/>
                <w:szCs w:val="10"/>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3C2A6B22" w14:textId="77777777" w:rsidR="00DD3EFA" w:rsidRPr="002D2123" w:rsidRDefault="00DD3EFA" w:rsidP="00B15ECB">
            <w:pPr>
              <w:spacing w:before="60" w:after="60"/>
              <w:rPr>
                <w:rFonts w:eastAsiaTheme="majorEastAsia"/>
                <w:b/>
              </w:rPr>
            </w:pPr>
            <w:r w:rsidRPr="002D2123">
              <w:rPr>
                <w:rFonts w:eastAsiaTheme="majorEastAsia"/>
                <w:b/>
              </w:rPr>
              <w:t>Možnost využití FN</w:t>
            </w:r>
          </w:p>
        </w:tc>
        <w:tc>
          <w:tcPr>
            <w:tcW w:w="5567" w:type="dxa"/>
            <w:tcBorders>
              <w:top w:val="nil"/>
              <w:left w:val="single" w:sz="4" w:space="0" w:color="auto"/>
              <w:bottom w:val="single" w:sz="4" w:space="0" w:color="auto"/>
              <w:right w:val="single" w:sz="4" w:space="0" w:color="auto"/>
            </w:tcBorders>
            <w:shd w:val="clear" w:color="auto" w:fill="FFFFFF" w:themeFill="background1"/>
          </w:tcPr>
          <w:p w14:paraId="425CCCEB" w14:textId="77777777" w:rsidR="00DD3EFA" w:rsidRPr="002D2123" w:rsidRDefault="00DD3EFA" w:rsidP="00B15ECB">
            <w:pPr>
              <w:spacing w:before="60" w:after="60"/>
              <w:rPr>
                <w:rFonts w:eastAsiaTheme="majorEastAsia"/>
              </w:rPr>
            </w:pPr>
            <w:r w:rsidRPr="002D2123">
              <w:rPr>
                <w:rFonts w:eastAsiaTheme="majorEastAsia"/>
              </w:rPr>
              <w:t xml:space="preserve">MŽP aktuálně v rámci OPŽP 2014 -2020 připravuje pilotní projekt na spuštění finančních nástrojů formou individuálních záruk za úvěr na realizaci projektových záměrů v oblasti nakládání s odpady. </w:t>
            </w:r>
          </w:p>
          <w:p w14:paraId="7D2E3DD7" w14:textId="77777777" w:rsidR="00DD3EFA" w:rsidRPr="002D2123" w:rsidRDefault="00DD3EFA" w:rsidP="00B15ECB">
            <w:pPr>
              <w:spacing w:before="60" w:after="60"/>
              <w:rPr>
                <w:rFonts w:eastAsiaTheme="majorEastAsia"/>
              </w:rPr>
            </w:pPr>
            <w:r w:rsidRPr="002D2123">
              <w:rPr>
                <w:rFonts w:eastAsiaTheme="majorEastAsia"/>
              </w:rPr>
              <w:t>Využití FN je možné zvážit u projektů generujících výnosy či úspory. Příkladem může být financování EIB poskytnuté na projekty oběhového a odpadového hospodářství.</w:t>
            </w:r>
          </w:p>
          <w:p w14:paraId="72076593" w14:textId="77777777" w:rsidR="00DD3EFA" w:rsidRPr="002D2123" w:rsidRDefault="00DD3EFA" w:rsidP="00B15ECB">
            <w:pPr>
              <w:spacing w:before="60" w:after="60"/>
              <w:rPr>
                <w:rFonts w:eastAsiaTheme="majorEastAsia"/>
              </w:rPr>
            </w:pPr>
          </w:p>
          <w:p w14:paraId="20D0BE00" w14:textId="77777777" w:rsidR="00DD3EFA" w:rsidRPr="002D2123" w:rsidRDefault="00DD3EFA" w:rsidP="00B15ECB">
            <w:pPr>
              <w:spacing w:before="60" w:after="60"/>
              <w:rPr>
                <w:rFonts w:eastAsiaTheme="majorEastAsia"/>
              </w:rPr>
            </w:pPr>
            <w:r w:rsidRPr="002D2123">
              <w:rPr>
                <w:rFonts w:eastAsiaTheme="majorEastAsia"/>
              </w:rPr>
              <w:t>Dosažení stanovených cílů a urychleného přechodu na principy oběhového hospodářství lze však dosáhnout především formou dotační podpory.</w:t>
            </w:r>
          </w:p>
          <w:p w14:paraId="0315DABF" w14:textId="77777777" w:rsidR="00DD3EFA" w:rsidRPr="002D2123" w:rsidRDefault="00DD3EFA" w:rsidP="00B15ECB">
            <w:pPr>
              <w:spacing w:before="60" w:after="60"/>
              <w:rPr>
                <w:rFonts w:eastAsiaTheme="majorEastAsia"/>
                <w:i/>
              </w:rPr>
            </w:pPr>
          </w:p>
        </w:tc>
      </w:tr>
    </w:tbl>
    <w:p w14:paraId="51F7E71E" w14:textId="77777777" w:rsidR="00DD3EFA" w:rsidRPr="002D2123" w:rsidRDefault="00DD3EFA" w:rsidP="00B15ECB">
      <w:pPr>
        <w:rPr>
          <w:rFonts w:ascii="Times New Roman" w:hAnsi="Times New Roman" w:cs="Times New Roman"/>
          <w:b/>
        </w:rPr>
      </w:pPr>
    </w:p>
    <w:p w14:paraId="2E6A5C04" w14:textId="65380CDA" w:rsidR="00DD3EFA" w:rsidRDefault="00DD3EFA" w:rsidP="00B15ECB">
      <w:pPr>
        <w:rPr>
          <w:rFonts w:ascii="Times New Roman" w:hAnsi="Times New Roman" w:cs="Times New Roman"/>
          <w:b/>
        </w:rPr>
      </w:pPr>
    </w:p>
    <w:p w14:paraId="3251E23C" w14:textId="0E9655AE" w:rsidR="00EC2A1C" w:rsidRDefault="00EC2A1C" w:rsidP="00B15ECB">
      <w:pPr>
        <w:rPr>
          <w:rFonts w:ascii="Times New Roman" w:hAnsi="Times New Roman" w:cs="Times New Roman"/>
          <w:b/>
        </w:rPr>
      </w:pPr>
    </w:p>
    <w:p w14:paraId="3861B2A1" w14:textId="77777777" w:rsidR="00EC2A1C" w:rsidRPr="002D2123" w:rsidRDefault="00EC2A1C" w:rsidP="00B15ECB">
      <w:pPr>
        <w:rPr>
          <w:rFonts w:ascii="Times New Roman" w:hAnsi="Times New Roman" w:cs="Times New Roman"/>
          <w:b/>
        </w:rPr>
      </w:pPr>
    </w:p>
    <w:tbl>
      <w:tblPr>
        <w:tblStyle w:val="Mkatabulky2"/>
        <w:tblW w:w="0" w:type="auto"/>
        <w:tblInd w:w="-118"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085E24AB" w14:textId="77777777" w:rsidTr="00B15ECB">
        <w:trPr>
          <w:trHeight w:val="180"/>
        </w:trPr>
        <w:tc>
          <w:tcPr>
            <w:tcW w:w="249" w:type="dxa"/>
            <w:tcBorders>
              <w:bottom w:val="nil"/>
              <w:right w:val="nil"/>
            </w:tcBorders>
            <w:shd w:val="clear" w:color="auto" w:fill="66CCFF"/>
          </w:tcPr>
          <w:p w14:paraId="4158D16E"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076749D9"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2088B7FD" w14:textId="77777777" w:rsidR="00DD3EFA" w:rsidRPr="00EC2A1C" w:rsidRDefault="00DD3EFA" w:rsidP="00B15ECB">
            <w:pPr>
              <w:rPr>
                <w:rFonts w:ascii="Times New Roman" w:hAnsi="Times New Roman" w:cs="Times New Roman"/>
                <w:b/>
                <w:sz w:val="20"/>
                <w:szCs w:val="20"/>
              </w:rPr>
            </w:pPr>
          </w:p>
        </w:tc>
        <w:tc>
          <w:tcPr>
            <w:tcW w:w="249" w:type="dxa"/>
            <w:tcBorders>
              <w:left w:val="nil"/>
              <w:bottom w:val="nil"/>
            </w:tcBorders>
            <w:shd w:val="clear" w:color="auto" w:fill="66CCFF"/>
          </w:tcPr>
          <w:p w14:paraId="38073A8E" w14:textId="77777777" w:rsidR="00DD3EFA" w:rsidRPr="00EC2A1C" w:rsidRDefault="00DD3EFA" w:rsidP="00B15ECB">
            <w:pPr>
              <w:rPr>
                <w:rFonts w:ascii="Times New Roman" w:hAnsi="Times New Roman" w:cs="Times New Roman"/>
                <w:b/>
                <w:sz w:val="20"/>
                <w:szCs w:val="20"/>
              </w:rPr>
            </w:pPr>
          </w:p>
        </w:tc>
      </w:tr>
      <w:tr w:rsidR="00DD3EFA" w:rsidRPr="00EC2A1C" w14:paraId="01153DCF" w14:textId="77777777" w:rsidTr="00B15ECB">
        <w:trPr>
          <w:trHeight w:val="561"/>
        </w:trPr>
        <w:tc>
          <w:tcPr>
            <w:tcW w:w="249" w:type="dxa"/>
            <w:tcBorders>
              <w:top w:val="nil"/>
              <w:bottom w:val="nil"/>
            </w:tcBorders>
            <w:shd w:val="clear" w:color="auto" w:fill="66CCFF"/>
          </w:tcPr>
          <w:p w14:paraId="1EB167C0" w14:textId="77777777" w:rsidR="00DD3EFA" w:rsidRPr="00EC2A1C" w:rsidRDefault="00DD3EFA" w:rsidP="00B15ECB">
            <w:pPr>
              <w:rPr>
                <w:rFonts w:ascii="Times New Roman" w:hAnsi="Times New Roman" w:cs="Times New Roman"/>
                <w:b/>
                <w:sz w:val="20"/>
                <w:szCs w:val="20"/>
              </w:rPr>
            </w:pPr>
          </w:p>
        </w:tc>
        <w:tc>
          <w:tcPr>
            <w:tcW w:w="2548" w:type="dxa"/>
            <w:shd w:val="clear" w:color="auto" w:fill="0070C0"/>
          </w:tcPr>
          <w:p w14:paraId="16E5EA00" w14:textId="77777777" w:rsidR="00DD3EFA" w:rsidRPr="00EC2A1C" w:rsidRDefault="00DD3EFA" w:rsidP="00B15ECB">
            <w:pPr>
              <w:spacing w:before="60" w:after="60"/>
              <w:rPr>
                <w:rFonts w:ascii="Times New Roman" w:eastAsiaTheme="majorEastAsia" w:hAnsi="Times New Roman" w:cs="Times New Roman"/>
                <w:b/>
                <w:color w:val="FFFFFF" w:themeColor="background1"/>
                <w:sz w:val="20"/>
                <w:szCs w:val="20"/>
              </w:rPr>
            </w:pPr>
            <w:r w:rsidRPr="00EC2A1C">
              <w:rPr>
                <w:rFonts w:ascii="Times New Roman" w:eastAsiaTheme="majorEastAsia" w:hAnsi="Times New Roman" w:cs="Times New Roman"/>
                <w:b/>
                <w:color w:val="FFFFFF" w:themeColor="background1"/>
                <w:sz w:val="20"/>
                <w:szCs w:val="20"/>
              </w:rPr>
              <w:t xml:space="preserve">Strategický cíl NKR: </w:t>
            </w:r>
          </w:p>
          <w:p w14:paraId="0D4EACCA" w14:textId="77777777" w:rsidR="00DD3EFA" w:rsidRPr="00EC2A1C" w:rsidRDefault="00DD3EFA" w:rsidP="00B15ECB">
            <w:pPr>
              <w:spacing w:before="60" w:after="60"/>
              <w:rPr>
                <w:rFonts w:ascii="Times New Roman" w:eastAsiaTheme="majorEastAsia" w:hAnsi="Times New Roman" w:cs="Times New Roman"/>
                <w:b/>
                <w:color w:val="FFFFFF" w:themeColor="background1"/>
                <w:sz w:val="20"/>
                <w:szCs w:val="20"/>
              </w:rPr>
            </w:pPr>
          </w:p>
        </w:tc>
        <w:tc>
          <w:tcPr>
            <w:tcW w:w="5978" w:type="dxa"/>
            <w:shd w:val="clear" w:color="auto" w:fill="0070C0"/>
          </w:tcPr>
          <w:p w14:paraId="1E4769FF" w14:textId="77777777" w:rsidR="00DD3EFA" w:rsidRPr="00EC2A1C" w:rsidRDefault="00DD3EFA" w:rsidP="00B15ECB">
            <w:pPr>
              <w:spacing w:before="60" w:after="60"/>
              <w:rPr>
                <w:rFonts w:ascii="Times New Roman" w:eastAsiaTheme="majorEastAsia" w:hAnsi="Times New Roman" w:cs="Times New Roman"/>
                <w:b/>
                <w:color w:val="FFFFFF" w:themeColor="background1"/>
                <w:sz w:val="20"/>
                <w:szCs w:val="20"/>
                <w:u w:val="single"/>
              </w:rPr>
            </w:pPr>
            <w:r w:rsidRPr="00EC2A1C">
              <w:rPr>
                <w:rFonts w:ascii="Times New Roman" w:eastAsiaTheme="majorEastAsia" w:hAnsi="Times New Roman" w:cs="Times New Roman"/>
                <w:b/>
                <w:color w:val="FFFFFF" w:themeColor="background1"/>
                <w:sz w:val="20"/>
                <w:szCs w:val="20"/>
                <w:u w:val="single"/>
              </w:rPr>
              <w:t>Specifický cíl NKR</w:t>
            </w:r>
            <w:r w:rsidRPr="00EC2A1C">
              <w:rPr>
                <w:rStyle w:val="Znakapoznpodarou"/>
                <w:rFonts w:ascii="Times New Roman" w:eastAsiaTheme="majorEastAsia" w:hAnsi="Times New Roman" w:cs="Times New Roman"/>
                <w:color w:val="FFFFFF" w:themeColor="background1"/>
                <w:sz w:val="20"/>
                <w:szCs w:val="20"/>
                <w:u w:val="single"/>
              </w:rPr>
              <w:footnoteReference w:id="54"/>
            </w:r>
            <w:r w:rsidRPr="00EC2A1C">
              <w:rPr>
                <w:rFonts w:ascii="Times New Roman" w:eastAsiaTheme="majorEastAsia" w:hAnsi="Times New Roman" w:cs="Times New Roman"/>
                <w:b/>
                <w:color w:val="FFFFFF" w:themeColor="background1"/>
                <w:sz w:val="20"/>
                <w:szCs w:val="20"/>
                <w:u w:val="single"/>
              </w:rPr>
              <w:t xml:space="preserve">: </w:t>
            </w:r>
          </w:p>
          <w:p w14:paraId="6377BF76" w14:textId="77777777" w:rsidR="00DD3EFA" w:rsidRPr="00EC2A1C" w:rsidRDefault="00DD3EFA" w:rsidP="00B15ECB">
            <w:pPr>
              <w:pStyle w:val="Nadpis1"/>
              <w:outlineLvl w:val="0"/>
              <w:rPr>
                <w:rFonts w:ascii="Times New Roman" w:hAnsi="Times New Roman" w:cs="Times New Roman"/>
                <w:b/>
                <w:color w:val="FFFFFF" w:themeColor="background1"/>
                <w:sz w:val="20"/>
                <w:szCs w:val="20"/>
                <w:u w:val="single"/>
              </w:rPr>
            </w:pPr>
            <w:bookmarkStart w:id="41" w:name="_Toc536098544"/>
            <w:bookmarkStart w:id="42" w:name="_Toc1491419"/>
            <w:r w:rsidRPr="00EC2A1C">
              <w:rPr>
                <w:rFonts w:ascii="Times New Roman" w:hAnsi="Times New Roman" w:cs="Times New Roman"/>
                <w:b/>
                <w:color w:val="FFFFFF" w:themeColor="background1"/>
                <w:sz w:val="20"/>
                <w:szCs w:val="20"/>
              </w:rPr>
              <w:t>Ochrana a zlepšení stavu vody a vodního hospodářství</w:t>
            </w:r>
            <w:bookmarkEnd w:id="41"/>
            <w:bookmarkEnd w:id="42"/>
          </w:p>
        </w:tc>
        <w:tc>
          <w:tcPr>
            <w:tcW w:w="249" w:type="dxa"/>
            <w:tcBorders>
              <w:top w:val="nil"/>
              <w:bottom w:val="nil"/>
            </w:tcBorders>
            <w:shd w:val="clear" w:color="auto" w:fill="66CCFF"/>
          </w:tcPr>
          <w:p w14:paraId="03F8F680" w14:textId="77777777" w:rsidR="00DD3EFA" w:rsidRPr="00EC2A1C" w:rsidRDefault="00DD3EFA" w:rsidP="00B15ECB">
            <w:pPr>
              <w:rPr>
                <w:rFonts w:ascii="Times New Roman" w:hAnsi="Times New Roman" w:cs="Times New Roman"/>
                <w:b/>
                <w:sz w:val="20"/>
                <w:szCs w:val="20"/>
              </w:rPr>
            </w:pPr>
          </w:p>
        </w:tc>
      </w:tr>
      <w:tr w:rsidR="00DD3EFA" w:rsidRPr="00EC2A1C" w14:paraId="5A97012F" w14:textId="77777777" w:rsidTr="00B15ECB">
        <w:trPr>
          <w:trHeight w:val="180"/>
        </w:trPr>
        <w:tc>
          <w:tcPr>
            <w:tcW w:w="249" w:type="dxa"/>
            <w:tcBorders>
              <w:top w:val="nil"/>
              <w:bottom w:val="nil"/>
              <w:right w:val="nil"/>
            </w:tcBorders>
            <w:shd w:val="clear" w:color="auto" w:fill="66CCFF"/>
          </w:tcPr>
          <w:p w14:paraId="26F0CF3F"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7F4B5B55"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08FBC11C"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3D2BF65C" w14:textId="77777777" w:rsidR="00DD3EFA" w:rsidRPr="00EC2A1C" w:rsidRDefault="00DD3EFA" w:rsidP="00B15ECB">
            <w:pPr>
              <w:rPr>
                <w:rFonts w:ascii="Times New Roman" w:hAnsi="Times New Roman" w:cs="Times New Roman"/>
                <w:b/>
                <w:sz w:val="20"/>
                <w:szCs w:val="20"/>
              </w:rPr>
            </w:pPr>
          </w:p>
        </w:tc>
      </w:tr>
      <w:tr w:rsidR="00DD3EFA" w:rsidRPr="00EC2A1C" w14:paraId="3FEAFF21" w14:textId="77777777" w:rsidTr="00B15ECB">
        <w:trPr>
          <w:trHeight w:val="892"/>
        </w:trPr>
        <w:tc>
          <w:tcPr>
            <w:tcW w:w="249" w:type="dxa"/>
            <w:tcBorders>
              <w:top w:val="nil"/>
              <w:bottom w:val="nil"/>
            </w:tcBorders>
            <w:shd w:val="clear" w:color="auto" w:fill="66CCFF"/>
          </w:tcPr>
          <w:p w14:paraId="6E155923" w14:textId="77777777" w:rsidR="00DD3EFA" w:rsidRPr="00EC2A1C" w:rsidRDefault="00DD3EFA" w:rsidP="00B15ECB">
            <w:pPr>
              <w:rPr>
                <w:rFonts w:ascii="Times New Roman" w:hAnsi="Times New Roman" w:cs="Times New Roman"/>
                <w:b/>
                <w:sz w:val="20"/>
                <w:szCs w:val="20"/>
              </w:rPr>
            </w:pPr>
          </w:p>
        </w:tc>
        <w:tc>
          <w:tcPr>
            <w:tcW w:w="2548" w:type="dxa"/>
            <w:shd w:val="clear" w:color="auto" w:fill="FFFFFF" w:themeFill="background1"/>
          </w:tcPr>
          <w:p w14:paraId="44099797"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Věcné vymezení specifického cíle NKR</w:t>
            </w:r>
          </w:p>
        </w:tc>
        <w:tc>
          <w:tcPr>
            <w:tcW w:w="5978" w:type="dxa"/>
            <w:shd w:val="clear" w:color="auto" w:fill="FFFFFF" w:themeFill="background1"/>
          </w:tcPr>
          <w:p w14:paraId="3F0949B5" w14:textId="77777777" w:rsidR="00DD3EFA" w:rsidRPr="00EC2A1C" w:rsidRDefault="00DD3EFA" w:rsidP="00B15ECB">
            <w:pPr>
              <w:spacing w:before="60" w:after="60" w:line="276" w:lineRule="auto"/>
              <w:rPr>
                <w:rFonts w:ascii="Times New Roman" w:eastAsia="Calibri" w:hAnsi="Times New Roman" w:cs="Times New Roman"/>
                <w:sz w:val="20"/>
                <w:szCs w:val="20"/>
              </w:rPr>
            </w:pPr>
            <w:r w:rsidRPr="00EC2A1C">
              <w:rPr>
                <w:rFonts w:ascii="Times New Roman" w:hAnsi="Times New Roman" w:cs="Times New Roman"/>
                <w:sz w:val="20"/>
                <w:szCs w:val="20"/>
              </w:rPr>
              <w:t>Zajištění ochrany vod, zlepšování jejich stavu a důraz na zlepšení vodního hospodářství.</w:t>
            </w:r>
          </w:p>
          <w:p w14:paraId="625D7407" w14:textId="77777777" w:rsidR="00DD3EFA" w:rsidRPr="00EC2A1C" w:rsidRDefault="00DD3EFA" w:rsidP="00B15ECB">
            <w:pPr>
              <w:pStyle w:val="text"/>
              <w:spacing w:line="276" w:lineRule="auto"/>
              <w:rPr>
                <w:sz w:val="20"/>
                <w:szCs w:val="20"/>
              </w:rPr>
            </w:pPr>
            <w:r w:rsidRPr="00EC2A1C">
              <w:rPr>
                <w:sz w:val="20"/>
                <w:szCs w:val="20"/>
              </w:rPr>
              <w:t>V rámci zlepšování vodního hospodářství byly identifikovány zejména potřeby v oblasti posílení retenční schopnosti krajiny, ochrany před povodněmi a suchem. Zvláště je žádoucí zpomalit odtok vody z krajiny, snížit únik živin a prostředků na ochranu rostlin do vod, zejména (ale nejen) v povodích vodárenských nádrží a na půdách, které jsou z hlediska úniku hnojiv a smyvu ornice zranitelné. V oblasti ochrany kvality vod zůstává prioritou omezení negativního vlivu bodových zdrojů (obce i zemědělství a průmysl) a to zlepšením technologie čištění stávajících ČOV a minimalizací vypouštění nečištěných odpadních vod (volné výusti a přepady jednotné kanalizace). Dále je potřebné nahradit stávající akumulaci odpadních vod v jímkách vybudováním centrálních (kanalizace a ČOV) či decentrálních (domovní ČOV) systémů zneškodňování odpadních vod. V rámci úspor spotřeby pitné vody je vhodné rozvíjet systémy pro využití srážkových vod a vyčištěných odpadních vod.</w:t>
            </w:r>
          </w:p>
          <w:p w14:paraId="36391120" w14:textId="77777777" w:rsidR="00DD3EFA" w:rsidRPr="00EC2A1C" w:rsidRDefault="00DD3EFA" w:rsidP="00B15ECB">
            <w:pPr>
              <w:pStyle w:val="text"/>
              <w:spacing w:line="276" w:lineRule="auto"/>
              <w:rPr>
                <w:sz w:val="20"/>
                <w:szCs w:val="20"/>
              </w:rPr>
            </w:pPr>
            <w:r w:rsidRPr="00EC2A1C">
              <w:rPr>
                <w:sz w:val="20"/>
                <w:szCs w:val="20"/>
              </w:rPr>
              <w:t>Předpokládané cíle:</w:t>
            </w:r>
          </w:p>
          <w:p w14:paraId="4652D7A2"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ochrana množství a kvalita vod a soustavné zlepšování jejich stavu v souladu s Rámcovou směrnicí o vodách</w:t>
            </w:r>
          </w:p>
          <w:p w14:paraId="732747FA"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zásobování pitnou vodou, vč. ochrany stávajících zdrojů a zajištění nových zdrojů pitné vody</w:t>
            </w:r>
          </w:p>
          <w:p w14:paraId="450131C3"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omezení znečištění z bodových zdrojů – odvádění a účinné čištění OV i z menších obcí, zemědělství a průmyslu</w:t>
            </w:r>
          </w:p>
          <w:p w14:paraId="59DEEE10"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snížení znečištění z plošných zdrojů – především zemědělského hospodaření (hnojiva, pesticidy)</w:t>
            </w:r>
          </w:p>
          <w:p w14:paraId="585FCF0D" w14:textId="77777777" w:rsidR="00DD3EFA" w:rsidRPr="00EC2A1C" w:rsidRDefault="00DD3EFA" w:rsidP="00391907">
            <w:pPr>
              <w:pStyle w:val="Odstavecseseznamem"/>
              <w:numPr>
                <w:ilvl w:val="0"/>
                <w:numId w:val="96"/>
              </w:numPr>
              <w:rPr>
                <w:rFonts w:ascii="Times New Roman" w:eastAsia="Calibri" w:hAnsi="Times New Roman" w:cs="Times New Roman"/>
                <w:sz w:val="20"/>
                <w:szCs w:val="20"/>
              </w:rPr>
            </w:pPr>
            <w:r w:rsidRPr="00EC2A1C">
              <w:rPr>
                <w:rFonts w:ascii="Times New Roman" w:eastAsia="Calibri" w:hAnsi="Times New Roman" w:cs="Times New Roman"/>
                <w:sz w:val="20"/>
                <w:szCs w:val="20"/>
              </w:rPr>
              <w:t>připravenost a snižování následků extrémních meteorologických jevů (povodně, přívalové povodně, vydatné srážky, dlouhodobé sucho, extrémně vysoké teploty, apod.)</w:t>
            </w:r>
          </w:p>
          <w:p w14:paraId="6E970D7F"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hospodaření se srážkovými vodami</w:t>
            </w:r>
          </w:p>
          <w:p w14:paraId="33EDB0EE"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recyklace vody, znovuvyužití čištěných odpadních vod</w:t>
            </w:r>
          </w:p>
        </w:tc>
        <w:tc>
          <w:tcPr>
            <w:tcW w:w="249" w:type="dxa"/>
            <w:tcBorders>
              <w:top w:val="nil"/>
              <w:bottom w:val="nil"/>
            </w:tcBorders>
            <w:shd w:val="clear" w:color="auto" w:fill="66CCFF"/>
          </w:tcPr>
          <w:p w14:paraId="40A9749A" w14:textId="77777777" w:rsidR="00DD3EFA" w:rsidRPr="00EC2A1C" w:rsidRDefault="00DD3EFA" w:rsidP="00B15ECB">
            <w:pPr>
              <w:rPr>
                <w:rFonts w:ascii="Times New Roman" w:hAnsi="Times New Roman" w:cs="Times New Roman"/>
                <w:b/>
                <w:sz w:val="20"/>
                <w:szCs w:val="20"/>
              </w:rPr>
            </w:pPr>
          </w:p>
        </w:tc>
      </w:tr>
      <w:tr w:rsidR="00DD3EFA" w:rsidRPr="00EC2A1C" w14:paraId="5F31FFE2" w14:textId="77777777" w:rsidTr="00B15ECB">
        <w:trPr>
          <w:trHeight w:val="46"/>
        </w:trPr>
        <w:tc>
          <w:tcPr>
            <w:tcW w:w="249" w:type="dxa"/>
            <w:tcBorders>
              <w:top w:val="nil"/>
              <w:bottom w:val="nil"/>
              <w:right w:val="nil"/>
            </w:tcBorders>
            <w:shd w:val="clear" w:color="auto" w:fill="66CCFF"/>
          </w:tcPr>
          <w:p w14:paraId="354A5DE5" w14:textId="77777777" w:rsidR="00DD3EFA" w:rsidRPr="00EC2A1C" w:rsidRDefault="00DD3EFA" w:rsidP="00B15ECB">
            <w:pPr>
              <w:rPr>
                <w:rFonts w:ascii="Times New Roman" w:hAnsi="Times New Roman" w:cs="Times New Roman"/>
                <w:b/>
                <w:sz w:val="20"/>
                <w:szCs w:val="20"/>
              </w:rPr>
            </w:pPr>
          </w:p>
        </w:tc>
        <w:tc>
          <w:tcPr>
            <w:tcW w:w="2548" w:type="dxa"/>
            <w:tcBorders>
              <w:left w:val="nil"/>
              <w:bottom w:val="single" w:sz="4" w:space="0" w:color="auto"/>
              <w:right w:val="nil"/>
            </w:tcBorders>
            <w:shd w:val="clear" w:color="auto" w:fill="66CCFF"/>
          </w:tcPr>
          <w:p w14:paraId="0100E9EB" w14:textId="77777777" w:rsidR="00DD3EFA" w:rsidRPr="00EC2A1C" w:rsidRDefault="00DD3EFA" w:rsidP="00B15ECB">
            <w:pPr>
              <w:rPr>
                <w:rFonts w:ascii="Times New Roman" w:hAnsi="Times New Roman" w:cs="Times New Roman"/>
                <w:b/>
                <w:sz w:val="20"/>
                <w:szCs w:val="20"/>
              </w:rPr>
            </w:pPr>
          </w:p>
        </w:tc>
        <w:tc>
          <w:tcPr>
            <w:tcW w:w="5978" w:type="dxa"/>
            <w:tcBorders>
              <w:left w:val="nil"/>
              <w:bottom w:val="single" w:sz="4" w:space="0" w:color="auto"/>
              <w:right w:val="nil"/>
            </w:tcBorders>
            <w:shd w:val="clear" w:color="auto" w:fill="66CCFF"/>
          </w:tcPr>
          <w:p w14:paraId="1B1A9A0A"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669437EA" w14:textId="77777777" w:rsidR="00DD3EFA" w:rsidRPr="00EC2A1C" w:rsidRDefault="00DD3EFA" w:rsidP="00B15ECB">
            <w:pPr>
              <w:rPr>
                <w:rFonts w:ascii="Times New Roman" w:hAnsi="Times New Roman" w:cs="Times New Roman"/>
                <w:b/>
                <w:sz w:val="20"/>
                <w:szCs w:val="20"/>
              </w:rPr>
            </w:pPr>
          </w:p>
        </w:tc>
      </w:tr>
      <w:tr w:rsidR="00DD3EFA" w:rsidRPr="00EC2A1C" w14:paraId="00A104F9" w14:textId="77777777" w:rsidTr="00B15ECB">
        <w:trPr>
          <w:trHeight w:val="1274"/>
        </w:trPr>
        <w:tc>
          <w:tcPr>
            <w:tcW w:w="249" w:type="dxa"/>
            <w:tcBorders>
              <w:top w:val="nil"/>
              <w:bottom w:val="nil"/>
            </w:tcBorders>
            <w:shd w:val="clear" w:color="auto" w:fill="66CCFF"/>
          </w:tcPr>
          <w:p w14:paraId="1C326A9A"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5306631"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Proč je daný cíl důležitý (v kontextu oblasti i v kontextu celku)</w:t>
            </w:r>
          </w:p>
        </w:tc>
        <w:tc>
          <w:tcPr>
            <w:tcW w:w="5978" w:type="dxa"/>
            <w:tcBorders>
              <w:bottom w:val="single" w:sz="4" w:space="0" w:color="auto"/>
            </w:tcBorders>
            <w:shd w:val="clear" w:color="auto" w:fill="FFFFFF" w:themeFill="background1"/>
          </w:tcPr>
          <w:p w14:paraId="3CCD543F"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Postupující změna klimatu nám přinese především změny v rozdělení srážek. Bude méně sněhu, naopak přibude přívalových srážek i bezesrážkových období. Zpomalení odtoku vody z krajiny zlepšením její schopnosti zadržet srážky je pro nás proto životně důležité.</w:t>
            </w:r>
          </w:p>
          <w:p w14:paraId="2C25C4B0"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Očekávané změny v rozložení srážek během roku dále mohou způsobit lokální nedostatek vody, ústící v omezování některých odběratelů, a vést ke střetům se zájmem ochrany vodních ekosystémů.</w:t>
            </w:r>
          </w:p>
          <w:p w14:paraId="3FF75892" w14:textId="77777777" w:rsidR="00DD3EFA" w:rsidRPr="00EC2A1C" w:rsidRDefault="00DD3EFA" w:rsidP="00B15ECB">
            <w:pPr>
              <w:pStyle w:val="Default"/>
              <w:spacing w:before="60" w:after="60" w:line="276" w:lineRule="auto"/>
              <w:contextualSpacing/>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Vlivem zmenšení průtoků může docházet k řadě změn jakosti povrchových vod. Zemědělská činnost zase ohrožuje kvalitu podzemních vod. Během sucha lze předpokládat i snížení zásob</w:t>
            </w:r>
            <w:r w:rsidRPr="00EC2A1C" w:rsidDel="001C5FAF">
              <w:rPr>
                <w:rFonts w:ascii="Times New Roman" w:hAnsi="Times New Roman" w:cs="Times New Roman"/>
                <w:color w:val="auto"/>
                <w:sz w:val="20"/>
                <w:szCs w:val="20"/>
              </w:rPr>
              <w:t xml:space="preserve"> </w:t>
            </w:r>
            <w:r w:rsidRPr="00EC2A1C">
              <w:rPr>
                <w:rFonts w:ascii="Times New Roman" w:hAnsi="Times New Roman" w:cs="Times New Roman"/>
                <w:color w:val="auto"/>
                <w:sz w:val="20"/>
                <w:szCs w:val="20"/>
              </w:rPr>
              <w:t>podzemních vod. Kontinuálně se zvyšují požadavky EU na jakost pitné vody, jejichž dosažení bude za použití stávajících technologií úpravy surové vody nemožné. Proto je nutné přikročit k zavedení účinných opatření proti plošnému znečišťování podzemních i povrchových vod znečištěním ze zemědělské výroby. V opačném případě hrozí nebezpečí nárůstu nutných investic i provozních nákladů spojených s nutností provozu účinnějších úpravárenských technologií, které se následně promítnou do zvýšené ceny vodného pro obyvatele. Dopady sucha jsou výrazně postiženy vodní ekosystémy a biodiverzita vodních toků.</w:t>
            </w:r>
          </w:p>
          <w:p w14:paraId="0F0DC191" w14:textId="77777777" w:rsidR="00DD3EFA" w:rsidRPr="00EC2A1C" w:rsidRDefault="00DD3EFA" w:rsidP="00B15ECB">
            <w:pPr>
              <w:pStyle w:val="Default"/>
              <w:spacing w:before="60" w:after="60" w:line="276" w:lineRule="auto"/>
              <w:contextualSpacing/>
              <w:jc w:val="both"/>
              <w:rPr>
                <w:rFonts w:ascii="Times New Roman" w:hAnsi="Times New Roman" w:cs="Times New Roman"/>
                <w:color w:val="auto"/>
                <w:sz w:val="20"/>
                <w:szCs w:val="20"/>
              </w:rPr>
            </w:pPr>
          </w:p>
          <w:p w14:paraId="1DC79A11" w14:textId="77777777" w:rsidR="00DD3EFA" w:rsidRPr="00EC2A1C" w:rsidRDefault="00DD3EFA" w:rsidP="00B15ECB">
            <w:pPr>
              <w:pStyle w:val="Default"/>
              <w:spacing w:before="60" w:after="60" w:line="276" w:lineRule="auto"/>
              <w:contextualSpacing/>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Eutrofizace povrchových vod způsobuje problémy při výrobě pitné vody a představuje přímé zdravotní riziko při využívání povrchových vod ke koupání. Nebezpečné látky obsažené v povrchových vodách se mohou následně akumulovat v sedimentech a v tkáních vodních živočichů a vstupovat tak do potravního řetězce celé řady dalších organismů včetně člověka. Při zvýšených průtocích pak dochází k nárazovému uvolňování sedimentů a k mobilizaci nebezpečných látek v nich obsažených.</w:t>
            </w:r>
          </w:p>
          <w:p w14:paraId="0D6E2F1B" w14:textId="77777777" w:rsidR="00DD3EFA" w:rsidRPr="00EC2A1C" w:rsidRDefault="00DD3EFA" w:rsidP="00B15ECB">
            <w:pPr>
              <w:pStyle w:val="Default"/>
              <w:spacing w:before="60" w:after="60" w:line="276" w:lineRule="auto"/>
              <w:contextualSpacing/>
              <w:jc w:val="both"/>
              <w:rPr>
                <w:rFonts w:ascii="Times New Roman" w:hAnsi="Times New Roman" w:cs="Times New Roman"/>
                <w:color w:val="auto"/>
                <w:sz w:val="20"/>
                <w:szCs w:val="20"/>
              </w:rPr>
            </w:pPr>
          </w:p>
          <w:p w14:paraId="5711E9BC" w14:textId="77777777" w:rsidR="00DD3EFA" w:rsidRPr="00EC2A1C" w:rsidRDefault="00DD3EFA" w:rsidP="00B15ECB">
            <w:pPr>
              <w:spacing w:before="60" w:after="60"/>
              <w:rPr>
                <w:rFonts w:ascii="Times New Roman" w:eastAsiaTheme="majorEastAsia" w:hAnsi="Times New Roman" w:cs="Times New Roman"/>
                <w:i/>
                <w:sz w:val="20"/>
                <w:szCs w:val="20"/>
                <w:u w:val="single"/>
              </w:rPr>
            </w:pPr>
            <w:r w:rsidRPr="00EC2A1C">
              <w:rPr>
                <w:rFonts w:ascii="Times New Roman" w:hAnsi="Times New Roman" w:cs="Times New Roman"/>
                <w:sz w:val="20"/>
                <w:szCs w:val="20"/>
              </w:rPr>
              <w:t>I při probíhající změně klimatu lze nadále očekávat výskyt extrémních srážek a nebezpečných povodňových situací. Z tohoto důvodu bude nezbytné se i nadále zabývat podporou realizace opatření zmírňujících dopad povodní a přívalových srážek.</w:t>
            </w:r>
          </w:p>
        </w:tc>
        <w:tc>
          <w:tcPr>
            <w:tcW w:w="249" w:type="dxa"/>
            <w:tcBorders>
              <w:top w:val="nil"/>
              <w:bottom w:val="nil"/>
            </w:tcBorders>
            <w:shd w:val="clear" w:color="auto" w:fill="66CCFF"/>
          </w:tcPr>
          <w:p w14:paraId="6540C3B6" w14:textId="77777777" w:rsidR="00DD3EFA" w:rsidRPr="00EC2A1C" w:rsidRDefault="00DD3EFA" w:rsidP="00B15ECB">
            <w:pPr>
              <w:rPr>
                <w:rFonts w:ascii="Times New Roman" w:hAnsi="Times New Roman" w:cs="Times New Roman"/>
                <w:b/>
                <w:sz w:val="20"/>
                <w:szCs w:val="20"/>
              </w:rPr>
            </w:pPr>
          </w:p>
        </w:tc>
      </w:tr>
      <w:tr w:rsidR="00DD3EFA" w:rsidRPr="00EC2A1C" w14:paraId="59FE554B" w14:textId="77777777" w:rsidTr="00B15ECB">
        <w:trPr>
          <w:trHeight w:val="1274"/>
        </w:trPr>
        <w:tc>
          <w:tcPr>
            <w:tcW w:w="249" w:type="dxa"/>
            <w:tcBorders>
              <w:top w:val="nil"/>
              <w:bottom w:val="nil"/>
            </w:tcBorders>
            <w:shd w:val="clear" w:color="auto" w:fill="66CCFF"/>
          </w:tcPr>
          <w:p w14:paraId="3C486E7E"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1C3ADCB"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 xml:space="preserve">Problémy, které specifický cíl řeší </w:t>
            </w:r>
          </w:p>
        </w:tc>
        <w:tc>
          <w:tcPr>
            <w:tcW w:w="5978" w:type="dxa"/>
            <w:tcBorders>
              <w:bottom w:val="single" w:sz="4" w:space="0" w:color="auto"/>
            </w:tcBorders>
            <w:shd w:val="clear" w:color="auto" w:fill="FFFFFF" w:themeFill="background1"/>
          </w:tcPr>
          <w:p w14:paraId="0AEF17C5"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Dostupnost vody a její kvalita tak patří mezi hlavní problémy, kterým budeme v příštích desetiletích čelit. ČR je vzhledem ke svojí geografické poloze zemí, ze které naprostá většina vody vodními toky odtéká a pouze zanedbatelné množství jimi přitéká. Vodní režim v české krajině je proto zásadní pro zachování stability ekosystémů a jimi poskytovaných ekosystémových služeb a pro zmírňování následků hydrologických extrémů v souvislosti se změnou klimatu.</w:t>
            </w:r>
          </w:p>
          <w:p w14:paraId="116F9DF0"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Množství a kvalita vypouštěných odpadních vod přímo ovlivňuje jakost vodních toků, a tím i ekosystémy vázané na vodní prostředí. Nadměrné množství nutrientů, především fosforu, přispívá k eutrofizaci vod a má také negativní vliv na možnost využívání vod člověkem. K tomu dále přistupuje plošné znečištění fosforem a dusičnany ze zemědělské činnosti, a to jak z intenzivních chovů hospodářských zvířat, tak zejména splachem průmyslových hnojiv z polí do řek a vodních nádrží.</w:t>
            </w:r>
          </w:p>
          <w:p w14:paraId="020AAA9A" w14:textId="77777777" w:rsidR="00DD3EFA" w:rsidRPr="00EC2A1C" w:rsidRDefault="00DD3EFA" w:rsidP="00B15ECB">
            <w:pPr>
              <w:spacing w:before="60" w:after="60" w:line="276" w:lineRule="auto"/>
              <w:rPr>
                <w:rFonts w:ascii="Times New Roman" w:hAnsi="Times New Roman" w:cs="Times New Roman"/>
                <w:sz w:val="20"/>
                <w:szCs w:val="20"/>
              </w:rPr>
            </w:pPr>
          </w:p>
          <w:p w14:paraId="6E3F8213"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Stále asi 15 % domácností není připojeno na kanalizační síť z důvodu neexistence kanalizace a v řadě obcí není existující kanalizace nebo její část není napojena na ČOV. </w:t>
            </w:r>
          </w:p>
          <w:p w14:paraId="156E1296" w14:textId="77777777" w:rsidR="00DD3EFA" w:rsidRPr="00EC2A1C" w:rsidRDefault="00DD3EFA" w:rsidP="00B15ECB">
            <w:pPr>
              <w:spacing w:before="60" w:after="60" w:line="276" w:lineRule="auto"/>
              <w:rPr>
                <w:rFonts w:ascii="Times New Roman" w:hAnsi="Times New Roman" w:cs="Times New Roman"/>
                <w:sz w:val="20"/>
                <w:szCs w:val="20"/>
              </w:rPr>
            </w:pPr>
          </w:p>
          <w:p w14:paraId="3ACBBC77"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Relativně nově vnímaným problémem je možné negativní působení reziduí pesticidů, léčiv a dalších chemických látek na vodní ekosystémy.</w:t>
            </w:r>
          </w:p>
          <w:p w14:paraId="3509EF02" w14:textId="77777777" w:rsidR="00DD3EFA" w:rsidRPr="00EC2A1C" w:rsidRDefault="00DD3EFA" w:rsidP="00B15ECB">
            <w:pPr>
              <w:spacing w:before="60" w:after="60" w:line="276" w:lineRule="auto"/>
              <w:rPr>
                <w:rFonts w:ascii="Times New Roman" w:hAnsi="Times New Roman" w:cs="Times New Roman"/>
                <w:sz w:val="20"/>
                <w:szCs w:val="20"/>
              </w:rPr>
            </w:pPr>
          </w:p>
          <w:p w14:paraId="5922E808"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Je nezbytné urychlené zavedení komplexního systému pro nakládání a využití srážkové vody ze zpevněných ploch, lidských sídel a průmyslových areálů, umožňující regulaci odtoku srážkových vod a následného využití srážkových vod pro zlepšení životního prostředí.</w:t>
            </w:r>
          </w:p>
          <w:p w14:paraId="2B2C5F9D" w14:textId="77777777" w:rsidR="00DD3EFA" w:rsidRPr="00EC2A1C" w:rsidRDefault="00DD3EFA" w:rsidP="00B15ECB">
            <w:pPr>
              <w:spacing w:before="60" w:after="60" w:line="276" w:lineRule="auto"/>
              <w:rPr>
                <w:rFonts w:ascii="Times New Roman" w:hAnsi="Times New Roman" w:cs="Times New Roman"/>
                <w:sz w:val="20"/>
                <w:szCs w:val="20"/>
              </w:rPr>
            </w:pPr>
          </w:p>
          <w:p w14:paraId="605CC24E"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S ohledem na probíhající změny klimatu a výskyt období s nedostatečnými dešťovými srážkami je nutné se věnovat opatřením zaměřeným na úspory spotřeby vody podporou znovuvyužití šedých vod i recyklace průmyslových vod. Je třeba podpořit vývoj technologií s nižší spotřebou vody využívající recyklaci a znovuvyužití vod. </w:t>
            </w:r>
          </w:p>
          <w:p w14:paraId="619713FC" w14:textId="77777777" w:rsidR="00DD3EFA" w:rsidRPr="00EC2A1C" w:rsidRDefault="00DD3EFA" w:rsidP="00B15ECB">
            <w:pPr>
              <w:spacing w:before="60" w:after="60" w:line="276" w:lineRule="auto"/>
              <w:rPr>
                <w:rFonts w:ascii="Times New Roman" w:hAnsi="Times New Roman" w:cs="Times New Roman"/>
                <w:sz w:val="20"/>
                <w:szCs w:val="20"/>
              </w:rPr>
            </w:pPr>
          </w:p>
          <w:p w14:paraId="7BE688BA"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důsledku sucha dochází ke snižování využitelných zásob podzemních vod. Problémem při hospodaření s vodou jsou také značné úniky pitné vody z některých nedostatečně udržovaných vodovodních sítí. V souvislosti se změnou klimatu je nutné i do budoucna zabezpečit dostatečné dodávky pitné vody.</w:t>
            </w:r>
          </w:p>
          <w:p w14:paraId="56185422" w14:textId="77777777" w:rsidR="00DD3EFA" w:rsidRPr="00EC2A1C" w:rsidRDefault="00DD3EFA" w:rsidP="00B15ECB">
            <w:pPr>
              <w:spacing w:before="60" w:after="60"/>
              <w:rPr>
                <w:rFonts w:ascii="Times New Roman" w:hAnsi="Times New Roman" w:cs="Times New Roman"/>
                <w:i/>
                <w:sz w:val="20"/>
                <w:szCs w:val="20"/>
              </w:rPr>
            </w:pPr>
            <w:r w:rsidRPr="00EC2A1C">
              <w:rPr>
                <w:rFonts w:ascii="Times New Roman" w:hAnsi="Times New Roman" w:cs="Times New Roman"/>
                <w:sz w:val="20"/>
                <w:szCs w:val="20"/>
              </w:rPr>
              <w:t>Povodně představují největší přímé nebezpečí v oblasti přírodních katastrof a jsou příčinou závažných krizových situací, které provázejí nejenom rozsáhlé materiální škody, ale rovněž ztráty na životech obyvatel postižených území a rozsáhlé devastace kulturní krajiny včetně ekologických škod.</w:t>
            </w:r>
          </w:p>
        </w:tc>
        <w:tc>
          <w:tcPr>
            <w:tcW w:w="249" w:type="dxa"/>
            <w:tcBorders>
              <w:top w:val="nil"/>
              <w:bottom w:val="nil"/>
            </w:tcBorders>
            <w:shd w:val="clear" w:color="auto" w:fill="66CCFF"/>
          </w:tcPr>
          <w:p w14:paraId="7E609342" w14:textId="77777777" w:rsidR="00DD3EFA" w:rsidRPr="00EC2A1C" w:rsidRDefault="00DD3EFA" w:rsidP="00B15ECB">
            <w:pPr>
              <w:rPr>
                <w:rFonts w:ascii="Times New Roman" w:hAnsi="Times New Roman" w:cs="Times New Roman"/>
                <w:b/>
                <w:sz w:val="20"/>
                <w:szCs w:val="20"/>
              </w:rPr>
            </w:pPr>
          </w:p>
        </w:tc>
      </w:tr>
      <w:tr w:rsidR="00DD3EFA" w:rsidRPr="00EC2A1C" w14:paraId="356D3B42" w14:textId="77777777" w:rsidTr="00B15ECB">
        <w:trPr>
          <w:trHeight w:val="1274"/>
        </w:trPr>
        <w:tc>
          <w:tcPr>
            <w:tcW w:w="249" w:type="dxa"/>
            <w:tcBorders>
              <w:top w:val="nil"/>
              <w:bottom w:val="nil"/>
            </w:tcBorders>
            <w:shd w:val="clear" w:color="auto" w:fill="66CCFF"/>
          </w:tcPr>
          <w:p w14:paraId="0D1B0414"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607820F8"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Definice cíle – změny, které chceme dosáhnout</w:t>
            </w:r>
          </w:p>
          <w:p w14:paraId="7B95C2A6"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3B596479"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 Zlepšit stav vodních útvarů a zefektivnit ochranu a využití povrchových a podzemních vod  </w:t>
            </w:r>
          </w:p>
          <w:p w14:paraId="6F704DB2"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 xml:space="preserve">Zlepšení stavu ochrany před povodněmi a negativními dopady sucha. </w:t>
            </w:r>
          </w:p>
        </w:tc>
        <w:tc>
          <w:tcPr>
            <w:tcW w:w="249" w:type="dxa"/>
            <w:tcBorders>
              <w:top w:val="nil"/>
              <w:bottom w:val="nil"/>
            </w:tcBorders>
            <w:shd w:val="clear" w:color="auto" w:fill="66CCFF"/>
          </w:tcPr>
          <w:p w14:paraId="42619A67" w14:textId="77777777" w:rsidR="00DD3EFA" w:rsidRPr="00EC2A1C" w:rsidRDefault="00DD3EFA" w:rsidP="00B15ECB">
            <w:pPr>
              <w:rPr>
                <w:rFonts w:ascii="Times New Roman" w:hAnsi="Times New Roman" w:cs="Times New Roman"/>
                <w:b/>
                <w:sz w:val="20"/>
                <w:szCs w:val="20"/>
              </w:rPr>
            </w:pPr>
          </w:p>
        </w:tc>
      </w:tr>
      <w:tr w:rsidR="00DD3EFA" w:rsidRPr="00EC2A1C" w14:paraId="04ED71B2" w14:textId="77777777" w:rsidTr="00B15ECB">
        <w:trPr>
          <w:trHeight w:val="1274"/>
        </w:trPr>
        <w:tc>
          <w:tcPr>
            <w:tcW w:w="249" w:type="dxa"/>
            <w:tcBorders>
              <w:top w:val="nil"/>
              <w:bottom w:val="nil"/>
            </w:tcBorders>
            <w:shd w:val="clear" w:color="auto" w:fill="66CCFF"/>
          </w:tcPr>
          <w:p w14:paraId="3A8724A6"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6D95CDB1"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Defininice předpokládaných výstupů/výsledků/dopadů</w:t>
            </w:r>
          </w:p>
        </w:tc>
        <w:tc>
          <w:tcPr>
            <w:tcW w:w="5978" w:type="dxa"/>
            <w:tcBorders>
              <w:bottom w:val="single" w:sz="4" w:space="0" w:color="auto"/>
            </w:tcBorders>
            <w:shd w:val="clear" w:color="auto" w:fill="FFFFFF" w:themeFill="background1"/>
          </w:tcPr>
          <w:p w14:paraId="2700F3E4"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Systém indikátorů operačního programu bude navazovat na systém využívaný v současném období a bude respektovat požadavky evropských i národních metodik. V této fázi přípravy nového období, kdy nejsou ještě přesně určeny konkrétní definované aktivity a nejsou k dispozici podrobné metodiky, nejsme schopni přesné ukazatele definovat. Předpokládáme, že indikátory budou popsány v kartách intervenční logiky.</w:t>
            </w:r>
          </w:p>
          <w:p w14:paraId="6A993D94" w14:textId="77777777" w:rsidR="00DD3EFA" w:rsidRPr="00EC2A1C" w:rsidRDefault="00DD3EFA" w:rsidP="00B15ECB">
            <w:pPr>
              <w:spacing w:before="60" w:after="60"/>
              <w:rPr>
                <w:rFonts w:ascii="Times New Roman" w:eastAsiaTheme="majorEastAsia" w:hAnsi="Times New Roman" w:cs="Times New Roman"/>
                <w:i/>
                <w:sz w:val="20"/>
                <w:szCs w:val="20"/>
                <w:u w:val="single"/>
              </w:rPr>
            </w:pPr>
            <w:r w:rsidRPr="00EC2A1C">
              <w:rPr>
                <w:rFonts w:ascii="Times New Roman" w:eastAsiaTheme="majorEastAsia" w:hAnsi="Times New Roman" w:cs="Times New Roman"/>
                <w:i/>
                <w:sz w:val="20"/>
                <w:szCs w:val="20"/>
                <w:u w:val="single"/>
              </w:rPr>
              <w:t xml:space="preserve">  </w:t>
            </w:r>
          </w:p>
        </w:tc>
        <w:tc>
          <w:tcPr>
            <w:tcW w:w="249" w:type="dxa"/>
            <w:tcBorders>
              <w:top w:val="nil"/>
              <w:bottom w:val="nil"/>
            </w:tcBorders>
            <w:shd w:val="clear" w:color="auto" w:fill="66CCFF"/>
          </w:tcPr>
          <w:p w14:paraId="13DC491C" w14:textId="77777777" w:rsidR="00DD3EFA" w:rsidRPr="00EC2A1C" w:rsidRDefault="00DD3EFA" w:rsidP="00B15ECB">
            <w:pPr>
              <w:rPr>
                <w:rFonts w:ascii="Times New Roman" w:hAnsi="Times New Roman" w:cs="Times New Roman"/>
                <w:b/>
                <w:sz w:val="20"/>
                <w:szCs w:val="20"/>
              </w:rPr>
            </w:pPr>
          </w:p>
        </w:tc>
      </w:tr>
      <w:tr w:rsidR="00DD3EFA" w:rsidRPr="00EC2A1C" w14:paraId="7FDA29E3" w14:textId="77777777" w:rsidTr="00B15ECB">
        <w:trPr>
          <w:trHeight w:val="1274"/>
        </w:trPr>
        <w:tc>
          <w:tcPr>
            <w:tcW w:w="249" w:type="dxa"/>
            <w:tcBorders>
              <w:top w:val="nil"/>
              <w:bottom w:val="nil"/>
            </w:tcBorders>
            <w:shd w:val="clear" w:color="auto" w:fill="66CCFF"/>
          </w:tcPr>
          <w:p w14:paraId="242F67D2"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9AEB8EF"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Stanovení předpokládaného podílu ESIF na plnění specifického cíle NKR</w:t>
            </w:r>
          </w:p>
        </w:tc>
        <w:tc>
          <w:tcPr>
            <w:tcW w:w="5978" w:type="dxa"/>
            <w:tcBorders>
              <w:bottom w:val="single" w:sz="4" w:space="0" w:color="auto"/>
            </w:tcBorders>
            <w:shd w:val="clear" w:color="auto" w:fill="FFFFFF" w:themeFill="background1"/>
          </w:tcPr>
          <w:p w14:paraId="4EF973E7"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Na základě zkušeností z předešlých období lze očekávat, že míra příspěvku ESIF bude nadále velmi významná (60-80 %).</w:t>
            </w:r>
          </w:p>
        </w:tc>
        <w:tc>
          <w:tcPr>
            <w:tcW w:w="249" w:type="dxa"/>
            <w:tcBorders>
              <w:top w:val="nil"/>
              <w:bottom w:val="nil"/>
            </w:tcBorders>
            <w:shd w:val="clear" w:color="auto" w:fill="66CCFF"/>
          </w:tcPr>
          <w:p w14:paraId="52E03EE8" w14:textId="77777777" w:rsidR="00DD3EFA" w:rsidRPr="00EC2A1C" w:rsidRDefault="00DD3EFA" w:rsidP="00B15ECB">
            <w:pPr>
              <w:rPr>
                <w:rFonts w:ascii="Times New Roman" w:hAnsi="Times New Roman" w:cs="Times New Roman"/>
                <w:b/>
                <w:sz w:val="20"/>
                <w:szCs w:val="20"/>
              </w:rPr>
            </w:pPr>
          </w:p>
        </w:tc>
      </w:tr>
      <w:tr w:rsidR="00DD3EFA" w:rsidRPr="00EC2A1C" w14:paraId="5B08FC7F" w14:textId="77777777" w:rsidTr="00B15ECB">
        <w:trPr>
          <w:trHeight w:val="1274"/>
        </w:trPr>
        <w:tc>
          <w:tcPr>
            <w:tcW w:w="249" w:type="dxa"/>
            <w:tcBorders>
              <w:top w:val="nil"/>
              <w:bottom w:val="nil"/>
            </w:tcBorders>
            <w:shd w:val="clear" w:color="auto" w:fill="66CCFF"/>
          </w:tcPr>
          <w:p w14:paraId="6F85E0F9"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7E14A5DE"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Posun intervencí oproti dosavadním obdobím</w:t>
            </w:r>
          </w:p>
        </w:tc>
        <w:tc>
          <w:tcPr>
            <w:tcW w:w="5978" w:type="dxa"/>
            <w:tcBorders>
              <w:bottom w:val="single" w:sz="4" w:space="0" w:color="auto"/>
            </w:tcBorders>
            <w:shd w:val="clear" w:color="auto" w:fill="FFFFFF" w:themeFill="background1"/>
          </w:tcPr>
          <w:p w14:paraId="792C27C3"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Maximální pozornost bude věnována dořešení problémů s nedostatečným odkanalizováním a čištěním odpadních vod z malých komunálních zdrojů, popř. zvýšením účinnosti a kapacity stávajících čistírenských technologií tak, aby docházelo k vyššímu odstraňování nutrientů, popř. dalších škodlivých látek,</w:t>
            </w:r>
            <w:r w:rsidRPr="00EC2A1C">
              <w:rPr>
                <w:rFonts w:ascii="Times New Roman" w:eastAsiaTheme="majorEastAsia" w:hAnsi="Times New Roman" w:cs="Times New Roman"/>
                <w:sz w:val="20"/>
                <w:szCs w:val="20"/>
                <w:highlight w:val="yellow"/>
              </w:rPr>
              <w:t xml:space="preserve"> </w:t>
            </w:r>
            <w:r w:rsidRPr="00EC2A1C">
              <w:rPr>
                <w:rFonts w:ascii="Times New Roman" w:eastAsiaTheme="majorEastAsia" w:hAnsi="Times New Roman" w:cs="Times New Roman"/>
                <w:sz w:val="20"/>
                <w:szCs w:val="20"/>
              </w:rPr>
              <w:t xml:space="preserve">jako jsou rezidua antibiotik a hormonálních léků. Je třeba řešit i problematiku difúzních zdrojů např. přepadů jednotné kanalizace a drobných volných výustí nečištěných OV a plošných zdrojů znečištění, především v oblasti zemědělské velkovýroby. </w:t>
            </w:r>
          </w:p>
          <w:p w14:paraId="2DFE564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sz w:val="20"/>
                <w:szCs w:val="20"/>
              </w:rPr>
            </w:pPr>
            <w:r w:rsidRPr="00EC2A1C">
              <w:rPr>
                <w:rFonts w:ascii="Times New Roman" w:eastAsiaTheme="majorEastAsia" w:hAnsi="Times New Roman"/>
                <w:sz w:val="20"/>
                <w:szCs w:val="20"/>
              </w:rPr>
              <w:t>V oblasti hydrologických extrémů je vhodné se v budoucnu více zaměřit nejen na ochranu před povodněmi ale i na podporu opatření omezujících negativní důsledky suchých epizod.</w:t>
            </w:r>
          </w:p>
        </w:tc>
        <w:tc>
          <w:tcPr>
            <w:tcW w:w="249" w:type="dxa"/>
            <w:tcBorders>
              <w:top w:val="nil"/>
              <w:bottom w:val="nil"/>
            </w:tcBorders>
            <w:shd w:val="clear" w:color="auto" w:fill="66CCFF"/>
          </w:tcPr>
          <w:p w14:paraId="113FE38B" w14:textId="77777777" w:rsidR="00DD3EFA" w:rsidRPr="00EC2A1C" w:rsidRDefault="00DD3EFA" w:rsidP="00B15ECB">
            <w:pPr>
              <w:rPr>
                <w:rFonts w:ascii="Times New Roman" w:hAnsi="Times New Roman" w:cs="Times New Roman"/>
                <w:b/>
                <w:sz w:val="20"/>
                <w:szCs w:val="20"/>
              </w:rPr>
            </w:pPr>
          </w:p>
        </w:tc>
      </w:tr>
      <w:tr w:rsidR="00DD3EFA" w:rsidRPr="00EC2A1C" w14:paraId="7470B5E8" w14:textId="77777777" w:rsidTr="00B15ECB">
        <w:trPr>
          <w:trHeight w:val="272"/>
        </w:trPr>
        <w:tc>
          <w:tcPr>
            <w:tcW w:w="249" w:type="dxa"/>
            <w:tcBorders>
              <w:top w:val="nil"/>
              <w:bottom w:val="nil"/>
              <w:right w:val="nil"/>
            </w:tcBorders>
            <w:shd w:val="clear" w:color="auto" w:fill="66CCFF"/>
          </w:tcPr>
          <w:p w14:paraId="02CB8C67"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55D5ECFC"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0AF167C7" w14:textId="77777777" w:rsidR="00DD3EFA" w:rsidRPr="00EC2A1C" w:rsidRDefault="00DD3EFA" w:rsidP="00B15ECB">
            <w:pPr>
              <w:spacing w:before="60" w:after="60"/>
              <w:rPr>
                <w:rFonts w:ascii="Times New Roman" w:eastAsiaTheme="majorEastAsia" w:hAnsi="Times New Roman" w:cs="Times New Roman"/>
                <w:i/>
                <w:sz w:val="20"/>
                <w:szCs w:val="20"/>
                <w:u w:val="single"/>
              </w:rPr>
            </w:pPr>
          </w:p>
        </w:tc>
        <w:tc>
          <w:tcPr>
            <w:tcW w:w="249" w:type="dxa"/>
            <w:tcBorders>
              <w:top w:val="nil"/>
              <w:left w:val="nil"/>
              <w:bottom w:val="nil"/>
            </w:tcBorders>
            <w:shd w:val="clear" w:color="auto" w:fill="66CCFF"/>
          </w:tcPr>
          <w:p w14:paraId="6A26FACF" w14:textId="77777777" w:rsidR="00DD3EFA" w:rsidRPr="00EC2A1C" w:rsidRDefault="00DD3EFA" w:rsidP="00B15ECB">
            <w:pPr>
              <w:rPr>
                <w:rFonts w:ascii="Times New Roman" w:hAnsi="Times New Roman" w:cs="Times New Roman"/>
                <w:b/>
                <w:sz w:val="20"/>
                <w:szCs w:val="20"/>
              </w:rPr>
            </w:pPr>
          </w:p>
        </w:tc>
      </w:tr>
      <w:tr w:rsidR="00DD3EFA" w:rsidRPr="00EC2A1C" w14:paraId="58091A42" w14:textId="77777777" w:rsidTr="00B15ECB">
        <w:trPr>
          <w:trHeight w:val="835"/>
        </w:trPr>
        <w:tc>
          <w:tcPr>
            <w:tcW w:w="249" w:type="dxa"/>
            <w:tcBorders>
              <w:top w:val="nil"/>
              <w:bottom w:val="nil"/>
            </w:tcBorders>
            <w:shd w:val="clear" w:color="auto" w:fill="66CCFF"/>
          </w:tcPr>
          <w:p w14:paraId="22FF75E7"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bottom w:val="single" w:sz="4" w:space="0" w:color="auto"/>
            </w:tcBorders>
            <w:shd w:val="clear" w:color="auto" w:fill="auto"/>
          </w:tcPr>
          <w:p w14:paraId="3D5AD2B2"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Dílčí cíle podpory</w:t>
            </w:r>
          </w:p>
          <w:p w14:paraId="6051BDD8"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bottom w:val="single" w:sz="4" w:space="0" w:color="auto"/>
            </w:tcBorders>
            <w:shd w:val="clear" w:color="auto" w:fill="auto"/>
          </w:tcPr>
          <w:p w14:paraId="3AECF6BD"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ochrana množství a kvalita vod a soustavné zlepšování jejich stavu v souladu s Rámcovou směrnicí o vodách</w:t>
            </w:r>
          </w:p>
          <w:p w14:paraId="2FC28063"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zásobování pitnou vodou, vč. ochrany stávajících zdrojů a zajištění nových zdrojů pitné vody</w:t>
            </w:r>
          </w:p>
          <w:p w14:paraId="53C413A1"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omezení znečištění z bodových zdrojů – odvádění a účinné čištění OV i z menších obcí, zemědělství a průmyslu</w:t>
            </w:r>
          </w:p>
          <w:p w14:paraId="2431F423" w14:textId="77777777" w:rsidR="00DD3EFA" w:rsidRPr="00EC2A1C" w:rsidRDefault="00DD3EFA" w:rsidP="00391907">
            <w:pPr>
              <w:numPr>
                <w:ilvl w:val="0"/>
                <w:numId w:val="96"/>
              </w:numPr>
              <w:spacing w:before="60" w:after="60" w:line="264"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snížení znečištění z plošných zdrojů – především zemědělského hospodaření (hnojiva, pesticidy)</w:t>
            </w:r>
          </w:p>
          <w:p w14:paraId="2B6FA4BA" w14:textId="77777777" w:rsidR="00DD3EFA" w:rsidRPr="00EC2A1C" w:rsidRDefault="00DD3EFA" w:rsidP="00391907">
            <w:pPr>
              <w:pStyle w:val="Odstavecseseznamem"/>
              <w:numPr>
                <w:ilvl w:val="0"/>
                <w:numId w:val="96"/>
              </w:numPr>
              <w:rPr>
                <w:rFonts w:ascii="Times New Roman" w:eastAsia="Calibri" w:hAnsi="Times New Roman" w:cs="Times New Roman"/>
                <w:sz w:val="20"/>
                <w:szCs w:val="20"/>
              </w:rPr>
            </w:pPr>
            <w:r w:rsidRPr="00EC2A1C">
              <w:rPr>
                <w:rFonts w:ascii="Times New Roman" w:eastAsia="Calibri" w:hAnsi="Times New Roman" w:cs="Times New Roman"/>
                <w:sz w:val="20"/>
                <w:szCs w:val="20"/>
              </w:rPr>
              <w:t>připravenost a snižování následků extrémních meteorologických jevů (povodně, přívalové povodně, vydatné srážky, dlouhodobé sucho, extrémně vysoké teploty, apod.)</w:t>
            </w:r>
          </w:p>
          <w:p w14:paraId="750F4E61" w14:textId="77777777" w:rsidR="00DD3EFA" w:rsidRPr="00EC2A1C" w:rsidRDefault="00DD3EFA" w:rsidP="00391907">
            <w:pPr>
              <w:pStyle w:val="Odstavecseseznamem"/>
              <w:numPr>
                <w:ilvl w:val="0"/>
                <w:numId w:val="96"/>
              </w:numPr>
              <w:rPr>
                <w:rFonts w:ascii="Times New Roman" w:eastAsia="Calibri" w:hAnsi="Times New Roman" w:cs="Times New Roman"/>
                <w:sz w:val="20"/>
                <w:szCs w:val="20"/>
              </w:rPr>
            </w:pPr>
            <w:r w:rsidRPr="00EC2A1C">
              <w:rPr>
                <w:rFonts w:ascii="Times New Roman" w:eastAsia="Calibri" w:hAnsi="Times New Roman" w:cs="Times New Roman"/>
                <w:sz w:val="20"/>
                <w:szCs w:val="20"/>
              </w:rPr>
              <w:t>hospodaření se srážkovými vodami</w:t>
            </w:r>
          </w:p>
          <w:p w14:paraId="673EE522" w14:textId="77777777" w:rsidR="00DD3EFA" w:rsidRPr="00EC2A1C" w:rsidRDefault="00DD3EFA" w:rsidP="00391907">
            <w:pPr>
              <w:pStyle w:val="Odstavecseseznamem"/>
              <w:numPr>
                <w:ilvl w:val="0"/>
                <w:numId w:val="96"/>
              </w:numPr>
              <w:rPr>
                <w:rFonts w:ascii="Times New Roman" w:eastAsia="Calibri" w:hAnsi="Times New Roman" w:cs="Times New Roman"/>
                <w:sz w:val="20"/>
                <w:szCs w:val="20"/>
              </w:rPr>
            </w:pPr>
            <w:r w:rsidRPr="00EC2A1C">
              <w:rPr>
                <w:rFonts w:ascii="Times New Roman" w:eastAsia="Calibri" w:hAnsi="Times New Roman" w:cs="Times New Roman"/>
                <w:sz w:val="20"/>
                <w:szCs w:val="20"/>
              </w:rPr>
              <w:t>snížení spotřeby vody, recyklace vody a znovuvyužití čištěných odpadních vod</w:t>
            </w:r>
          </w:p>
          <w:p w14:paraId="72E939F7"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7861B928" w14:textId="77777777" w:rsidR="00DD3EFA" w:rsidRPr="00EC2A1C" w:rsidRDefault="00DD3EFA" w:rsidP="00B15ECB">
            <w:pPr>
              <w:rPr>
                <w:rFonts w:ascii="Times New Roman" w:hAnsi="Times New Roman" w:cs="Times New Roman"/>
                <w:b/>
                <w:sz w:val="20"/>
                <w:szCs w:val="20"/>
              </w:rPr>
            </w:pPr>
          </w:p>
        </w:tc>
      </w:tr>
      <w:tr w:rsidR="00DD3EFA" w:rsidRPr="00EC2A1C" w14:paraId="4103B903" w14:textId="77777777" w:rsidTr="00B15ECB">
        <w:trPr>
          <w:trHeight w:val="377"/>
        </w:trPr>
        <w:tc>
          <w:tcPr>
            <w:tcW w:w="249" w:type="dxa"/>
            <w:tcBorders>
              <w:top w:val="nil"/>
              <w:bottom w:val="nil"/>
              <w:right w:val="nil"/>
            </w:tcBorders>
            <w:shd w:val="clear" w:color="auto" w:fill="66CCFF"/>
          </w:tcPr>
          <w:p w14:paraId="70413103"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10023488"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3FA6035F"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left w:val="nil"/>
              <w:bottom w:val="nil"/>
            </w:tcBorders>
            <w:shd w:val="clear" w:color="auto" w:fill="66CCFF"/>
          </w:tcPr>
          <w:p w14:paraId="5EDC35AB" w14:textId="77777777" w:rsidR="00DD3EFA" w:rsidRPr="00EC2A1C" w:rsidRDefault="00DD3EFA" w:rsidP="00B15ECB">
            <w:pPr>
              <w:rPr>
                <w:rFonts w:ascii="Times New Roman" w:hAnsi="Times New Roman" w:cs="Times New Roman"/>
                <w:b/>
                <w:sz w:val="20"/>
                <w:szCs w:val="20"/>
              </w:rPr>
            </w:pPr>
          </w:p>
        </w:tc>
      </w:tr>
      <w:tr w:rsidR="00DD3EFA" w:rsidRPr="00EC2A1C" w14:paraId="72030BF0" w14:textId="77777777" w:rsidTr="00B15ECB">
        <w:trPr>
          <w:trHeight w:val="1202"/>
        </w:trPr>
        <w:tc>
          <w:tcPr>
            <w:tcW w:w="249" w:type="dxa"/>
            <w:tcBorders>
              <w:top w:val="nil"/>
              <w:bottom w:val="nil"/>
            </w:tcBorders>
            <w:shd w:val="clear" w:color="auto" w:fill="66CCFF"/>
          </w:tcPr>
          <w:p w14:paraId="46DD8467" w14:textId="77777777" w:rsidR="00DD3EFA" w:rsidRPr="00EC2A1C" w:rsidRDefault="00DD3EFA" w:rsidP="00B15ECB">
            <w:pPr>
              <w:rPr>
                <w:rFonts w:ascii="Times New Roman" w:hAnsi="Times New Roman" w:cs="Times New Roman"/>
                <w:b/>
                <w:sz w:val="20"/>
                <w:szCs w:val="20"/>
              </w:rPr>
            </w:pPr>
          </w:p>
        </w:tc>
        <w:tc>
          <w:tcPr>
            <w:tcW w:w="8526" w:type="dxa"/>
            <w:gridSpan w:val="2"/>
            <w:tcBorders>
              <w:top w:val="single" w:sz="4" w:space="0" w:color="auto"/>
              <w:bottom w:val="single" w:sz="4" w:space="0" w:color="auto"/>
            </w:tcBorders>
            <w:shd w:val="clear" w:color="auto" w:fill="FFFFFF" w:themeFill="background1"/>
          </w:tcPr>
          <w:p w14:paraId="3B2D34DE" w14:textId="77777777" w:rsidR="00DD3EFA" w:rsidRPr="00EC2A1C" w:rsidRDefault="00DD3EFA" w:rsidP="00B15ECB">
            <w:pPr>
              <w:spacing w:before="60" w:after="60"/>
              <w:rPr>
                <w:rFonts w:ascii="Times New Roman" w:eastAsiaTheme="majorEastAsia" w:hAnsi="Times New Roman" w:cs="Times New Roman"/>
                <w:i/>
                <w:sz w:val="20"/>
                <w:szCs w:val="20"/>
                <w:u w:val="single"/>
              </w:rPr>
            </w:pPr>
            <w:r w:rsidRPr="00EC2A1C">
              <w:rPr>
                <w:rFonts w:ascii="Times New Roman" w:eastAsiaTheme="majorEastAsia" w:hAnsi="Times New Roman" w:cs="Times New Roman"/>
                <w:b/>
                <w:sz w:val="20"/>
                <w:szCs w:val="20"/>
              </w:rPr>
              <w:t>Průřezová témata a souvislosti:</w:t>
            </w:r>
          </w:p>
        </w:tc>
        <w:tc>
          <w:tcPr>
            <w:tcW w:w="249" w:type="dxa"/>
            <w:tcBorders>
              <w:top w:val="nil"/>
              <w:bottom w:val="nil"/>
            </w:tcBorders>
            <w:shd w:val="clear" w:color="auto" w:fill="66CCFF"/>
          </w:tcPr>
          <w:p w14:paraId="5051ED22" w14:textId="77777777" w:rsidR="00DD3EFA" w:rsidRPr="00EC2A1C" w:rsidRDefault="00DD3EFA" w:rsidP="00B15ECB">
            <w:pPr>
              <w:rPr>
                <w:rFonts w:ascii="Times New Roman" w:hAnsi="Times New Roman" w:cs="Times New Roman"/>
                <w:b/>
                <w:sz w:val="20"/>
                <w:szCs w:val="20"/>
              </w:rPr>
            </w:pPr>
          </w:p>
        </w:tc>
      </w:tr>
      <w:tr w:rsidR="00DD3EFA" w:rsidRPr="00EC2A1C" w14:paraId="56509DAE" w14:textId="77777777" w:rsidTr="00B15ECB">
        <w:trPr>
          <w:trHeight w:val="1202"/>
        </w:trPr>
        <w:tc>
          <w:tcPr>
            <w:tcW w:w="249" w:type="dxa"/>
            <w:tcBorders>
              <w:top w:val="nil"/>
              <w:bottom w:val="nil"/>
            </w:tcBorders>
            <w:shd w:val="clear" w:color="auto" w:fill="66CCFF"/>
          </w:tcPr>
          <w:p w14:paraId="79EDE72D"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36CAA641"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Územní dimenze</w:t>
            </w:r>
          </w:p>
          <w:p w14:paraId="1758DDAA"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473C7243" w14:textId="77777777" w:rsidR="00DD3EFA" w:rsidRPr="00EC2A1C" w:rsidRDefault="00DD3EFA" w:rsidP="00B15ECB">
            <w:pPr>
              <w:pStyle w:val="Default"/>
              <w:spacing w:line="276" w:lineRule="auto"/>
              <w:contextualSpacing/>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 xml:space="preserve">Značné znečištění povrchových vod přetrvává v průmyslově orientovaných krajích (Ústecký, Moravskoslezský a Středočeský kraj), ale také v Jihočeském a Jihomoravském kraji, ve kterých se projevuje vliv plošného znečištění z intenzivního zemědělství a množství bodových komunálních zdrojů. </w:t>
            </w:r>
          </w:p>
          <w:p w14:paraId="74F85452" w14:textId="77777777" w:rsidR="00DD3EFA" w:rsidRPr="00EC2A1C" w:rsidRDefault="00DD3EFA" w:rsidP="00B15ECB">
            <w:pPr>
              <w:pStyle w:val="Default"/>
              <w:spacing w:line="276" w:lineRule="auto"/>
              <w:contextualSpacing/>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 xml:space="preserve">Dle souhrnného hodnocení základních ukazatelů jakosti vody sledovaných dle normy ČSN 75 7221 v hodnoceném dvouletí 2014-2015 je většina toků v ČR znečištěná. Dlouhodobé znečištění V. třídy vykazuje řeka Trkmanka v Jihomoravském kraji, kde se projevuje intenzivní zemědělská činnost, dále úsek Lužnice pod soutokem s Nežárkou v Jihočeském kraji (zemědělské a komunální znečištění a v případě velkých rybníků také intenzivním rybářským využíváním). </w:t>
            </w:r>
          </w:p>
          <w:p w14:paraId="75C7C1C6" w14:textId="77777777" w:rsidR="00DD3EFA" w:rsidRPr="00EC2A1C" w:rsidRDefault="00DD3EFA" w:rsidP="00B15ECB">
            <w:pPr>
              <w:pStyle w:val="Default"/>
              <w:spacing w:line="276" w:lineRule="auto"/>
              <w:contextualSpacing/>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 xml:space="preserve">Na základě „Plánů pro zvládání povodňových rizik ČR“ (2015) v povodí Labe, Dunaje a Odry vypracovaným MŽP a MZe bylo vymezeno celkem 272 oblastí s významnými povodňovými riziky, které byly v rámci zpracování dokumentací oblastí s významným povodňovým rizikem sdruženy do 187 oblastí. Celková délka úseků vodních toků s významným povodňovým rizikem činí ve všech povodí necelých 3 000 km. </w:t>
            </w:r>
          </w:p>
          <w:p w14:paraId="0B61D007" w14:textId="77777777" w:rsidR="00DD3EFA" w:rsidRPr="00EC2A1C" w:rsidRDefault="00DD3EFA" w:rsidP="00B15ECB">
            <w:pPr>
              <w:pStyle w:val="Default"/>
              <w:spacing w:line="276" w:lineRule="auto"/>
              <w:contextualSpacing/>
              <w:jc w:val="both"/>
              <w:rPr>
                <w:rFonts w:ascii="Times New Roman" w:hAnsi="Times New Roman" w:cs="Times New Roman"/>
                <w:color w:val="auto"/>
                <w:sz w:val="20"/>
                <w:szCs w:val="20"/>
              </w:rPr>
            </w:pPr>
          </w:p>
          <w:p w14:paraId="42766333" w14:textId="77777777" w:rsidR="00DD3EFA" w:rsidRPr="00EC2A1C" w:rsidRDefault="00DD3EFA" w:rsidP="00B15ECB">
            <w:pPr>
              <w:pStyle w:val="Default"/>
              <w:spacing w:line="276" w:lineRule="auto"/>
              <w:contextualSpacing/>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 xml:space="preserve">Odvádění srážkové vody jednotnou kanalizací může vést k následnému hydraulickému přetěžování kanalizační sítě a ČOV, v lepším případě dochází k zadržování dešťové vody v retenčních nádržích a jejímu následnému odvodu do kanalizace. Optimálním způsobem likvidace srážkových vod je jejich zasakování v místě dopadu (v případě vhodných hydrogeologických podmínek) nebo akumulace a následné využití. </w:t>
            </w:r>
          </w:p>
          <w:p w14:paraId="52C88061" w14:textId="77777777" w:rsidR="00DD3EFA" w:rsidRPr="00EC2A1C" w:rsidRDefault="00DD3EFA" w:rsidP="00B15ECB">
            <w:pPr>
              <w:pStyle w:val="Default"/>
              <w:spacing w:line="276" w:lineRule="auto"/>
              <w:contextualSpacing/>
              <w:jc w:val="both"/>
              <w:rPr>
                <w:rFonts w:ascii="Times New Roman" w:hAnsi="Times New Roman" w:cs="Times New Roman"/>
                <w:color w:val="auto"/>
                <w:sz w:val="20"/>
                <w:szCs w:val="20"/>
              </w:rPr>
            </w:pPr>
          </w:p>
          <w:p w14:paraId="70F1F5CF" w14:textId="77777777" w:rsidR="00DD3EFA" w:rsidRPr="00EC2A1C" w:rsidRDefault="00DD3EFA" w:rsidP="00B15ECB">
            <w:pPr>
              <w:pStyle w:val="Default"/>
              <w:spacing w:line="276" w:lineRule="auto"/>
              <w:contextualSpacing/>
              <w:jc w:val="both"/>
              <w:rPr>
                <w:rFonts w:ascii="Times New Roman" w:hAnsi="Times New Roman" w:cs="Times New Roman"/>
                <w:color w:val="auto"/>
                <w:sz w:val="20"/>
                <w:szCs w:val="20"/>
              </w:rPr>
            </w:pPr>
            <w:r w:rsidRPr="00EC2A1C">
              <w:rPr>
                <w:rFonts w:ascii="Times New Roman" w:hAnsi="Times New Roman" w:cs="Times New Roman"/>
                <w:color w:val="auto"/>
                <w:sz w:val="20"/>
                <w:szCs w:val="20"/>
              </w:rPr>
              <w:t>Pozornost je třeba věnovat i posílení hydrologických funkcí krajiny např. realizací vhodných retenčních opatření v oblastech s důlní činností.</w:t>
            </w:r>
          </w:p>
          <w:p w14:paraId="0D6FE79C"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1915043F" w14:textId="77777777" w:rsidR="00DD3EFA" w:rsidRPr="00EC2A1C" w:rsidRDefault="00DD3EFA" w:rsidP="00B15ECB">
            <w:pPr>
              <w:rPr>
                <w:rFonts w:ascii="Times New Roman" w:hAnsi="Times New Roman" w:cs="Times New Roman"/>
                <w:b/>
                <w:sz w:val="20"/>
                <w:szCs w:val="20"/>
              </w:rPr>
            </w:pPr>
          </w:p>
        </w:tc>
      </w:tr>
      <w:tr w:rsidR="00DD3EFA" w:rsidRPr="00EC2A1C" w14:paraId="26A787B6" w14:textId="77777777" w:rsidTr="00B15ECB">
        <w:trPr>
          <w:trHeight w:val="1202"/>
        </w:trPr>
        <w:tc>
          <w:tcPr>
            <w:tcW w:w="249" w:type="dxa"/>
            <w:tcBorders>
              <w:top w:val="nil"/>
              <w:bottom w:val="nil"/>
            </w:tcBorders>
            <w:shd w:val="clear" w:color="auto" w:fill="66CCFF"/>
          </w:tcPr>
          <w:p w14:paraId="6DBE1046"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2F833522"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Adaptace na změnu klimatu</w:t>
            </w:r>
          </w:p>
          <w:p w14:paraId="579A1BD0"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4E29D8D2" w14:textId="77777777" w:rsidR="00DD3EFA" w:rsidRPr="00EC2A1C" w:rsidRDefault="00DD3EFA" w:rsidP="00B15ECB">
            <w:pPr>
              <w:spacing w:line="276" w:lineRule="auto"/>
              <w:rPr>
                <w:rFonts w:ascii="Times New Roman" w:hAnsi="Times New Roman" w:cs="Times New Roman"/>
                <w:sz w:val="20"/>
                <w:szCs w:val="20"/>
              </w:rPr>
            </w:pPr>
            <w:r w:rsidRPr="00EC2A1C">
              <w:rPr>
                <w:rFonts w:ascii="Times New Roman" w:hAnsi="Times New Roman" w:cs="Times New Roman"/>
                <w:sz w:val="20"/>
                <w:szCs w:val="20"/>
              </w:rPr>
              <w:t xml:space="preserve">Dlouhá období sucha v některých posledních letech mají vliv na hladinu podzemní vody. Snížení hladiny podzemní vody je nejdříve patrné především u mělkých zvodní. </w:t>
            </w:r>
          </w:p>
          <w:p w14:paraId="366FDD76" w14:textId="77777777" w:rsidR="00DD3EFA" w:rsidRPr="00EC2A1C" w:rsidRDefault="00DD3EFA" w:rsidP="00B15ECB">
            <w:pPr>
              <w:spacing w:line="276" w:lineRule="auto"/>
              <w:rPr>
                <w:rFonts w:ascii="Times New Roman" w:hAnsi="Times New Roman" w:cs="Times New Roman"/>
                <w:sz w:val="20"/>
                <w:szCs w:val="20"/>
              </w:rPr>
            </w:pPr>
            <w:r w:rsidRPr="00EC2A1C">
              <w:rPr>
                <w:rFonts w:ascii="Times New Roman" w:hAnsi="Times New Roman" w:cs="Times New Roman"/>
                <w:sz w:val="20"/>
                <w:szCs w:val="20"/>
              </w:rPr>
              <w:t>Přívalové deště a nízká schopnost krajiny zadržet vodu mají za následek rychlý odtok vody z krajiny a její znečištění erozním splachem z polí.</w:t>
            </w:r>
          </w:p>
          <w:p w14:paraId="7C8FC44A" w14:textId="77777777" w:rsidR="00DD3EFA" w:rsidRPr="00EC2A1C" w:rsidRDefault="00DD3EFA" w:rsidP="00B15ECB">
            <w:pPr>
              <w:spacing w:line="276" w:lineRule="auto"/>
              <w:rPr>
                <w:rFonts w:ascii="Times New Roman" w:hAnsi="Times New Roman" w:cs="Times New Roman"/>
                <w:sz w:val="20"/>
                <w:szCs w:val="20"/>
              </w:rPr>
            </w:pPr>
            <w:r w:rsidRPr="00EC2A1C">
              <w:rPr>
                <w:rFonts w:ascii="Times New Roman" w:hAnsi="Times New Roman" w:cs="Times New Roman"/>
                <w:sz w:val="20"/>
                <w:szCs w:val="20"/>
              </w:rPr>
              <w:t>Povodně mají největší dopad na silně urbanizovaná území, ale i na dopravu, vodní infrastrukturu či zemědělství. Je třeba zlepšovat ochranu před povodněmi, a to včetně zlepšování předpovědních systémů a systémů včasného varování před mimořádnými událostmi.</w:t>
            </w:r>
          </w:p>
          <w:p w14:paraId="326A5594"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3461CAA2" w14:textId="77777777" w:rsidR="00DD3EFA" w:rsidRPr="00EC2A1C" w:rsidRDefault="00DD3EFA" w:rsidP="00B15ECB">
            <w:pPr>
              <w:rPr>
                <w:rFonts w:ascii="Times New Roman" w:hAnsi="Times New Roman" w:cs="Times New Roman"/>
                <w:b/>
                <w:sz w:val="20"/>
                <w:szCs w:val="20"/>
              </w:rPr>
            </w:pPr>
          </w:p>
        </w:tc>
      </w:tr>
      <w:tr w:rsidR="00DD3EFA" w:rsidRPr="00EC2A1C" w14:paraId="34C1E5E1" w14:textId="77777777" w:rsidTr="00B15ECB">
        <w:trPr>
          <w:trHeight w:val="1202"/>
        </w:trPr>
        <w:tc>
          <w:tcPr>
            <w:tcW w:w="249" w:type="dxa"/>
            <w:tcBorders>
              <w:top w:val="nil"/>
              <w:bottom w:val="nil"/>
            </w:tcBorders>
            <w:shd w:val="clear" w:color="auto" w:fill="66CCFF"/>
          </w:tcPr>
          <w:p w14:paraId="040E2950"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2E538D86"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Společnost 4.0.</w:t>
            </w:r>
          </w:p>
          <w:p w14:paraId="56690EA4"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176395ED" w14:textId="77777777" w:rsidR="00DD3EFA" w:rsidRPr="00EC2A1C" w:rsidRDefault="00DD3EFA" w:rsidP="00B15ECB">
            <w:pPr>
              <w:spacing w:before="60" w:after="60"/>
              <w:rPr>
                <w:rFonts w:ascii="Times New Roman" w:eastAsiaTheme="majorEastAsia" w:hAnsi="Times New Roman" w:cs="Times New Roman"/>
                <w:i/>
                <w:sz w:val="20"/>
                <w:szCs w:val="20"/>
              </w:rPr>
            </w:pPr>
            <w:r w:rsidRPr="00EC2A1C">
              <w:rPr>
                <w:rFonts w:ascii="Times New Roman" w:hAnsi="Times New Roman" w:cs="Times New Roman"/>
                <w:sz w:val="20"/>
                <w:szCs w:val="20"/>
              </w:rPr>
              <w:t xml:space="preserve">Smart cities </w:t>
            </w:r>
            <w:r w:rsidRPr="00EC2A1C">
              <w:rPr>
                <w:rFonts w:ascii="Times New Roman" w:hAnsi="Times New Roman" w:cs="Times New Roman"/>
                <w:sz w:val="20"/>
                <w:szCs w:val="20"/>
                <w:lang w:val="en-US"/>
              </w:rPr>
              <w:t xml:space="preserve">&amp; villages </w:t>
            </w:r>
            <w:r w:rsidRPr="00EC2A1C">
              <w:rPr>
                <w:rFonts w:ascii="Times New Roman" w:hAnsi="Times New Roman" w:cs="Times New Roman"/>
                <w:sz w:val="20"/>
                <w:szCs w:val="20"/>
              </w:rPr>
              <w:t>– chytrý systém monitorování spotřeby vody, monitoring stavu a kvality podzemní vody, zadržování a využití dešťové vody v chytrých budovách. Využití recyklovaných a šedých vod.</w:t>
            </w:r>
          </w:p>
        </w:tc>
        <w:tc>
          <w:tcPr>
            <w:tcW w:w="249" w:type="dxa"/>
            <w:tcBorders>
              <w:top w:val="nil"/>
              <w:bottom w:val="nil"/>
            </w:tcBorders>
            <w:shd w:val="clear" w:color="auto" w:fill="66CCFF"/>
          </w:tcPr>
          <w:p w14:paraId="627B7199" w14:textId="77777777" w:rsidR="00DD3EFA" w:rsidRPr="00EC2A1C" w:rsidRDefault="00DD3EFA" w:rsidP="00B15ECB">
            <w:pPr>
              <w:rPr>
                <w:rFonts w:ascii="Times New Roman" w:hAnsi="Times New Roman" w:cs="Times New Roman"/>
                <w:b/>
                <w:sz w:val="20"/>
                <w:szCs w:val="20"/>
              </w:rPr>
            </w:pPr>
          </w:p>
        </w:tc>
      </w:tr>
      <w:tr w:rsidR="00DD3EFA" w:rsidRPr="00EC2A1C" w14:paraId="41576AC8" w14:textId="77777777" w:rsidTr="00B15ECB">
        <w:trPr>
          <w:trHeight w:val="1202"/>
        </w:trPr>
        <w:tc>
          <w:tcPr>
            <w:tcW w:w="249" w:type="dxa"/>
            <w:tcBorders>
              <w:top w:val="nil"/>
              <w:bottom w:val="nil"/>
            </w:tcBorders>
            <w:shd w:val="clear" w:color="auto" w:fill="66CCFF"/>
          </w:tcPr>
          <w:p w14:paraId="0D9CC6C7"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2827232" w14:textId="77777777" w:rsidR="00DD3EFA" w:rsidRPr="00EC2A1C" w:rsidRDefault="00DD3EFA" w:rsidP="00391907">
            <w:pPr>
              <w:pStyle w:val="Odstavecseseznamem"/>
              <w:numPr>
                <w:ilvl w:val="0"/>
                <w:numId w:val="2"/>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Vazba na megatrendy</w:t>
            </w:r>
          </w:p>
          <w:p w14:paraId="7163C0F4"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1AEE33D9"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Podoblast přispívá k řešení GMT2-Degradace ekosystémů, 9-Potravinová bezpečnost, GMT29-Zvyšující se soutěž o zdroje, GMT26- Změna klimatu a její dopady, 28-Zvyšující se rychlost technologické změny, 17- Rostoucí spotřeba zdrojů, GMT27 - Zvyšující se dostupnost technologií, GMT22-Urbanizace, GMT19-Rostoucí zadluženost (ekologické dluhy).</w:t>
            </w:r>
          </w:p>
        </w:tc>
        <w:tc>
          <w:tcPr>
            <w:tcW w:w="249" w:type="dxa"/>
            <w:tcBorders>
              <w:top w:val="nil"/>
              <w:bottom w:val="nil"/>
            </w:tcBorders>
            <w:shd w:val="clear" w:color="auto" w:fill="66CCFF"/>
          </w:tcPr>
          <w:p w14:paraId="3F47D231" w14:textId="77777777" w:rsidR="00DD3EFA" w:rsidRPr="00EC2A1C" w:rsidRDefault="00DD3EFA" w:rsidP="00B15ECB">
            <w:pPr>
              <w:rPr>
                <w:rFonts w:ascii="Times New Roman" w:hAnsi="Times New Roman" w:cs="Times New Roman"/>
                <w:b/>
                <w:sz w:val="20"/>
                <w:szCs w:val="20"/>
              </w:rPr>
            </w:pPr>
          </w:p>
        </w:tc>
      </w:tr>
      <w:tr w:rsidR="00DD3EFA" w:rsidRPr="00EC2A1C" w14:paraId="25BD0DE3" w14:textId="77777777" w:rsidTr="00B15ECB">
        <w:trPr>
          <w:trHeight w:val="1202"/>
        </w:trPr>
        <w:tc>
          <w:tcPr>
            <w:tcW w:w="249" w:type="dxa"/>
            <w:tcBorders>
              <w:top w:val="nil"/>
              <w:bottom w:val="nil"/>
            </w:tcBorders>
            <w:shd w:val="clear" w:color="auto" w:fill="66CCFF"/>
          </w:tcPr>
          <w:p w14:paraId="51A85159"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145A33E"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2794482F"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Podoblast naplňuje CP2 (změna klimatu - adaptace a prevence rizik, udržitelné hospodaření s vodou) i CP1 (Zavádění inovativních a pokročilých technologií</w:t>
            </w:r>
          </w:p>
        </w:tc>
        <w:tc>
          <w:tcPr>
            <w:tcW w:w="249" w:type="dxa"/>
            <w:tcBorders>
              <w:top w:val="nil"/>
              <w:bottom w:val="nil"/>
            </w:tcBorders>
            <w:shd w:val="clear" w:color="auto" w:fill="66CCFF"/>
          </w:tcPr>
          <w:p w14:paraId="7EA1F190" w14:textId="77777777" w:rsidR="00DD3EFA" w:rsidRPr="00EC2A1C" w:rsidRDefault="00DD3EFA" w:rsidP="00B15ECB">
            <w:pPr>
              <w:rPr>
                <w:rFonts w:ascii="Times New Roman" w:hAnsi="Times New Roman" w:cs="Times New Roman"/>
                <w:b/>
                <w:sz w:val="20"/>
                <w:szCs w:val="20"/>
              </w:rPr>
            </w:pPr>
          </w:p>
        </w:tc>
      </w:tr>
      <w:tr w:rsidR="00DD3EFA" w:rsidRPr="00EC2A1C" w14:paraId="5ED56F89" w14:textId="77777777" w:rsidTr="00B15ECB">
        <w:trPr>
          <w:trHeight w:val="1202"/>
        </w:trPr>
        <w:tc>
          <w:tcPr>
            <w:tcW w:w="249" w:type="dxa"/>
            <w:tcBorders>
              <w:top w:val="nil"/>
              <w:bottom w:val="nil"/>
            </w:tcBorders>
            <w:shd w:val="clear" w:color="auto" w:fill="66CCFF"/>
          </w:tcPr>
          <w:p w14:paraId="60CA7895"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280D208"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SDR</w:t>
            </w:r>
          </w:p>
        </w:tc>
        <w:tc>
          <w:tcPr>
            <w:tcW w:w="5978" w:type="dxa"/>
            <w:tcBorders>
              <w:bottom w:val="single" w:sz="4" w:space="0" w:color="auto"/>
            </w:tcBorders>
            <w:shd w:val="clear" w:color="auto" w:fill="FFFFFF" w:themeFill="background1"/>
          </w:tcPr>
          <w:p w14:paraId="330657F2"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Aktuální znění SDR pro rok 2018 neobsahuje žádná doporučení relevantní pro tuto oblast.</w:t>
            </w:r>
          </w:p>
          <w:p w14:paraId="1568ACFE"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Oblast je výslovně zmíněna v části ANNEX D - Investment Guidance on Cohesion Policy Funding 2021-2027 for the Czech Republic – Draft  Country Report 2019.</w:t>
            </w:r>
          </w:p>
          <w:p w14:paraId="6BC14A16"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71442892" w14:textId="77777777" w:rsidR="00DD3EFA" w:rsidRPr="00EC2A1C" w:rsidRDefault="00DD3EFA" w:rsidP="00B15ECB">
            <w:pPr>
              <w:rPr>
                <w:rFonts w:ascii="Times New Roman" w:hAnsi="Times New Roman" w:cs="Times New Roman"/>
                <w:b/>
                <w:sz w:val="20"/>
                <w:szCs w:val="20"/>
              </w:rPr>
            </w:pPr>
          </w:p>
        </w:tc>
      </w:tr>
      <w:tr w:rsidR="00DD3EFA" w:rsidRPr="00EC2A1C" w14:paraId="708AB6E9" w14:textId="77777777" w:rsidTr="00B15ECB">
        <w:trPr>
          <w:trHeight w:val="180"/>
        </w:trPr>
        <w:tc>
          <w:tcPr>
            <w:tcW w:w="249" w:type="dxa"/>
            <w:tcBorders>
              <w:top w:val="nil"/>
              <w:bottom w:val="nil"/>
              <w:right w:val="nil"/>
            </w:tcBorders>
            <w:shd w:val="clear" w:color="auto" w:fill="66CCFF"/>
          </w:tcPr>
          <w:p w14:paraId="3D24B668"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4476933D"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13FB74BD"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30BA2784" w14:textId="77777777" w:rsidR="00DD3EFA" w:rsidRPr="00EC2A1C" w:rsidRDefault="00DD3EFA" w:rsidP="00B15ECB">
            <w:pPr>
              <w:rPr>
                <w:rFonts w:ascii="Times New Roman" w:hAnsi="Times New Roman" w:cs="Times New Roman"/>
                <w:b/>
                <w:sz w:val="20"/>
                <w:szCs w:val="20"/>
              </w:rPr>
            </w:pPr>
          </w:p>
        </w:tc>
      </w:tr>
      <w:tr w:rsidR="00DD3EFA" w:rsidRPr="00EC2A1C" w14:paraId="04CBD237" w14:textId="77777777" w:rsidTr="00B15ECB">
        <w:trPr>
          <w:trHeight w:val="938"/>
        </w:trPr>
        <w:tc>
          <w:tcPr>
            <w:tcW w:w="249" w:type="dxa"/>
            <w:tcBorders>
              <w:top w:val="nil"/>
              <w:bottom w:val="nil"/>
            </w:tcBorders>
            <w:shd w:val="clear" w:color="auto" w:fill="66CCFF"/>
          </w:tcPr>
          <w:p w14:paraId="1497FF2F"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26256F57"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Strategický dokument pro daný cíl pro období 2020+; v případě více dokumentů identifikujte strategii dominantní ve vztahu k cíli.</w:t>
            </w:r>
          </w:p>
          <w:p w14:paraId="052D181A" w14:textId="77777777" w:rsidR="00DD3EFA" w:rsidRPr="00EC2A1C" w:rsidRDefault="00DD3EFA" w:rsidP="00B15ECB">
            <w:pPr>
              <w:pStyle w:val="Odstavecseseznamem"/>
              <w:spacing w:before="60" w:after="60"/>
              <w:ind w:left="3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2E025977" w14:textId="77777777" w:rsidR="00DD3EFA" w:rsidRPr="00EC2A1C" w:rsidRDefault="00DD3EFA" w:rsidP="00B15ECB">
            <w:pPr>
              <w:spacing w:before="60" w:after="60"/>
              <w:rPr>
                <w:rFonts w:ascii="Times New Roman" w:eastAsia="Calibri" w:hAnsi="Times New Roman" w:cs="Times New Roman"/>
                <w:b/>
                <w:sz w:val="20"/>
                <w:szCs w:val="20"/>
              </w:rPr>
            </w:pPr>
            <w:r w:rsidRPr="00EC2A1C">
              <w:rPr>
                <w:rFonts w:ascii="Times New Roman" w:eastAsia="Calibri" w:hAnsi="Times New Roman" w:cs="Times New Roman"/>
                <w:b/>
                <w:sz w:val="20"/>
                <w:szCs w:val="20"/>
              </w:rPr>
              <w:t>Primární strategické dokumenty</w:t>
            </w:r>
          </w:p>
          <w:p w14:paraId="2B2EF0AA"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eastAsia="Times New Roman" w:hAnsi="Times New Roman" w:cs="Times New Roman"/>
                <w:b/>
                <w:sz w:val="20"/>
                <w:szCs w:val="20"/>
                <w:lang w:eastAsia="cs-CZ"/>
              </w:rPr>
              <w:t>Národní plány povodí</w:t>
            </w:r>
            <w:r w:rsidRPr="00EC2A1C">
              <w:rPr>
                <w:rFonts w:ascii="Times New Roman" w:eastAsia="Times New Roman" w:hAnsi="Times New Roman" w:cs="Times New Roman"/>
                <w:sz w:val="20"/>
                <w:szCs w:val="20"/>
                <w:lang w:eastAsia="cs-CZ"/>
              </w:rPr>
              <w:t xml:space="preserve"> (NPP) - </w:t>
            </w:r>
            <w:r w:rsidRPr="00EC2A1C">
              <w:rPr>
                <w:rFonts w:ascii="Times New Roman" w:hAnsi="Times New Roman" w:cs="Times New Roman"/>
                <w:sz w:val="20"/>
                <w:szCs w:val="20"/>
              </w:rPr>
              <w:t>stanovují cíle a opatření pro ochranu a zlepšování stavu povrchových a podzemních vod a vodních ekosystémů, ke snížení nepříznivých účinků povodní a sucha, pro hospodaření s povrchovými a podzemními vodami a udržitelné užívání těchto vod pro zajištění vodohospodářských služeb, a pro zlepšování vodních poměrů a ochranu ekologické stability krajiny.</w:t>
            </w:r>
          </w:p>
          <w:p w14:paraId="42D379B5" w14:textId="77777777" w:rsidR="00DD3EFA" w:rsidRPr="00EC2A1C" w:rsidRDefault="00DD3EFA" w:rsidP="00B15ECB">
            <w:pPr>
              <w:spacing w:before="60" w:after="60"/>
              <w:rPr>
                <w:rFonts w:ascii="Times New Roman" w:eastAsia="Times New Roman" w:hAnsi="Times New Roman" w:cs="Times New Roman"/>
                <w:sz w:val="20"/>
                <w:szCs w:val="20"/>
                <w:lang w:eastAsia="cs-CZ"/>
              </w:rPr>
            </w:pPr>
            <w:r w:rsidRPr="00EC2A1C">
              <w:rPr>
                <w:rFonts w:ascii="Times New Roman" w:hAnsi="Times New Roman" w:cs="Times New Roman"/>
                <w:sz w:val="20"/>
                <w:szCs w:val="20"/>
              </w:rPr>
              <w:t>Je připravován nový dokument pro období 2022-2027. V současné době jsou zpracovávány analytické podklady.</w:t>
            </w:r>
          </w:p>
          <w:p w14:paraId="45F0E753"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b/>
                <w:sz w:val="20"/>
                <w:szCs w:val="20"/>
              </w:rPr>
              <w:t>Plány pro zvládání povodňových rizik</w:t>
            </w:r>
            <w:r w:rsidRPr="00EC2A1C">
              <w:rPr>
                <w:rFonts w:ascii="Times New Roman" w:hAnsi="Times New Roman" w:cs="Times New Roman"/>
                <w:sz w:val="20"/>
                <w:szCs w:val="20"/>
              </w:rPr>
              <w:t xml:space="preserve"> (pro povodí </w:t>
            </w:r>
            <w:hyperlink r:id="rId43" w:tgtFrame="_blank" w:history="1">
              <w:r w:rsidRPr="00EC2A1C">
                <w:rPr>
                  <w:rStyle w:val="Hypertextovodkaz"/>
                  <w:rFonts w:ascii="Times New Roman" w:hAnsi="Times New Roman" w:cs="Times New Roman"/>
                  <w:sz w:val="20"/>
                  <w:szCs w:val="20"/>
                </w:rPr>
                <w:t>Labe</w:t>
              </w:r>
            </w:hyperlink>
            <w:r w:rsidRPr="00EC2A1C">
              <w:rPr>
                <w:rFonts w:ascii="Times New Roman" w:hAnsi="Times New Roman" w:cs="Times New Roman"/>
                <w:sz w:val="20"/>
                <w:szCs w:val="20"/>
              </w:rPr>
              <w:t xml:space="preserve">, </w:t>
            </w:r>
            <w:hyperlink r:id="rId44" w:tgtFrame="_blank" w:history="1">
              <w:r w:rsidRPr="00EC2A1C">
                <w:rPr>
                  <w:rStyle w:val="Hypertextovodkaz"/>
                  <w:rFonts w:ascii="Times New Roman" w:hAnsi="Times New Roman" w:cs="Times New Roman"/>
                  <w:sz w:val="20"/>
                  <w:szCs w:val="20"/>
                </w:rPr>
                <w:t>Dunaj</w:t>
              </w:r>
            </w:hyperlink>
            <w:r w:rsidRPr="00EC2A1C">
              <w:rPr>
                <w:rFonts w:ascii="Times New Roman" w:hAnsi="Times New Roman" w:cs="Times New Roman"/>
                <w:sz w:val="20"/>
                <w:szCs w:val="20"/>
              </w:rPr>
              <w:t xml:space="preserve">, </w:t>
            </w:r>
            <w:hyperlink r:id="rId45" w:tgtFrame="_blank" w:history="1">
              <w:r w:rsidRPr="00EC2A1C">
                <w:rPr>
                  <w:rStyle w:val="Hypertextovodkaz"/>
                  <w:rFonts w:ascii="Times New Roman" w:hAnsi="Times New Roman" w:cs="Times New Roman"/>
                  <w:sz w:val="20"/>
                  <w:szCs w:val="20"/>
                </w:rPr>
                <w:t>Odra</w:t>
              </w:r>
            </w:hyperlink>
            <w:r w:rsidRPr="00EC2A1C">
              <w:rPr>
                <w:rFonts w:ascii="Times New Roman" w:hAnsi="Times New Roman" w:cs="Times New Roman"/>
                <w:sz w:val="20"/>
                <w:szCs w:val="20"/>
              </w:rPr>
              <w:t>) (PpZPR) slouží především pro územní plánování a vodoprávní řízení. Obsahují opatření, která vedou ke snižování povodňových rizik a naplňování cílů uvedených ve Směrnici 2007/60/ES o vyhodnocování a zvládání povodňových rizik a také jako podklad pro výkon veřejné správy.</w:t>
            </w:r>
          </w:p>
          <w:p w14:paraId="45E73B6F"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eastAsia="Times New Roman" w:hAnsi="Times New Roman" w:cs="Times New Roman"/>
                <w:b/>
                <w:sz w:val="20"/>
                <w:szCs w:val="20"/>
                <w:lang w:eastAsia="cs-CZ"/>
              </w:rPr>
              <w:t xml:space="preserve">Strategie přizpůsobení se změně klimatu v podmínkách ČR </w:t>
            </w:r>
            <w:r w:rsidRPr="00EC2A1C">
              <w:rPr>
                <w:rFonts w:ascii="Times New Roman" w:hAnsi="Times New Roman" w:cs="Times New Roman"/>
                <w:sz w:val="20"/>
                <w:szCs w:val="20"/>
              </w:rPr>
              <w:t xml:space="preserve">uvádí do kontextu adaptační opatření navrhovaná v rámci různých strategických sektorových dokumentů a doplňuje směry adaptačních opatření v oblastech, pro které taková opatření zpracována nebyla. </w:t>
            </w:r>
          </w:p>
          <w:p w14:paraId="52DFFAD3" w14:textId="77777777" w:rsidR="00DD3EFA" w:rsidRPr="00EC2A1C" w:rsidRDefault="00DD3EFA" w:rsidP="00B15ECB">
            <w:pPr>
              <w:spacing w:before="60" w:after="60"/>
              <w:rPr>
                <w:rFonts w:ascii="Times New Roman" w:eastAsia="Times New Roman" w:hAnsi="Times New Roman" w:cs="Times New Roman"/>
                <w:sz w:val="20"/>
                <w:szCs w:val="20"/>
                <w:lang w:eastAsia="cs-CZ"/>
              </w:rPr>
            </w:pPr>
            <w:r w:rsidRPr="00EC2A1C">
              <w:rPr>
                <w:rFonts w:ascii="Times New Roman" w:hAnsi="Times New Roman" w:cs="Times New Roman"/>
                <w:sz w:val="20"/>
                <w:szCs w:val="20"/>
              </w:rPr>
              <w:t>V současnosti je připravována aktualizace jak Strategie, tak i návazného Národního akčního plánu (oboje pro období po r. 2020). Probíhá zpracování analytických podkladů</w:t>
            </w:r>
          </w:p>
          <w:p w14:paraId="75A640E6" w14:textId="77777777" w:rsidR="00DD3EFA" w:rsidRPr="00EC2A1C" w:rsidRDefault="00DD3EFA" w:rsidP="00B15ECB">
            <w:pPr>
              <w:spacing w:before="60" w:after="60"/>
              <w:rPr>
                <w:rFonts w:ascii="Times New Roman" w:eastAsia="Times New Roman" w:hAnsi="Times New Roman" w:cs="Times New Roman"/>
                <w:sz w:val="20"/>
                <w:szCs w:val="20"/>
                <w:lang w:eastAsia="cs-CZ"/>
              </w:rPr>
            </w:pPr>
            <w:r w:rsidRPr="00EC2A1C">
              <w:rPr>
                <w:rFonts w:ascii="Times New Roman" w:hAnsi="Times New Roman" w:cs="Times New Roman"/>
                <w:b/>
                <w:sz w:val="20"/>
                <w:szCs w:val="20"/>
              </w:rPr>
              <w:t>Koncepce ochrany před následky sucha pro území České republiky</w:t>
            </w:r>
            <w:r w:rsidRPr="00EC2A1C">
              <w:rPr>
                <w:rFonts w:ascii="Times New Roman" w:hAnsi="Times New Roman" w:cs="Times New Roman"/>
                <w:sz w:val="20"/>
                <w:szCs w:val="20"/>
              </w:rPr>
              <w:t xml:space="preserve"> stanoví řadu opatření pro předcházení dopadů změn klimatu, nedostatku vody a sucha, které mohou mít environmentální dopady na biologickou rozmanitost, jakost vody, zhoršování stavu vodních útvarů, úbytek mokřadů, erozi půdy, degradaci a dezertifikaci půdy. Zároveň mohou způsobit významné hospodářské ztráty v klíčových odvětvích využívajících vodu.</w:t>
            </w:r>
          </w:p>
          <w:p w14:paraId="0614A601" w14:textId="77777777" w:rsidR="00DD3EFA" w:rsidRPr="00EC2A1C" w:rsidRDefault="00DD3EFA" w:rsidP="00B15ECB">
            <w:pPr>
              <w:spacing w:before="60" w:after="60"/>
              <w:rPr>
                <w:rFonts w:ascii="Times New Roman" w:eastAsia="Calibri" w:hAnsi="Times New Roman" w:cs="Times New Roman"/>
                <w:b/>
                <w:sz w:val="20"/>
                <w:szCs w:val="20"/>
              </w:rPr>
            </w:pPr>
          </w:p>
          <w:p w14:paraId="61311DF2"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b/>
                <w:sz w:val="20"/>
                <w:szCs w:val="20"/>
              </w:rPr>
              <w:t>Další strategické dokumenty</w:t>
            </w:r>
            <w:r w:rsidRPr="00EC2A1C">
              <w:rPr>
                <w:rFonts w:ascii="Times New Roman" w:eastAsia="Calibri" w:hAnsi="Times New Roman" w:cs="Times New Roman"/>
                <w:sz w:val="20"/>
                <w:szCs w:val="20"/>
              </w:rPr>
              <w:t>:</w:t>
            </w:r>
          </w:p>
          <w:p w14:paraId="3456C5D9" w14:textId="77777777" w:rsidR="00DD3EFA" w:rsidRPr="00EC2A1C" w:rsidRDefault="00DD3EFA" w:rsidP="00B15ECB">
            <w:pPr>
              <w:spacing w:before="60" w:after="60"/>
              <w:rPr>
                <w:rFonts w:ascii="Times New Roman" w:eastAsia="Calibri" w:hAnsi="Times New Roman" w:cs="Times New Roman"/>
                <w:sz w:val="20"/>
                <w:szCs w:val="20"/>
              </w:rPr>
            </w:pPr>
            <w:r w:rsidRPr="00EC2A1C">
              <w:rPr>
                <w:rFonts w:ascii="Times New Roman" w:eastAsia="Calibri" w:hAnsi="Times New Roman" w:cs="Times New Roman"/>
                <w:sz w:val="20"/>
                <w:szCs w:val="20"/>
              </w:rPr>
              <w:t>Státní politika životního prostředí ČR 2012-2020</w:t>
            </w:r>
          </w:p>
          <w:p w14:paraId="7FF0F61C" w14:textId="77777777" w:rsidR="00DD3EFA" w:rsidRPr="00EC2A1C" w:rsidRDefault="00DD3EFA" w:rsidP="00B15ECB">
            <w:pPr>
              <w:spacing w:before="60" w:after="60" w:line="264" w:lineRule="auto"/>
              <w:rPr>
                <w:rFonts w:ascii="Times New Roman" w:eastAsia="Times New Roman" w:hAnsi="Times New Roman" w:cs="Times New Roman"/>
                <w:sz w:val="20"/>
                <w:szCs w:val="20"/>
                <w:lang w:eastAsia="cs-CZ"/>
              </w:rPr>
            </w:pPr>
            <w:r w:rsidRPr="00EC2A1C">
              <w:rPr>
                <w:rFonts w:ascii="Times New Roman" w:eastAsia="Times New Roman" w:hAnsi="Times New Roman" w:cs="Times New Roman"/>
                <w:sz w:val="20"/>
                <w:szCs w:val="20"/>
                <w:lang w:eastAsia="cs-CZ"/>
              </w:rPr>
              <w:t>Aktualizovaný národní implementační plán Stockholmské úmluvy o perzistentních organických polutantech 2012-2017</w:t>
            </w:r>
          </w:p>
          <w:p w14:paraId="5A1EA008" w14:textId="77777777" w:rsidR="00DD3EFA" w:rsidRPr="00EC2A1C" w:rsidRDefault="00DD3EFA" w:rsidP="00B15ECB">
            <w:pPr>
              <w:pStyle w:val="Odstavecseseznamem"/>
              <w:spacing w:line="276" w:lineRule="auto"/>
              <w:ind w:left="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Koncepce environmentální bezpečnosti 2016-2020 s výhledem do roku 2030</w:t>
            </w:r>
          </w:p>
          <w:p w14:paraId="63EE4984" w14:textId="77777777" w:rsidR="00DD3EFA" w:rsidRPr="00EC2A1C" w:rsidRDefault="00DD3EFA" w:rsidP="00B15ECB">
            <w:pPr>
              <w:pStyle w:val="Odstavecseseznamem"/>
              <w:spacing w:line="276" w:lineRule="auto"/>
              <w:ind w:left="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Koncepce na ochranu před následky sucha na území ČR</w:t>
            </w:r>
          </w:p>
          <w:p w14:paraId="47873B66" w14:textId="77777777" w:rsidR="00DD3EFA" w:rsidRPr="00EC2A1C" w:rsidRDefault="00DD3EFA" w:rsidP="00B15ECB">
            <w:pPr>
              <w:spacing w:before="60" w:after="60" w:line="264" w:lineRule="auto"/>
              <w:rPr>
                <w:rFonts w:ascii="Times New Roman" w:eastAsia="Times New Roman" w:hAnsi="Times New Roman" w:cs="Times New Roman"/>
                <w:sz w:val="20"/>
                <w:szCs w:val="20"/>
                <w:lang w:eastAsia="cs-CZ"/>
              </w:rPr>
            </w:pPr>
            <w:r w:rsidRPr="00EC2A1C">
              <w:rPr>
                <w:rFonts w:ascii="Times New Roman" w:eastAsia="Times New Roman" w:hAnsi="Times New Roman" w:cs="Times New Roman"/>
                <w:sz w:val="20"/>
                <w:szCs w:val="20"/>
                <w:lang w:eastAsia="cs-CZ"/>
              </w:rPr>
              <w:t>Národní plány povodí</w:t>
            </w:r>
          </w:p>
          <w:p w14:paraId="29FE87DB" w14:textId="77777777" w:rsidR="00DD3EFA" w:rsidRPr="00EC2A1C" w:rsidRDefault="00DD3EFA" w:rsidP="00B15ECB">
            <w:pPr>
              <w:spacing w:before="60" w:after="60" w:line="264" w:lineRule="auto"/>
              <w:rPr>
                <w:rFonts w:ascii="Times New Roman" w:eastAsia="Times New Roman" w:hAnsi="Times New Roman" w:cs="Times New Roman"/>
                <w:sz w:val="20"/>
                <w:szCs w:val="20"/>
                <w:lang w:eastAsia="cs-CZ"/>
              </w:rPr>
            </w:pPr>
            <w:r w:rsidRPr="00EC2A1C">
              <w:rPr>
                <w:rFonts w:ascii="Times New Roman" w:eastAsia="Times New Roman" w:hAnsi="Times New Roman" w:cs="Times New Roman"/>
                <w:sz w:val="20"/>
                <w:szCs w:val="20"/>
                <w:lang w:eastAsia="cs-CZ"/>
              </w:rPr>
              <w:t xml:space="preserve">Směrnice Evropského parlamentu a Rady 2007/60/ES o vyhodnocování a zvládání povodňových rizik </w:t>
            </w:r>
          </w:p>
          <w:p w14:paraId="24AEA132" w14:textId="77777777" w:rsidR="00DD3EFA" w:rsidRPr="00EC2A1C" w:rsidRDefault="00DD3EFA" w:rsidP="00B15ECB">
            <w:pPr>
              <w:spacing w:before="60" w:after="60" w:line="264" w:lineRule="auto"/>
              <w:rPr>
                <w:rFonts w:ascii="Times New Roman" w:eastAsia="Times New Roman" w:hAnsi="Times New Roman" w:cs="Times New Roman"/>
                <w:sz w:val="20"/>
                <w:szCs w:val="20"/>
                <w:lang w:eastAsia="cs-CZ"/>
              </w:rPr>
            </w:pPr>
            <w:r w:rsidRPr="00EC2A1C">
              <w:rPr>
                <w:rFonts w:ascii="Times New Roman" w:eastAsia="Times New Roman" w:hAnsi="Times New Roman" w:cs="Times New Roman"/>
                <w:sz w:val="20"/>
                <w:szCs w:val="20"/>
                <w:lang w:eastAsia="cs-CZ"/>
              </w:rPr>
              <w:t>Směrnice Evropského parlamentu a Rady 2000/60/ES ustavující rámec pro činnost Společenství v oblasti vodní politiky</w:t>
            </w:r>
          </w:p>
          <w:p w14:paraId="5A6ABD5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sz w:val="20"/>
                <w:szCs w:val="20"/>
                <w:u w:val="single"/>
              </w:rPr>
            </w:pPr>
            <w:r w:rsidRPr="00EC2A1C">
              <w:rPr>
                <w:rFonts w:ascii="Times New Roman" w:eastAsia="Times New Roman" w:hAnsi="Times New Roman"/>
                <w:sz w:val="20"/>
                <w:szCs w:val="20"/>
                <w:lang w:eastAsia="cs-CZ"/>
              </w:rPr>
              <w:t>Směrnice Rady č. 91/271/EHS, o čištění městských odpadních vod</w:t>
            </w:r>
            <w:r w:rsidRPr="00EC2A1C">
              <w:rPr>
                <w:rFonts w:ascii="Times New Roman" w:hAnsi="Times New Roman"/>
                <w:color w:val="000000"/>
                <w:sz w:val="20"/>
                <w:szCs w:val="20"/>
              </w:rPr>
              <w:t xml:space="preserve"> </w:t>
            </w:r>
          </w:p>
        </w:tc>
        <w:tc>
          <w:tcPr>
            <w:tcW w:w="249" w:type="dxa"/>
            <w:tcBorders>
              <w:top w:val="nil"/>
              <w:bottom w:val="nil"/>
            </w:tcBorders>
            <w:shd w:val="clear" w:color="auto" w:fill="66CCFF"/>
          </w:tcPr>
          <w:p w14:paraId="4BEE01E7" w14:textId="77777777" w:rsidR="00DD3EFA" w:rsidRPr="00EC2A1C" w:rsidRDefault="00DD3EFA" w:rsidP="00B15ECB">
            <w:pPr>
              <w:rPr>
                <w:rFonts w:ascii="Times New Roman" w:hAnsi="Times New Roman" w:cs="Times New Roman"/>
                <w:b/>
                <w:sz w:val="20"/>
                <w:szCs w:val="20"/>
              </w:rPr>
            </w:pPr>
          </w:p>
        </w:tc>
      </w:tr>
      <w:tr w:rsidR="00DD3EFA" w:rsidRPr="00EC2A1C" w14:paraId="26D42857" w14:textId="77777777" w:rsidTr="00B15ECB">
        <w:trPr>
          <w:trHeight w:val="938"/>
        </w:trPr>
        <w:tc>
          <w:tcPr>
            <w:tcW w:w="249" w:type="dxa"/>
            <w:tcBorders>
              <w:top w:val="nil"/>
              <w:bottom w:val="nil"/>
            </w:tcBorders>
            <w:shd w:val="clear" w:color="auto" w:fill="66CCFF"/>
          </w:tcPr>
          <w:p w14:paraId="1A4C2C8C"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7755C2E9" w14:textId="77777777" w:rsidR="00DD3EFA" w:rsidRPr="00EC2A1C" w:rsidRDefault="00DD3EFA" w:rsidP="00391907">
            <w:pPr>
              <w:pStyle w:val="Odstavecseseznamem"/>
              <w:numPr>
                <w:ilvl w:val="0"/>
                <w:numId w:val="3"/>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analýza problémů a potřeb</w:t>
            </w:r>
          </w:p>
          <w:p w14:paraId="30234C7F"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553A74AF"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sz w:val="20"/>
                <w:szCs w:val="20"/>
              </w:rPr>
            </w:pPr>
            <w:r w:rsidRPr="00EC2A1C">
              <w:rPr>
                <w:rFonts w:ascii="Times New Roman" w:hAnsi="Times New Roman"/>
                <w:b/>
                <w:sz w:val="20"/>
                <w:szCs w:val="20"/>
              </w:rPr>
              <w:t>NPP</w:t>
            </w:r>
            <w:r w:rsidRPr="00EC2A1C">
              <w:rPr>
                <w:rFonts w:ascii="Times New Roman" w:hAnsi="Times New Roman"/>
                <w:sz w:val="20"/>
                <w:szCs w:val="20"/>
              </w:rPr>
              <w:t xml:space="preserve"> analyzuje plnění cílů předchozího dokumentu, stav </w:t>
            </w:r>
            <w:r w:rsidRPr="00EC2A1C">
              <w:rPr>
                <w:rFonts w:ascii="Times New Roman" w:hAnsi="Times New Roman"/>
                <w:noProof/>
                <w:sz w:val="20"/>
                <w:szCs w:val="20"/>
              </w:rPr>
              <w:t>povrchových vod, podzemních vod a vodních ekosystém</w:t>
            </w:r>
            <w:r w:rsidRPr="00EC2A1C">
              <w:rPr>
                <w:rFonts w:ascii="Times New Roman" w:hAnsi="Times New Roman"/>
                <w:sz w:val="20"/>
                <w:szCs w:val="20"/>
              </w:rPr>
              <w:t>ů a definuje problémy, které je třeba řešit v současném období. Součástí NPP jsou rovněž programy opatření ke zlepšení zjištěného stavu.</w:t>
            </w:r>
          </w:p>
          <w:p w14:paraId="3E9B418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sz w:val="20"/>
                <w:szCs w:val="20"/>
              </w:rPr>
            </w:pPr>
            <w:r w:rsidRPr="00EC2A1C">
              <w:rPr>
                <w:rFonts w:ascii="Times New Roman" w:hAnsi="Times New Roman"/>
                <w:b/>
                <w:sz w:val="20"/>
                <w:szCs w:val="20"/>
              </w:rPr>
              <w:t xml:space="preserve">PpZPR </w:t>
            </w:r>
            <w:r w:rsidRPr="00EC2A1C">
              <w:rPr>
                <w:rFonts w:ascii="Times New Roman" w:hAnsi="Times New Roman"/>
                <w:sz w:val="20"/>
                <w:szCs w:val="20"/>
              </w:rPr>
              <w:t>se zabývají územím s významným povodňovým rizikem.  Pro riziková území obsahují návrhy jednotlivých opatření na zlepšení povodňové ochrany, pro následující plánovací cyklus.  Obsahují jak konkrétní opatření stavebního charakteru, tak i opatření obecná (např. zlepšení předpovědní povodňové služby atd.).</w:t>
            </w:r>
          </w:p>
        </w:tc>
        <w:tc>
          <w:tcPr>
            <w:tcW w:w="249" w:type="dxa"/>
            <w:tcBorders>
              <w:top w:val="nil"/>
              <w:bottom w:val="nil"/>
            </w:tcBorders>
            <w:shd w:val="clear" w:color="auto" w:fill="66CCFF"/>
          </w:tcPr>
          <w:p w14:paraId="652DBDB8" w14:textId="77777777" w:rsidR="00DD3EFA" w:rsidRPr="00EC2A1C" w:rsidRDefault="00DD3EFA" w:rsidP="00B15ECB">
            <w:pPr>
              <w:rPr>
                <w:rFonts w:ascii="Times New Roman" w:hAnsi="Times New Roman" w:cs="Times New Roman"/>
                <w:b/>
                <w:sz w:val="20"/>
                <w:szCs w:val="20"/>
              </w:rPr>
            </w:pPr>
          </w:p>
        </w:tc>
      </w:tr>
      <w:tr w:rsidR="00DD3EFA" w:rsidRPr="00EC2A1C" w14:paraId="1A1BB581" w14:textId="77777777" w:rsidTr="00B15ECB">
        <w:trPr>
          <w:trHeight w:val="938"/>
        </w:trPr>
        <w:tc>
          <w:tcPr>
            <w:tcW w:w="249" w:type="dxa"/>
            <w:tcBorders>
              <w:top w:val="nil"/>
              <w:bottom w:val="nil"/>
            </w:tcBorders>
            <w:shd w:val="clear" w:color="auto" w:fill="66CCFF"/>
          </w:tcPr>
          <w:p w14:paraId="341C6C0C"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4169C50D" w14:textId="77777777" w:rsidR="00DD3EFA" w:rsidRPr="00EC2A1C" w:rsidRDefault="00DD3EFA" w:rsidP="00391907">
            <w:pPr>
              <w:pStyle w:val="Odstavecseseznamem"/>
              <w:numPr>
                <w:ilvl w:val="0"/>
                <w:numId w:val="3"/>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jasně definované cíle a opatření</w:t>
            </w:r>
          </w:p>
          <w:p w14:paraId="11B96283"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1004E674" w14:textId="77777777" w:rsidR="00DD3EFA" w:rsidRPr="00EC2A1C" w:rsidRDefault="00DD3EFA" w:rsidP="00B15ECB">
            <w:pPr>
              <w:spacing w:before="60" w:after="60" w:line="264" w:lineRule="auto"/>
              <w:rPr>
                <w:rFonts w:ascii="Times New Roman" w:hAnsi="Times New Roman" w:cs="Times New Roman"/>
                <w:sz w:val="20"/>
                <w:szCs w:val="20"/>
              </w:rPr>
            </w:pPr>
            <w:r w:rsidRPr="00EC2A1C">
              <w:rPr>
                <w:rFonts w:ascii="Times New Roman" w:eastAsia="Calibri" w:hAnsi="Times New Roman" w:cs="Times New Roman"/>
                <w:b/>
                <w:sz w:val="20"/>
                <w:szCs w:val="20"/>
              </w:rPr>
              <w:t>NPP</w:t>
            </w:r>
            <w:r w:rsidRPr="00EC2A1C">
              <w:rPr>
                <w:rFonts w:ascii="Times New Roman" w:eastAsia="Calibri" w:hAnsi="Times New Roman" w:cs="Times New Roman"/>
                <w:sz w:val="20"/>
                <w:szCs w:val="20"/>
              </w:rPr>
              <w:t xml:space="preserve"> obsahuje seznam dvou úrovní environmentálních cílů pro ochranu a zlepšování stavu povrchových vod, podzemních vod a vodních ekosystémů. Rámcové cíle jsou cíle obecné, platné pro všechny vodní útvary (dle § 23a vodního zákona. Konkrétní environmentální cíle pak mají za úkol stanovit lokální podmínky, jejichž splněním bude dosaženo rámcových cílů. Jsou zaměřeny na snížení konkrétního vlivu či k zajištění </w:t>
            </w:r>
            <w:r w:rsidRPr="00EC2A1C">
              <w:rPr>
                <w:rFonts w:ascii="Times New Roman" w:hAnsi="Times New Roman" w:cs="Times New Roman"/>
                <w:sz w:val="20"/>
                <w:szCs w:val="20"/>
              </w:rPr>
              <w:t>ochrany území apod.</w:t>
            </w:r>
          </w:p>
          <w:p w14:paraId="27099FB9" w14:textId="77777777" w:rsidR="00DD3EFA" w:rsidRPr="00EC2A1C" w:rsidRDefault="00DD3EFA" w:rsidP="00B15ECB">
            <w:pPr>
              <w:pStyle w:val="slovanodstavec"/>
              <w:tabs>
                <w:tab w:val="clear" w:pos="567"/>
                <w:tab w:val="left" w:pos="284"/>
              </w:tabs>
              <w:suppressAutoHyphens/>
              <w:spacing w:before="60" w:after="60" w:line="264" w:lineRule="auto"/>
              <w:rPr>
                <w:rFonts w:ascii="Times New Roman" w:hAnsi="Times New Roman"/>
                <w:noProof/>
                <w:sz w:val="20"/>
                <w:szCs w:val="20"/>
              </w:rPr>
            </w:pPr>
            <w:r w:rsidRPr="00EC2A1C">
              <w:rPr>
                <w:rFonts w:ascii="Times New Roman" w:hAnsi="Times New Roman"/>
                <w:noProof/>
                <w:sz w:val="20"/>
                <w:szCs w:val="20"/>
              </w:rPr>
              <w:t xml:space="preserve">konkrétních opatření </w:t>
            </w:r>
          </w:p>
          <w:p w14:paraId="37413CCC" w14:textId="77777777" w:rsidR="00DD3EFA" w:rsidRPr="00EC2A1C" w:rsidRDefault="00DD3EFA" w:rsidP="00B15ECB">
            <w:pPr>
              <w:pStyle w:val="slovanodstavec"/>
              <w:tabs>
                <w:tab w:val="clear" w:pos="567"/>
                <w:tab w:val="left" w:pos="284"/>
              </w:tabs>
              <w:suppressAutoHyphens/>
              <w:spacing w:before="60" w:after="60" w:line="264" w:lineRule="auto"/>
              <w:rPr>
                <w:rFonts w:ascii="Times New Roman" w:hAnsi="Times New Roman"/>
                <w:noProof/>
                <w:sz w:val="20"/>
                <w:szCs w:val="20"/>
              </w:rPr>
            </w:pPr>
            <w:r w:rsidRPr="00EC2A1C">
              <w:rPr>
                <w:rFonts w:ascii="Times New Roman" w:hAnsi="Times New Roman"/>
                <w:b/>
                <w:noProof/>
                <w:sz w:val="20"/>
                <w:szCs w:val="20"/>
              </w:rPr>
              <w:t>PpZPR</w:t>
            </w:r>
            <w:r w:rsidRPr="00EC2A1C">
              <w:rPr>
                <w:rFonts w:ascii="Times New Roman" w:hAnsi="Times New Roman"/>
                <w:noProof/>
                <w:sz w:val="20"/>
                <w:szCs w:val="20"/>
              </w:rPr>
              <w:t>:  obsahují cílepro zvládání povdňových rizk. Pro splnění cílů jsou dle jednotlivých aspektů zvládání povodňových rizk  kategorizována  typová opatření. Podrobný popis, vč. gestora, a odhadu nákladů, konkrétních opatření je uveden v listech opatření.</w:t>
            </w:r>
          </w:p>
          <w:p w14:paraId="5CC6279D" w14:textId="77777777" w:rsidR="00DD3EFA" w:rsidRPr="00EC2A1C" w:rsidRDefault="00DD3EFA" w:rsidP="00B15ECB">
            <w:pPr>
              <w:pStyle w:val="slovanodstavec"/>
              <w:tabs>
                <w:tab w:val="clear" w:pos="567"/>
                <w:tab w:val="left" w:pos="284"/>
              </w:tabs>
              <w:suppressAutoHyphens/>
              <w:spacing w:before="60" w:after="60" w:line="264" w:lineRule="auto"/>
              <w:rPr>
                <w:rFonts w:ascii="Times New Roman" w:hAnsi="Times New Roman"/>
                <w:noProof/>
                <w:sz w:val="20"/>
                <w:szCs w:val="20"/>
              </w:rPr>
            </w:pPr>
            <w:r w:rsidRPr="00EC2A1C">
              <w:rPr>
                <w:rFonts w:ascii="Times New Roman" w:hAnsi="Times New Roman"/>
                <w:b/>
                <w:noProof/>
                <w:sz w:val="20"/>
                <w:szCs w:val="20"/>
              </w:rPr>
              <w:t>Adaptační strategie</w:t>
            </w:r>
            <w:r w:rsidRPr="00EC2A1C">
              <w:rPr>
                <w:rFonts w:ascii="Times New Roman" w:hAnsi="Times New Roman"/>
                <w:noProof/>
                <w:sz w:val="20"/>
                <w:szCs w:val="20"/>
              </w:rPr>
              <w:t>: Cíle a opatření jsou formulována v navazujícím Národním akčním plánu adaptace na změnu klimatu a v Koncepci ochrany před následky sucha pro území České republiky.</w:t>
            </w:r>
          </w:p>
        </w:tc>
        <w:tc>
          <w:tcPr>
            <w:tcW w:w="249" w:type="dxa"/>
            <w:tcBorders>
              <w:top w:val="nil"/>
              <w:bottom w:val="nil"/>
            </w:tcBorders>
            <w:shd w:val="clear" w:color="auto" w:fill="66CCFF"/>
          </w:tcPr>
          <w:p w14:paraId="38EA9325" w14:textId="77777777" w:rsidR="00DD3EFA" w:rsidRPr="00EC2A1C" w:rsidRDefault="00DD3EFA" w:rsidP="00B15ECB">
            <w:pPr>
              <w:rPr>
                <w:rFonts w:ascii="Times New Roman" w:hAnsi="Times New Roman" w:cs="Times New Roman"/>
                <w:b/>
                <w:sz w:val="20"/>
                <w:szCs w:val="20"/>
              </w:rPr>
            </w:pPr>
          </w:p>
        </w:tc>
      </w:tr>
      <w:tr w:rsidR="00DD3EFA" w:rsidRPr="00EC2A1C" w14:paraId="1BA4CEB1" w14:textId="77777777" w:rsidTr="00B15ECB">
        <w:trPr>
          <w:trHeight w:val="938"/>
        </w:trPr>
        <w:tc>
          <w:tcPr>
            <w:tcW w:w="249" w:type="dxa"/>
            <w:tcBorders>
              <w:top w:val="nil"/>
              <w:bottom w:val="nil"/>
            </w:tcBorders>
            <w:shd w:val="clear" w:color="auto" w:fill="66CCFF"/>
          </w:tcPr>
          <w:p w14:paraId="340EDF25"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39935AA5" w14:textId="77777777" w:rsidR="00DD3EFA" w:rsidRPr="00EC2A1C" w:rsidRDefault="00DD3EFA" w:rsidP="00391907">
            <w:pPr>
              <w:pStyle w:val="Odstavecseseznamem"/>
              <w:numPr>
                <w:ilvl w:val="0"/>
                <w:numId w:val="3"/>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implementační mechanismus</w:t>
            </w:r>
          </w:p>
          <w:p w14:paraId="65093B5D"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bottom w:val="single" w:sz="4" w:space="0" w:color="auto"/>
            </w:tcBorders>
            <w:shd w:val="clear" w:color="auto" w:fill="FFFFFF" w:themeFill="background1"/>
          </w:tcPr>
          <w:p w14:paraId="2E374D4E"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b/>
                <w:sz w:val="20"/>
                <w:szCs w:val="20"/>
              </w:rPr>
              <w:t>NPP</w:t>
            </w:r>
            <w:r w:rsidRPr="00EC2A1C">
              <w:rPr>
                <w:rFonts w:ascii="Times New Roman" w:hAnsi="Times New Roman"/>
                <w:sz w:val="20"/>
                <w:szCs w:val="20"/>
              </w:rPr>
              <w:t xml:space="preserve">, </w:t>
            </w:r>
            <w:r w:rsidRPr="00EC2A1C">
              <w:rPr>
                <w:rFonts w:ascii="Times New Roman" w:hAnsi="Times New Roman"/>
                <w:b/>
                <w:noProof/>
                <w:sz w:val="20"/>
                <w:szCs w:val="20"/>
              </w:rPr>
              <w:t>PpZPR</w:t>
            </w:r>
            <w:r w:rsidRPr="00EC2A1C">
              <w:rPr>
                <w:rFonts w:ascii="Times New Roman" w:hAnsi="Times New Roman"/>
                <w:sz w:val="20"/>
                <w:szCs w:val="20"/>
              </w:rPr>
              <w:t xml:space="preserve">:. Koordinaci aktivit při implementaci NPP a </w:t>
            </w:r>
            <w:r w:rsidRPr="00EC2A1C">
              <w:rPr>
                <w:rFonts w:ascii="Times New Roman" w:hAnsi="Times New Roman"/>
                <w:noProof/>
                <w:sz w:val="20"/>
                <w:szCs w:val="20"/>
              </w:rPr>
              <w:t>PpZPR zajišťuje Komise pro plánování v oblasti vod, resp. její pracovní skupiny</w:t>
            </w:r>
          </w:p>
          <w:p w14:paraId="1A9D801B"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sz w:val="20"/>
                <w:szCs w:val="20"/>
              </w:rPr>
            </w:pPr>
            <w:r w:rsidRPr="00EC2A1C">
              <w:rPr>
                <w:rFonts w:ascii="Times New Roman" w:hAnsi="Times New Roman"/>
                <w:b/>
                <w:noProof/>
                <w:sz w:val="20"/>
                <w:szCs w:val="20"/>
              </w:rPr>
              <w:t>Adaptační strategie</w:t>
            </w:r>
            <w:r w:rsidRPr="00EC2A1C">
              <w:rPr>
                <w:rFonts w:ascii="Times New Roman" w:hAnsi="Times New Roman"/>
                <w:noProof/>
                <w:sz w:val="20"/>
                <w:szCs w:val="20"/>
              </w:rPr>
              <w:t>: Implementace a realizace opatření je zakotvena v Národním akčním plánu adaptace na změnu klimatu. Pravidelná komunikace relevantních subjektů k problematice adaptace na změnu klimatu probíhá mj. i skrze tzv. Adaptační platformu.</w:t>
            </w:r>
          </w:p>
        </w:tc>
        <w:tc>
          <w:tcPr>
            <w:tcW w:w="249" w:type="dxa"/>
            <w:tcBorders>
              <w:top w:val="nil"/>
              <w:bottom w:val="nil"/>
            </w:tcBorders>
            <w:shd w:val="clear" w:color="auto" w:fill="66CCFF"/>
          </w:tcPr>
          <w:p w14:paraId="27484C53" w14:textId="77777777" w:rsidR="00DD3EFA" w:rsidRPr="00EC2A1C" w:rsidRDefault="00DD3EFA" w:rsidP="00B15ECB">
            <w:pPr>
              <w:rPr>
                <w:rFonts w:ascii="Times New Roman" w:hAnsi="Times New Roman" w:cs="Times New Roman"/>
                <w:b/>
                <w:sz w:val="20"/>
                <w:szCs w:val="20"/>
              </w:rPr>
            </w:pPr>
          </w:p>
        </w:tc>
      </w:tr>
      <w:tr w:rsidR="00DD3EFA" w:rsidRPr="00EC2A1C" w14:paraId="388C6E04" w14:textId="77777777" w:rsidTr="00B15ECB">
        <w:trPr>
          <w:trHeight w:val="938"/>
        </w:trPr>
        <w:tc>
          <w:tcPr>
            <w:tcW w:w="249" w:type="dxa"/>
            <w:tcBorders>
              <w:top w:val="nil"/>
              <w:bottom w:val="nil"/>
            </w:tcBorders>
            <w:shd w:val="clear" w:color="auto" w:fill="66CCFF"/>
          </w:tcPr>
          <w:p w14:paraId="1C9A1B2B"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F11034E"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monitoring a evaluace</w:t>
            </w:r>
          </w:p>
        </w:tc>
        <w:tc>
          <w:tcPr>
            <w:tcW w:w="5978" w:type="dxa"/>
            <w:tcBorders>
              <w:bottom w:val="single" w:sz="4" w:space="0" w:color="auto"/>
            </w:tcBorders>
            <w:shd w:val="clear" w:color="auto" w:fill="FFFFFF" w:themeFill="background1"/>
          </w:tcPr>
          <w:p w14:paraId="2AB8BA81" w14:textId="273CC49A" w:rsidR="00DD3EFA" w:rsidRPr="00EC2A1C" w:rsidRDefault="00DD3EFA" w:rsidP="00B15ECB">
            <w:pPr>
              <w:pStyle w:val="slovanodstavec"/>
              <w:tabs>
                <w:tab w:val="clear" w:pos="567"/>
                <w:tab w:val="left" w:pos="284"/>
              </w:tabs>
              <w:suppressAutoHyphens/>
              <w:spacing w:line="240" w:lineRule="auto"/>
              <w:rPr>
                <w:rFonts w:ascii="Times New Roman" w:hAnsi="Times New Roman"/>
                <w:sz w:val="20"/>
                <w:szCs w:val="20"/>
              </w:rPr>
            </w:pPr>
            <w:r w:rsidRPr="00EC2A1C">
              <w:rPr>
                <w:rFonts w:ascii="Times New Roman" w:hAnsi="Times New Roman"/>
                <w:b/>
                <w:sz w:val="20"/>
                <w:szCs w:val="20"/>
              </w:rPr>
              <w:t>NPP</w:t>
            </w:r>
            <w:r w:rsidRPr="00EC2A1C">
              <w:rPr>
                <w:rFonts w:ascii="Times New Roman" w:hAnsi="Times New Roman"/>
                <w:sz w:val="20"/>
                <w:szCs w:val="20"/>
              </w:rPr>
              <w:t xml:space="preserve">, </w:t>
            </w:r>
            <w:r w:rsidRPr="00EC2A1C">
              <w:rPr>
                <w:rFonts w:ascii="Times New Roman" w:hAnsi="Times New Roman"/>
                <w:b/>
                <w:noProof/>
                <w:sz w:val="20"/>
                <w:szCs w:val="20"/>
              </w:rPr>
              <w:t>PpZPR</w:t>
            </w:r>
            <w:r w:rsidRPr="00EC2A1C">
              <w:rPr>
                <w:rFonts w:ascii="Times New Roman" w:hAnsi="Times New Roman"/>
                <w:sz w:val="20"/>
                <w:szCs w:val="20"/>
              </w:rPr>
              <w:t xml:space="preserve">: </w:t>
            </w:r>
            <w:r w:rsidR="00747AAD" w:rsidRPr="00EC2A1C">
              <w:rPr>
                <w:rFonts w:ascii="Times New Roman" w:hAnsi="Times New Roman"/>
                <w:sz w:val="20"/>
                <w:szCs w:val="20"/>
              </w:rPr>
              <w:t>Monitoring a hodnocení</w:t>
            </w:r>
            <w:r w:rsidRPr="00EC2A1C">
              <w:rPr>
                <w:rFonts w:ascii="Times New Roman" w:hAnsi="Times New Roman"/>
                <w:sz w:val="20"/>
                <w:szCs w:val="20"/>
              </w:rPr>
              <w:t xml:space="preserve"> pokroků v naplňování cílů plánů vyplývá z legislativy EU. Je vždy nedílnou součástí šestiletého plánovacího cyklu. NPP jsou reportovány EK spolu s dalšími informacemi dle platných Guidance dokumentů, implementace opatření k dosahování cílů Rámcové směrnice skrze NPP je tedy ze strany EK monitorována a také pravidelně evaluována.</w:t>
            </w:r>
          </w:p>
          <w:p w14:paraId="0BD7A150"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sz w:val="20"/>
                <w:szCs w:val="20"/>
              </w:rPr>
            </w:pPr>
            <w:r w:rsidRPr="00EC2A1C">
              <w:rPr>
                <w:rFonts w:ascii="Times New Roman" w:hAnsi="Times New Roman"/>
                <w:sz w:val="20"/>
                <w:szCs w:val="20"/>
              </w:rPr>
              <w:t xml:space="preserve"> </w:t>
            </w:r>
            <w:r w:rsidRPr="00EC2A1C">
              <w:rPr>
                <w:rFonts w:ascii="Times New Roman" w:hAnsi="Times New Roman"/>
                <w:b/>
                <w:noProof/>
                <w:sz w:val="20"/>
                <w:szCs w:val="20"/>
              </w:rPr>
              <w:t>Adaptační strategie</w:t>
            </w:r>
            <w:r w:rsidRPr="00EC2A1C">
              <w:rPr>
                <w:rFonts w:ascii="Times New Roman" w:hAnsi="Times New Roman"/>
                <w:noProof/>
                <w:sz w:val="20"/>
                <w:szCs w:val="20"/>
              </w:rPr>
              <w:t>: Národní akční plán adaptace na změnu klimatu nastavil pravidelný monitoring plnění opatření a cílů. Nad rámec tohoto je stavena sada tzv. Indikátorů zranitelnosti která poskytuje komplexní pohled na zranitelnost ČR vůči projevům změny klimatu.</w:t>
            </w:r>
          </w:p>
        </w:tc>
        <w:tc>
          <w:tcPr>
            <w:tcW w:w="249" w:type="dxa"/>
            <w:tcBorders>
              <w:top w:val="nil"/>
              <w:bottom w:val="nil"/>
            </w:tcBorders>
            <w:shd w:val="clear" w:color="auto" w:fill="66CCFF"/>
          </w:tcPr>
          <w:p w14:paraId="6A54213F" w14:textId="77777777" w:rsidR="00DD3EFA" w:rsidRPr="00EC2A1C" w:rsidRDefault="00DD3EFA" w:rsidP="00B15ECB">
            <w:pPr>
              <w:rPr>
                <w:rFonts w:ascii="Times New Roman" w:hAnsi="Times New Roman" w:cs="Times New Roman"/>
                <w:b/>
                <w:sz w:val="20"/>
                <w:szCs w:val="20"/>
              </w:rPr>
            </w:pPr>
          </w:p>
        </w:tc>
      </w:tr>
      <w:tr w:rsidR="00DD3EFA" w:rsidRPr="00EC2A1C" w14:paraId="3A72818B" w14:textId="77777777" w:rsidTr="00B15ECB">
        <w:trPr>
          <w:trHeight w:val="130"/>
        </w:trPr>
        <w:tc>
          <w:tcPr>
            <w:tcW w:w="249" w:type="dxa"/>
            <w:tcBorders>
              <w:top w:val="nil"/>
              <w:bottom w:val="nil"/>
              <w:right w:val="nil"/>
            </w:tcBorders>
            <w:shd w:val="clear" w:color="auto" w:fill="66CCFF"/>
          </w:tcPr>
          <w:p w14:paraId="7E655A27"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11408E0C"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749609D8"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inorHAnsi" w:hAnsi="Times New Roman"/>
                <w:b/>
                <w:noProof/>
                <w:sz w:val="20"/>
                <w:szCs w:val="20"/>
              </w:rPr>
            </w:pPr>
          </w:p>
        </w:tc>
        <w:tc>
          <w:tcPr>
            <w:tcW w:w="249" w:type="dxa"/>
            <w:tcBorders>
              <w:top w:val="nil"/>
              <w:left w:val="nil"/>
              <w:bottom w:val="nil"/>
            </w:tcBorders>
            <w:shd w:val="clear" w:color="auto" w:fill="66CCFF"/>
          </w:tcPr>
          <w:p w14:paraId="3B04991B" w14:textId="77777777" w:rsidR="00DD3EFA" w:rsidRPr="00EC2A1C" w:rsidRDefault="00DD3EFA" w:rsidP="00B15ECB">
            <w:pPr>
              <w:rPr>
                <w:rFonts w:ascii="Times New Roman" w:hAnsi="Times New Roman" w:cs="Times New Roman"/>
                <w:b/>
                <w:sz w:val="20"/>
                <w:szCs w:val="20"/>
              </w:rPr>
            </w:pPr>
          </w:p>
        </w:tc>
      </w:tr>
      <w:tr w:rsidR="00DD3EFA" w:rsidRPr="00EC2A1C" w14:paraId="12FD7428" w14:textId="77777777" w:rsidTr="00B15ECB">
        <w:trPr>
          <w:trHeight w:val="1258"/>
        </w:trPr>
        <w:tc>
          <w:tcPr>
            <w:tcW w:w="249" w:type="dxa"/>
            <w:tcBorders>
              <w:top w:val="nil"/>
              <w:bottom w:val="nil"/>
              <w:right w:val="nil"/>
            </w:tcBorders>
            <w:shd w:val="clear" w:color="auto" w:fill="66CCFF"/>
          </w:tcPr>
          <w:p w14:paraId="55E07814" w14:textId="77777777" w:rsidR="00DD3EFA" w:rsidRPr="00EC2A1C" w:rsidRDefault="00DD3EFA" w:rsidP="00B15ECB">
            <w:pPr>
              <w:rPr>
                <w:rFonts w:ascii="Times New Roman" w:hAnsi="Times New Roman" w:cs="Times New Roman"/>
                <w:b/>
                <w:sz w:val="20"/>
                <w:szCs w:val="20"/>
              </w:rPr>
            </w:pPr>
          </w:p>
        </w:tc>
        <w:tc>
          <w:tcPr>
            <w:tcW w:w="8526" w:type="dxa"/>
            <w:gridSpan w:val="2"/>
            <w:shd w:val="clear" w:color="auto" w:fill="FFFFFF" w:themeFill="background1"/>
          </w:tcPr>
          <w:p w14:paraId="1F6B7527" w14:textId="77777777" w:rsidR="00DD3EFA" w:rsidRPr="00EC2A1C" w:rsidRDefault="00DD3EFA" w:rsidP="00B15ECB">
            <w:pPr>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 xml:space="preserve">Zhodnocení dosavadního využití podpory tematické oblasti z ESIF (tj. v období 2014 – 2020, příp. 2007 – 2013). </w:t>
            </w:r>
          </w:p>
          <w:p w14:paraId="787A237E"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sz w:val="20"/>
                <w:szCs w:val="20"/>
                <w:u w:val="single"/>
              </w:rPr>
            </w:pPr>
          </w:p>
        </w:tc>
        <w:tc>
          <w:tcPr>
            <w:tcW w:w="249" w:type="dxa"/>
            <w:tcBorders>
              <w:top w:val="nil"/>
              <w:left w:val="nil"/>
              <w:bottom w:val="nil"/>
            </w:tcBorders>
            <w:shd w:val="clear" w:color="auto" w:fill="66CCFF"/>
          </w:tcPr>
          <w:p w14:paraId="00B0A02C" w14:textId="77777777" w:rsidR="00DD3EFA" w:rsidRPr="00EC2A1C" w:rsidRDefault="00DD3EFA" w:rsidP="00B15ECB">
            <w:pPr>
              <w:rPr>
                <w:rFonts w:ascii="Times New Roman" w:hAnsi="Times New Roman" w:cs="Times New Roman"/>
                <w:b/>
                <w:sz w:val="20"/>
                <w:szCs w:val="20"/>
              </w:rPr>
            </w:pPr>
          </w:p>
        </w:tc>
      </w:tr>
      <w:tr w:rsidR="00DD3EFA" w:rsidRPr="00EC2A1C" w14:paraId="0FE82423" w14:textId="77777777" w:rsidTr="00B15ECB">
        <w:trPr>
          <w:trHeight w:val="1258"/>
        </w:trPr>
        <w:tc>
          <w:tcPr>
            <w:tcW w:w="249" w:type="dxa"/>
            <w:tcBorders>
              <w:top w:val="nil"/>
              <w:bottom w:val="nil"/>
              <w:right w:val="nil"/>
            </w:tcBorders>
            <w:shd w:val="clear" w:color="auto" w:fill="66CCFF"/>
          </w:tcPr>
          <w:p w14:paraId="205DD08A" w14:textId="77777777" w:rsidR="00DD3EFA" w:rsidRPr="00EC2A1C" w:rsidRDefault="00DD3EFA" w:rsidP="00B15ECB">
            <w:pPr>
              <w:rPr>
                <w:rFonts w:ascii="Times New Roman" w:hAnsi="Times New Roman" w:cs="Times New Roman"/>
                <w:b/>
                <w:sz w:val="20"/>
                <w:szCs w:val="20"/>
              </w:rPr>
            </w:pPr>
          </w:p>
        </w:tc>
        <w:tc>
          <w:tcPr>
            <w:tcW w:w="2548" w:type="dxa"/>
            <w:shd w:val="clear" w:color="auto" w:fill="FFFFFF" w:themeFill="background1"/>
          </w:tcPr>
          <w:p w14:paraId="4A161157" w14:textId="77777777" w:rsidR="00DD3EFA" w:rsidRPr="00EC2A1C" w:rsidRDefault="00DD3EFA" w:rsidP="00B15ECB">
            <w:pPr>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Věcný posun oblasti</w:t>
            </w:r>
          </w:p>
          <w:p w14:paraId="4BA41893" w14:textId="77777777" w:rsidR="00DD3EFA" w:rsidRPr="00EC2A1C" w:rsidRDefault="00DD3EFA" w:rsidP="00B15ECB">
            <w:pPr>
              <w:rPr>
                <w:rFonts w:ascii="Times New Roman" w:eastAsiaTheme="majorEastAsia" w:hAnsi="Times New Roman" w:cs="Times New Roman"/>
                <w:b/>
                <w:sz w:val="20"/>
                <w:szCs w:val="20"/>
                <w:highlight w:val="yellow"/>
              </w:rPr>
            </w:pPr>
            <w:r w:rsidRPr="00EC2A1C">
              <w:rPr>
                <w:rFonts w:ascii="Times New Roman" w:eastAsiaTheme="majorEastAsia" w:hAnsi="Times New Roman" w:cs="Times New Roman"/>
                <w:b/>
                <w:sz w:val="20"/>
                <w:szCs w:val="20"/>
              </w:rPr>
              <w:t>(tj. v období 2014 – 2020, příp. 2007 – 2013)</w:t>
            </w:r>
          </w:p>
        </w:tc>
        <w:tc>
          <w:tcPr>
            <w:tcW w:w="5978" w:type="dxa"/>
            <w:shd w:val="clear" w:color="auto" w:fill="FFFFFF" w:themeFill="background1"/>
          </w:tcPr>
          <w:p w14:paraId="714F990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V rámci OPŽP 2007 – 2013 byla podporována oblast „Zlepšování vodohospodářské infrastruktury a snižování rizika povodní“ v rámci Prioritní osy 1, na níž byla přidělena celková alokace cca 53,2 mld. Kč (2 024 mil. EUR). V rámci OPŽP 2007 – 2013 bylo na oblast podpory 1.1 „Snížení znečištění vod“ alokováno 45 mld. Kč (1 719 mil. EUR), na oblast podpory 1.2 „Zlepšení jakosti pitné vody“ bylo alokováno 5,5 mld. Kč (201 mil. EUR) a na oblast podpory 1.3 „Omezování rizika povodní“ 2,7 mld. Kč (103 mil. EUR).</w:t>
            </w:r>
          </w:p>
          <w:p w14:paraId="15AE1196"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 xml:space="preserve">V rámci OPŽP 2007 – 2013 byly sledovány indikátory, jejichž hodnoty byly stanoveny v Programovém dokumentu OPZP: </w:t>
            </w:r>
          </w:p>
          <w:p w14:paraId="51E566F5"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Délka nových a rekonstruovaných kanalizačních řádů – dosažená hodnota 4 732,5 km</w:t>
            </w:r>
          </w:p>
          <w:p w14:paraId="68AB9912"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projektů zaměřených na ochranu proti povodním nebo lesním požárům, případně na další ochranná opatření – dosažená hodnota – 595 projektů</w:t>
            </w:r>
          </w:p>
          <w:p w14:paraId="1A1C401A"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Hmotnost vypouštěného znečištění u zpoplatněných zdrojů CHSKCr – dosažená hodnota 4 598 t/rok</w:t>
            </w:r>
          </w:p>
          <w:p w14:paraId="48D3E2E3"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obyvatel bylo nově připojeno na vodovod – dosažená hodnota 446 999 osob</w:t>
            </w:r>
          </w:p>
          <w:p w14:paraId="03B3F636"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povodňových orgánů (komisí) bylo nově napojeno na systém přenosu hlásných a varovných informací pro řízení povodní – dosažená hodnota 826 povodňových orgánů</w:t>
            </w:r>
          </w:p>
          <w:p w14:paraId="29F91DA1"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nových, rekonstruovaných a intenzifikovaných ČOV nad 2000 EO – dosažená hodnota 159 ČOV</w:t>
            </w:r>
          </w:p>
          <w:p w14:paraId="54F2832D"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obyvatel nově připojených na kanalizaci – dosažená hodnota 667 559 osob</w:t>
            </w:r>
          </w:p>
          <w:p w14:paraId="769F3F71" w14:textId="77777777" w:rsidR="00DD3EFA" w:rsidRPr="00EC2A1C" w:rsidRDefault="00DD3EFA" w:rsidP="00391907">
            <w:pPr>
              <w:pStyle w:val="slovanodstavec"/>
              <w:numPr>
                <w:ilvl w:val="0"/>
                <w:numId w:val="3"/>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rekonstruovaných a nových úpraven pitné vody – dosažená hodnota 33 úpraven vody</w:t>
            </w:r>
          </w:p>
          <w:p w14:paraId="5651DA0B" w14:textId="77777777" w:rsidR="00DD3EFA" w:rsidRPr="00EC2A1C" w:rsidRDefault="00DD3EFA" w:rsidP="00B15ECB">
            <w:pPr>
              <w:rPr>
                <w:rFonts w:ascii="Times New Roman" w:eastAsia="Calibri" w:hAnsi="Times New Roman" w:cs="Times New Roman"/>
                <w:sz w:val="20"/>
                <w:szCs w:val="20"/>
              </w:rPr>
            </w:pPr>
            <w:r w:rsidRPr="00EC2A1C">
              <w:rPr>
                <w:rFonts w:ascii="Times New Roman" w:eastAsia="Calibri" w:hAnsi="Times New Roman" w:cs="Times New Roman"/>
                <w:sz w:val="20"/>
                <w:szCs w:val="20"/>
              </w:rPr>
              <w:t>V rámci OPŽP 2014 – 2020 je podporována oblast „Zlepšování kvality vody a snižování rizika povodní“ v rámci Prioritní osy 1, na níž byla přidělena celková alokace cca 19,8 mld. Kč (766,9 mil. EUR). Na specifický cíl 1.1 „Snížit množství vypouštěného znečištění do povrchových i podzemních vod z komunálních zdrojů a vnos znečišťujících látek do povrchových a podzemních vod“ je alokováno cca 11,9 mld. Kč (461, 57 mil. EUR), na SC 1.2 „Zajistit dodávky pitné vody v odpovídající jakosti a množství“ je alokováno cca 3 mld. Kč (115,32 mil. EUR), na SC 1.3 „zajistit povodňovou ochranu intravilánu a hospodaření se srážkovými vodami“ je alokováno cca 2,9 mld. Kč (113,1 mil. EUR) a na SC 1.4 „Podpořit preventivní protipovodňová opatření“ je alokováno cca 2 mld. Kč (76,9 mil. EUR).</w:t>
            </w:r>
          </w:p>
          <w:p w14:paraId="1D26CBEA" w14:textId="77777777" w:rsidR="00DD3EFA" w:rsidRPr="00EC2A1C" w:rsidRDefault="00DD3EFA" w:rsidP="00B15ECB">
            <w:pPr>
              <w:rPr>
                <w:rFonts w:ascii="Times New Roman" w:eastAsia="Calibri" w:hAnsi="Times New Roman" w:cs="Times New Roman"/>
                <w:sz w:val="20"/>
                <w:szCs w:val="20"/>
              </w:rPr>
            </w:pPr>
          </w:p>
          <w:p w14:paraId="74698368"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V rámci OPŽP 2014 – 2020 byly v rámci Programového dokumentu stanoveny cílové hodnoty společných a specifických programových ukazatelů výstupů v prioritní ose 1, SC 1.1 a SC 1.2:</w:t>
            </w:r>
          </w:p>
          <w:p w14:paraId="0EE31DDA" w14:textId="77777777" w:rsidR="00DD3EFA" w:rsidRPr="00EC2A1C" w:rsidRDefault="00DD3EFA" w:rsidP="00391907">
            <w:pPr>
              <w:pStyle w:val="Odstavecseseznamem"/>
              <w:numPr>
                <w:ilvl w:val="0"/>
                <w:numId w:val="100"/>
              </w:numPr>
              <w:spacing w:before="60" w:after="60" w:line="276" w:lineRule="auto"/>
              <w:rPr>
                <w:rFonts w:ascii="Times New Roman" w:eastAsia="Calibri" w:hAnsi="Times New Roman" w:cs="Times New Roman"/>
                <w:sz w:val="20"/>
                <w:szCs w:val="20"/>
              </w:rPr>
            </w:pPr>
            <w:r w:rsidRPr="00EC2A1C">
              <w:rPr>
                <w:rFonts w:ascii="Times New Roman" w:eastAsia="Calibri" w:hAnsi="Times New Roman" w:cs="Times New Roman"/>
                <w:sz w:val="20"/>
                <w:szCs w:val="20"/>
              </w:rPr>
              <w:t>Počet obyvatel nově připojených na zlepšené zásobování vodou - cílová hodnota v r. 2023 je 150 000 osob</w:t>
            </w:r>
          </w:p>
          <w:p w14:paraId="39FCEB6B" w14:textId="77777777" w:rsidR="00DD3EFA" w:rsidRPr="00EC2A1C" w:rsidRDefault="00DD3EFA" w:rsidP="00391907">
            <w:pPr>
              <w:pStyle w:val="slovanodstavec"/>
              <w:numPr>
                <w:ilvl w:val="0"/>
                <w:numId w:val="118"/>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opatření realizovaných pro snížení eutrofizace - cílová hodnota v r. 2023 je 48 opatření</w:t>
            </w:r>
          </w:p>
          <w:p w14:paraId="36E03CB1" w14:textId="77777777" w:rsidR="00DD3EFA" w:rsidRPr="00EC2A1C" w:rsidRDefault="00DD3EFA" w:rsidP="00391907">
            <w:pPr>
              <w:pStyle w:val="slovanodstavec"/>
              <w:numPr>
                <w:ilvl w:val="0"/>
                <w:numId w:val="118"/>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obyvatel nově připojených na zlepšené čištění odpadních vod - cílová hodnota v r. 2023 je 84 399 EO</w:t>
            </w:r>
          </w:p>
          <w:p w14:paraId="53851D74" w14:textId="77777777" w:rsidR="00DD3EFA" w:rsidRPr="00EC2A1C" w:rsidRDefault="00DD3EFA" w:rsidP="00391907">
            <w:pPr>
              <w:pStyle w:val="slovanodstavec"/>
              <w:numPr>
                <w:ilvl w:val="0"/>
                <w:numId w:val="118"/>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Návrhová kapacita nově vybudovaných a rekonstruovaných ČOV - cílová hodnota v r. 2023 je 96 456 /EO</w:t>
            </w:r>
          </w:p>
          <w:p w14:paraId="34C7CC19" w14:textId="77777777" w:rsidR="00DD3EFA" w:rsidRPr="00EC2A1C" w:rsidRDefault="00DD3EFA" w:rsidP="00391907">
            <w:pPr>
              <w:pStyle w:val="slovanodstavec"/>
              <w:numPr>
                <w:ilvl w:val="0"/>
                <w:numId w:val="118"/>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Délka vybudovaných kanalizací - cílová hodnota v r. 2023 je 470 km</w:t>
            </w:r>
          </w:p>
          <w:p w14:paraId="6FEDB691" w14:textId="77777777" w:rsidR="00DD3EFA" w:rsidRPr="00EC2A1C" w:rsidRDefault="00DD3EFA" w:rsidP="00B15ECB">
            <w:pPr>
              <w:rPr>
                <w:rFonts w:ascii="Times New Roman" w:eastAsia="Calibri" w:hAnsi="Times New Roman" w:cs="Times New Roman"/>
                <w:sz w:val="20"/>
                <w:szCs w:val="20"/>
              </w:rPr>
            </w:pPr>
          </w:p>
          <w:p w14:paraId="0D81D090"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Společné a specifické programové ukazatele výstupu Prioritní osy 1, SC 1.3 a 1.4:</w:t>
            </w:r>
          </w:p>
          <w:p w14:paraId="482AEFC4"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Délka řešených kilometrů toků - cílová hodnota v r. 2023 je 236</w:t>
            </w:r>
          </w:p>
          <w:p w14:paraId="323D08AC"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 xml:space="preserve">Počet obnovených, vystavěných a rekonstruovaných vodních děl sloužících k povodňové ochraně- cílová hodnota v r. 2023 je 12 vodních děl </w:t>
            </w:r>
          </w:p>
          <w:p w14:paraId="6A82797C"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Objem retardované dešťové vody - cílová hodnota v r. 2023 je 37 736 m3</w:t>
            </w:r>
          </w:p>
          <w:p w14:paraId="2A7B836F"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Plocha nově stabilizovaných objektů svahových nestabilit v rámci OPŽP 2014+ - cílová hodnota v r. 2023 je 19 ha</w:t>
            </w:r>
          </w:p>
          <w:p w14:paraId="5F6DF6B0"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obcí s digitálním povodňovým plánem - cílová hodnota v r. 2023 je 400 obcí</w:t>
            </w:r>
          </w:p>
          <w:p w14:paraId="189DB514"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 xml:space="preserve">Počet studií v oblasti s potenciálním povodňovým rizikem s návrhem povodňové ochrany přírodě blízkým způsobem - cílová hodnota v r. 2023 je 30 studií </w:t>
            </w:r>
          </w:p>
          <w:p w14:paraId="75386C65"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analýz v oblasti s potenciálním povodňovým rizikem - cílová hodnota v r. 2023 je 120 analýz</w:t>
            </w:r>
          </w:p>
          <w:p w14:paraId="10A35E5F" w14:textId="77777777" w:rsidR="00DD3EFA" w:rsidRPr="00EC2A1C" w:rsidRDefault="00DD3EFA" w:rsidP="00391907">
            <w:pPr>
              <w:pStyle w:val="slovanodstavec"/>
              <w:numPr>
                <w:ilvl w:val="0"/>
                <w:numId w:val="119"/>
              </w:numPr>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noProof/>
                <w:sz w:val="20"/>
                <w:szCs w:val="20"/>
              </w:rPr>
              <w:t>Počet obyvatel chráněných opatřeními proti povodním - cílová hodnota v r. 2023 je 65 637 osob.</w:t>
            </w:r>
          </w:p>
          <w:p w14:paraId="666829C4" w14:textId="77777777" w:rsidR="00DD3EFA" w:rsidRPr="00EC2A1C" w:rsidRDefault="00DD3EFA" w:rsidP="00B15ECB">
            <w:pPr>
              <w:tabs>
                <w:tab w:val="left" w:pos="0"/>
              </w:tabs>
              <w:suppressAutoHyphens/>
              <w:rPr>
                <w:rFonts w:ascii="Times New Roman" w:hAnsi="Times New Roman" w:cs="Times New Roman"/>
                <w:sz w:val="20"/>
                <w:szCs w:val="20"/>
              </w:rPr>
            </w:pPr>
            <w:r w:rsidRPr="00EC2A1C">
              <w:rPr>
                <w:rFonts w:ascii="Times New Roman" w:eastAsia="Calibri" w:hAnsi="Times New Roman" w:cs="Times New Roman"/>
                <w:sz w:val="20"/>
                <w:szCs w:val="20"/>
              </w:rPr>
              <w:t xml:space="preserve">V souvislosti s plněním úkolů vyplývajících z </w:t>
            </w:r>
            <w:r w:rsidRPr="00EC2A1C">
              <w:rPr>
                <w:rFonts w:ascii="Times New Roman" w:hAnsi="Times New Roman" w:cs="Times New Roman"/>
                <w:sz w:val="20"/>
                <w:szCs w:val="20"/>
              </w:rPr>
              <w:t xml:space="preserve">Koncepce ochrany před následky sucha pro území České republiky a jednání Národní koalice pro boj se suchem </w:t>
            </w:r>
            <w:r w:rsidRPr="00EC2A1C">
              <w:rPr>
                <w:rFonts w:ascii="Times New Roman" w:eastAsia="Calibri" w:hAnsi="Times New Roman" w:cs="Times New Roman"/>
                <w:sz w:val="20"/>
                <w:szCs w:val="20"/>
              </w:rPr>
              <w:t>připravilo MPO ve druhé polovině roku 2018 v rámci OP PIK řadu opatření, s jejichž využitím počítá i v dalším období, zaměřených na trvale udržitelné hospodaření s vodou v rámci běžného podnikání. Jedná se zejména o:</w:t>
            </w:r>
          </w:p>
          <w:p w14:paraId="45173A71" w14:textId="77777777" w:rsidR="00DD3EFA" w:rsidRPr="00EC2A1C" w:rsidRDefault="00DD3EFA" w:rsidP="00B15ECB">
            <w:pPr>
              <w:tabs>
                <w:tab w:val="left" w:pos="0"/>
              </w:tabs>
              <w:suppressAutoHyphens/>
              <w:rPr>
                <w:rFonts w:ascii="Times New Roman" w:hAnsi="Times New Roman" w:cs="Times New Roman"/>
                <w:sz w:val="20"/>
                <w:szCs w:val="20"/>
              </w:rPr>
            </w:pPr>
          </w:p>
          <w:p w14:paraId="2729CCA8" w14:textId="77777777" w:rsidR="00DD3EFA" w:rsidRPr="00EC2A1C" w:rsidRDefault="00DD3EFA" w:rsidP="00391907">
            <w:pPr>
              <w:pStyle w:val="Odrky"/>
              <w:numPr>
                <w:ilvl w:val="0"/>
                <w:numId w:val="129"/>
              </w:numPr>
              <w:spacing w:before="0" w:line="276" w:lineRule="auto"/>
              <w:ind w:left="469" w:hanging="426"/>
              <w:contextualSpacing/>
              <w:jc w:val="left"/>
              <w:rPr>
                <w:rFonts w:ascii="Times New Roman" w:hAnsi="Times New Roman"/>
                <w:szCs w:val="20"/>
              </w:rPr>
            </w:pPr>
            <w:r w:rsidRPr="00EC2A1C">
              <w:rPr>
                <w:rFonts w:ascii="Times New Roman" w:hAnsi="Times New Roman"/>
                <w:szCs w:val="20"/>
              </w:rPr>
              <w:t>Program EXPANZE (pouze MSP)</w:t>
            </w:r>
          </w:p>
          <w:p w14:paraId="099D0713" w14:textId="77777777" w:rsidR="00DD3EFA" w:rsidRPr="00EC2A1C" w:rsidRDefault="00DD3EFA" w:rsidP="00391907">
            <w:pPr>
              <w:pStyle w:val="Odrky"/>
              <w:numPr>
                <w:ilvl w:val="1"/>
                <w:numId w:val="129"/>
              </w:numPr>
              <w:spacing w:before="0" w:line="276" w:lineRule="auto"/>
              <w:ind w:left="752" w:hanging="425"/>
              <w:contextualSpacing/>
              <w:jc w:val="left"/>
              <w:rPr>
                <w:rFonts w:ascii="Times New Roman" w:hAnsi="Times New Roman"/>
                <w:szCs w:val="20"/>
              </w:rPr>
            </w:pPr>
            <w:r w:rsidRPr="00EC2A1C">
              <w:rPr>
                <w:rFonts w:ascii="Times New Roman" w:hAnsi="Times New Roman"/>
                <w:szCs w:val="20"/>
              </w:rPr>
              <w:t>projekty optimalizace procesů nakládání s vodou a využití jejího potenciálu,</w:t>
            </w:r>
          </w:p>
          <w:p w14:paraId="682526A9" w14:textId="77777777" w:rsidR="00DD3EFA" w:rsidRPr="00EC2A1C" w:rsidRDefault="00DD3EFA" w:rsidP="00391907">
            <w:pPr>
              <w:pStyle w:val="Odrky"/>
              <w:numPr>
                <w:ilvl w:val="1"/>
                <w:numId w:val="129"/>
              </w:numPr>
              <w:spacing w:before="0" w:line="276" w:lineRule="auto"/>
              <w:ind w:left="752" w:hanging="425"/>
              <w:contextualSpacing/>
              <w:jc w:val="left"/>
              <w:rPr>
                <w:rFonts w:ascii="Times New Roman" w:hAnsi="Times New Roman"/>
                <w:szCs w:val="20"/>
              </w:rPr>
            </w:pPr>
            <w:r w:rsidRPr="00EC2A1C">
              <w:rPr>
                <w:rFonts w:ascii="Times New Roman" w:hAnsi="Times New Roman"/>
                <w:szCs w:val="20"/>
              </w:rPr>
              <w:t>program implementován od 3. 9. 2018,</w:t>
            </w:r>
          </w:p>
          <w:p w14:paraId="74491B86" w14:textId="77777777" w:rsidR="00DD3EFA" w:rsidRPr="00EC2A1C" w:rsidRDefault="00DD3EFA" w:rsidP="00391907">
            <w:pPr>
              <w:pStyle w:val="Odrky"/>
              <w:numPr>
                <w:ilvl w:val="1"/>
                <w:numId w:val="129"/>
              </w:numPr>
              <w:spacing w:before="0" w:line="276" w:lineRule="auto"/>
              <w:ind w:left="752" w:hanging="425"/>
              <w:contextualSpacing/>
              <w:jc w:val="left"/>
              <w:rPr>
                <w:rFonts w:ascii="Times New Roman" w:hAnsi="Times New Roman"/>
                <w:szCs w:val="20"/>
              </w:rPr>
            </w:pPr>
            <w:r w:rsidRPr="00EC2A1C">
              <w:rPr>
                <w:rFonts w:ascii="Times New Roman" w:hAnsi="Times New Roman"/>
                <w:szCs w:val="20"/>
              </w:rPr>
              <w:t>podpora formou bezúročných úvěrů od 650 tis. Kč do 60 mil. Kč,</w:t>
            </w:r>
          </w:p>
          <w:p w14:paraId="33B1E6BB" w14:textId="77777777" w:rsidR="00DD3EFA" w:rsidRPr="00EC2A1C" w:rsidRDefault="00DD3EFA" w:rsidP="00391907">
            <w:pPr>
              <w:pStyle w:val="Odrky"/>
              <w:numPr>
                <w:ilvl w:val="1"/>
                <w:numId w:val="129"/>
              </w:numPr>
              <w:spacing w:before="0" w:line="276" w:lineRule="auto"/>
              <w:ind w:left="752" w:hanging="425"/>
              <w:contextualSpacing/>
              <w:jc w:val="left"/>
              <w:rPr>
                <w:rFonts w:ascii="Times New Roman" w:hAnsi="Times New Roman"/>
                <w:szCs w:val="20"/>
              </w:rPr>
            </w:pPr>
            <w:r w:rsidRPr="00EC2A1C">
              <w:rPr>
                <w:rFonts w:ascii="Times New Roman" w:hAnsi="Times New Roman"/>
                <w:szCs w:val="20"/>
              </w:rPr>
              <w:t>podpora až do výše 45 % uznatelných nákladů,</w:t>
            </w:r>
          </w:p>
          <w:p w14:paraId="4AED61EF" w14:textId="77777777" w:rsidR="00DD3EFA" w:rsidRPr="00EC2A1C" w:rsidRDefault="00DD3EFA" w:rsidP="00391907">
            <w:pPr>
              <w:pStyle w:val="Odrky"/>
              <w:numPr>
                <w:ilvl w:val="1"/>
                <w:numId w:val="129"/>
              </w:numPr>
              <w:spacing w:before="0" w:line="276" w:lineRule="auto"/>
              <w:ind w:left="752" w:hanging="425"/>
              <w:contextualSpacing/>
              <w:jc w:val="left"/>
              <w:rPr>
                <w:rFonts w:ascii="Times New Roman" w:hAnsi="Times New Roman"/>
                <w:szCs w:val="20"/>
              </w:rPr>
            </w:pPr>
            <w:r w:rsidRPr="00EC2A1C">
              <w:rPr>
                <w:rFonts w:ascii="Times New Roman" w:hAnsi="Times New Roman"/>
                <w:szCs w:val="20"/>
              </w:rPr>
              <w:t>doba splatnosti až 10 let.</w:t>
            </w:r>
          </w:p>
          <w:p w14:paraId="0FD2EB0A" w14:textId="77777777" w:rsidR="00DD3EFA" w:rsidRPr="00EC2A1C" w:rsidRDefault="00DD3EFA" w:rsidP="00B15ECB">
            <w:pPr>
              <w:pStyle w:val="Odrky"/>
              <w:ind w:left="752" w:firstLine="0"/>
              <w:rPr>
                <w:rFonts w:ascii="Times New Roman" w:hAnsi="Times New Roman"/>
                <w:szCs w:val="20"/>
              </w:rPr>
            </w:pPr>
          </w:p>
          <w:p w14:paraId="298F909D" w14:textId="77777777" w:rsidR="00DD3EFA" w:rsidRPr="00EC2A1C" w:rsidRDefault="00DD3EFA" w:rsidP="00391907">
            <w:pPr>
              <w:pStyle w:val="Odrky"/>
              <w:numPr>
                <w:ilvl w:val="0"/>
                <w:numId w:val="129"/>
              </w:numPr>
              <w:spacing w:before="0" w:line="276" w:lineRule="auto"/>
              <w:contextualSpacing/>
              <w:jc w:val="left"/>
              <w:rPr>
                <w:rFonts w:ascii="Times New Roman" w:hAnsi="Times New Roman"/>
                <w:szCs w:val="20"/>
              </w:rPr>
            </w:pPr>
            <w:r w:rsidRPr="00EC2A1C">
              <w:rPr>
                <w:rFonts w:ascii="Times New Roman" w:hAnsi="Times New Roman"/>
                <w:szCs w:val="20"/>
              </w:rPr>
              <w:t>Program Nemovitosti (pouze MSP)</w:t>
            </w:r>
          </w:p>
          <w:p w14:paraId="03AB906F" w14:textId="77777777" w:rsidR="00DD3EFA" w:rsidRPr="00EC2A1C" w:rsidRDefault="00DD3EFA" w:rsidP="00391907">
            <w:pPr>
              <w:pStyle w:val="Odrky"/>
              <w:numPr>
                <w:ilvl w:val="1"/>
                <w:numId w:val="129"/>
              </w:numPr>
              <w:spacing w:before="0" w:line="276" w:lineRule="auto"/>
              <w:ind w:left="752"/>
              <w:contextualSpacing/>
              <w:jc w:val="left"/>
              <w:rPr>
                <w:rFonts w:ascii="Times New Roman" w:hAnsi="Times New Roman"/>
                <w:szCs w:val="20"/>
              </w:rPr>
            </w:pPr>
            <w:r w:rsidRPr="00EC2A1C">
              <w:rPr>
                <w:rFonts w:ascii="Times New Roman" w:hAnsi="Times New Roman"/>
                <w:szCs w:val="20"/>
              </w:rPr>
              <w:t>dotační podpora na budování retenčních nádrží v rámci modernizace výrobních provozů a rekonstrukce stávající zastaralé infrastruktury a objektů typu brownfield,</w:t>
            </w:r>
          </w:p>
          <w:p w14:paraId="67D0AB0B" w14:textId="77777777" w:rsidR="00DD3EFA" w:rsidRPr="00EC2A1C" w:rsidRDefault="00DD3EFA" w:rsidP="00391907">
            <w:pPr>
              <w:pStyle w:val="Odrky"/>
              <w:numPr>
                <w:ilvl w:val="1"/>
                <w:numId w:val="129"/>
              </w:numPr>
              <w:spacing w:before="0" w:line="276" w:lineRule="auto"/>
              <w:ind w:left="752"/>
              <w:contextualSpacing/>
              <w:jc w:val="left"/>
              <w:rPr>
                <w:rFonts w:ascii="Times New Roman" w:hAnsi="Times New Roman"/>
                <w:szCs w:val="20"/>
              </w:rPr>
            </w:pPr>
            <w:r w:rsidRPr="00EC2A1C">
              <w:rPr>
                <w:rFonts w:ascii="Times New Roman" w:hAnsi="Times New Roman"/>
                <w:szCs w:val="20"/>
              </w:rPr>
              <w:t>podpora od 1 do 40 mil. Kč,</w:t>
            </w:r>
          </w:p>
          <w:p w14:paraId="4B3EB217" w14:textId="77777777" w:rsidR="00DD3EFA" w:rsidRPr="00EC2A1C" w:rsidRDefault="00DD3EFA" w:rsidP="00391907">
            <w:pPr>
              <w:pStyle w:val="Odrky"/>
              <w:numPr>
                <w:ilvl w:val="1"/>
                <w:numId w:val="129"/>
              </w:numPr>
              <w:spacing w:before="0" w:line="276" w:lineRule="auto"/>
              <w:ind w:left="752"/>
              <w:contextualSpacing/>
              <w:jc w:val="left"/>
              <w:rPr>
                <w:rFonts w:ascii="Times New Roman" w:hAnsi="Times New Roman"/>
                <w:szCs w:val="20"/>
              </w:rPr>
            </w:pPr>
            <w:r w:rsidRPr="00EC2A1C">
              <w:rPr>
                <w:rFonts w:ascii="Times New Roman" w:hAnsi="Times New Roman"/>
                <w:szCs w:val="20"/>
              </w:rPr>
              <w:t>podpora až do výše 35/45 %.</w:t>
            </w:r>
          </w:p>
          <w:p w14:paraId="3F43082D" w14:textId="77777777" w:rsidR="00DD3EFA" w:rsidRPr="00EC2A1C" w:rsidRDefault="00DD3EFA" w:rsidP="00B15ECB">
            <w:pPr>
              <w:pStyle w:val="Odrky"/>
              <w:ind w:left="752" w:firstLine="0"/>
              <w:rPr>
                <w:rFonts w:ascii="Times New Roman" w:hAnsi="Times New Roman"/>
                <w:szCs w:val="20"/>
              </w:rPr>
            </w:pPr>
          </w:p>
          <w:p w14:paraId="099D8ECD" w14:textId="77777777" w:rsidR="00DD3EFA" w:rsidRPr="00EC2A1C" w:rsidRDefault="00DD3EFA" w:rsidP="00391907">
            <w:pPr>
              <w:pStyle w:val="Odrky"/>
              <w:numPr>
                <w:ilvl w:val="0"/>
                <w:numId w:val="129"/>
              </w:numPr>
              <w:spacing w:before="0" w:line="276" w:lineRule="auto"/>
              <w:contextualSpacing/>
              <w:jc w:val="left"/>
              <w:rPr>
                <w:rFonts w:ascii="Times New Roman" w:hAnsi="Times New Roman"/>
                <w:szCs w:val="20"/>
              </w:rPr>
            </w:pPr>
            <w:r w:rsidRPr="00EC2A1C">
              <w:rPr>
                <w:rFonts w:ascii="Times New Roman" w:hAnsi="Times New Roman"/>
                <w:szCs w:val="20"/>
              </w:rPr>
              <w:t>Program inovační vouchery (pouze MSP)</w:t>
            </w:r>
          </w:p>
          <w:p w14:paraId="7C7C09E3" w14:textId="77777777" w:rsidR="00DD3EFA" w:rsidRPr="00EC2A1C" w:rsidRDefault="00DD3EFA" w:rsidP="00391907">
            <w:pPr>
              <w:pStyle w:val="Odrky"/>
              <w:numPr>
                <w:ilvl w:val="1"/>
                <w:numId w:val="129"/>
              </w:numPr>
              <w:spacing w:before="0" w:line="276" w:lineRule="auto"/>
              <w:ind w:left="752"/>
              <w:contextualSpacing/>
              <w:jc w:val="left"/>
              <w:rPr>
                <w:rFonts w:ascii="Times New Roman" w:hAnsi="Times New Roman"/>
                <w:szCs w:val="20"/>
              </w:rPr>
            </w:pPr>
            <w:r w:rsidRPr="00EC2A1C">
              <w:rPr>
                <w:rFonts w:ascii="Times New Roman" w:hAnsi="Times New Roman"/>
                <w:szCs w:val="20"/>
              </w:rPr>
              <w:t>změny v podmínkách podpory -&gt; zvýšení míry podpory až na 85 % z prokázaných způsobilých výdajů ve vazbě na úsporná řešení při spotřebě vody,</w:t>
            </w:r>
          </w:p>
          <w:p w14:paraId="3D944B3E" w14:textId="77777777" w:rsidR="00DD3EFA" w:rsidRPr="00EC2A1C" w:rsidRDefault="00DD3EFA" w:rsidP="00391907">
            <w:pPr>
              <w:pStyle w:val="Odrky"/>
              <w:numPr>
                <w:ilvl w:val="1"/>
                <w:numId w:val="129"/>
              </w:numPr>
              <w:spacing w:before="0" w:line="276" w:lineRule="auto"/>
              <w:ind w:left="752"/>
              <w:contextualSpacing/>
              <w:jc w:val="left"/>
              <w:rPr>
                <w:rFonts w:ascii="Times New Roman" w:hAnsi="Times New Roman"/>
                <w:szCs w:val="20"/>
              </w:rPr>
            </w:pPr>
            <w:r w:rsidRPr="00EC2A1C">
              <w:rPr>
                <w:rFonts w:ascii="Times New Roman" w:hAnsi="Times New Roman"/>
                <w:szCs w:val="20"/>
              </w:rPr>
              <w:t>podpora formou dotace od 50 do 299 tis. Kč.</w:t>
            </w:r>
          </w:p>
          <w:p w14:paraId="7D175413" w14:textId="77777777" w:rsidR="00DD3EFA" w:rsidRPr="00EC2A1C" w:rsidRDefault="00DD3EFA" w:rsidP="00B15ECB">
            <w:pPr>
              <w:pStyle w:val="Odrky"/>
              <w:ind w:left="752" w:firstLine="0"/>
              <w:rPr>
                <w:rFonts w:ascii="Times New Roman" w:hAnsi="Times New Roman"/>
                <w:szCs w:val="20"/>
              </w:rPr>
            </w:pPr>
          </w:p>
          <w:p w14:paraId="030152D8" w14:textId="77777777" w:rsidR="00DD3EFA" w:rsidRPr="00EC2A1C" w:rsidRDefault="00DD3EFA" w:rsidP="00391907">
            <w:pPr>
              <w:pStyle w:val="Odrky"/>
              <w:numPr>
                <w:ilvl w:val="0"/>
                <w:numId w:val="129"/>
              </w:numPr>
              <w:spacing w:before="0" w:line="276" w:lineRule="auto"/>
              <w:contextualSpacing/>
              <w:jc w:val="left"/>
              <w:rPr>
                <w:rFonts w:ascii="Times New Roman" w:hAnsi="Times New Roman"/>
                <w:szCs w:val="20"/>
              </w:rPr>
            </w:pPr>
            <w:r w:rsidRPr="00EC2A1C">
              <w:rPr>
                <w:rFonts w:ascii="Times New Roman" w:hAnsi="Times New Roman"/>
                <w:szCs w:val="20"/>
              </w:rPr>
              <w:t>Program Inovace (malé a střední podniky, velké podniky – kód intervence 065) – v přípravě</w:t>
            </w:r>
          </w:p>
          <w:p w14:paraId="64D3D859"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noProof/>
                <w:sz w:val="20"/>
                <w:szCs w:val="20"/>
              </w:rPr>
            </w:pPr>
            <w:r w:rsidRPr="00EC2A1C">
              <w:rPr>
                <w:rFonts w:ascii="Times New Roman" w:hAnsi="Times New Roman"/>
                <w:sz w:val="20"/>
                <w:szCs w:val="20"/>
              </w:rPr>
              <w:t>úprava výběrových kritérií výzvy (bonifikace) pro úsporná řešení při spotřebě vody -&gt; předpoklad projednání na jaře 2019, dotace 1 – 40 mil. Kč, míra podpory 25/35/45 %.</w:t>
            </w:r>
          </w:p>
        </w:tc>
        <w:tc>
          <w:tcPr>
            <w:tcW w:w="249" w:type="dxa"/>
            <w:tcBorders>
              <w:top w:val="nil"/>
              <w:left w:val="nil"/>
              <w:bottom w:val="nil"/>
            </w:tcBorders>
            <w:shd w:val="clear" w:color="auto" w:fill="66CCFF"/>
          </w:tcPr>
          <w:p w14:paraId="2E1FAACC" w14:textId="77777777" w:rsidR="00DD3EFA" w:rsidRPr="00EC2A1C" w:rsidRDefault="00DD3EFA" w:rsidP="00B15ECB">
            <w:pPr>
              <w:rPr>
                <w:rFonts w:ascii="Times New Roman" w:hAnsi="Times New Roman" w:cs="Times New Roman"/>
                <w:b/>
                <w:sz w:val="20"/>
                <w:szCs w:val="20"/>
              </w:rPr>
            </w:pPr>
          </w:p>
        </w:tc>
      </w:tr>
      <w:tr w:rsidR="00DD3EFA" w:rsidRPr="00EC2A1C" w14:paraId="4B2118D8" w14:textId="77777777" w:rsidTr="00B15ECB">
        <w:trPr>
          <w:trHeight w:val="1258"/>
        </w:trPr>
        <w:tc>
          <w:tcPr>
            <w:tcW w:w="249" w:type="dxa"/>
            <w:tcBorders>
              <w:top w:val="nil"/>
              <w:bottom w:val="nil"/>
              <w:right w:val="nil"/>
            </w:tcBorders>
            <w:shd w:val="clear" w:color="auto" w:fill="66CCFF"/>
          </w:tcPr>
          <w:p w14:paraId="57BF05E4" w14:textId="77777777" w:rsidR="00DD3EFA" w:rsidRPr="00EC2A1C" w:rsidRDefault="00DD3EFA" w:rsidP="00B15ECB">
            <w:pPr>
              <w:rPr>
                <w:rFonts w:ascii="Times New Roman" w:hAnsi="Times New Roman" w:cs="Times New Roman"/>
                <w:b/>
                <w:sz w:val="20"/>
                <w:szCs w:val="20"/>
              </w:rPr>
            </w:pPr>
          </w:p>
        </w:tc>
        <w:tc>
          <w:tcPr>
            <w:tcW w:w="2548" w:type="dxa"/>
            <w:shd w:val="clear" w:color="auto" w:fill="FFFFFF" w:themeFill="background1"/>
          </w:tcPr>
          <w:p w14:paraId="5651D7FD" w14:textId="77777777" w:rsidR="00DD3EFA" w:rsidRPr="00EC2A1C" w:rsidRDefault="00DD3EFA" w:rsidP="00B15ECB">
            <w:pPr>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Synergické a multiplikační efekty</w:t>
            </w:r>
          </w:p>
          <w:p w14:paraId="1CD7EEC9" w14:textId="77777777" w:rsidR="00DD3EFA" w:rsidRPr="00EC2A1C" w:rsidRDefault="00DD3EFA" w:rsidP="00B15ECB">
            <w:pPr>
              <w:rPr>
                <w:rFonts w:ascii="Times New Roman" w:eastAsiaTheme="majorEastAsia" w:hAnsi="Times New Roman" w:cs="Times New Roman"/>
                <w:b/>
                <w:sz w:val="20"/>
                <w:szCs w:val="20"/>
                <w:highlight w:val="yellow"/>
              </w:rPr>
            </w:pPr>
            <w:r w:rsidRPr="00EC2A1C">
              <w:rPr>
                <w:rFonts w:ascii="Times New Roman" w:eastAsiaTheme="majorEastAsia" w:hAnsi="Times New Roman" w:cs="Times New Roman"/>
                <w:b/>
                <w:sz w:val="20"/>
                <w:szCs w:val="20"/>
              </w:rPr>
              <w:t>(tj. v období 2014 – 2020, příp. 2007 – 2013)</w:t>
            </w:r>
          </w:p>
        </w:tc>
        <w:tc>
          <w:tcPr>
            <w:tcW w:w="5978" w:type="dxa"/>
            <w:shd w:val="clear" w:color="auto" w:fill="FFFFFF" w:themeFill="background1"/>
          </w:tcPr>
          <w:p w14:paraId="22F061C0"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sz w:val="20"/>
                <w:szCs w:val="20"/>
              </w:rPr>
            </w:pPr>
            <w:r w:rsidRPr="00EC2A1C">
              <w:rPr>
                <w:rFonts w:ascii="Times New Roman" w:hAnsi="Times New Roman"/>
                <w:sz w:val="20"/>
                <w:szCs w:val="20"/>
              </w:rPr>
              <w:t>Stav vodního hospodářství a kvalita vod povrchových i podzemních má přímý vztah ke kvalitě života obyvatel. V případě negativního vývoje (povodně, sucho) má přímý dopad na ekonomiku ČR, způsobuje škody na zemědělské produkci, ohrožení citlivých ekosystémů, škody na majetku atd.</w:t>
            </w:r>
          </w:p>
          <w:p w14:paraId="7AE2B639" w14:textId="77777777" w:rsidR="00DD3EFA" w:rsidRPr="00EC2A1C" w:rsidRDefault="00DD3EFA" w:rsidP="00B15ECB">
            <w:pPr>
              <w:pStyle w:val="slovanodstavec"/>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Ve vztahu k ostatním kartám NKR (specifické cíle) přispívá k</w:t>
            </w:r>
          </w:p>
          <w:p w14:paraId="6675A0BD" w14:textId="77777777" w:rsidR="00DD3EFA" w:rsidRPr="00EC2A1C" w:rsidRDefault="00DD3EFA" w:rsidP="00391907">
            <w:pPr>
              <w:pStyle w:val="slovanodstavec"/>
              <w:numPr>
                <w:ilvl w:val="0"/>
                <w:numId w:val="115"/>
              </w:numPr>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Podpora podnikání a průmyslu, (konkrétně především v oblasti stavebnictví a všech odvětvích závislých na zdrojích vody včetně energetiky)</w:t>
            </w:r>
          </w:p>
          <w:p w14:paraId="49A47290" w14:textId="77777777" w:rsidR="00DD3EFA" w:rsidRPr="00EC2A1C" w:rsidRDefault="00DD3EFA" w:rsidP="00391907">
            <w:pPr>
              <w:pStyle w:val="slovanodstavec"/>
              <w:numPr>
                <w:ilvl w:val="0"/>
                <w:numId w:val="115"/>
              </w:numPr>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Zemědělství,</w:t>
            </w:r>
          </w:p>
          <w:p w14:paraId="44CBDA79" w14:textId="77777777" w:rsidR="00DD3EFA" w:rsidRPr="00EC2A1C" w:rsidRDefault="00DD3EFA" w:rsidP="00391907">
            <w:pPr>
              <w:pStyle w:val="slovanodstavec"/>
              <w:numPr>
                <w:ilvl w:val="0"/>
                <w:numId w:val="115"/>
              </w:numPr>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 xml:space="preserve"> Doprava, </w:t>
            </w:r>
          </w:p>
          <w:p w14:paraId="5B893DD4" w14:textId="77777777" w:rsidR="00DD3EFA" w:rsidRPr="00EC2A1C" w:rsidRDefault="00DD3EFA" w:rsidP="00391907">
            <w:pPr>
              <w:pStyle w:val="slovanodstavec"/>
              <w:numPr>
                <w:ilvl w:val="0"/>
                <w:numId w:val="115"/>
              </w:numPr>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 xml:space="preserve">Sociální začleňování, sociální služby a systém péče o zdraví, </w:t>
            </w:r>
          </w:p>
          <w:p w14:paraId="3B15E11B" w14:textId="77777777" w:rsidR="00DD3EFA" w:rsidRPr="00EC2A1C" w:rsidRDefault="00DD3EFA" w:rsidP="00391907">
            <w:pPr>
              <w:pStyle w:val="slovanodstavec"/>
              <w:numPr>
                <w:ilvl w:val="0"/>
                <w:numId w:val="115"/>
              </w:numPr>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 xml:space="preserve">Výzkumný a inovační systém, </w:t>
            </w:r>
          </w:p>
          <w:p w14:paraId="5169A2A6" w14:textId="77777777" w:rsidR="00DD3EFA" w:rsidRPr="00EC2A1C" w:rsidRDefault="00DD3EFA" w:rsidP="00391907">
            <w:pPr>
              <w:pStyle w:val="slovanodstavec"/>
              <w:numPr>
                <w:ilvl w:val="0"/>
                <w:numId w:val="115"/>
              </w:numPr>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 xml:space="preserve">Ochrana obyvatelstva </w:t>
            </w:r>
          </w:p>
          <w:p w14:paraId="5C918BFA" w14:textId="77777777" w:rsidR="00DD3EFA" w:rsidRPr="00EC2A1C" w:rsidRDefault="00DD3EFA" w:rsidP="00391907">
            <w:pPr>
              <w:pStyle w:val="slovanodstavec"/>
              <w:numPr>
                <w:ilvl w:val="0"/>
                <w:numId w:val="115"/>
              </w:numPr>
              <w:tabs>
                <w:tab w:val="clear" w:pos="567"/>
                <w:tab w:val="left" w:pos="284"/>
              </w:tabs>
              <w:suppressAutoHyphens/>
              <w:spacing w:after="0" w:line="240" w:lineRule="auto"/>
              <w:rPr>
                <w:rFonts w:ascii="Times New Roman" w:hAnsi="Times New Roman"/>
                <w:sz w:val="20"/>
                <w:szCs w:val="20"/>
              </w:rPr>
            </w:pPr>
            <w:r w:rsidRPr="00EC2A1C">
              <w:rPr>
                <w:rFonts w:ascii="Times New Roman" w:hAnsi="Times New Roman"/>
                <w:sz w:val="20"/>
                <w:szCs w:val="20"/>
              </w:rPr>
              <w:t>podoblast Ochrana přírody a krajiny.</w:t>
            </w:r>
          </w:p>
        </w:tc>
        <w:tc>
          <w:tcPr>
            <w:tcW w:w="249" w:type="dxa"/>
            <w:tcBorders>
              <w:top w:val="nil"/>
              <w:left w:val="nil"/>
              <w:bottom w:val="nil"/>
            </w:tcBorders>
            <w:shd w:val="clear" w:color="auto" w:fill="66CCFF"/>
          </w:tcPr>
          <w:p w14:paraId="56B3CF35" w14:textId="77777777" w:rsidR="00DD3EFA" w:rsidRPr="00EC2A1C" w:rsidRDefault="00DD3EFA" w:rsidP="00B15ECB">
            <w:pPr>
              <w:rPr>
                <w:rFonts w:ascii="Times New Roman" w:hAnsi="Times New Roman" w:cs="Times New Roman"/>
                <w:b/>
                <w:sz w:val="20"/>
                <w:szCs w:val="20"/>
              </w:rPr>
            </w:pPr>
          </w:p>
        </w:tc>
      </w:tr>
      <w:tr w:rsidR="00DD3EFA" w:rsidRPr="00EC2A1C" w14:paraId="686C35D3" w14:textId="77777777" w:rsidTr="00B15ECB">
        <w:trPr>
          <w:trHeight w:val="180"/>
        </w:trPr>
        <w:tc>
          <w:tcPr>
            <w:tcW w:w="249" w:type="dxa"/>
            <w:tcBorders>
              <w:top w:val="nil"/>
              <w:bottom w:val="nil"/>
              <w:right w:val="nil"/>
            </w:tcBorders>
            <w:shd w:val="clear" w:color="auto" w:fill="66CCFF"/>
          </w:tcPr>
          <w:p w14:paraId="4FC2E238" w14:textId="77777777" w:rsidR="00DD3EFA" w:rsidRPr="00EC2A1C" w:rsidRDefault="00DD3EFA" w:rsidP="00B15ECB">
            <w:pPr>
              <w:rPr>
                <w:rFonts w:ascii="Times New Roman" w:hAnsi="Times New Roman" w:cs="Times New Roman"/>
                <w:b/>
                <w:sz w:val="20"/>
                <w:szCs w:val="20"/>
              </w:rPr>
            </w:pPr>
          </w:p>
        </w:tc>
        <w:tc>
          <w:tcPr>
            <w:tcW w:w="2548" w:type="dxa"/>
            <w:tcBorders>
              <w:left w:val="nil"/>
              <w:bottom w:val="single" w:sz="4" w:space="0" w:color="auto"/>
              <w:right w:val="nil"/>
            </w:tcBorders>
            <w:shd w:val="clear" w:color="auto" w:fill="66CCFF"/>
          </w:tcPr>
          <w:p w14:paraId="026D70B0" w14:textId="77777777" w:rsidR="00DD3EFA" w:rsidRPr="00EC2A1C" w:rsidRDefault="00DD3EFA" w:rsidP="00B15ECB">
            <w:pPr>
              <w:rPr>
                <w:rFonts w:ascii="Times New Roman" w:hAnsi="Times New Roman" w:cs="Times New Roman"/>
                <w:b/>
                <w:sz w:val="20"/>
                <w:szCs w:val="20"/>
              </w:rPr>
            </w:pPr>
          </w:p>
        </w:tc>
        <w:tc>
          <w:tcPr>
            <w:tcW w:w="5978" w:type="dxa"/>
            <w:tcBorders>
              <w:left w:val="nil"/>
              <w:bottom w:val="single" w:sz="4" w:space="0" w:color="auto"/>
              <w:right w:val="nil"/>
            </w:tcBorders>
            <w:shd w:val="clear" w:color="auto" w:fill="66CCFF"/>
          </w:tcPr>
          <w:p w14:paraId="3B88CA75"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bottom w:val="nil"/>
            </w:tcBorders>
            <w:shd w:val="clear" w:color="auto" w:fill="66CCFF"/>
          </w:tcPr>
          <w:p w14:paraId="09CBBF07" w14:textId="77777777" w:rsidR="00DD3EFA" w:rsidRPr="00EC2A1C" w:rsidRDefault="00DD3EFA" w:rsidP="00B15ECB">
            <w:pPr>
              <w:rPr>
                <w:rFonts w:ascii="Times New Roman" w:hAnsi="Times New Roman" w:cs="Times New Roman"/>
                <w:b/>
                <w:sz w:val="20"/>
                <w:szCs w:val="20"/>
              </w:rPr>
            </w:pPr>
          </w:p>
        </w:tc>
      </w:tr>
      <w:tr w:rsidR="00DD3EFA" w:rsidRPr="00EC2A1C" w14:paraId="01D9B1A8" w14:textId="77777777" w:rsidTr="00B15ECB">
        <w:trPr>
          <w:trHeight w:val="990"/>
        </w:trPr>
        <w:tc>
          <w:tcPr>
            <w:tcW w:w="249" w:type="dxa"/>
            <w:tcBorders>
              <w:top w:val="nil"/>
              <w:bottom w:val="nil"/>
            </w:tcBorders>
            <w:shd w:val="clear" w:color="auto" w:fill="66CCFF"/>
          </w:tcPr>
          <w:p w14:paraId="1A59C808" w14:textId="77777777" w:rsidR="00DD3EFA" w:rsidRPr="00EC2A1C" w:rsidRDefault="00DD3EFA" w:rsidP="00B15ECB">
            <w:pPr>
              <w:rPr>
                <w:rFonts w:ascii="Times New Roman" w:hAnsi="Times New Roman" w:cs="Times New Roman"/>
                <w:b/>
                <w:sz w:val="20"/>
                <w:szCs w:val="20"/>
              </w:rPr>
            </w:pPr>
          </w:p>
        </w:tc>
        <w:tc>
          <w:tcPr>
            <w:tcW w:w="8526" w:type="dxa"/>
            <w:gridSpan w:val="2"/>
            <w:tcBorders>
              <w:bottom w:val="single" w:sz="4" w:space="0" w:color="auto"/>
            </w:tcBorders>
            <w:shd w:val="clear" w:color="auto" w:fill="FFFFFF" w:themeFill="background1"/>
          </w:tcPr>
          <w:p w14:paraId="015B8F5C" w14:textId="77777777" w:rsidR="00DD3EFA" w:rsidRPr="00EC2A1C" w:rsidRDefault="00DD3EFA" w:rsidP="00B15ECB">
            <w:pPr>
              <w:spacing w:before="60" w:after="60"/>
              <w:rPr>
                <w:rFonts w:ascii="Times New Roman" w:eastAsiaTheme="majorEastAsia" w:hAnsi="Times New Roman" w:cs="Times New Roman"/>
                <w:i/>
                <w:sz w:val="20"/>
                <w:szCs w:val="20"/>
                <w:u w:val="single"/>
              </w:rPr>
            </w:pPr>
            <w:r w:rsidRPr="00EC2A1C">
              <w:rPr>
                <w:rFonts w:ascii="Times New Roman" w:eastAsiaTheme="majorEastAsia" w:hAnsi="Times New Roman" w:cs="Times New Roman"/>
                <w:b/>
                <w:sz w:val="20"/>
                <w:szCs w:val="20"/>
              </w:rPr>
              <w:t>Absorpční kapacita</w:t>
            </w:r>
            <w:r w:rsidRPr="00EC2A1C">
              <w:rPr>
                <w:rFonts w:ascii="Times New Roman" w:eastAsiaTheme="majorEastAsia" w:hAnsi="Times New Roman" w:cs="Times New Roman"/>
                <w:i/>
                <w:sz w:val="20"/>
                <w:szCs w:val="20"/>
                <w:u w:val="single"/>
              </w:rPr>
              <w:t xml:space="preserve"> </w:t>
            </w:r>
          </w:p>
          <w:p w14:paraId="30977598" w14:textId="77777777" w:rsidR="00DD3EFA" w:rsidRPr="00EC2A1C" w:rsidRDefault="00DD3EFA">
            <w:pPr>
              <w:spacing w:before="60" w:after="60"/>
              <w:rPr>
                <w:rFonts w:ascii="Times New Roman" w:eastAsiaTheme="majorEastAsia" w:hAnsi="Times New Roman" w:cs="Times New Roman"/>
                <w:sz w:val="20"/>
                <w:szCs w:val="20"/>
              </w:rPr>
            </w:pPr>
          </w:p>
        </w:tc>
        <w:tc>
          <w:tcPr>
            <w:tcW w:w="249" w:type="dxa"/>
            <w:tcBorders>
              <w:top w:val="nil"/>
              <w:bottom w:val="nil"/>
            </w:tcBorders>
            <w:shd w:val="clear" w:color="auto" w:fill="66CCFF"/>
          </w:tcPr>
          <w:p w14:paraId="3D871266" w14:textId="77777777" w:rsidR="00DD3EFA" w:rsidRPr="00EC2A1C" w:rsidRDefault="00DD3EFA" w:rsidP="00B15ECB">
            <w:pPr>
              <w:rPr>
                <w:rFonts w:ascii="Times New Roman" w:hAnsi="Times New Roman" w:cs="Times New Roman"/>
                <w:b/>
                <w:sz w:val="20"/>
                <w:szCs w:val="20"/>
              </w:rPr>
            </w:pPr>
          </w:p>
        </w:tc>
      </w:tr>
      <w:tr w:rsidR="00DD3EFA" w:rsidRPr="00EC2A1C" w14:paraId="78FBE977" w14:textId="77777777" w:rsidTr="00B15ECB">
        <w:trPr>
          <w:trHeight w:val="1260"/>
        </w:trPr>
        <w:tc>
          <w:tcPr>
            <w:tcW w:w="249" w:type="dxa"/>
            <w:tcBorders>
              <w:top w:val="nil"/>
              <w:bottom w:val="nil"/>
            </w:tcBorders>
            <w:shd w:val="clear" w:color="auto" w:fill="66CCFF"/>
          </w:tcPr>
          <w:p w14:paraId="178126B1"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0B611AB"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73D0B4E5"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OPŽP v programovém období 2014 - 2020 podporuje oblast vody v rámci Prioritní osy 1, konkrétně pak v SC 1.1 Snížit množství vypouštěného znečištění do povrchových i podzemních vod z komunálních zdrojů a vnos znečišťujících látek do povrchových a podzemních vod, SC 1.2 Zajistit dodávky pitné vody v odpovídající jakosti a množství, SC. 1.3 Zajistit povodňovou ochranu intravilánu a SC 1.4 Podpořit preventivní protipovodňová opatření.</w:t>
            </w:r>
          </w:p>
          <w:p w14:paraId="28B8A4FC"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Ke konci roku 2018 bylo v rámci SC 1.1 zaregistrováno celkem 617 projektových žádostí s celkovým požadovaným příspěvkem EU ve výši cca 16 743 mil. Kč, z toho 467 (s příspěvkem EU 13 544 mil. Kč) žádostí bylo schváleno Řídicím orgánem a 376 projektů je v realizaci (s příspěvkem EU ve výši 10 438 mil. Kč).</w:t>
            </w:r>
          </w:p>
          <w:p w14:paraId="4E9E31AF"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V rámci SC 1.2 bylo zaregistrováno celkem 185 projektových žádostí s celkovým požadovaným příspěvkem EU ve výši cca 4 406 mil. Kč, z toho 140 žádostí bylo schváleno (s příspěvkem EU 3 419 mil. Kč) a 134 projektů (s příspěvkem EU ve výši cca 2 493 mil. Kč) je v realizaci.</w:t>
            </w:r>
          </w:p>
          <w:p w14:paraId="25E4F41F"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V rámci SC 1.3 bylo zaregistrováno celkem 166 projektových žádostí s celkovým požadovaným příspěvkem EU ve výši cca 1 498 mil. Kč, z toho 81 žádostí bylo schváleno (s příspěvkem EU 898 mil. Kč) a 78 projektů (s příspěvkem EU ve výši cca 892 mil. Kč) je v realizaci.</w:t>
            </w:r>
          </w:p>
          <w:p w14:paraId="5B76122A" w14:textId="77777777" w:rsidR="00DD3EFA" w:rsidRPr="00EC2A1C" w:rsidRDefault="00DD3EFA" w:rsidP="00B15ECB">
            <w:pPr>
              <w:pStyle w:val="Textkomente"/>
              <w:rPr>
                <w:rFonts w:ascii="Times New Roman" w:eastAsiaTheme="majorEastAsia" w:hAnsi="Times New Roman" w:cs="Times New Roman"/>
              </w:rPr>
            </w:pPr>
            <w:r w:rsidRPr="00EC2A1C">
              <w:rPr>
                <w:rFonts w:ascii="Times New Roman" w:eastAsiaTheme="majorEastAsia" w:hAnsi="Times New Roman" w:cs="Times New Roman"/>
              </w:rPr>
              <w:t>Absorpční kapacita a tedy i čerpání je u SC 1.1 a SC 1.2 na velmi dobré úrovni. Horší situace je u protipovodňových opatření zejména v SC 1.3.</w:t>
            </w:r>
          </w:p>
          <w:p w14:paraId="5BA3CB58"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V rámci SC 1.4 bylo zaregistrováno celkem 536 projektových žádostí s celkovým požadovaným příspěvkem EU ve výši cca 1 561 mil. Kč, z toho 436 žádostí (s příspěvkem EU 1 249 mil. EUR) bylo schváleno a 430 projektů (s příspěvkem EU ve výši cca 1 179 mil. Kč) je v realizaci.</w:t>
            </w:r>
          </w:p>
          <w:p w14:paraId="35BCD300"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V průběhu roku 2017 byl zaznamenán nízký zájem ze strany žadatelů o projekty spadající do SC 1.3. Ze strany MŽP byly učiněny kroky k zatraktivnění SC (rozšíření podporovaných opatření o aktivity v boji se suchem v intravilánu – např. zachytávání srážkových vod a jejich opětovné využití či přestavby konstrukcí střech). V r. 2018 proběhla realokace 2 mld. Kč ze SC 1.3 do SC 1.1.  V r. 2018 byly rovněž učineny kroky ke zvýšení absorpční kapacity, zvýšení míry podpory na opatření, např. u výměny nepropustných povrchů za propustné, a rovněž byla rozšířena podporovaná opatření, např. odstranění sedimentů za účelem zvýšení objemu nádrže určeného k akumulaci vody.</w:t>
            </w:r>
          </w:p>
          <w:p w14:paraId="27F76D49"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p>
          <w:p w14:paraId="5A284B88" w14:textId="77777777"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V </w:t>
            </w:r>
            <w:r w:rsidRPr="00EC2A1C">
              <w:rPr>
                <w:rFonts w:ascii="Times New Roman" w:eastAsiaTheme="majorEastAsia" w:hAnsi="Times New Roman" w:cs="Times New Roman"/>
                <w:sz w:val="20"/>
                <w:szCs w:val="20"/>
              </w:rPr>
              <w:t>rámci programového období 2007 – 2013 bylo v rámci oblasti podpory 1.1 podáno celkem 1 345 žádostí o podporu, z toho bylo podpořeno 788 projektů za 788 mil. Kč (48 384 mil. EUR) CZV. V rámci oblasti podpory 1.2 bylo podáno celkem 144 žádostí o podporu, z toho bylo podpořeno 74 projektů za 5 387 mil. Kč (199 mil. EUR) CZV. V rámci oblasti podpory 1.3 bylo podáno celkem 776 žádostí o podporu, z toho bylo podpořeno 595 projektů za 2 741 mil. Kč (101 mil. EUR) CZV (kurz 1 EUR = 27,022 Kč).</w:t>
            </w:r>
          </w:p>
          <w:p w14:paraId="56E67B38"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Většina vyhlášených výzev v rámci OPŽP 2007 – 2013, PO 1 byla primárně zaměřena na naplnění požadavků Směrnice Rady č. 91/271/EHS, tedy na řešení čištění a odvádění odpadních vod v aglomeracích nad 2000 EO. U oblasti podpory 1.2 byla dlouhá doba realizace projektů, respektive doba přípravy na zahájení stavby, která byla ovlivněna zejména časově náročným procesem získání stavebního povolení (např. nutnost vyřešení majetkoprávních vztahů u liniových staveb) a zadáním veřejné zakázky.</w:t>
            </w:r>
          </w:p>
          <w:p w14:paraId="6311F2E0"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429F6BEB" w14:textId="77777777" w:rsidR="00DD3EFA" w:rsidRPr="00EC2A1C" w:rsidRDefault="00DD3EFA" w:rsidP="00B15ECB">
            <w:pPr>
              <w:rPr>
                <w:rFonts w:ascii="Times New Roman" w:hAnsi="Times New Roman" w:cs="Times New Roman"/>
                <w:b/>
                <w:sz w:val="20"/>
                <w:szCs w:val="20"/>
              </w:rPr>
            </w:pPr>
          </w:p>
        </w:tc>
      </w:tr>
      <w:tr w:rsidR="00DD3EFA" w:rsidRPr="00EC2A1C" w14:paraId="4309FEA0" w14:textId="77777777" w:rsidTr="00B15ECB">
        <w:trPr>
          <w:trHeight w:val="850"/>
        </w:trPr>
        <w:tc>
          <w:tcPr>
            <w:tcW w:w="249" w:type="dxa"/>
            <w:tcBorders>
              <w:top w:val="nil"/>
              <w:bottom w:val="nil"/>
            </w:tcBorders>
            <w:shd w:val="clear" w:color="auto" w:fill="66CCFF"/>
          </w:tcPr>
          <w:p w14:paraId="733864ED"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5584CB1D"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Poptávka příjemců</w:t>
            </w:r>
          </w:p>
        </w:tc>
        <w:tc>
          <w:tcPr>
            <w:tcW w:w="5978" w:type="dxa"/>
            <w:tcBorders>
              <w:bottom w:val="single" w:sz="4" w:space="0" w:color="auto"/>
            </w:tcBorders>
            <w:shd w:val="clear" w:color="auto" w:fill="FFFFFF" w:themeFill="background1"/>
          </w:tcPr>
          <w:p w14:paraId="6270EA7B" w14:textId="77777777" w:rsidR="00DD3EFA" w:rsidRPr="00EC2A1C" w:rsidRDefault="00DD3EFA" w:rsidP="00B15ECB">
            <w:pPr>
              <w:spacing w:before="60" w:after="60" w:line="276" w:lineRule="auto"/>
              <w:rPr>
                <w:rFonts w:ascii="Times New Roman" w:eastAsiaTheme="majorEastAsia" w:hAnsi="Times New Roman" w:cs="Times New Roman"/>
                <w:sz w:val="20"/>
                <w:szCs w:val="20"/>
              </w:rPr>
            </w:pPr>
            <w:r w:rsidRPr="00EC2A1C">
              <w:rPr>
                <w:rFonts w:ascii="Times New Roman" w:hAnsi="Times New Roman" w:cs="Times New Roman"/>
                <w:sz w:val="20"/>
                <w:szCs w:val="20"/>
              </w:rPr>
              <w:t xml:space="preserve">V rámci OPŽP 2014 – 2020 u SC 1.1 a SC 1.2 byla poptávka příjemců výrazně vyšší než alokovaná částka na tyto SC. </w:t>
            </w:r>
          </w:p>
          <w:p w14:paraId="20E04D72" w14:textId="77777777"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Jedná se o oblast, kde je dlouhodobě velmi vysoká poptávka po podpoře investičních opatření a to především v oblasti podpory výstavby vodovodů a kanalizací včetně úpraven pitné vody a ČOV. V období 2007-2013 se jednalo o hlavní prioritu, na kterou bylo vyčleněno více než 40 mld. Kč s ohledem na potřeby plnit závazky vyplývající z evropské legislativy a prostředky byly beze zbytku využity a významně přispěly ke snížení znečištění, které je vypouštěno do vodních toků.</w:t>
            </w:r>
          </w:p>
          <w:p w14:paraId="5807E34F" w14:textId="77777777"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Pro období 2014-2020 byla alokace výrazně snížena zhruba na třetinu. Přestože v souvislosti se snížením alokace byla ponížena i reálná výše podpory zhruba na 63%, což je plně srovnatelné s výší podpory, která je v této oblasti poskytována na obdobná opatření z národních zdrojů, poptávka zůstává i nadále velmi vysoká. V prvních výzvách byla nižší, protože žadatelé se museli přizpůsobovat novým podmínkám, na které nebyli zvyklí.</w:t>
            </w:r>
          </w:p>
          <w:p w14:paraId="41A81FD2" w14:textId="77777777"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Lze očekávat, že v období 2020+ bude zájem o finanční podporu zejména v obcích pod 2 000 EO v oblasti výstavby vodovodů a kanalizací.</w:t>
            </w:r>
          </w:p>
          <w:p w14:paraId="69D9981F" w14:textId="77777777" w:rsidR="00DD3EFA" w:rsidRPr="00EC2A1C" w:rsidRDefault="00DD3EFA" w:rsidP="00B15ECB">
            <w:pPr>
              <w:rPr>
                <w:rFonts w:ascii="Times New Roman" w:hAnsi="Times New Roman" w:cs="Times New Roman"/>
                <w:sz w:val="20"/>
                <w:szCs w:val="20"/>
              </w:rPr>
            </w:pPr>
          </w:p>
          <w:p w14:paraId="5BADDF7C" w14:textId="77777777"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 xml:space="preserve">Trend jasně naznačuje potřebu finančních prostředků, které jsou v této oblasti nedostatečné a pokud by nebyly vyčleněny v novém období potřebné zdroje, bude nutné hledat náhradu na úrovni veřejných prostředků z národních zdrojů. Takto byly financovány projekty již před vstupem do EU a potřeba národních prostředků se již tehdy pohybovala na úrovni miliard korun ročně. Je nutné též vnímat, že i přes výše uvedené existuje značné množství opatření, která jsou financována bez využití EU zdrojů. Jedná se o podporu budování infrastruktury především v malých obcích, kde není možné financovat výstavbu  kanalizace a vodovodu z důvodu vysokých jednotkových nákladů na 1 obyvatele z prostředků OPŽP. </w:t>
            </w:r>
          </w:p>
          <w:p w14:paraId="38638C69" w14:textId="77777777"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Oproti minulosti se aktuálně objevují i zcela nová opatření, která je nutné financovat (např. propojení vodárenských soustav) z důvodu zajištění bezpečných dodávek pitné vody. Dále je důležité zdůraznit, že převis je indikován v situaci, kdy se podporuje pouze výstavba nové infrastruktury, případně intenzifikace ČOV a úpraven vody, nikoliv rekonstukce či obnova vodohospodářské infrastruktury.</w:t>
            </w:r>
          </w:p>
          <w:p w14:paraId="5E0E755B" w14:textId="77777777" w:rsidR="00DD3EFA" w:rsidRPr="00EC2A1C" w:rsidRDefault="00DD3EFA" w:rsidP="00B15ECB">
            <w:pPr>
              <w:rPr>
                <w:rFonts w:ascii="Times New Roman" w:hAnsi="Times New Roman" w:cs="Times New Roman"/>
                <w:sz w:val="20"/>
                <w:szCs w:val="20"/>
              </w:rPr>
            </w:pPr>
          </w:p>
          <w:p w14:paraId="6BB8FC66" w14:textId="77777777"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V programu rozvoje venkova je tato problematika řešena PO 4B, Lepší hospodaření s vodou, včetně nakládání s hnojivy a pesticidy. Celkový pokrok v naplňování prioritní oblasti 4B byl velice výrazný jak z hlediska počtu čerpání veřejných výdajů, tak i z hlediska podpořených ploch. K výraznému pokroku přispěla především podpora poskytovaná z opatření Ekologické zemědělství, největší zájem byl přitom zaznamenán o podporu v oblasti trvalých travních porostů (více než 80 %). Absorpční kapacita i čerpání na velmi dobré úrovni.</w:t>
            </w:r>
          </w:p>
          <w:p w14:paraId="32B7B4D0" w14:textId="77777777" w:rsidR="00DD3EFA" w:rsidRPr="00EC2A1C" w:rsidRDefault="00DD3EFA" w:rsidP="00B15ECB">
            <w:pPr>
              <w:rPr>
                <w:rFonts w:ascii="Times New Roman" w:hAnsi="Times New Roman" w:cs="Times New Roman"/>
                <w:sz w:val="20"/>
                <w:szCs w:val="20"/>
              </w:rPr>
            </w:pPr>
          </w:p>
          <w:p w14:paraId="4CA06ECC" w14:textId="37D4B423"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Poptávka po podpoře opatření proti suchu a protipovodňová opatření je dosud nízká</w:t>
            </w:r>
            <w:r w:rsidR="00747AAD" w:rsidRPr="00EC2A1C">
              <w:rPr>
                <w:rFonts w:ascii="Times New Roman" w:hAnsi="Times New Roman" w:cs="Times New Roman"/>
                <w:sz w:val="20"/>
                <w:szCs w:val="20"/>
              </w:rPr>
              <w:t xml:space="preserve"> </w:t>
            </w:r>
            <w:r w:rsidRPr="00EC2A1C">
              <w:rPr>
                <w:rFonts w:ascii="Times New Roman" w:hAnsi="Times New Roman" w:cs="Times New Roman"/>
                <w:sz w:val="20"/>
                <w:szCs w:val="20"/>
              </w:rPr>
              <w:t>(vyjma podpory digitálních povodňových plánů a lokálních varovných systémů), především z důvodu, že tento typ opatření nebyl v předchozích obdobích podporován a do současné doby nejsou širší zkušenosti s přípravou konkrétních projektů. Současně je pro některé typy opatření komplikované získat pozemky k realizaci. Zároveň se ale jedná o opatření úzce vázaná na problematiku změn klimatu, tedy dlouhodobě akcentovanou oblast na národní i evropské úrovni.</w:t>
            </w:r>
          </w:p>
          <w:p w14:paraId="41C75CC7" w14:textId="5A789F62" w:rsidR="00DD3EFA" w:rsidRPr="00EC2A1C" w:rsidRDefault="00DD3EFA" w:rsidP="00B15ECB">
            <w:pPr>
              <w:spacing w:before="60" w:after="60" w:line="276" w:lineRule="auto"/>
              <w:rPr>
                <w:rFonts w:ascii="Times New Roman" w:hAnsi="Times New Roman" w:cs="Times New Roman"/>
                <w:sz w:val="20"/>
                <w:szCs w:val="20"/>
              </w:rPr>
            </w:pPr>
            <w:r w:rsidRPr="00EC2A1C">
              <w:rPr>
                <w:rFonts w:ascii="Times New Roman" w:hAnsi="Times New Roman" w:cs="Times New Roman"/>
                <w:sz w:val="20"/>
                <w:szCs w:val="20"/>
              </w:rPr>
              <w:t>Aktuálně lze tedy vnímat jako problematickou připravenost projektů z pohledu čerpání prostředků, ale z pohledu účelnosti a účinnosti poskytované podpory lze uvedená opatření vnímat jako velmi zásadní. Pokud se v budoucnosti bude významně uplatňovat negativní trend v oblasti s</w:t>
            </w:r>
            <w:r w:rsidR="00747AAD" w:rsidRPr="00EC2A1C">
              <w:rPr>
                <w:rFonts w:ascii="Times New Roman" w:hAnsi="Times New Roman" w:cs="Times New Roman"/>
                <w:sz w:val="20"/>
                <w:szCs w:val="20"/>
              </w:rPr>
              <w:t>rážek (</w:t>
            </w:r>
            <w:r w:rsidRPr="00EC2A1C">
              <w:rPr>
                <w:rFonts w:ascii="Times New Roman" w:hAnsi="Times New Roman" w:cs="Times New Roman"/>
                <w:sz w:val="20"/>
                <w:szCs w:val="20"/>
              </w:rPr>
              <w:t>nerovnoměrné rozložení – přívalové srážky střídané delším obdobím sucha), bude stoupat i priorita podpory uvedených opatření na úrovni žadatelů.</w:t>
            </w:r>
          </w:p>
          <w:p w14:paraId="183F21E0" w14:textId="77777777" w:rsidR="00DD3EFA" w:rsidRPr="00EC2A1C" w:rsidRDefault="00DD3EFA" w:rsidP="00B15ECB">
            <w:pPr>
              <w:rPr>
                <w:rFonts w:ascii="Times New Roman" w:hAnsi="Times New Roman" w:cs="Times New Roman"/>
                <w:sz w:val="20"/>
                <w:szCs w:val="20"/>
              </w:rPr>
            </w:pPr>
            <w:r w:rsidRPr="00EC2A1C">
              <w:rPr>
                <w:rFonts w:ascii="Times New Roman" w:hAnsi="Times New Roman" w:cs="Times New Roman"/>
                <w:sz w:val="20"/>
                <w:szCs w:val="20"/>
              </w:rPr>
              <w:t xml:space="preserve">MPO v současnosti řeší/soutěží veřejnou zakázku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w:t>
            </w:r>
          </w:p>
          <w:p w14:paraId="49035136"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1F4F5F5C" w14:textId="77777777" w:rsidR="00DD3EFA" w:rsidRPr="00EC2A1C" w:rsidRDefault="00DD3EFA" w:rsidP="00B15ECB">
            <w:pPr>
              <w:rPr>
                <w:rFonts w:ascii="Times New Roman" w:hAnsi="Times New Roman" w:cs="Times New Roman"/>
                <w:b/>
                <w:sz w:val="20"/>
                <w:szCs w:val="20"/>
              </w:rPr>
            </w:pPr>
          </w:p>
        </w:tc>
      </w:tr>
      <w:tr w:rsidR="00DD3EFA" w:rsidRPr="00EC2A1C" w14:paraId="79D959F4" w14:textId="77777777" w:rsidTr="00B15ECB">
        <w:trPr>
          <w:trHeight w:val="925"/>
        </w:trPr>
        <w:tc>
          <w:tcPr>
            <w:tcW w:w="249" w:type="dxa"/>
            <w:tcBorders>
              <w:top w:val="nil"/>
              <w:bottom w:val="nil"/>
            </w:tcBorders>
            <w:shd w:val="clear" w:color="auto" w:fill="66CCFF"/>
          </w:tcPr>
          <w:p w14:paraId="717A0E6C"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72883E51"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Příprava projektových záměrů</w:t>
            </w:r>
          </w:p>
        </w:tc>
        <w:tc>
          <w:tcPr>
            <w:tcW w:w="5978" w:type="dxa"/>
            <w:tcBorders>
              <w:bottom w:val="single" w:sz="4" w:space="0" w:color="auto"/>
            </w:tcBorders>
            <w:shd w:val="clear" w:color="auto" w:fill="FFFFFF" w:themeFill="background1"/>
          </w:tcPr>
          <w:p w14:paraId="6FCB97A5"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Jelikož alokace výzev na SC 1.1 a SC 1.2 byly výrazně překročeny, dalo by se očekávat, že v dalším programovém období bude rovněž vysoký zájem o realizaci těchto projektů.</w:t>
            </w:r>
          </w:p>
          <w:p w14:paraId="70857645"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 xml:space="preserve">MŽP dlouhodobě prosazuje politiky, jejiž naplňování by mělo být zajištěno projekty podporovanými z připravováného operačního programu. Politiky vycházejí zvláště z Plánu pro zvládání povodnových rizik, Plánů povodí, Národního akčního plánu přizpůsobení se změně klimatu a Koncepce ochrany před následky sucha. </w:t>
            </w:r>
          </w:p>
          <w:p w14:paraId="4B173378" w14:textId="77777777" w:rsidR="00DD3EFA" w:rsidRPr="00EC2A1C" w:rsidRDefault="00DD3EFA" w:rsidP="00B15ECB">
            <w:pPr>
              <w:tabs>
                <w:tab w:val="left" w:pos="0"/>
              </w:tabs>
              <w:suppressAutoHyphens/>
              <w:rPr>
                <w:rFonts w:ascii="Times New Roman" w:eastAsia="Calibri" w:hAnsi="Times New Roman" w:cs="Times New Roman"/>
                <w:sz w:val="20"/>
                <w:szCs w:val="20"/>
              </w:rPr>
            </w:pPr>
            <w:r w:rsidRPr="00EC2A1C">
              <w:rPr>
                <w:rFonts w:ascii="Times New Roman" w:eastAsia="Calibri" w:hAnsi="Times New Roman" w:cs="Times New Roman"/>
                <w:sz w:val="20"/>
                <w:szCs w:val="20"/>
              </w:rPr>
              <w:t xml:space="preserve">Dále v souvislosti s plněním úkolů vyplývajících z </w:t>
            </w:r>
            <w:r w:rsidRPr="00EC2A1C">
              <w:rPr>
                <w:rFonts w:ascii="Times New Roman" w:hAnsi="Times New Roman" w:cs="Times New Roman"/>
                <w:sz w:val="20"/>
                <w:szCs w:val="20"/>
              </w:rPr>
              <w:t xml:space="preserve">jednání Národní koalice pro boj se suchem </w:t>
            </w:r>
            <w:r w:rsidRPr="00EC2A1C">
              <w:rPr>
                <w:rFonts w:ascii="Times New Roman" w:eastAsia="Calibri" w:hAnsi="Times New Roman" w:cs="Times New Roman"/>
                <w:sz w:val="20"/>
                <w:szCs w:val="20"/>
              </w:rPr>
              <w:t>připravilo MPO v rámci OP PIK řadu opatření, která budou realizována v dalším období, zaměřených na trvale udržitelné hospodaření s vodou v rámci běžného podnikání. Jedná se zejména o:</w:t>
            </w:r>
          </w:p>
          <w:p w14:paraId="541E6CEB" w14:textId="77777777" w:rsidR="00DD3EFA" w:rsidRPr="00EC2A1C" w:rsidRDefault="00DD3EFA" w:rsidP="00B15ECB">
            <w:pPr>
              <w:tabs>
                <w:tab w:val="left" w:pos="0"/>
              </w:tabs>
              <w:suppressAutoHyphens/>
              <w:rPr>
                <w:rFonts w:ascii="Times New Roman" w:hAnsi="Times New Roman" w:cs="Times New Roman"/>
                <w:sz w:val="20"/>
                <w:szCs w:val="20"/>
              </w:rPr>
            </w:pPr>
          </w:p>
          <w:p w14:paraId="2E45438C" w14:textId="77777777" w:rsidR="00DD3EFA" w:rsidRPr="00EC2A1C" w:rsidRDefault="00DD3EFA" w:rsidP="00391907">
            <w:pPr>
              <w:pStyle w:val="Odrky"/>
              <w:numPr>
                <w:ilvl w:val="0"/>
                <w:numId w:val="130"/>
              </w:numPr>
              <w:spacing w:before="0" w:line="276" w:lineRule="auto"/>
              <w:contextualSpacing/>
              <w:jc w:val="left"/>
              <w:rPr>
                <w:rFonts w:ascii="Times New Roman" w:hAnsi="Times New Roman"/>
                <w:szCs w:val="20"/>
              </w:rPr>
            </w:pPr>
            <w:r w:rsidRPr="00EC2A1C">
              <w:rPr>
                <w:rFonts w:ascii="Times New Roman" w:hAnsi="Times New Roman"/>
                <w:szCs w:val="20"/>
              </w:rPr>
              <w:t>Program EXPANZE (pouze MSP)</w:t>
            </w:r>
          </w:p>
          <w:p w14:paraId="323D12F9" w14:textId="77777777" w:rsidR="00DD3EFA" w:rsidRPr="00EC2A1C" w:rsidRDefault="00DD3EFA" w:rsidP="00B15ECB">
            <w:pPr>
              <w:pStyle w:val="Odrky"/>
              <w:ind w:left="752" w:firstLine="0"/>
              <w:rPr>
                <w:rFonts w:ascii="Times New Roman" w:hAnsi="Times New Roman"/>
                <w:szCs w:val="20"/>
              </w:rPr>
            </w:pPr>
          </w:p>
          <w:p w14:paraId="6C0DAE60" w14:textId="77777777" w:rsidR="00DD3EFA" w:rsidRPr="00EC2A1C" w:rsidRDefault="00DD3EFA" w:rsidP="00391907">
            <w:pPr>
              <w:pStyle w:val="Odrky"/>
              <w:numPr>
                <w:ilvl w:val="0"/>
                <w:numId w:val="130"/>
              </w:numPr>
              <w:spacing w:before="0" w:line="276" w:lineRule="auto"/>
              <w:contextualSpacing/>
              <w:jc w:val="left"/>
              <w:rPr>
                <w:rFonts w:ascii="Times New Roman" w:hAnsi="Times New Roman"/>
                <w:szCs w:val="20"/>
              </w:rPr>
            </w:pPr>
            <w:r w:rsidRPr="00EC2A1C">
              <w:rPr>
                <w:rFonts w:ascii="Times New Roman" w:hAnsi="Times New Roman"/>
                <w:szCs w:val="20"/>
              </w:rPr>
              <w:t>Program Nemovitosti (pouze MSP)</w:t>
            </w:r>
          </w:p>
          <w:p w14:paraId="63E7837F" w14:textId="77777777" w:rsidR="00DD3EFA" w:rsidRPr="00EC2A1C" w:rsidRDefault="00DD3EFA" w:rsidP="00391907">
            <w:pPr>
              <w:pStyle w:val="Odrky"/>
              <w:numPr>
                <w:ilvl w:val="0"/>
                <w:numId w:val="130"/>
              </w:numPr>
              <w:spacing w:before="0" w:line="276" w:lineRule="auto"/>
              <w:contextualSpacing/>
              <w:jc w:val="left"/>
              <w:rPr>
                <w:rFonts w:ascii="Times New Roman" w:hAnsi="Times New Roman"/>
                <w:szCs w:val="20"/>
              </w:rPr>
            </w:pPr>
            <w:r w:rsidRPr="00EC2A1C">
              <w:rPr>
                <w:rFonts w:ascii="Times New Roman" w:hAnsi="Times New Roman"/>
                <w:szCs w:val="20"/>
              </w:rPr>
              <w:t>Program Inovační vouchery (pouze MSP)</w:t>
            </w:r>
          </w:p>
          <w:p w14:paraId="43AC8B42" w14:textId="77777777"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4.    Program Inovace</w:t>
            </w:r>
          </w:p>
          <w:p w14:paraId="4D6740F0"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0D33087D" w14:textId="77777777" w:rsidR="00DD3EFA" w:rsidRPr="00EC2A1C" w:rsidRDefault="00DD3EFA" w:rsidP="00B15ECB">
            <w:pPr>
              <w:rPr>
                <w:rFonts w:ascii="Times New Roman" w:hAnsi="Times New Roman" w:cs="Times New Roman"/>
                <w:b/>
                <w:sz w:val="20"/>
                <w:szCs w:val="20"/>
              </w:rPr>
            </w:pPr>
          </w:p>
        </w:tc>
      </w:tr>
      <w:tr w:rsidR="00DD3EFA" w:rsidRPr="00EC2A1C" w14:paraId="04EA7F35" w14:textId="77777777" w:rsidTr="00B15ECB">
        <w:trPr>
          <w:trHeight w:val="1001"/>
        </w:trPr>
        <w:tc>
          <w:tcPr>
            <w:tcW w:w="249" w:type="dxa"/>
            <w:tcBorders>
              <w:top w:val="nil"/>
              <w:bottom w:val="nil"/>
            </w:tcBorders>
            <w:shd w:val="clear" w:color="auto" w:fill="66CCFF"/>
          </w:tcPr>
          <w:p w14:paraId="225CEED6" w14:textId="77777777" w:rsidR="00DD3EFA" w:rsidRPr="00EC2A1C" w:rsidRDefault="00DD3EFA" w:rsidP="00B15ECB">
            <w:pPr>
              <w:rPr>
                <w:rFonts w:ascii="Times New Roman" w:hAnsi="Times New Roman" w:cs="Times New Roman"/>
                <w:b/>
                <w:sz w:val="20"/>
                <w:szCs w:val="20"/>
              </w:rPr>
            </w:pPr>
          </w:p>
        </w:tc>
        <w:tc>
          <w:tcPr>
            <w:tcW w:w="2548" w:type="dxa"/>
            <w:tcBorders>
              <w:bottom w:val="single" w:sz="4" w:space="0" w:color="auto"/>
            </w:tcBorders>
            <w:shd w:val="clear" w:color="auto" w:fill="FFFFFF" w:themeFill="background1"/>
          </w:tcPr>
          <w:p w14:paraId="624351B2" w14:textId="77777777" w:rsidR="00DD3EFA" w:rsidRPr="00EC2A1C" w:rsidRDefault="00DD3EFA" w:rsidP="00391907">
            <w:pPr>
              <w:pStyle w:val="Odstavecseseznamem"/>
              <w:numPr>
                <w:ilvl w:val="0"/>
                <w:numId w:val="5"/>
              </w:num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Bariéry</w:t>
            </w:r>
          </w:p>
        </w:tc>
        <w:tc>
          <w:tcPr>
            <w:tcW w:w="5978" w:type="dxa"/>
            <w:tcBorders>
              <w:bottom w:val="single" w:sz="4" w:space="0" w:color="auto"/>
            </w:tcBorders>
            <w:shd w:val="clear" w:color="auto" w:fill="FFFFFF" w:themeFill="background1"/>
          </w:tcPr>
          <w:p w14:paraId="4BA1FE38"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Bariéry nemají zásadní charakter, ale jako bariéru můžeme vnímat nedostatečnou připravenost či zkušenost projektantů, dále také zdlouhavé a náročné administrativní procesy.</w:t>
            </w:r>
          </w:p>
          <w:p w14:paraId="20A27B0B" w14:textId="604A2718"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 xml:space="preserve">V současné době vnímáme jako bariéru především nedostatek finančních prostředků v SC </w:t>
            </w:r>
            <w:r w:rsidR="00747AAD" w:rsidRPr="00EC2A1C">
              <w:rPr>
                <w:rFonts w:ascii="Times New Roman" w:hAnsi="Times New Roman" w:cs="Times New Roman"/>
                <w:sz w:val="20"/>
                <w:szCs w:val="20"/>
              </w:rPr>
              <w:t>1.1 a SC</w:t>
            </w:r>
            <w:r w:rsidRPr="00EC2A1C">
              <w:rPr>
                <w:rFonts w:ascii="Times New Roman" w:hAnsi="Times New Roman" w:cs="Times New Roman"/>
                <w:sz w:val="20"/>
                <w:szCs w:val="20"/>
              </w:rPr>
              <w:t xml:space="preserve"> 1.2.</w:t>
            </w:r>
          </w:p>
          <w:p w14:paraId="14572087" w14:textId="7CC70ED4" w:rsidR="00DD3EFA" w:rsidRPr="00EC2A1C" w:rsidRDefault="00DD3EFA" w:rsidP="00B15ECB">
            <w:pPr>
              <w:spacing w:before="60" w:after="60"/>
              <w:rPr>
                <w:rFonts w:ascii="Times New Roman" w:hAnsi="Times New Roman" w:cs="Times New Roman"/>
                <w:sz w:val="20"/>
                <w:szCs w:val="20"/>
              </w:rPr>
            </w:pPr>
            <w:r w:rsidRPr="00EC2A1C">
              <w:rPr>
                <w:rFonts w:ascii="Times New Roman" w:hAnsi="Times New Roman" w:cs="Times New Roman"/>
                <w:sz w:val="20"/>
                <w:szCs w:val="20"/>
              </w:rPr>
              <w:t>Další bariérou může být nedostatečné povědomí potenciálních žadatelů, které j</w:t>
            </w:r>
            <w:r w:rsidR="00747AAD" w:rsidRPr="00EC2A1C">
              <w:rPr>
                <w:rFonts w:ascii="Times New Roman" w:hAnsi="Times New Roman" w:cs="Times New Roman"/>
                <w:sz w:val="20"/>
                <w:szCs w:val="20"/>
              </w:rPr>
              <w:t>e vzniklé nepostačující edukací</w:t>
            </w:r>
            <w:r w:rsidRPr="00EC2A1C">
              <w:rPr>
                <w:rFonts w:ascii="Times New Roman" w:hAnsi="Times New Roman" w:cs="Times New Roman"/>
                <w:sz w:val="20"/>
                <w:szCs w:val="20"/>
              </w:rPr>
              <w:t xml:space="preserve"> v podporované oblasti. Jistou roli může hrát také konkurence jiných dotačních titulů, kdy samosprávy nejdříve řeší více sledované jevy v území.</w:t>
            </w:r>
          </w:p>
          <w:p w14:paraId="6D87921D"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bottom w:val="nil"/>
            </w:tcBorders>
            <w:shd w:val="clear" w:color="auto" w:fill="66CCFF"/>
          </w:tcPr>
          <w:p w14:paraId="04FD4FC9" w14:textId="77777777" w:rsidR="00DD3EFA" w:rsidRPr="00EC2A1C" w:rsidRDefault="00DD3EFA" w:rsidP="00B15ECB">
            <w:pPr>
              <w:rPr>
                <w:rFonts w:ascii="Times New Roman" w:hAnsi="Times New Roman" w:cs="Times New Roman"/>
                <w:b/>
                <w:sz w:val="20"/>
                <w:szCs w:val="20"/>
              </w:rPr>
            </w:pPr>
          </w:p>
        </w:tc>
      </w:tr>
      <w:tr w:rsidR="00DD3EFA" w:rsidRPr="00EC2A1C" w14:paraId="5E46DB70"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331EB5AC" w14:textId="77777777" w:rsidR="00DD3EFA" w:rsidRPr="00EC2A1C" w:rsidRDefault="00DD3EFA" w:rsidP="00B15ECB">
            <w:pPr>
              <w:rPr>
                <w:rFonts w:ascii="Times New Roman" w:hAnsi="Times New Roman" w:cs="Times New Roman"/>
                <w:b/>
                <w:sz w:val="20"/>
                <w:szCs w:val="20"/>
              </w:rPr>
            </w:pPr>
          </w:p>
        </w:tc>
        <w:tc>
          <w:tcPr>
            <w:tcW w:w="2548" w:type="dxa"/>
            <w:tcBorders>
              <w:top w:val="single" w:sz="4" w:space="0" w:color="auto"/>
              <w:left w:val="nil"/>
              <w:bottom w:val="single" w:sz="4" w:space="0" w:color="auto"/>
              <w:right w:val="nil"/>
            </w:tcBorders>
            <w:shd w:val="clear" w:color="auto" w:fill="66CCFF"/>
          </w:tcPr>
          <w:p w14:paraId="3C2C61C6" w14:textId="77777777" w:rsidR="00DD3EFA" w:rsidRPr="00EC2A1C" w:rsidRDefault="00DD3EFA" w:rsidP="00B15ECB">
            <w:pPr>
              <w:spacing w:before="60" w:after="60"/>
              <w:rPr>
                <w:rFonts w:ascii="Times New Roman" w:eastAsiaTheme="majorEastAsia" w:hAnsi="Times New Roman" w:cs="Times New Roman"/>
                <w:b/>
                <w:sz w:val="20"/>
                <w:szCs w:val="20"/>
              </w:rPr>
            </w:pPr>
          </w:p>
        </w:tc>
        <w:tc>
          <w:tcPr>
            <w:tcW w:w="5978" w:type="dxa"/>
            <w:tcBorders>
              <w:top w:val="single" w:sz="4" w:space="0" w:color="auto"/>
              <w:left w:val="nil"/>
              <w:bottom w:val="single" w:sz="4" w:space="0" w:color="auto"/>
              <w:right w:val="nil"/>
            </w:tcBorders>
            <w:shd w:val="clear" w:color="auto" w:fill="66CCFF"/>
          </w:tcPr>
          <w:p w14:paraId="0DAFBE0D" w14:textId="77777777" w:rsidR="00DD3EFA" w:rsidRPr="00EC2A1C" w:rsidRDefault="00DD3EFA" w:rsidP="00B15ECB">
            <w:pPr>
              <w:spacing w:before="60" w:after="60"/>
              <w:rPr>
                <w:rFonts w:ascii="Times New Roman" w:eastAsiaTheme="majorEastAsia" w:hAnsi="Times New Roman" w:cs="Times New Roman"/>
                <w:i/>
                <w:sz w:val="20"/>
                <w:szCs w:val="20"/>
              </w:rPr>
            </w:pPr>
          </w:p>
        </w:tc>
        <w:tc>
          <w:tcPr>
            <w:tcW w:w="249" w:type="dxa"/>
            <w:tcBorders>
              <w:top w:val="nil"/>
              <w:left w:val="nil"/>
              <w:bottom w:val="single" w:sz="4" w:space="0" w:color="auto"/>
              <w:right w:val="single" w:sz="4" w:space="0" w:color="auto"/>
            </w:tcBorders>
            <w:shd w:val="clear" w:color="auto" w:fill="66CCFF"/>
          </w:tcPr>
          <w:p w14:paraId="2A1AB963" w14:textId="77777777" w:rsidR="00DD3EFA" w:rsidRPr="00EC2A1C" w:rsidRDefault="00DD3EFA" w:rsidP="00B15ECB">
            <w:pPr>
              <w:rPr>
                <w:rFonts w:ascii="Times New Roman" w:hAnsi="Times New Roman" w:cs="Times New Roman"/>
                <w:b/>
                <w:sz w:val="20"/>
                <w:szCs w:val="20"/>
              </w:rPr>
            </w:pPr>
          </w:p>
        </w:tc>
      </w:tr>
      <w:tr w:rsidR="00DD3EFA" w:rsidRPr="00EC2A1C" w14:paraId="2D1A6469" w14:textId="77777777" w:rsidTr="00B15ECB">
        <w:trPr>
          <w:trHeight w:val="1559"/>
        </w:trPr>
        <w:tc>
          <w:tcPr>
            <w:tcW w:w="249" w:type="dxa"/>
            <w:tcBorders>
              <w:top w:val="single" w:sz="4" w:space="0" w:color="auto"/>
              <w:bottom w:val="nil"/>
            </w:tcBorders>
            <w:shd w:val="clear" w:color="auto" w:fill="66CCFF"/>
          </w:tcPr>
          <w:p w14:paraId="5F5D34AC" w14:textId="77777777" w:rsidR="00DD3EFA" w:rsidRPr="00EC2A1C" w:rsidRDefault="00DD3EFA" w:rsidP="00B15ECB">
            <w:pPr>
              <w:rPr>
                <w:rFonts w:ascii="Times New Roman" w:hAnsi="Times New Roman" w:cs="Times New Roman"/>
                <w:b/>
                <w:sz w:val="20"/>
                <w:szCs w:val="20"/>
              </w:rPr>
            </w:pPr>
          </w:p>
        </w:tc>
        <w:tc>
          <w:tcPr>
            <w:tcW w:w="8526" w:type="dxa"/>
            <w:gridSpan w:val="2"/>
            <w:tcBorders>
              <w:top w:val="single" w:sz="4" w:space="0" w:color="auto"/>
            </w:tcBorders>
            <w:shd w:val="clear" w:color="auto" w:fill="FFFFFF" w:themeFill="background1"/>
          </w:tcPr>
          <w:p w14:paraId="15BA9449"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Alternativní zdroje</w:t>
            </w:r>
          </w:p>
          <w:p w14:paraId="31D77A47" w14:textId="77777777" w:rsidR="00DD3EFA" w:rsidRPr="00EC2A1C" w:rsidRDefault="00DD3EFA" w:rsidP="00B15ECB">
            <w:pPr>
              <w:spacing w:before="60" w:after="60"/>
              <w:rPr>
                <w:rFonts w:ascii="Times New Roman" w:eastAsiaTheme="majorEastAsia" w:hAnsi="Times New Roman" w:cs="Times New Roman"/>
                <w:sz w:val="20"/>
                <w:szCs w:val="20"/>
                <w:u w:val="single"/>
              </w:rPr>
            </w:pPr>
          </w:p>
        </w:tc>
        <w:tc>
          <w:tcPr>
            <w:tcW w:w="249" w:type="dxa"/>
            <w:tcBorders>
              <w:top w:val="single" w:sz="4" w:space="0" w:color="auto"/>
              <w:bottom w:val="nil"/>
            </w:tcBorders>
            <w:shd w:val="clear" w:color="auto" w:fill="66CCFF"/>
          </w:tcPr>
          <w:p w14:paraId="327AD3C1" w14:textId="77777777" w:rsidR="00DD3EFA" w:rsidRPr="00EC2A1C" w:rsidRDefault="00DD3EFA" w:rsidP="00B15ECB">
            <w:pPr>
              <w:rPr>
                <w:rFonts w:ascii="Times New Roman" w:hAnsi="Times New Roman" w:cs="Times New Roman"/>
                <w:b/>
                <w:sz w:val="20"/>
                <w:szCs w:val="20"/>
              </w:rPr>
            </w:pPr>
          </w:p>
        </w:tc>
      </w:tr>
      <w:tr w:rsidR="00DD3EFA" w:rsidRPr="00EC2A1C" w14:paraId="4B243790" w14:textId="77777777" w:rsidTr="00B15ECB">
        <w:trPr>
          <w:trHeight w:val="1179"/>
        </w:trPr>
        <w:tc>
          <w:tcPr>
            <w:tcW w:w="249" w:type="dxa"/>
            <w:tcBorders>
              <w:top w:val="nil"/>
              <w:bottom w:val="nil"/>
            </w:tcBorders>
            <w:shd w:val="clear" w:color="auto" w:fill="66CCFF"/>
          </w:tcPr>
          <w:p w14:paraId="688AED0E"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34B514EB"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Unijní programy</w:t>
            </w:r>
          </w:p>
        </w:tc>
        <w:tc>
          <w:tcPr>
            <w:tcW w:w="5978" w:type="dxa"/>
            <w:tcBorders>
              <w:top w:val="nil"/>
            </w:tcBorders>
            <w:shd w:val="clear" w:color="auto" w:fill="FFFFFF" w:themeFill="background1"/>
          </w:tcPr>
          <w:p w14:paraId="21F04541" w14:textId="77777777" w:rsidR="00DD3EFA" w:rsidRPr="00EC2A1C" w:rsidRDefault="00DD3EFA" w:rsidP="00B15ECB">
            <w:pPr>
              <w:spacing w:before="60" w:after="60"/>
              <w:rPr>
                <w:rFonts w:ascii="Times New Roman" w:eastAsiaTheme="majorEastAsia" w:hAnsi="Times New Roman" w:cs="Times New Roman"/>
                <w:i/>
                <w:sz w:val="20"/>
                <w:szCs w:val="20"/>
              </w:rPr>
            </w:pPr>
            <w:r w:rsidRPr="00EC2A1C">
              <w:rPr>
                <w:rFonts w:ascii="Times New Roman" w:eastAsiaTheme="majorEastAsia" w:hAnsi="Times New Roman" w:cs="Times New Roman"/>
                <w:sz w:val="20"/>
                <w:szCs w:val="20"/>
              </w:rPr>
              <w:t>Z programu LIFE je možné financovat demonstrační a pilotní projekty, je komplementární k podpoře z ESIF. Program LIFE nepodporuje projekty, které mohou být financovány v rámci jiných finančních nástrojů Evropské komise.</w:t>
            </w:r>
          </w:p>
        </w:tc>
        <w:tc>
          <w:tcPr>
            <w:tcW w:w="249" w:type="dxa"/>
            <w:tcBorders>
              <w:top w:val="nil"/>
              <w:bottom w:val="nil"/>
            </w:tcBorders>
            <w:shd w:val="clear" w:color="auto" w:fill="66CCFF"/>
          </w:tcPr>
          <w:p w14:paraId="199D85D7" w14:textId="77777777" w:rsidR="00DD3EFA" w:rsidRPr="00EC2A1C" w:rsidRDefault="00DD3EFA" w:rsidP="00B15ECB">
            <w:pPr>
              <w:rPr>
                <w:rFonts w:ascii="Times New Roman" w:hAnsi="Times New Roman" w:cs="Times New Roman"/>
                <w:b/>
                <w:sz w:val="20"/>
                <w:szCs w:val="20"/>
              </w:rPr>
            </w:pPr>
          </w:p>
        </w:tc>
      </w:tr>
      <w:tr w:rsidR="00DD3EFA" w:rsidRPr="00EC2A1C" w14:paraId="19E7F438" w14:textId="77777777" w:rsidTr="00B15ECB">
        <w:trPr>
          <w:trHeight w:val="1334"/>
        </w:trPr>
        <w:tc>
          <w:tcPr>
            <w:tcW w:w="249" w:type="dxa"/>
            <w:tcBorders>
              <w:top w:val="nil"/>
              <w:bottom w:val="nil"/>
            </w:tcBorders>
            <w:shd w:val="clear" w:color="auto" w:fill="66CCFF"/>
          </w:tcPr>
          <w:p w14:paraId="47745A77"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55BF6830"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Státní rozpočet a další národní zdroje</w:t>
            </w:r>
          </w:p>
        </w:tc>
        <w:tc>
          <w:tcPr>
            <w:tcW w:w="5978" w:type="dxa"/>
            <w:tcBorders>
              <w:top w:val="nil"/>
            </w:tcBorders>
            <w:shd w:val="clear" w:color="auto" w:fill="FFFFFF" w:themeFill="background1"/>
          </w:tcPr>
          <w:p w14:paraId="2B0CD4ED"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Podoblast je v současnosti částečně dotována z národních zdrojů (MŽP, MZe) i rozpočtu obcí, jde však zejm. o menší projekty v oblasti zadržování vody a nakládání se srážkovou vodou. Finanční objem je zcela nedostatečný.</w:t>
            </w:r>
          </w:p>
        </w:tc>
        <w:tc>
          <w:tcPr>
            <w:tcW w:w="249" w:type="dxa"/>
            <w:tcBorders>
              <w:top w:val="nil"/>
              <w:bottom w:val="nil"/>
            </w:tcBorders>
            <w:shd w:val="clear" w:color="auto" w:fill="66CCFF"/>
          </w:tcPr>
          <w:p w14:paraId="2651599F" w14:textId="77777777" w:rsidR="00DD3EFA" w:rsidRPr="00EC2A1C" w:rsidRDefault="00DD3EFA" w:rsidP="00B15ECB">
            <w:pPr>
              <w:rPr>
                <w:rFonts w:ascii="Times New Roman" w:hAnsi="Times New Roman" w:cs="Times New Roman"/>
                <w:b/>
                <w:sz w:val="20"/>
                <w:szCs w:val="20"/>
              </w:rPr>
            </w:pPr>
          </w:p>
        </w:tc>
      </w:tr>
      <w:tr w:rsidR="00DD3EFA" w:rsidRPr="00EC2A1C" w14:paraId="3B4FB16E" w14:textId="77777777" w:rsidTr="00B15ECB">
        <w:trPr>
          <w:trHeight w:val="909"/>
        </w:trPr>
        <w:tc>
          <w:tcPr>
            <w:tcW w:w="249" w:type="dxa"/>
            <w:tcBorders>
              <w:top w:val="nil"/>
              <w:bottom w:val="nil"/>
            </w:tcBorders>
            <w:shd w:val="clear" w:color="auto" w:fill="66CCFF"/>
          </w:tcPr>
          <w:p w14:paraId="7290B872"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3500DEC8"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Další zdroje mimo veřejné rozpočty</w:t>
            </w:r>
          </w:p>
        </w:tc>
        <w:tc>
          <w:tcPr>
            <w:tcW w:w="5978" w:type="dxa"/>
            <w:tcBorders>
              <w:top w:val="nil"/>
            </w:tcBorders>
            <w:shd w:val="clear" w:color="auto" w:fill="FFFFFF" w:themeFill="background1"/>
          </w:tcPr>
          <w:p w14:paraId="7D6F71C0"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Nejsou nám známy další zdroje financování mimo veřejných rozpočtů.</w:t>
            </w:r>
          </w:p>
        </w:tc>
        <w:tc>
          <w:tcPr>
            <w:tcW w:w="249" w:type="dxa"/>
            <w:tcBorders>
              <w:top w:val="nil"/>
              <w:bottom w:val="nil"/>
            </w:tcBorders>
            <w:shd w:val="clear" w:color="auto" w:fill="66CCFF"/>
          </w:tcPr>
          <w:p w14:paraId="376BBD73" w14:textId="77777777" w:rsidR="00DD3EFA" w:rsidRPr="00EC2A1C" w:rsidRDefault="00DD3EFA" w:rsidP="00B15ECB">
            <w:pPr>
              <w:rPr>
                <w:rFonts w:ascii="Times New Roman" w:hAnsi="Times New Roman" w:cs="Times New Roman"/>
                <w:b/>
                <w:sz w:val="20"/>
                <w:szCs w:val="20"/>
              </w:rPr>
            </w:pPr>
          </w:p>
        </w:tc>
      </w:tr>
      <w:tr w:rsidR="00DD3EFA" w:rsidRPr="00EC2A1C" w14:paraId="5C278745" w14:textId="77777777" w:rsidTr="00B15ECB">
        <w:trPr>
          <w:trHeight w:val="1206"/>
        </w:trPr>
        <w:tc>
          <w:tcPr>
            <w:tcW w:w="249" w:type="dxa"/>
            <w:tcBorders>
              <w:top w:val="nil"/>
              <w:bottom w:val="nil"/>
            </w:tcBorders>
            <w:shd w:val="clear" w:color="auto" w:fill="66CCFF"/>
          </w:tcPr>
          <w:p w14:paraId="7B569BD4" w14:textId="77777777" w:rsidR="00DD3EFA" w:rsidRPr="00EC2A1C" w:rsidRDefault="00DD3EFA" w:rsidP="00B15ECB">
            <w:pPr>
              <w:rPr>
                <w:rFonts w:ascii="Times New Roman" w:hAnsi="Times New Roman" w:cs="Times New Roman"/>
                <w:b/>
                <w:sz w:val="20"/>
                <w:szCs w:val="20"/>
              </w:rPr>
            </w:pPr>
          </w:p>
        </w:tc>
        <w:tc>
          <w:tcPr>
            <w:tcW w:w="2548" w:type="dxa"/>
            <w:tcBorders>
              <w:top w:val="nil"/>
            </w:tcBorders>
            <w:shd w:val="clear" w:color="auto" w:fill="FFFFFF" w:themeFill="background1"/>
          </w:tcPr>
          <w:p w14:paraId="44A5102C" w14:textId="77777777" w:rsidR="00DD3EFA" w:rsidRPr="00EC2A1C" w:rsidRDefault="00DD3EFA" w:rsidP="00B15ECB">
            <w:pPr>
              <w:spacing w:before="60" w:after="60"/>
              <w:rPr>
                <w:rFonts w:ascii="Times New Roman" w:eastAsiaTheme="majorEastAsia" w:hAnsi="Times New Roman" w:cs="Times New Roman"/>
                <w:b/>
                <w:sz w:val="20"/>
                <w:szCs w:val="20"/>
              </w:rPr>
            </w:pPr>
            <w:r w:rsidRPr="00EC2A1C">
              <w:rPr>
                <w:rFonts w:ascii="Times New Roman" w:eastAsiaTheme="majorEastAsia" w:hAnsi="Times New Roman" w:cs="Times New Roman"/>
                <w:b/>
                <w:sz w:val="20"/>
                <w:szCs w:val="20"/>
              </w:rPr>
              <w:t>Možnost využití FN</w:t>
            </w:r>
          </w:p>
          <w:p w14:paraId="0B6A4114" w14:textId="77777777" w:rsidR="00DD3EFA" w:rsidRPr="00EC2A1C" w:rsidRDefault="00DD3EFA" w:rsidP="00B15ECB">
            <w:pPr>
              <w:rPr>
                <w:rFonts w:ascii="Times New Roman" w:eastAsiaTheme="majorEastAsia" w:hAnsi="Times New Roman" w:cs="Times New Roman"/>
                <w:sz w:val="20"/>
                <w:szCs w:val="20"/>
              </w:rPr>
            </w:pPr>
          </w:p>
          <w:p w14:paraId="064F4E9F" w14:textId="77777777" w:rsidR="00DD3EFA" w:rsidRPr="00EC2A1C" w:rsidRDefault="00DD3EFA" w:rsidP="00B15ECB">
            <w:pPr>
              <w:rPr>
                <w:rFonts w:ascii="Times New Roman" w:eastAsiaTheme="majorEastAsia" w:hAnsi="Times New Roman" w:cs="Times New Roman"/>
                <w:sz w:val="20"/>
                <w:szCs w:val="20"/>
              </w:rPr>
            </w:pPr>
          </w:p>
        </w:tc>
        <w:tc>
          <w:tcPr>
            <w:tcW w:w="5978" w:type="dxa"/>
            <w:tcBorders>
              <w:top w:val="nil"/>
            </w:tcBorders>
            <w:shd w:val="clear" w:color="auto" w:fill="FFFFFF" w:themeFill="background1"/>
          </w:tcPr>
          <w:p w14:paraId="2B87DFA3" w14:textId="77777777" w:rsidR="00DD3EFA" w:rsidRPr="00EC2A1C" w:rsidRDefault="00DD3EFA" w:rsidP="00B15ECB">
            <w:pPr>
              <w:spacing w:before="60" w:after="60"/>
              <w:rPr>
                <w:rFonts w:ascii="Times New Roman" w:eastAsiaTheme="majorEastAsia" w:hAnsi="Times New Roman" w:cs="Times New Roman"/>
                <w:sz w:val="20"/>
                <w:szCs w:val="20"/>
              </w:rPr>
            </w:pPr>
            <w:r w:rsidRPr="00EC2A1C">
              <w:rPr>
                <w:rFonts w:ascii="Times New Roman" w:eastAsiaTheme="majorEastAsia" w:hAnsi="Times New Roman" w:cs="Times New Roman"/>
                <w:sz w:val="20"/>
                <w:szCs w:val="20"/>
              </w:rPr>
              <w:t>Při podpoře některých aktivit v oblasti ochrany vod a vodního hospodářství lze v budoucnosti uvažovat o využití finančních nástrojů v kombinaci s nevratnou dotací.</w:t>
            </w:r>
          </w:p>
        </w:tc>
        <w:tc>
          <w:tcPr>
            <w:tcW w:w="249" w:type="dxa"/>
            <w:tcBorders>
              <w:top w:val="nil"/>
              <w:bottom w:val="nil"/>
            </w:tcBorders>
            <w:shd w:val="clear" w:color="auto" w:fill="66CCFF"/>
          </w:tcPr>
          <w:p w14:paraId="169B3AB2" w14:textId="77777777" w:rsidR="00DD3EFA" w:rsidRPr="00EC2A1C" w:rsidRDefault="00DD3EFA" w:rsidP="00B15ECB">
            <w:pPr>
              <w:rPr>
                <w:rFonts w:ascii="Times New Roman" w:hAnsi="Times New Roman" w:cs="Times New Roman"/>
                <w:b/>
                <w:sz w:val="20"/>
                <w:szCs w:val="20"/>
              </w:rPr>
            </w:pPr>
          </w:p>
        </w:tc>
      </w:tr>
      <w:tr w:rsidR="00DD3EFA" w:rsidRPr="00EC2A1C" w14:paraId="0D172DD8" w14:textId="77777777" w:rsidTr="00B15ECB">
        <w:trPr>
          <w:trHeight w:val="150"/>
        </w:trPr>
        <w:tc>
          <w:tcPr>
            <w:tcW w:w="249" w:type="dxa"/>
            <w:tcBorders>
              <w:top w:val="nil"/>
              <w:right w:val="nil"/>
            </w:tcBorders>
            <w:shd w:val="clear" w:color="auto" w:fill="66CCFF"/>
          </w:tcPr>
          <w:p w14:paraId="737D3C47" w14:textId="77777777" w:rsidR="00DD3EFA" w:rsidRPr="00EC2A1C" w:rsidRDefault="00DD3EFA" w:rsidP="00B15ECB">
            <w:pPr>
              <w:rPr>
                <w:rFonts w:ascii="Times New Roman" w:hAnsi="Times New Roman" w:cs="Times New Roman"/>
                <w:b/>
                <w:sz w:val="20"/>
                <w:szCs w:val="20"/>
              </w:rPr>
            </w:pPr>
          </w:p>
        </w:tc>
        <w:tc>
          <w:tcPr>
            <w:tcW w:w="2548" w:type="dxa"/>
            <w:tcBorders>
              <w:left w:val="nil"/>
              <w:right w:val="nil"/>
            </w:tcBorders>
            <w:shd w:val="clear" w:color="auto" w:fill="66CCFF"/>
          </w:tcPr>
          <w:p w14:paraId="267E644F" w14:textId="77777777" w:rsidR="00DD3EFA" w:rsidRPr="00EC2A1C" w:rsidRDefault="00DD3EFA" w:rsidP="00B15ECB">
            <w:pPr>
              <w:rPr>
                <w:rFonts w:ascii="Times New Roman" w:hAnsi="Times New Roman" w:cs="Times New Roman"/>
                <w:b/>
                <w:sz w:val="20"/>
                <w:szCs w:val="20"/>
              </w:rPr>
            </w:pPr>
          </w:p>
        </w:tc>
        <w:tc>
          <w:tcPr>
            <w:tcW w:w="5978" w:type="dxa"/>
            <w:tcBorders>
              <w:left w:val="nil"/>
              <w:right w:val="nil"/>
            </w:tcBorders>
            <w:shd w:val="clear" w:color="auto" w:fill="66CCFF"/>
          </w:tcPr>
          <w:p w14:paraId="59DAEF8F" w14:textId="77777777" w:rsidR="00DD3EFA" w:rsidRPr="00EC2A1C" w:rsidRDefault="00DD3EFA" w:rsidP="00B15ECB">
            <w:pPr>
              <w:rPr>
                <w:rFonts w:ascii="Times New Roman" w:hAnsi="Times New Roman" w:cs="Times New Roman"/>
                <w:b/>
                <w:sz w:val="20"/>
                <w:szCs w:val="20"/>
              </w:rPr>
            </w:pPr>
          </w:p>
        </w:tc>
        <w:tc>
          <w:tcPr>
            <w:tcW w:w="249" w:type="dxa"/>
            <w:tcBorders>
              <w:top w:val="nil"/>
              <w:left w:val="nil"/>
            </w:tcBorders>
            <w:shd w:val="clear" w:color="auto" w:fill="66CCFF"/>
          </w:tcPr>
          <w:p w14:paraId="3F251804" w14:textId="77777777" w:rsidR="00DD3EFA" w:rsidRPr="00EC2A1C" w:rsidRDefault="00DD3EFA" w:rsidP="00B15ECB">
            <w:pPr>
              <w:rPr>
                <w:rFonts w:ascii="Times New Roman" w:hAnsi="Times New Roman" w:cs="Times New Roman"/>
                <w:b/>
                <w:sz w:val="20"/>
                <w:szCs w:val="20"/>
              </w:rPr>
            </w:pPr>
          </w:p>
        </w:tc>
      </w:tr>
    </w:tbl>
    <w:p w14:paraId="4D466985" w14:textId="0AE9C88E" w:rsidR="00DD3EFA" w:rsidRDefault="00DD3EFA" w:rsidP="00B15ECB">
      <w:pPr>
        <w:rPr>
          <w:rFonts w:ascii="Times New Roman" w:hAnsi="Times New Roman" w:cs="Times New Roman"/>
          <w:b/>
        </w:rPr>
      </w:pPr>
    </w:p>
    <w:p w14:paraId="45BFB5B8" w14:textId="5BA84722" w:rsidR="00747AAD" w:rsidRDefault="00747AAD">
      <w:pPr>
        <w:rPr>
          <w:rFonts w:ascii="Times New Roman" w:hAnsi="Times New Roman" w:cs="Times New Roman"/>
          <w:b/>
        </w:rPr>
      </w:pPr>
      <w:r>
        <w:rPr>
          <w:rFonts w:ascii="Times New Roman" w:hAnsi="Times New Roman" w:cs="Times New Roman"/>
          <w:b/>
        </w:rPr>
        <w:br w:type="page"/>
      </w:r>
    </w:p>
    <w:p w14:paraId="61BDDBAF" w14:textId="77777777" w:rsidR="00747AAD" w:rsidRPr="002D2123" w:rsidRDefault="00747AAD" w:rsidP="00B15ECB">
      <w:pPr>
        <w:rPr>
          <w:rFonts w:ascii="Times New Roman" w:hAnsi="Times New Roman" w:cs="Times New Roman"/>
          <w:b/>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60FBB7D2" w14:textId="77777777" w:rsidTr="00B15ECB">
        <w:trPr>
          <w:trHeight w:val="180"/>
        </w:trPr>
        <w:tc>
          <w:tcPr>
            <w:tcW w:w="249" w:type="dxa"/>
            <w:tcBorders>
              <w:top w:val="single" w:sz="4" w:space="0" w:color="auto"/>
              <w:left w:val="single" w:sz="4" w:space="0" w:color="auto"/>
              <w:bottom w:val="nil"/>
              <w:right w:val="nil"/>
            </w:tcBorders>
            <w:shd w:val="clear" w:color="auto" w:fill="66CCFF"/>
          </w:tcPr>
          <w:p w14:paraId="214AFA0C"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46752F5" w14:textId="77777777" w:rsidR="00DD3EFA" w:rsidRPr="00EC2A1C" w:rsidRDefault="00DD3EFA" w:rsidP="00B15ECB">
            <w:pPr>
              <w:rPr>
                <w:b/>
              </w:rPr>
            </w:pPr>
          </w:p>
        </w:tc>
        <w:tc>
          <w:tcPr>
            <w:tcW w:w="5978" w:type="dxa"/>
            <w:tcBorders>
              <w:top w:val="single" w:sz="4" w:space="0" w:color="auto"/>
              <w:left w:val="nil"/>
              <w:bottom w:val="single" w:sz="4" w:space="0" w:color="auto"/>
              <w:right w:val="nil"/>
            </w:tcBorders>
            <w:shd w:val="clear" w:color="auto" w:fill="66CCFF"/>
          </w:tcPr>
          <w:p w14:paraId="1AE66E7A" w14:textId="77777777" w:rsidR="00DD3EFA" w:rsidRPr="00EC2A1C" w:rsidRDefault="00DD3EFA" w:rsidP="00B15ECB">
            <w:pPr>
              <w:rPr>
                <w:b/>
              </w:rPr>
            </w:pPr>
          </w:p>
        </w:tc>
        <w:tc>
          <w:tcPr>
            <w:tcW w:w="249" w:type="dxa"/>
            <w:tcBorders>
              <w:top w:val="single" w:sz="4" w:space="0" w:color="auto"/>
              <w:left w:val="nil"/>
              <w:bottom w:val="nil"/>
              <w:right w:val="single" w:sz="4" w:space="0" w:color="auto"/>
            </w:tcBorders>
            <w:shd w:val="clear" w:color="auto" w:fill="66CCFF"/>
          </w:tcPr>
          <w:p w14:paraId="15290043" w14:textId="77777777" w:rsidR="00DD3EFA" w:rsidRPr="00EC2A1C" w:rsidRDefault="00DD3EFA" w:rsidP="00B15ECB">
            <w:pPr>
              <w:rPr>
                <w:b/>
              </w:rPr>
            </w:pPr>
          </w:p>
        </w:tc>
      </w:tr>
      <w:tr w:rsidR="00DD3EFA" w:rsidRPr="00EC2A1C" w14:paraId="7AE942F9" w14:textId="77777777" w:rsidTr="00B15ECB">
        <w:trPr>
          <w:trHeight w:val="180"/>
        </w:trPr>
        <w:tc>
          <w:tcPr>
            <w:tcW w:w="249" w:type="dxa"/>
            <w:tcBorders>
              <w:top w:val="single" w:sz="4" w:space="0" w:color="auto"/>
              <w:left w:val="single" w:sz="4" w:space="0" w:color="auto"/>
              <w:bottom w:val="nil"/>
              <w:right w:val="nil"/>
            </w:tcBorders>
            <w:shd w:val="clear" w:color="auto" w:fill="66CCFF"/>
          </w:tcPr>
          <w:p w14:paraId="33C7D6F2"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48DCBB9" w14:textId="77777777" w:rsidR="00DD3EFA" w:rsidRPr="00EC2A1C" w:rsidRDefault="00DD3EFA" w:rsidP="00B15ECB">
            <w:pPr>
              <w:rPr>
                <w:b/>
              </w:rPr>
            </w:pPr>
          </w:p>
        </w:tc>
        <w:tc>
          <w:tcPr>
            <w:tcW w:w="5978" w:type="dxa"/>
            <w:tcBorders>
              <w:top w:val="single" w:sz="4" w:space="0" w:color="auto"/>
              <w:left w:val="nil"/>
              <w:bottom w:val="single" w:sz="4" w:space="0" w:color="auto"/>
              <w:right w:val="nil"/>
            </w:tcBorders>
            <w:shd w:val="clear" w:color="auto" w:fill="66CCFF"/>
          </w:tcPr>
          <w:p w14:paraId="1ECD2877" w14:textId="77777777" w:rsidR="00DD3EFA" w:rsidRPr="00EC2A1C" w:rsidRDefault="00DD3EFA" w:rsidP="00B15ECB">
            <w:pPr>
              <w:rPr>
                <w:b/>
              </w:rPr>
            </w:pPr>
          </w:p>
        </w:tc>
        <w:tc>
          <w:tcPr>
            <w:tcW w:w="249" w:type="dxa"/>
            <w:tcBorders>
              <w:top w:val="single" w:sz="4" w:space="0" w:color="auto"/>
              <w:left w:val="nil"/>
              <w:bottom w:val="nil"/>
              <w:right w:val="single" w:sz="4" w:space="0" w:color="auto"/>
            </w:tcBorders>
            <w:shd w:val="clear" w:color="auto" w:fill="66CCFF"/>
          </w:tcPr>
          <w:p w14:paraId="3F960FCF" w14:textId="77777777" w:rsidR="00DD3EFA" w:rsidRPr="00EC2A1C" w:rsidRDefault="00DD3EFA" w:rsidP="00B15ECB">
            <w:pPr>
              <w:rPr>
                <w:b/>
              </w:rPr>
            </w:pPr>
          </w:p>
        </w:tc>
      </w:tr>
      <w:tr w:rsidR="00DD3EFA" w:rsidRPr="00EC2A1C" w14:paraId="2DA0FF60" w14:textId="77777777" w:rsidTr="00B15ECB">
        <w:trPr>
          <w:trHeight w:val="561"/>
        </w:trPr>
        <w:tc>
          <w:tcPr>
            <w:tcW w:w="249" w:type="dxa"/>
            <w:tcBorders>
              <w:top w:val="nil"/>
              <w:left w:val="single" w:sz="4" w:space="0" w:color="auto"/>
              <w:bottom w:val="nil"/>
              <w:right w:val="single" w:sz="4" w:space="0" w:color="auto"/>
            </w:tcBorders>
            <w:shd w:val="clear" w:color="auto" w:fill="66CCFF"/>
          </w:tcPr>
          <w:p w14:paraId="61BB554C"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0070C0"/>
          </w:tcPr>
          <w:p w14:paraId="6AC434C6"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 xml:space="preserve">Strategický cíl NKR: </w:t>
            </w:r>
          </w:p>
          <w:p w14:paraId="04298CEA" w14:textId="77777777" w:rsidR="00DD3EFA" w:rsidRPr="00EC2A1C" w:rsidRDefault="00DD3EFA" w:rsidP="00B15ECB">
            <w:pPr>
              <w:spacing w:before="60" w:after="60"/>
              <w:rPr>
                <w:rFonts w:eastAsiaTheme="majorEastAsia"/>
                <w:b/>
                <w:color w:val="FFFFFF" w:themeColor="background1"/>
              </w:rPr>
            </w:pPr>
          </w:p>
        </w:tc>
        <w:tc>
          <w:tcPr>
            <w:tcW w:w="5978" w:type="dxa"/>
            <w:tcBorders>
              <w:top w:val="single" w:sz="4" w:space="0" w:color="auto"/>
              <w:left w:val="single" w:sz="4" w:space="0" w:color="auto"/>
              <w:bottom w:val="single" w:sz="4" w:space="0" w:color="auto"/>
              <w:right w:val="single" w:sz="4" w:space="0" w:color="auto"/>
            </w:tcBorders>
            <w:shd w:val="clear" w:color="auto" w:fill="0070C0"/>
            <w:hideMark/>
          </w:tcPr>
          <w:p w14:paraId="490F9F96"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55"/>
            </w:r>
            <w:r w:rsidRPr="00EC2A1C">
              <w:rPr>
                <w:rFonts w:eastAsiaTheme="majorEastAsia"/>
                <w:b/>
                <w:color w:val="FFFFFF" w:themeColor="background1"/>
                <w:u w:val="single"/>
              </w:rPr>
              <w:t xml:space="preserve">: </w:t>
            </w:r>
          </w:p>
          <w:p w14:paraId="39CC238C" w14:textId="77777777" w:rsidR="00DD3EFA" w:rsidRPr="00EC2A1C" w:rsidRDefault="00DD3EFA" w:rsidP="00B15ECB">
            <w:pPr>
              <w:pStyle w:val="Nadpis1"/>
              <w:outlineLvl w:val="0"/>
              <w:rPr>
                <w:rFonts w:ascii="Times New Roman" w:hAnsi="Times New Roman" w:cs="Times New Roman"/>
                <w:b/>
                <w:sz w:val="20"/>
                <w:szCs w:val="20"/>
              </w:rPr>
            </w:pPr>
            <w:bookmarkStart w:id="43" w:name="_Toc278469"/>
            <w:bookmarkStart w:id="44" w:name="_Toc1491420"/>
            <w:r w:rsidRPr="00EC2A1C">
              <w:rPr>
                <w:rFonts w:ascii="Times New Roman" w:hAnsi="Times New Roman" w:cs="Times New Roman"/>
                <w:b/>
                <w:color w:val="FFFFFF" w:themeColor="background1"/>
                <w:sz w:val="20"/>
                <w:szCs w:val="20"/>
              </w:rPr>
              <w:t>Sanace míst s ekologickou zátěží a revitalizace brownfieldů</w:t>
            </w:r>
            <w:bookmarkEnd w:id="43"/>
            <w:bookmarkEnd w:id="44"/>
          </w:p>
        </w:tc>
        <w:tc>
          <w:tcPr>
            <w:tcW w:w="249" w:type="dxa"/>
            <w:tcBorders>
              <w:top w:val="nil"/>
              <w:left w:val="single" w:sz="4" w:space="0" w:color="auto"/>
              <w:bottom w:val="nil"/>
              <w:right w:val="single" w:sz="4" w:space="0" w:color="auto"/>
            </w:tcBorders>
            <w:shd w:val="clear" w:color="auto" w:fill="66CCFF"/>
          </w:tcPr>
          <w:p w14:paraId="677C7BA9" w14:textId="77777777" w:rsidR="00DD3EFA" w:rsidRPr="00EC2A1C" w:rsidRDefault="00DD3EFA" w:rsidP="00B15ECB">
            <w:pPr>
              <w:rPr>
                <w:b/>
              </w:rPr>
            </w:pPr>
          </w:p>
        </w:tc>
      </w:tr>
      <w:tr w:rsidR="00DD3EFA" w:rsidRPr="00EC2A1C" w14:paraId="4D275B8B" w14:textId="77777777" w:rsidTr="00B15ECB">
        <w:trPr>
          <w:trHeight w:val="180"/>
        </w:trPr>
        <w:tc>
          <w:tcPr>
            <w:tcW w:w="249" w:type="dxa"/>
            <w:tcBorders>
              <w:top w:val="nil"/>
              <w:left w:val="single" w:sz="4" w:space="0" w:color="auto"/>
              <w:bottom w:val="nil"/>
              <w:right w:val="nil"/>
            </w:tcBorders>
            <w:shd w:val="clear" w:color="auto" w:fill="66CCFF"/>
          </w:tcPr>
          <w:p w14:paraId="1471DED1"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F7DC2B4" w14:textId="77777777" w:rsidR="00DD3EFA" w:rsidRPr="00EC2A1C" w:rsidRDefault="00DD3EFA" w:rsidP="00B15ECB">
            <w:pPr>
              <w:rPr>
                <w:b/>
              </w:rPr>
            </w:pPr>
          </w:p>
        </w:tc>
        <w:tc>
          <w:tcPr>
            <w:tcW w:w="5978" w:type="dxa"/>
            <w:tcBorders>
              <w:top w:val="single" w:sz="4" w:space="0" w:color="auto"/>
              <w:left w:val="nil"/>
              <w:bottom w:val="single" w:sz="4" w:space="0" w:color="auto"/>
              <w:right w:val="nil"/>
            </w:tcBorders>
            <w:shd w:val="clear" w:color="auto" w:fill="66CCFF"/>
          </w:tcPr>
          <w:p w14:paraId="46A357DF" w14:textId="77777777" w:rsidR="00DD3EFA" w:rsidRPr="00EC2A1C" w:rsidRDefault="00DD3EFA" w:rsidP="00B15ECB">
            <w:pPr>
              <w:rPr>
                <w:b/>
              </w:rPr>
            </w:pPr>
          </w:p>
        </w:tc>
        <w:tc>
          <w:tcPr>
            <w:tcW w:w="249" w:type="dxa"/>
            <w:tcBorders>
              <w:top w:val="nil"/>
              <w:left w:val="nil"/>
              <w:bottom w:val="nil"/>
              <w:right w:val="single" w:sz="4" w:space="0" w:color="auto"/>
            </w:tcBorders>
            <w:shd w:val="clear" w:color="auto" w:fill="66CCFF"/>
          </w:tcPr>
          <w:p w14:paraId="036ECFD2" w14:textId="77777777" w:rsidR="00DD3EFA" w:rsidRPr="00EC2A1C" w:rsidRDefault="00DD3EFA" w:rsidP="00B15ECB">
            <w:pPr>
              <w:rPr>
                <w:b/>
              </w:rPr>
            </w:pPr>
          </w:p>
        </w:tc>
      </w:tr>
      <w:tr w:rsidR="00DD3EFA" w:rsidRPr="00EC2A1C" w14:paraId="5E6976EF" w14:textId="77777777" w:rsidTr="00B15ECB">
        <w:trPr>
          <w:trHeight w:val="892"/>
        </w:trPr>
        <w:tc>
          <w:tcPr>
            <w:tcW w:w="249" w:type="dxa"/>
            <w:tcBorders>
              <w:top w:val="nil"/>
              <w:left w:val="single" w:sz="4" w:space="0" w:color="auto"/>
              <w:bottom w:val="nil"/>
              <w:right w:val="single" w:sz="4" w:space="0" w:color="auto"/>
            </w:tcBorders>
            <w:shd w:val="clear" w:color="auto" w:fill="66CCFF"/>
          </w:tcPr>
          <w:p w14:paraId="79EFBC6F"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1CDF76"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7B5BCDC" w14:textId="77777777" w:rsidR="00DD3EFA" w:rsidRPr="00EC2A1C" w:rsidRDefault="00DD3EFA" w:rsidP="00B15ECB">
            <w:r w:rsidRPr="00EC2A1C">
              <w:t>Staré ekologické zátěže představují velmi pestrou problematiku, kdy nejrůznější zdroje toxických a karcinogenních látek, které mají svůj původ v lidské činnosti před vznikem environmentální legislativy, výrazně negativně ovlivňují či ohrožují zdravotní stav obyvatelstva, nebo ekosystémy ve svém okolí. Potenciální zdroje těchto látek představují bývalé zemědělské či průmyslové areály a sklady, místa na kterých byly v minulosti odstraňovány odpady nebo jinak nevyužitelné areály atd. Jedná se o různě velké lokality, které svojí přítomností nejen významně zhoršují kvalitu životního prostředí, ale zároveň přitahují negativní sociopatologické jevy, vytvářejí ve svém okolí vyloučené lokality, celkově snižují hodnotu širšího okolí a jsou výrazně limitujícím faktorem v rámci územního plánování, budoucího rozvoje a využití lokality i jejího okolí. Mimo vlastních zdrojových lokalit, dochází často k šíření kontaminací horninovým prostředím na větší vzdálenosti, zejména do potenciálních i stávajících vodních zdrojů individuálního i hromadného zásobování obyvatelstva pitnou vodou (to se týká zejména průmyslových areálů či některých lokalit, které sloužily k ukládání odpadů). MŽP v tuto chvíli (rok 2018) v návaznosti na realizaci projektu Národní inventarizace kontaminovaných míst, připravuje strategický dokument, který bude obsahovat dlouhodobější koncepci sanací ekologických zátěží. Staré „skládky“, opuštěné a staré průmyslové či zemědělské (ale také obytné a vojenské) areály často stojí nevyužity a chátrají. Zároveň často představují významné zdravotní a ekologické riziko, zejména pro podzemní vody sloužící jako zdroje pitných vod. Vedle nich přitom vznikají nové provozy „na zelené louce“, které zbytečně zabírají půdu, přitom některé brownfieldy by se daly využít právě pro vznik průmyslových zón nebo by mohly být jinak revitalizovány či využity.</w:t>
            </w:r>
          </w:p>
          <w:p w14:paraId="721B1BA9" w14:textId="77777777" w:rsidR="00DD3EFA" w:rsidRPr="00EC2A1C" w:rsidRDefault="00DD3EFA" w:rsidP="00B15ECB">
            <w:r w:rsidRPr="00EC2A1C">
              <w:t>Možné oblasti intervencí:</w:t>
            </w:r>
          </w:p>
          <w:p w14:paraId="15011723" w14:textId="77777777" w:rsidR="00DD3EFA" w:rsidRPr="00EC2A1C" w:rsidRDefault="00DD3EFA" w:rsidP="00391907">
            <w:pPr>
              <w:pStyle w:val="Odstavecseseznamem"/>
              <w:numPr>
                <w:ilvl w:val="0"/>
                <w:numId w:val="108"/>
              </w:numPr>
              <w:jc w:val="both"/>
              <w:rPr>
                <w:rFonts w:eastAsia="Calibri"/>
              </w:rPr>
            </w:pPr>
            <w:r w:rsidRPr="00EC2A1C">
              <w:rPr>
                <w:rFonts w:eastAsia="Calibri"/>
              </w:rPr>
              <w:t xml:space="preserve">Průzkum znečištění a analýzy rizik kontaminovaných lokalit </w:t>
            </w:r>
          </w:p>
          <w:p w14:paraId="65E14D30" w14:textId="77777777" w:rsidR="00DD3EFA" w:rsidRPr="00EC2A1C" w:rsidRDefault="00DD3EFA" w:rsidP="00391907">
            <w:pPr>
              <w:pStyle w:val="Odstavecseseznamem"/>
              <w:numPr>
                <w:ilvl w:val="0"/>
                <w:numId w:val="108"/>
              </w:numPr>
              <w:jc w:val="both"/>
              <w:rPr>
                <w:rFonts w:eastAsia="Calibri"/>
              </w:rPr>
            </w:pPr>
            <w:r w:rsidRPr="00EC2A1C">
              <w:rPr>
                <w:rFonts w:eastAsia="Calibri"/>
              </w:rPr>
              <w:t>Sanace závažně kontaminovaných lokalit ve vybraných oblastech a regionech</w:t>
            </w:r>
          </w:p>
          <w:p w14:paraId="0F5B227A" w14:textId="77777777" w:rsidR="00DD3EFA" w:rsidRPr="00EC2A1C" w:rsidRDefault="00DD3EFA" w:rsidP="00391907">
            <w:pPr>
              <w:pStyle w:val="Odstavecseseznamem"/>
              <w:numPr>
                <w:ilvl w:val="0"/>
                <w:numId w:val="108"/>
              </w:numPr>
              <w:jc w:val="both"/>
            </w:pPr>
            <w:r w:rsidRPr="00EC2A1C">
              <w:rPr>
                <w:rFonts w:eastAsia="Calibri"/>
              </w:rPr>
              <w:t>Podpora demolic objektů v brownfieldech</w:t>
            </w:r>
            <w:r w:rsidRPr="00EC2A1C">
              <w:t xml:space="preserve"> </w:t>
            </w:r>
          </w:p>
          <w:p w14:paraId="36465559" w14:textId="77777777" w:rsidR="00DD3EFA" w:rsidRPr="00EC2A1C" w:rsidRDefault="00DD3EFA" w:rsidP="00B15ECB">
            <w:pPr>
              <w:ind w:left="142"/>
            </w:pPr>
            <w:r w:rsidRPr="00EC2A1C">
              <w:t xml:space="preserve">Výše podpory by měla být diferenciována podle způsobu odstranění původních staveb - provedení předdemoličního auditu, dekonstrukce, demolice a podle následného využití stavebního a demoličního odpadu – opětovné použití, recyklace, uložení na skládku (při zohlednění nebezpečnosti materiálu). Stavebnictví nabízí velký prostor pro recyklaci a znovu využití stavebních odpadů. Směrnice Evropského parlamentu a Rady (ES) č. 98/2008 ze dne 19. 11. 2008, o odpadech a zrušení některých směrnic, předepisuje od roku 2020 recyklaci 70 procent stavebních a demoličních odpadů. Stavební a demoliční odpady představují přibližně 46% celkové produkce odpadů v ČR. Mezi lety 2014—2016 dosahovala celková produkce v ČR 18,7 milionů tun ročně. </w:t>
            </w:r>
          </w:p>
          <w:p w14:paraId="4345058F" w14:textId="77777777" w:rsidR="00DD3EFA" w:rsidRPr="00EC2A1C" w:rsidRDefault="00DD3EFA" w:rsidP="00391907">
            <w:pPr>
              <w:pStyle w:val="Odstavecseseznamem"/>
              <w:numPr>
                <w:ilvl w:val="0"/>
                <w:numId w:val="108"/>
              </w:numPr>
              <w:spacing w:before="60" w:after="60"/>
              <w:jc w:val="both"/>
              <w:rPr>
                <w:rFonts w:eastAsia="Calibri"/>
              </w:rPr>
            </w:pPr>
            <w:r w:rsidRPr="00EC2A1C">
              <w:rPr>
                <w:rFonts w:eastAsia="Calibri"/>
              </w:rPr>
              <w:t>Podpora následného využití brownfieldů</w:t>
            </w:r>
          </w:p>
          <w:p w14:paraId="49F30AB4" w14:textId="77777777" w:rsidR="00DD3EFA" w:rsidRPr="00EC2A1C" w:rsidRDefault="00DD3EFA" w:rsidP="00B15ECB">
            <w:pPr>
              <w:pStyle w:val="Odstavecseseznamem"/>
              <w:ind w:left="360"/>
              <w:rPr>
                <w:u w:val="single"/>
              </w:rPr>
            </w:pPr>
            <w:r w:rsidRPr="00EC2A1C">
              <w:rPr>
                <w:rFonts w:eastAsia="Calibri"/>
              </w:rPr>
              <w:t>Podpora revitalizace a následného znovuvyužití brownfieldů</w:t>
            </w:r>
          </w:p>
          <w:p w14:paraId="0BEE675F" w14:textId="77777777" w:rsidR="00DD3EFA" w:rsidRPr="00EC2A1C" w:rsidRDefault="00DD3EFA" w:rsidP="00B15ECB">
            <w:pPr>
              <w:ind w:left="142"/>
            </w:pPr>
            <w:r w:rsidRPr="00EC2A1C">
              <w:t>V letech 2007 – 2013 byla investiční podpora na revitalizace průmyslových  objektů brownfields realizována i v gesci MPO v rámci dotačního titulu „nemovitosti“, Operační program Podnikání a Inovace. Jednalo se o investiční podporu pro MSP a velké podniky za účelem rekonstrukcí a revitalizací objektů typu brownfields, nebo jejich obdoby (technicky méně zchátralé, leč komplexní rekonstrukci vyžadující). Podpora směřovala do rekonstrukcí objektů za účelem zřízen í průmysklové výroby a služeb, případně demolice a novostavby tam, kde rekonstrukce nebyla technicky, či ekonomicky možná. Na program v období 2014-2020 navazuje opět program Nemovitosti v podobném duchu a s ohledem na výše uvedené a nezbytnost podpory revitalizace objektů BWF do budoucna spatřujeme jako účelné v tomto pokračovat a kromě aktivit „čištění“ objektů BWF podpořit i jejich opětovnou přeměnu na podnikatelské funkční nemovitosti a tím tak obnovit životní cyklus stavby.</w:t>
            </w:r>
          </w:p>
          <w:p w14:paraId="54006208" w14:textId="77777777" w:rsidR="00DD3EFA" w:rsidRPr="00EC2A1C" w:rsidRDefault="00DD3EFA" w:rsidP="00B15ECB">
            <w:pPr>
              <w:ind w:left="142"/>
            </w:pPr>
            <w:r w:rsidRPr="00EC2A1C">
              <w:t>V současné době Ministerstvo průmyslu a obchodu realizuje národní program Regenerace a podnikatelské využití brownfieldů. Podpora je směřována na území strukturálně postižených krajů (Moravskoslezský, Ústecký, Karlovarský) a hospodářsky problémových regionů.</w:t>
            </w:r>
          </w:p>
          <w:p w14:paraId="2DBDA16D" w14:textId="77777777" w:rsidR="00DD3EFA" w:rsidRPr="00EC2A1C" w:rsidRDefault="00DD3EFA" w:rsidP="00B15ECB">
            <w:pPr>
              <w:ind w:left="142"/>
            </w:pPr>
            <w:r w:rsidRPr="00EC2A1C">
              <w:t xml:space="preserve">V novém programovacím období by bylo vhodné rozšířit program na všechny kraje a umožnit i zapojení podnikatelských subjektů do programu. Podle našeho názoru by došlo k zintenzivnění regenerace brownfields a určitému omezení výstavby "na zelené louce". </w:t>
            </w:r>
          </w:p>
          <w:p w14:paraId="5EE6A83D" w14:textId="77777777" w:rsidR="00DD3EFA" w:rsidRPr="00EC2A1C" w:rsidRDefault="00DD3EFA" w:rsidP="00B15ECB">
            <w:pPr>
              <w:spacing w:before="60" w:after="60"/>
              <w:rPr>
                <w:u w:val="single"/>
              </w:rPr>
            </w:pPr>
            <w:r w:rsidRPr="00EC2A1C">
              <w:t>Regenerace brownfields pro nepodnikatelské účely je realizována prostřednictvím programu MMR Podpora regenerace brownfieldů pro nepodnikatelské využití. Cílem podprogramu je regenerovat území, na němž se nachází objekty či plochy nevyužívané a zanedbané, které lze definovat jako brownfield tak, aby je bylo možné znovu plnohodnotně využít v dalším rozvoji obce, zamezit tak vzniku oblastí se sociální segregací a vytvořit podmínky pro stabilizaci území a zároveň do území přinést nové a potřebné funkce.</w:t>
            </w:r>
          </w:p>
        </w:tc>
        <w:tc>
          <w:tcPr>
            <w:tcW w:w="249" w:type="dxa"/>
            <w:tcBorders>
              <w:top w:val="nil"/>
              <w:left w:val="single" w:sz="4" w:space="0" w:color="auto"/>
              <w:bottom w:val="nil"/>
              <w:right w:val="single" w:sz="4" w:space="0" w:color="auto"/>
            </w:tcBorders>
            <w:shd w:val="clear" w:color="auto" w:fill="66CCFF"/>
          </w:tcPr>
          <w:p w14:paraId="51D11D9A" w14:textId="77777777" w:rsidR="00DD3EFA" w:rsidRPr="00EC2A1C" w:rsidRDefault="00DD3EFA" w:rsidP="00B15ECB">
            <w:pPr>
              <w:rPr>
                <w:b/>
              </w:rPr>
            </w:pPr>
          </w:p>
        </w:tc>
      </w:tr>
      <w:tr w:rsidR="00DD3EFA" w:rsidRPr="00EC2A1C" w14:paraId="0EA50EFA" w14:textId="77777777" w:rsidTr="00B15ECB">
        <w:trPr>
          <w:trHeight w:val="46"/>
        </w:trPr>
        <w:tc>
          <w:tcPr>
            <w:tcW w:w="249" w:type="dxa"/>
            <w:tcBorders>
              <w:top w:val="nil"/>
              <w:left w:val="single" w:sz="4" w:space="0" w:color="auto"/>
              <w:bottom w:val="nil"/>
              <w:right w:val="nil"/>
            </w:tcBorders>
            <w:shd w:val="clear" w:color="auto" w:fill="66CCFF"/>
          </w:tcPr>
          <w:p w14:paraId="0F048E70"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3CD90979" w14:textId="77777777" w:rsidR="00DD3EFA" w:rsidRPr="00EC2A1C" w:rsidRDefault="00DD3EFA" w:rsidP="00B15ECB">
            <w:pPr>
              <w:rPr>
                <w:b/>
              </w:rPr>
            </w:pPr>
          </w:p>
        </w:tc>
        <w:tc>
          <w:tcPr>
            <w:tcW w:w="5978" w:type="dxa"/>
            <w:tcBorders>
              <w:top w:val="single" w:sz="4" w:space="0" w:color="auto"/>
              <w:left w:val="nil"/>
              <w:bottom w:val="single" w:sz="4" w:space="0" w:color="auto"/>
              <w:right w:val="nil"/>
            </w:tcBorders>
            <w:shd w:val="clear" w:color="auto" w:fill="66CCFF"/>
          </w:tcPr>
          <w:p w14:paraId="6D4D35EE" w14:textId="77777777" w:rsidR="00DD3EFA" w:rsidRPr="00EC2A1C" w:rsidRDefault="00DD3EFA" w:rsidP="00B15ECB">
            <w:pPr>
              <w:rPr>
                <w:b/>
              </w:rPr>
            </w:pPr>
          </w:p>
        </w:tc>
        <w:tc>
          <w:tcPr>
            <w:tcW w:w="249" w:type="dxa"/>
            <w:tcBorders>
              <w:top w:val="nil"/>
              <w:left w:val="nil"/>
              <w:bottom w:val="nil"/>
              <w:right w:val="single" w:sz="4" w:space="0" w:color="auto"/>
            </w:tcBorders>
            <w:shd w:val="clear" w:color="auto" w:fill="66CCFF"/>
          </w:tcPr>
          <w:p w14:paraId="461AD689" w14:textId="77777777" w:rsidR="00DD3EFA" w:rsidRPr="00EC2A1C" w:rsidRDefault="00DD3EFA" w:rsidP="00B15ECB">
            <w:pPr>
              <w:rPr>
                <w:b/>
              </w:rPr>
            </w:pPr>
          </w:p>
        </w:tc>
      </w:tr>
      <w:tr w:rsidR="00DD3EFA" w:rsidRPr="00EC2A1C" w14:paraId="7FA24152"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6D3C520D"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4B6A2"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17F2CB6" w14:textId="77777777" w:rsidR="00DD3EFA" w:rsidRPr="00EC2A1C" w:rsidRDefault="00DD3EFA" w:rsidP="00B15ECB">
            <w:pPr>
              <w:spacing w:before="60" w:after="60"/>
              <w:rPr>
                <w:rFonts w:eastAsiaTheme="majorEastAsia"/>
                <w:i/>
                <w:color w:val="A6A6A6" w:themeColor="background1" w:themeShade="A6"/>
              </w:rPr>
            </w:pPr>
            <w:r w:rsidRPr="00EC2A1C">
              <w:rPr>
                <w:rFonts w:eastAsiaTheme="majorEastAsia"/>
                <w:i/>
                <w:color w:val="A6A6A6" w:themeColor="background1" w:themeShade="A6"/>
                <w:u w:val="single"/>
              </w:rPr>
              <w:t>Lze převzít z předchozí verze karty.</w:t>
            </w:r>
          </w:p>
          <w:p w14:paraId="26E2FD03" w14:textId="77777777" w:rsidR="00DD3EFA" w:rsidRPr="00EC2A1C" w:rsidRDefault="00DD3EFA" w:rsidP="00B15ECB">
            <w:pPr>
              <w:spacing w:before="60" w:after="60"/>
            </w:pPr>
          </w:p>
          <w:p w14:paraId="6D112D16" w14:textId="77777777" w:rsidR="00DD3EFA" w:rsidRPr="00EC2A1C" w:rsidRDefault="00DD3EFA" w:rsidP="00B15ECB">
            <w:pPr>
              <w:spacing w:before="60" w:after="60"/>
            </w:pPr>
            <w:r w:rsidRPr="00EC2A1C">
              <w:t xml:space="preserve">Staré ekologické zátěže představují z hlediska životního prostředí riziko znečištění zdrojů povrchových a podzemních vod, půdy, horninového prostředí, stavebních konstrukcí či ovzduší. Kontaminace podzemních vod představuje přímé ohrožení obyvatelstva v případě jejich využití pro pitné či hygienické účely. V důsledku kontaminace horninového prostředí či stavebních konstrukcí budov může dojít závažnému ohrožení lidského zdraví toxickými a karcinogenními látkami. Sanace kontaminovaných území přispívá ke snížení zdravotních rizik u obyvatelstva, omezuje vznik a rozšiřování vyloučených lokalit, omezuje zábor ZPF a přispívá k regeneraci přirozených vazeb v krajině. </w:t>
            </w:r>
          </w:p>
          <w:p w14:paraId="46FB8C65" w14:textId="6C4093A5" w:rsidR="00DD3EFA" w:rsidRPr="00EC2A1C" w:rsidRDefault="00DD3EFA" w:rsidP="00B15ECB">
            <w:pPr>
              <w:spacing w:before="60" w:after="60"/>
              <w:rPr>
                <w:rFonts w:eastAsiaTheme="majorEastAsia"/>
                <w:i/>
                <w:u w:val="single"/>
              </w:rPr>
            </w:pPr>
            <w:r w:rsidRPr="00EC2A1C">
              <w:t xml:space="preserve">Samotné odstranění zátěží však představuje pouze krok A, krokem B je </w:t>
            </w:r>
            <w:r w:rsidR="00747AAD" w:rsidRPr="00EC2A1C">
              <w:t>znovuvyužití</w:t>
            </w:r>
            <w:r w:rsidRPr="00EC2A1C">
              <w:t xml:space="preserve"> lokalit a tam, kde existují budovy zajistit jejich opětovné využití formou podpory jejich rekonstrukce, případně demolice a novostavby tam, kde technický stav nebo ekonomika nedovolí jinak.</w:t>
            </w:r>
          </w:p>
        </w:tc>
        <w:tc>
          <w:tcPr>
            <w:tcW w:w="249" w:type="dxa"/>
            <w:tcBorders>
              <w:top w:val="nil"/>
              <w:left w:val="single" w:sz="4" w:space="0" w:color="auto"/>
              <w:bottom w:val="nil"/>
              <w:right w:val="single" w:sz="4" w:space="0" w:color="auto"/>
            </w:tcBorders>
            <w:shd w:val="clear" w:color="auto" w:fill="66CCFF"/>
          </w:tcPr>
          <w:p w14:paraId="3B45CBA5" w14:textId="77777777" w:rsidR="00DD3EFA" w:rsidRPr="00EC2A1C" w:rsidRDefault="00DD3EFA" w:rsidP="00B15ECB">
            <w:pPr>
              <w:rPr>
                <w:b/>
              </w:rPr>
            </w:pPr>
          </w:p>
        </w:tc>
      </w:tr>
      <w:tr w:rsidR="00DD3EFA" w:rsidRPr="00EC2A1C" w14:paraId="68959128"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0EB0D277"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86D375"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F6AFA22" w14:textId="77777777" w:rsidR="00DD3EFA" w:rsidRPr="00EC2A1C" w:rsidRDefault="00DD3EFA" w:rsidP="00B15ECB">
            <w:pPr>
              <w:spacing w:before="60" w:after="60"/>
            </w:pPr>
            <w:r w:rsidRPr="00EC2A1C">
              <w:t>Podpora průzkumů a sanací starých ekologických zátěží, je zaměřena na odstranění starých ekologických zátěží, u kterých hrozí největší zdravotní rizika díky hrozícímu kontaktu obyvatel či citlivých ekosystémů s toxickými nebo karcinogenními látkami, které v minulosti unikly do stavebních konstrukcí, horninového prostředí či podzemních vod. Realizací opatření tedy dojde primárně k omezení zdravotních dopadů kontaminace na obyvatele či ekosystémy, omezení ohrožení využívaných i projektovaných vodních zdrojů, uvolnění území vysanovaných brownfiledů pro další využití a zhodnocení novými uživateli. Brownfieldy a kontaminované lokality tvoří neprostupné části krajiny či měst, které často představují ekologické riziko, zejména pro podzemní vody a půdy. Dosud je vidováno 9 242 míst s ekologickou zátěží různého rozsahu. Rozsah kontaminace a její vliv na životní prostředí však u většiny z nich není znám. Číslo není konečné a je proto třeba dokončit jejich inventarizaci. V návaznosti na její dokončení pak musí na potenciálně nejrizikovějších lokalitách proběhnout průzkum kontaminace a následná sanace těchto území. Zhruba 500 brownfieldů je dle údajů CzechInvestu připraveno pro případné využití investorů.</w:t>
            </w:r>
          </w:p>
          <w:p w14:paraId="060AC0E6" w14:textId="77777777" w:rsidR="00DD3EFA" w:rsidRPr="00EC2A1C" w:rsidRDefault="00DD3EFA" w:rsidP="00B15ECB">
            <w:pPr>
              <w:spacing w:before="60" w:after="60"/>
              <w:rPr>
                <w:rFonts w:eastAsiaTheme="majorEastAsia"/>
                <w:i/>
                <w:u w:val="single"/>
              </w:rPr>
            </w:pPr>
            <w:r w:rsidRPr="00EC2A1C">
              <w:t>Existence brownfieldů v podobě objektů a budov, které obsahují minimální ekologickou zátěž a jejich negativní příspěvek tak spočívá především v jejich existenci jako takové, která definuje stavební odpad různé míry znečištění, a absence opětovného využití mnohdy významných architektonických staveb na úkor nové výstavby je rovněž nezanedbatelným problémem, který nelze řešit prostou novou výstavbou na „green fields“ plochách a z hlediska omezeného prostoru pro další výstavbu se nahrazování a rekonstrukce brownfields pro průmyslovou výrobu a služby jeví jako víc než účelné pro řešení takového problému.</w:t>
            </w:r>
          </w:p>
        </w:tc>
        <w:tc>
          <w:tcPr>
            <w:tcW w:w="249" w:type="dxa"/>
            <w:tcBorders>
              <w:top w:val="nil"/>
              <w:left w:val="single" w:sz="4" w:space="0" w:color="auto"/>
              <w:bottom w:val="nil"/>
              <w:right w:val="single" w:sz="4" w:space="0" w:color="auto"/>
            </w:tcBorders>
            <w:shd w:val="clear" w:color="auto" w:fill="66CCFF"/>
          </w:tcPr>
          <w:p w14:paraId="6596E329" w14:textId="77777777" w:rsidR="00DD3EFA" w:rsidRPr="00EC2A1C" w:rsidRDefault="00DD3EFA" w:rsidP="00B15ECB">
            <w:pPr>
              <w:rPr>
                <w:b/>
              </w:rPr>
            </w:pPr>
          </w:p>
        </w:tc>
      </w:tr>
      <w:tr w:rsidR="00DD3EFA" w:rsidRPr="00EC2A1C" w14:paraId="6DE4C980"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4CEE8FA3"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77092D76" w14:textId="77777777" w:rsidR="00DD3EFA" w:rsidRPr="00EC2A1C" w:rsidRDefault="00DD3EFA" w:rsidP="00B15ECB">
            <w:pPr>
              <w:spacing w:before="60" w:after="60"/>
              <w:rPr>
                <w:rFonts w:eastAsiaTheme="majorEastAsia"/>
                <w:b/>
              </w:rPr>
            </w:pPr>
            <w:r w:rsidRPr="00EC2A1C">
              <w:rPr>
                <w:rFonts w:eastAsiaTheme="majorEastAsia"/>
                <w:b/>
              </w:rPr>
              <w:t>Definice cíle – změny, které chceme dosáhnout</w:t>
            </w:r>
          </w:p>
          <w:p w14:paraId="3622127C" w14:textId="77777777" w:rsidR="00DD3EFA" w:rsidRPr="00EC2A1C" w:rsidRDefault="00DD3EFA" w:rsidP="00B15ECB">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2BFA62" w14:textId="77777777" w:rsidR="00DD3EFA" w:rsidRPr="00EC2A1C" w:rsidRDefault="00DD3EFA" w:rsidP="00391907">
            <w:pPr>
              <w:pStyle w:val="Odstavecseseznamem"/>
              <w:numPr>
                <w:ilvl w:val="0"/>
                <w:numId w:val="125"/>
              </w:numPr>
              <w:spacing w:before="60" w:after="60"/>
              <w:jc w:val="both"/>
            </w:pPr>
            <w:r w:rsidRPr="00EC2A1C">
              <w:t>Identifikace zdravotních a ekologických rizik na kontaminovaných lokalitách a návrh nejefektivnějšího způsobu jejich eliminace – realizací průzkumů a Analýz rizik.</w:t>
            </w:r>
          </w:p>
          <w:p w14:paraId="36316B8D" w14:textId="77777777" w:rsidR="00DD3EFA" w:rsidRPr="00EC2A1C" w:rsidRDefault="00DD3EFA" w:rsidP="00391907">
            <w:pPr>
              <w:pStyle w:val="Odstavecseseznamem"/>
              <w:numPr>
                <w:ilvl w:val="0"/>
                <w:numId w:val="125"/>
              </w:numPr>
              <w:spacing w:before="60" w:after="60"/>
              <w:jc w:val="both"/>
            </w:pPr>
            <w:r w:rsidRPr="00EC2A1C">
              <w:t>Odstranění zjištěných zdravotních a environmentálních rizik v návaznosti na provedené průzkumy a AR. Zejména odstranění, či omezení vlivu kontaminace na podzemní a povrchové vody, především sloužící jako zdroje pitných vod.</w:t>
            </w:r>
          </w:p>
          <w:p w14:paraId="20F7D3EB" w14:textId="77777777" w:rsidR="00DD3EFA" w:rsidRPr="00EC2A1C" w:rsidRDefault="00DD3EFA" w:rsidP="00391907">
            <w:pPr>
              <w:pStyle w:val="Odstavecseseznamem"/>
              <w:numPr>
                <w:ilvl w:val="0"/>
                <w:numId w:val="125"/>
              </w:numPr>
              <w:spacing w:before="60" w:after="60"/>
              <w:jc w:val="both"/>
            </w:pPr>
            <w:r w:rsidRPr="00EC2A1C">
              <w:t>Minimalizace objektů typu BWF, především budov</w:t>
            </w:r>
          </w:p>
          <w:p w14:paraId="5E89B416" w14:textId="77777777" w:rsidR="00DD3EFA" w:rsidRPr="00EC2A1C" w:rsidRDefault="00DD3EFA" w:rsidP="00391907">
            <w:pPr>
              <w:pStyle w:val="Odstavecseseznamem"/>
              <w:numPr>
                <w:ilvl w:val="0"/>
                <w:numId w:val="125"/>
              </w:numPr>
              <w:spacing w:before="60" w:after="60"/>
              <w:jc w:val="both"/>
            </w:pPr>
            <w:r w:rsidRPr="00EC2A1C">
              <w:t>Zamezení účelových záborů zemědělské půdy pro novou výstavby v průmuslu a službávh</w:t>
            </w:r>
          </w:p>
          <w:p w14:paraId="63CEA866" w14:textId="77777777" w:rsidR="00DD3EFA" w:rsidRPr="00EC2A1C" w:rsidRDefault="00DD3EFA" w:rsidP="00391907">
            <w:pPr>
              <w:pStyle w:val="Odstavecseseznamem"/>
              <w:numPr>
                <w:ilvl w:val="0"/>
                <w:numId w:val="125"/>
              </w:numPr>
              <w:spacing w:before="60" w:after="60"/>
              <w:jc w:val="both"/>
              <w:rPr>
                <w:rFonts w:eastAsiaTheme="majorEastAsia"/>
                <w:i/>
                <w:u w:val="single"/>
              </w:rPr>
            </w:pPr>
            <w:r w:rsidRPr="00EC2A1C">
              <w:t>Zlepšení hygienických i životních podmínek v okolí staveb</w:t>
            </w:r>
          </w:p>
        </w:tc>
        <w:tc>
          <w:tcPr>
            <w:tcW w:w="249" w:type="dxa"/>
            <w:tcBorders>
              <w:top w:val="nil"/>
              <w:left w:val="single" w:sz="4" w:space="0" w:color="auto"/>
              <w:bottom w:val="nil"/>
              <w:right w:val="single" w:sz="4" w:space="0" w:color="auto"/>
            </w:tcBorders>
            <w:shd w:val="clear" w:color="auto" w:fill="66CCFF"/>
          </w:tcPr>
          <w:p w14:paraId="0A1F4D4A" w14:textId="77777777" w:rsidR="00DD3EFA" w:rsidRPr="00EC2A1C" w:rsidRDefault="00DD3EFA" w:rsidP="00B15ECB">
            <w:pPr>
              <w:rPr>
                <w:b/>
              </w:rPr>
            </w:pPr>
          </w:p>
        </w:tc>
      </w:tr>
      <w:tr w:rsidR="00DD3EFA" w:rsidRPr="00EC2A1C" w14:paraId="41AF693E"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7D13277C"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DEC724" w14:textId="77777777" w:rsidR="00DD3EFA" w:rsidRPr="00EC2A1C" w:rsidRDefault="00DD3EFA" w:rsidP="00B15ECB">
            <w:pPr>
              <w:spacing w:before="60" w:after="60"/>
              <w:rPr>
                <w:rFonts w:eastAsiaTheme="majorEastAsia"/>
                <w:b/>
              </w:rPr>
            </w:pPr>
            <w:r w:rsidRPr="00EC2A1C">
              <w:rPr>
                <w:rFonts w:eastAsiaTheme="majorEastAsia"/>
                <w:b/>
              </w:rPr>
              <w:t>Defininice předpokládaných výstupů/výsledků/dopadů</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8A9D1A" w14:textId="77777777" w:rsidR="00DD3EFA" w:rsidRPr="00EC2A1C" w:rsidRDefault="00DD3EFA" w:rsidP="00B15ECB">
            <w:pPr>
              <w:spacing w:before="60" w:after="60"/>
              <w:rPr>
                <w:i/>
              </w:rPr>
            </w:pPr>
            <w:r w:rsidRPr="00EC2A1C">
              <w:rPr>
                <w:i/>
              </w:rPr>
              <w:t>Uvést předpokládané měřitelné výstupy – výsledky – dopady (deskriptivní popis).</w:t>
            </w:r>
          </w:p>
          <w:p w14:paraId="3BB9ACF0" w14:textId="77777777" w:rsidR="00DD3EFA" w:rsidRPr="00EC2A1C" w:rsidRDefault="00DD3EFA" w:rsidP="00B15ECB">
            <w:pPr>
              <w:spacing w:before="60" w:after="60"/>
            </w:pPr>
            <w:r w:rsidRPr="00EC2A1C">
              <w:t>Systém indikátorů bude navazovat na systém využívaný v současném období a bude respektovat požadavky evropských i národních metodik. V této fázi přípravy nového období, kdy nejsou ještě přesně určeny konkrétní definované aktivity a nejsou k dispozici podrobné metodiky, nejsme schopni přesné ukazatele definovat. Předpokládáme, že indikátory budou popsány v kartách intervenční logiky.</w:t>
            </w:r>
          </w:p>
          <w:p w14:paraId="5D2C3965" w14:textId="77777777" w:rsidR="00DD3EFA" w:rsidRPr="00EC2A1C" w:rsidRDefault="00DD3EFA" w:rsidP="00B15ECB">
            <w:pPr>
              <w:spacing w:before="60" w:after="60"/>
              <w:rPr>
                <w:rFonts w:eastAsiaTheme="majorEastAsia"/>
                <w:u w:val="single"/>
              </w:rPr>
            </w:pPr>
            <w:r w:rsidRPr="00EC2A1C">
              <w:rPr>
                <w:rFonts w:eastAsiaTheme="majorEastAsia"/>
                <w:u w:val="single"/>
              </w:rPr>
              <w:t>Mezi v tuto chvíli uvažované indikátory patří:</w:t>
            </w:r>
          </w:p>
          <w:p w14:paraId="04A2B91A" w14:textId="77777777" w:rsidR="00DD3EFA" w:rsidRPr="00EC2A1C" w:rsidRDefault="00DD3EFA" w:rsidP="00B15ECB">
            <w:pPr>
              <w:spacing w:before="60" w:after="60"/>
              <w:rPr>
                <w:rFonts w:eastAsiaTheme="majorEastAsia"/>
              </w:rPr>
            </w:pPr>
            <w:r w:rsidRPr="00EC2A1C">
              <w:rPr>
                <w:rFonts w:eastAsiaTheme="majorEastAsia"/>
              </w:rPr>
              <w:t>Počet prozkoumaných lokalit se změněnou prioritou</w:t>
            </w:r>
          </w:p>
          <w:p w14:paraId="71A3D303" w14:textId="77777777" w:rsidR="00DD3EFA" w:rsidRPr="00EC2A1C" w:rsidRDefault="00DD3EFA" w:rsidP="00B15ECB">
            <w:pPr>
              <w:spacing w:before="60" w:after="60"/>
              <w:rPr>
                <w:rFonts w:eastAsiaTheme="majorEastAsia"/>
              </w:rPr>
            </w:pPr>
            <w:r w:rsidRPr="00EC2A1C">
              <w:rPr>
                <w:rFonts w:eastAsiaTheme="majorEastAsia"/>
              </w:rPr>
              <w:t>Celková plocha vysanovaných lokalit</w:t>
            </w:r>
          </w:p>
          <w:p w14:paraId="34E31F9D" w14:textId="77777777" w:rsidR="00DD3EFA" w:rsidRPr="00EC2A1C" w:rsidRDefault="00DD3EFA" w:rsidP="00B15ECB">
            <w:pPr>
              <w:spacing w:before="60" w:after="60"/>
              <w:rPr>
                <w:rFonts w:eastAsiaTheme="majorEastAsia"/>
              </w:rPr>
            </w:pPr>
            <w:r w:rsidRPr="00EC2A1C">
              <w:rPr>
                <w:rFonts w:eastAsiaTheme="majorEastAsia"/>
              </w:rPr>
              <w:t>Počet nově podpořených investičních záměrů</w:t>
            </w:r>
          </w:p>
          <w:p w14:paraId="084097E4" w14:textId="77777777" w:rsidR="00DD3EFA" w:rsidRPr="00EC2A1C" w:rsidRDefault="00DD3EFA" w:rsidP="00B15ECB">
            <w:pPr>
              <w:spacing w:before="60" w:after="60"/>
              <w:rPr>
                <w:rFonts w:eastAsiaTheme="majorEastAsia"/>
                <w:i/>
                <w:u w:val="single"/>
              </w:rPr>
            </w:pPr>
            <w:r w:rsidRPr="00EC2A1C">
              <w:rPr>
                <w:rFonts w:eastAsiaTheme="majorEastAsia"/>
              </w:rPr>
              <w:t>Počet regenerovaných ploch pro podnikání</w:t>
            </w:r>
          </w:p>
        </w:tc>
        <w:tc>
          <w:tcPr>
            <w:tcW w:w="249" w:type="dxa"/>
            <w:tcBorders>
              <w:top w:val="nil"/>
              <w:left w:val="single" w:sz="4" w:space="0" w:color="auto"/>
              <w:bottom w:val="nil"/>
              <w:right w:val="single" w:sz="4" w:space="0" w:color="auto"/>
            </w:tcBorders>
            <w:shd w:val="clear" w:color="auto" w:fill="66CCFF"/>
          </w:tcPr>
          <w:p w14:paraId="310FAEBD" w14:textId="77777777" w:rsidR="00DD3EFA" w:rsidRPr="00EC2A1C" w:rsidRDefault="00DD3EFA" w:rsidP="00B15ECB">
            <w:pPr>
              <w:rPr>
                <w:b/>
              </w:rPr>
            </w:pPr>
          </w:p>
        </w:tc>
      </w:tr>
      <w:tr w:rsidR="00DD3EFA" w:rsidRPr="00EC2A1C" w14:paraId="270402AC"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01654E89"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829D89" w14:textId="77777777" w:rsidR="00DD3EFA" w:rsidRPr="00EC2A1C" w:rsidRDefault="00DD3EFA"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E25A59" w14:textId="77777777" w:rsidR="00DD3EFA" w:rsidRPr="00EC2A1C" w:rsidRDefault="00DD3EFA" w:rsidP="00B15ECB">
            <w:pPr>
              <w:spacing w:before="60" w:after="60"/>
            </w:pPr>
            <w:r w:rsidRPr="00EC2A1C">
              <w:t>S ohledem na množství kontaminovaných lokalit a celkovou náročnost řešení problematiky předpokládáme velmi výrazný nárůst významu ESIF na minimálně 60-70 %.</w:t>
            </w:r>
          </w:p>
          <w:p w14:paraId="35B0FBE9" w14:textId="77777777" w:rsidR="00DD3EFA" w:rsidRPr="00EC2A1C" w:rsidRDefault="00DD3EFA" w:rsidP="00B15ECB">
            <w:pPr>
              <w:spacing w:before="60" w:after="60"/>
              <w:rPr>
                <w:rFonts w:eastAsiaTheme="majorEastAsia"/>
                <w:i/>
                <w:u w:val="single"/>
              </w:rPr>
            </w:pPr>
            <w:r w:rsidRPr="00EC2A1C">
              <w:t>Pro oblast revitalizace a rekonstrukce BWF pro opětovné zavedení výroby a využití 100 %.</w:t>
            </w:r>
          </w:p>
        </w:tc>
        <w:tc>
          <w:tcPr>
            <w:tcW w:w="249" w:type="dxa"/>
            <w:tcBorders>
              <w:top w:val="nil"/>
              <w:left w:val="single" w:sz="4" w:space="0" w:color="auto"/>
              <w:bottom w:val="nil"/>
              <w:right w:val="single" w:sz="4" w:space="0" w:color="auto"/>
            </w:tcBorders>
            <w:shd w:val="clear" w:color="auto" w:fill="66CCFF"/>
          </w:tcPr>
          <w:p w14:paraId="61BCE758" w14:textId="77777777" w:rsidR="00DD3EFA" w:rsidRPr="00EC2A1C" w:rsidRDefault="00DD3EFA" w:rsidP="00B15ECB">
            <w:pPr>
              <w:rPr>
                <w:b/>
              </w:rPr>
            </w:pPr>
          </w:p>
        </w:tc>
      </w:tr>
      <w:tr w:rsidR="00DD3EFA" w:rsidRPr="00EC2A1C" w14:paraId="47A7FD09" w14:textId="77777777" w:rsidTr="00B15ECB">
        <w:trPr>
          <w:trHeight w:val="1274"/>
        </w:trPr>
        <w:tc>
          <w:tcPr>
            <w:tcW w:w="249" w:type="dxa"/>
            <w:tcBorders>
              <w:top w:val="nil"/>
              <w:left w:val="single" w:sz="4" w:space="0" w:color="auto"/>
              <w:bottom w:val="nil"/>
              <w:right w:val="single" w:sz="4" w:space="0" w:color="auto"/>
            </w:tcBorders>
            <w:shd w:val="clear" w:color="auto" w:fill="66CCFF"/>
          </w:tcPr>
          <w:p w14:paraId="5FE742F2"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001C2C" w14:textId="77777777" w:rsidR="00DD3EFA" w:rsidRPr="00EC2A1C" w:rsidRDefault="00DD3EFA" w:rsidP="00B15ECB">
            <w:pPr>
              <w:spacing w:before="60" w:after="60"/>
              <w:rPr>
                <w:rFonts w:eastAsiaTheme="majorEastAsia"/>
                <w:b/>
              </w:rPr>
            </w:pPr>
            <w:r w:rsidRPr="00EC2A1C">
              <w:rPr>
                <w:rFonts w:eastAsiaTheme="majorEastAsia"/>
                <w:b/>
              </w:rPr>
              <w:t>Posun intervencí oproti dosavadním obdobím</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45B129" w14:textId="77777777" w:rsidR="00DD3EFA" w:rsidRPr="00EC2A1C" w:rsidRDefault="00DD3EFA" w:rsidP="00B15ECB">
            <w:pPr>
              <w:pStyle w:val="slovanodstavec"/>
              <w:tabs>
                <w:tab w:val="left" w:pos="284"/>
              </w:tabs>
              <w:suppressAutoHyphens/>
              <w:rPr>
                <w:rFonts w:ascii="Times New Roman" w:hAnsi="Times New Roman"/>
                <w:i/>
              </w:rPr>
            </w:pPr>
            <w:r w:rsidRPr="00EC2A1C">
              <w:rPr>
                <w:rFonts w:ascii="Times New Roman" w:eastAsiaTheme="majorEastAsia" w:hAnsi="Times New Roman"/>
              </w:rPr>
              <w:t>Souběžně s ukončením stávajícího programového období (2014-2020) by ČR měla mít k dispozici komplexní databáze kontaminovaných a potenciálně kontaminovaných míst. Zároveň průběžně probíhá realizace průzkumů a sanačních zásahů na aktuálně známých prioritních lokalitách. Díky tomu, že problematika je v OPŽP dlouhodobě podporována došlo k jejímu prostoupení do podvědomí veřejnosti, což napomáhá v komunikaci se zájemci o řešení problematiky konkrétní ekologické zátěže. S rostoucími projevy změny klimatu a zejména úbytkem srážek a zásob podzemních vod je nezbytné maximalizovat ochranu zbývajících vodních zdrojů a podporovat preventivní opatření k zamezení jejich znehodnocení. Mimo kofinancování projektů zaměřených na odstranění starých ekologických zátěží však v ČR v současnosti neexistuje jiný nástroj, který by efektivně motivoval nebo nutil majitele historicky kontaminovaných nemovitostí řešit jejich vliv na okolí, tedy například vliv na podzemní vody. Tito majitelé nejsou původci znečištění ani jeho právní nástupci a je tak problematické uložit nápravná opatření, která by bylo možné efektivně vymáhat. Pozitivní motivace formou kofinancování nákladných projektů identifikace ekologických zátěží a jejich rizik a jejich následné sanace je tedy klíčovým nástrojem, bez kterého hrozí závažné riziko zhoršení stavu ŽP v ČR.</w:t>
            </w:r>
          </w:p>
          <w:p w14:paraId="45AA17F5" w14:textId="77777777" w:rsidR="00DD3EFA" w:rsidRPr="00EC2A1C" w:rsidRDefault="00DD3EFA" w:rsidP="00B15ECB">
            <w:pPr>
              <w:pStyle w:val="slovanodstavec"/>
              <w:tabs>
                <w:tab w:val="left" w:pos="284"/>
              </w:tabs>
              <w:suppressAutoHyphens/>
              <w:rPr>
                <w:rFonts w:ascii="Times New Roman" w:hAnsi="Times New Roman"/>
                <w:i/>
              </w:rPr>
            </w:pPr>
            <w:r w:rsidRPr="00EC2A1C">
              <w:rPr>
                <w:rFonts w:ascii="Times New Roman" w:eastAsiaTheme="majorEastAsia" w:hAnsi="Times New Roman"/>
              </w:rPr>
              <w:t xml:space="preserve">Intervence v oblasti revitalizace objektů BWF pro znovuzavedení výroby by měla obdobně jako ve stávajícím období cílit jednak na prokazatelně nevyužívané či nevyužitelné objekty a areály, ale také na méně zanedbané nemovitosti, které jsou částečně či plně využívané. </w:t>
            </w:r>
          </w:p>
        </w:tc>
        <w:tc>
          <w:tcPr>
            <w:tcW w:w="249" w:type="dxa"/>
            <w:tcBorders>
              <w:top w:val="nil"/>
              <w:left w:val="single" w:sz="4" w:space="0" w:color="auto"/>
              <w:bottom w:val="nil"/>
              <w:right w:val="single" w:sz="4" w:space="0" w:color="auto"/>
            </w:tcBorders>
            <w:shd w:val="clear" w:color="auto" w:fill="66CCFF"/>
          </w:tcPr>
          <w:p w14:paraId="2965F656" w14:textId="77777777" w:rsidR="00DD3EFA" w:rsidRPr="00EC2A1C" w:rsidRDefault="00DD3EFA" w:rsidP="00B15ECB">
            <w:pPr>
              <w:rPr>
                <w:b/>
              </w:rPr>
            </w:pPr>
          </w:p>
        </w:tc>
      </w:tr>
      <w:tr w:rsidR="00DD3EFA" w:rsidRPr="00EC2A1C" w14:paraId="7CF7A5F6" w14:textId="77777777" w:rsidTr="00B15ECB">
        <w:trPr>
          <w:trHeight w:val="272"/>
        </w:trPr>
        <w:tc>
          <w:tcPr>
            <w:tcW w:w="249" w:type="dxa"/>
            <w:tcBorders>
              <w:top w:val="nil"/>
              <w:left w:val="single" w:sz="4" w:space="0" w:color="auto"/>
              <w:bottom w:val="nil"/>
              <w:right w:val="nil"/>
            </w:tcBorders>
            <w:shd w:val="clear" w:color="auto" w:fill="66CCFF"/>
          </w:tcPr>
          <w:p w14:paraId="12A31A2A"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62F7336"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56389B4"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right w:val="single" w:sz="4" w:space="0" w:color="auto"/>
            </w:tcBorders>
            <w:shd w:val="clear" w:color="auto" w:fill="66CCFF"/>
          </w:tcPr>
          <w:p w14:paraId="46A682E0" w14:textId="77777777" w:rsidR="00DD3EFA" w:rsidRPr="00EC2A1C" w:rsidRDefault="00DD3EFA" w:rsidP="00B15ECB">
            <w:pPr>
              <w:rPr>
                <w:b/>
              </w:rPr>
            </w:pPr>
          </w:p>
        </w:tc>
      </w:tr>
      <w:tr w:rsidR="00DD3EFA" w:rsidRPr="00EC2A1C" w14:paraId="51D552D4" w14:textId="77777777" w:rsidTr="00B15ECB">
        <w:trPr>
          <w:trHeight w:val="835"/>
        </w:trPr>
        <w:tc>
          <w:tcPr>
            <w:tcW w:w="249" w:type="dxa"/>
            <w:tcBorders>
              <w:top w:val="nil"/>
              <w:left w:val="single" w:sz="4" w:space="0" w:color="auto"/>
              <w:bottom w:val="nil"/>
              <w:right w:val="single" w:sz="4" w:space="0" w:color="auto"/>
            </w:tcBorders>
            <w:shd w:val="clear" w:color="auto" w:fill="66CCFF"/>
          </w:tcPr>
          <w:p w14:paraId="43A6BF5C"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auto"/>
          </w:tcPr>
          <w:p w14:paraId="6F0802F6"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21668FB4" w14:textId="77777777" w:rsidR="00DD3EFA" w:rsidRPr="00EC2A1C" w:rsidRDefault="00DD3EFA" w:rsidP="00B15ECB">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auto"/>
          </w:tcPr>
          <w:p w14:paraId="76A3BB70" w14:textId="77777777" w:rsidR="00DD3EFA" w:rsidRPr="00EC2A1C" w:rsidRDefault="00DD3EFA" w:rsidP="00391907">
            <w:pPr>
              <w:pStyle w:val="Odstavecseseznamem"/>
              <w:numPr>
                <w:ilvl w:val="0"/>
                <w:numId w:val="108"/>
              </w:numPr>
              <w:jc w:val="both"/>
              <w:rPr>
                <w:rFonts w:eastAsia="Calibri"/>
              </w:rPr>
            </w:pPr>
            <w:r w:rsidRPr="00EC2A1C">
              <w:rPr>
                <w:rFonts w:eastAsia="Calibri"/>
              </w:rPr>
              <w:t xml:space="preserve">Průzkum znečištění a analýzy rizik kontaminovaných lokalit </w:t>
            </w:r>
          </w:p>
          <w:p w14:paraId="025AA9BC" w14:textId="77777777" w:rsidR="00DD3EFA" w:rsidRPr="00EC2A1C" w:rsidRDefault="00DD3EFA" w:rsidP="00391907">
            <w:pPr>
              <w:pStyle w:val="Odstavecseseznamem"/>
              <w:numPr>
                <w:ilvl w:val="0"/>
                <w:numId w:val="108"/>
              </w:numPr>
              <w:jc w:val="both"/>
              <w:rPr>
                <w:rFonts w:eastAsia="Calibri"/>
              </w:rPr>
            </w:pPr>
            <w:r w:rsidRPr="00EC2A1C">
              <w:rPr>
                <w:rFonts w:eastAsia="Calibri"/>
              </w:rPr>
              <w:t>Sanace závažně kontaminovaných lokalit ve vybraných oblastech a regionech</w:t>
            </w:r>
          </w:p>
          <w:p w14:paraId="6B2E3017" w14:textId="77777777" w:rsidR="00DD3EFA" w:rsidRPr="00EC2A1C" w:rsidRDefault="00DD3EFA" w:rsidP="00391907">
            <w:pPr>
              <w:pStyle w:val="Odstavecseseznamem"/>
              <w:numPr>
                <w:ilvl w:val="0"/>
                <w:numId w:val="108"/>
              </w:numPr>
              <w:jc w:val="both"/>
              <w:rPr>
                <w:rFonts w:eastAsia="Calibri"/>
              </w:rPr>
            </w:pPr>
            <w:r w:rsidRPr="00EC2A1C">
              <w:rPr>
                <w:rFonts w:eastAsia="Calibri"/>
              </w:rPr>
              <w:t>Podpora demolic objektů v brownfieldech</w:t>
            </w:r>
          </w:p>
          <w:p w14:paraId="65F7D54C" w14:textId="77777777" w:rsidR="00DD3EFA" w:rsidRPr="00EC2A1C" w:rsidRDefault="00DD3EFA" w:rsidP="00391907">
            <w:pPr>
              <w:pStyle w:val="Odstavecseseznamem"/>
              <w:numPr>
                <w:ilvl w:val="0"/>
                <w:numId w:val="108"/>
              </w:numPr>
              <w:spacing w:before="60" w:after="60"/>
              <w:jc w:val="both"/>
              <w:rPr>
                <w:rFonts w:eastAsiaTheme="majorEastAsia"/>
                <w:i/>
              </w:rPr>
            </w:pPr>
            <w:r w:rsidRPr="00EC2A1C">
              <w:rPr>
                <w:rFonts w:eastAsia="Calibri"/>
              </w:rPr>
              <w:t>Podpora následného využití brownfieldů</w:t>
            </w:r>
          </w:p>
          <w:p w14:paraId="6FBEA796" w14:textId="77777777" w:rsidR="00DD3EFA" w:rsidRPr="00EC2A1C" w:rsidRDefault="00DD3EFA" w:rsidP="00B15ECB">
            <w:pPr>
              <w:spacing w:before="60" w:after="60"/>
              <w:rPr>
                <w:rFonts w:eastAsiaTheme="majorEastAsia"/>
              </w:rPr>
            </w:pPr>
          </w:p>
        </w:tc>
        <w:tc>
          <w:tcPr>
            <w:tcW w:w="249" w:type="dxa"/>
            <w:tcBorders>
              <w:top w:val="nil"/>
              <w:left w:val="single" w:sz="4" w:space="0" w:color="auto"/>
              <w:bottom w:val="nil"/>
              <w:right w:val="single" w:sz="4" w:space="0" w:color="auto"/>
            </w:tcBorders>
            <w:shd w:val="clear" w:color="auto" w:fill="66CCFF"/>
          </w:tcPr>
          <w:p w14:paraId="003023AD" w14:textId="77777777" w:rsidR="00DD3EFA" w:rsidRPr="00EC2A1C" w:rsidRDefault="00DD3EFA" w:rsidP="00B15ECB">
            <w:pPr>
              <w:rPr>
                <w:b/>
              </w:rPr>
            </w:pPr>
          </w:p>
        </w:tc>
      </w:tr>
      <w:tr w:rsidR="00DD3EFA" w:rsidRPr="00EC2A1C" w14:paraId="28F3A348" w14:textId="77777777" w:rsidTr="00B15ECB">
        <w:trPr>
          <w:trHeight w:val="377"/>
        </w:trPr>
        <w:tc>
          <w:tcPr>
            <w:tcW w:w="249" w:type="dxa"/>
            <w:tcBorders>
              <w:top w:val="nil"/>
              <w:left w:val="single" w:sz="4" w:space="0" w:color="auto"/>
              <w:bottom w:val="nil"/>
              <w:right w:val="nil"/>
            </w:tcBorders>
            <w:shd w:val="clear" w:color="auto" w:fill="66CCFF"/>
          </w:tcPr>
          <w:p w14:paraId="7FD76495"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53AA0FE"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53EE34D" w14:textId="77777777" w:rsidR="00DD3EFA" w:rsidRPr="00EC2A1C" w:rsidRDefault="00DD3EFA" w:rsidP="00B15ECB">
            <w:pPr>
              <w:spacing w:before="60" w:after="60"/>
              <w:rPr>
                <w:rFonts w:eastAsiaTheme="majorEastAsia"/>
                <w:i/>
              </w:rPr>
            </w:pPr>
          </w:p>
        </w:tc>
        <w:tc>
          <w:tcPr>
            <w:tcW w:w="249" w:type="dxa"/>
            <w:tcBorders>
              <w:top w:val="nil"/>
              <w:left w:val="nil"/>
              <w:bottom w:val="nil"/>
              <w:right w:val="single" w:sz="4" w:space="0" w:color="auto"/>
            </w:tcBorders>
            <w:shd w:val="clear" w:color="auto" w:fill="66CCFF"/>
          </w:tcPr>
          <w:p w14:paraId="48A2CF33" w14:textId="77777777" w:rsidR="00DD3EFA" w:rsidRPr="00EC2A1C" w:rsidRDefault="00DD3EFA" w:rsidP="00B15ECB">
            <w:pPr>
              <w:rPr>
                <w:b/>
              </w:rPr>
            </w:pPr>
          </w:p>
        </w:tc>
      </w:tr>
      <w:tr w:rsidR="00DD3EFA" w:rsidRPr="00EC2A1C" w14:paraId="7E030E9D"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25CBCD23" w14:textId="77777777" w:rsidR="00DD3EFA" w:rsidRPr="00EC2A1C" w:rsidRDefault="00DD3EFA" w:rsidP="00B15ECB">
            <w:pPr>
              <w:rPr>
                <w:b/>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89723D"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p w14:paraId="31F03C51" w14:textId="77777777" w:rsidR="00DD3EFA" w:rsidRPr="00EC2A1C" w:rsidRDefault="00DD3EFA" w:rsidP="00B15ECB">
            <w:pPr>
              <w:spacing w:before="60" w:after="60"/>
              <w:rPr>
                <w:rFonts w:eastAsiaTheme="majorEastAsia"/>
                <w:i/>
                <w:u w:val="single"/>
              </w:rPr>
            </w:pPr>
          </w:p>
        </w:tc>
        <w:tc>
          <w:tcPr>
            <w:tcW w:w="249" w:type="dxa"/>
            <w:tcBorders>
              <w:top w:val="nil"/>
              <w:left w:val="single" w:sz="4" w:space="0" w:color="auto"/>
              <w:bottom w:val="nil"/>
              <w:right w:val="single" w:sz="4" w:space="0" w:color="auto"/>
            </w:tcBorders>
            <w:shd w:val="clear" w:color="auto" w:fill="66CCFF"/>
          </w:tcPr>
          <w:p w14:paraId="6846C511" w14:textId="77777777" w:rsidR="00DD3EFA" w:rsidRPr="00EC2A1C" w:rsidRDefault="00DD3EFA" w:rsidP="00B15ECB">
            <w:pPr>
              <w:rPr>
                <w:b/>
              </w:rPr>
            </w:pPr>
          </w:p>
        </w:tc>
      </w:tr>
      <w:tr w:rsidR="00DD3EFA" w:rsidRPr="00EC2A1C" w14:paraId="7B27EE7F"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56549D63" w14:textId="77777777" w:rsidR="00DD3EFA" w:rsidRPr="00EC2A1C" w:rsidRDefault="00DD3EFA" w:rsidP="00B15ECB">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0726BEA7" w14:textId="77777777" w:rsidR="00DD3EFA" w:rsidRPr="00EC2A1C" w:rsidRDefault="00DD3EFA" w:rsidP="00391907">
            <w:pPr>
              <w:pStyle w:val="Odstavecseseznamem"/>
              <w:numPr>
                <w:ilvl w:val="0"/>
                <w:numId w:val="2"/>
              </w:numPr>
              <w:spacing w:before="60" w:after="60"/>
              <w:jc w:val="both"/>
              <w:rPr>
                <w:rFonts w:eastAsiaTheme="majorEastAsia"/>
                <w:b/>
              </w:rPr>
            </w:pPr>
            <w:r w:rsidRPr="00EC2A1C">
              <w:rPr>
                <w:rFonts w:eastAsiaTheme="majorEastAsia"/>
                <w:b/>
              </w:rPr>
              <w:t>Územní dimenze</w:t>
            </w:r>
          </w:p>
          <w:p w14:paraId="746CBE6B" w14:textId="77777777" w:rsidR="00DD3EFA" w:rsidRPr="00EC2A1C" w:rsidRDefault="00DD3EFA" w:rsidP="00B15ECB">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D20017" w14:textId="77777777" w:rsidR="00DD3EFA" w:rsidRPr="00EC2A1C" w:rsidRDefault="00DD3EFA" w:rsidP="00B15ECB">
            <w:pPr>
              <w:spacing w:before="40" w:after="40"/>
              <w:rPr>
                <w:rFonts w:eastAsiaTheme="majorEastAsia"/>
              </w:rPr>
            </w:pPr>
            <w:r w:rsidRPr="00EC2A1C">
              <w:rPr>
                <w:rFonts w:eastAsiaTheme="majorEastAsia"/>
              </w:rPr>
              <w:t xml:space="preserve">Kontaminované lokality, se na území ČR vyskytují víceméně rovnoměrně rozložené. Jejich celkový počet je v tuto chvíli odhadován na přibližně 15 000, nicméně přesný údaj bude znám až po dokončení Národní inventarizace kontaminovaných míst (NIKM II.). V územně analytických podkladech, které jsou určeny pro územní plánování, je evidováno 9 307 lokalit, a to včetně těch, jež jsou evidovány v SEKM. Databáze SEKM v roce 2016 obsahovala 4 927 lokalit, z nichž 2 483 (50,4 % lokalit) je aktuálních a zbylých 2 444 lokalit v databázi SEKM dosud aktualizováno nebylo. Nejvíce lokalit starých ekologických zátěží evidovaných v SEKM se nachází v krajích Moravskoslezském, Olomouckém a Středočeském. Většinou se jedná o bývalé průmyslové objekty, skládky odpadů, čerpací stanice apod. </w:t>
            </w:r>
          </w:p>
          <w:p w14:paraId="355A3784" w14:textId="77777777" w:rsidR="00DD3EFA" w:rsidRPr="00EC2A1C" w:rsidRDefault="00DD3EFA" w:rsidP="00B15ECB">
            <w:pPr>
              <w:spacing w:before="40" w:after="40"/>
              <w:rPr>
                <w:rFonts w:eastAsiaTheme="majorEastAsia"/>
              </w:rPr>
            </w:pPr>
            <w:r w:rsidRPr="00EC2A1C">
              <w:rPr>
                <w:rFonts w:eastAsiaTheme="majorEastAsia"/>
              </w:rPr>
              <w:t>Za významněji postižené oblasti však lze označit regiony vzdálenější od přirozených ekonomických center (vnitřní periferie), kde se dlouhodobě projevuje horší schopnost subjektů kofinancovat řešení dané problematiky (regionální disparity). Jedná se například o oblast bývalých Sudet, oblasti se statusem CHKO či NP a další. V těchto oblastech se navíc oproti velkým městům projevuje významně horší návratnost investice do sanace ekologické zátěže či regenerace brownfields, když např. v Praze lze tuto investici považovat za návratnou i bez kofinancování OPŽP, zatímco v menších městech ve vzdálenějších regionech je taková investice z hlediska návratnosti velkým rizikem. Kofinancovány by tedy měly být projekty ve všech regionech mimo Prahu, alternativně by výše maximální podpory měla být pro ekonomicky silnější regiony nastavena výrazně níž. Naopak v ekonomicky nejslabších regionech by pak mohla maximální výše podpory nastavena až na maximální možno výši (tj. 100% dle příslušného GBER).</w:t>
            </w:r>
          </w:p>
          <w:p w14:paraId="61108F87" w14:textId="77777777" w:rsidR="00DD3EFA" w:rsidRPr="00EC2A1C" w:rsidRDefault="00DD3EFA" w:rsidP="00B15ECB">
            <w:pPr>
              <w:spacing w:before="40" w:after="40"/>
            </w:pPr>
            <w:r w:rsidRPr="00EC2A1C">
              <w:t>Kraje si vedou své údaje o počtu brownfieldů na svém území. Nejvíce brownfieldů, přes 350, se nachází na území Libereckého kraje. Více než 250 těchto lokalit přiznává i Jihomoravský a Ústecký kraj. Na druhou stranu kraje Jihočeský a Plzeňský evidují jen zhruba dvě desítky brownfieldů (těch, které jsou finálně připravené pro investory, skutečné číslo tedy zřejmě bude o něco vyšší). Karlovarský kraj je pak jediný, který vlastní evidencí vůbec nedisponuje a v případě potřeby využívá Národní databázi CzechInvestu.</w:t>
            </w:r>
          </w:p>
          <w:p w14:paraId="535F204F" w14:textId="77777777" w:rsidR="00DD3EFA" w:rsidRPr="00EC2A1C" w:rsidRDefault="00DD3EFA" w:rsidP="00B15ECB">
            <w:pPr>
              <w:spacing w:before="40" w:after="40"/>
              <w:rPr>
                <w:lang w:eastAsia="cs-CZ"/>
              </w:rPr>
            </w:pPr>
            <w:r w:rsidRPr="00EC2A1C">
              <w:rPr>
                <w:lang w:eastAsia="cs-CZ"/>
              </w:rPr>
              <w:t>Závažně kontaminovaná nebo potenciálně kontaminovaná místa se v ČR nacházejí plošně ve všech krajích bez výjimek. Část kontaminovaných míst vznikla v historických průmyslových areálech, jejichž údržba a obnova byla v minulosti významně zanedbávána. Lze je tedy označit jako brownfieldy, s potenciálem k dalšímu průmyslovému využití po případném sanačním zásahu. Přítomnost starých ekologických zátěží sebou nese technická i sociální omezení pro každou z lokalit. Jedná se zejména o omezení využití vodních zdrojů pitných a užitkových vod, výstavby infrastrukturních, průmyslových i obytných projektů, využití OZE (např. tepelná čerpadla) atd.</w:t>
            </w:r>
          </w:p>
          <w:p w14:paraId="0367509E" w14:textId="77777777" w:rsidR="00DD3EFA" w:rsidRPr="00EC2A1C" w:rsidRDefault="00DD3EFA" w:rsidP="00B15ECB">
            <w:pPr>
              <w:spacing w:before="60" w:after="60"/>
            </w:pPr>
            <w:r w:rsidRPr="00EC2A1C">
              <w:t>V souladu s Národní strategií regenerace brownfields budou podporována i revitalizace brownfileds původem ze zemědělství. Dle studie CzechInvestu je nejvyšší podíl „zemědělských brownfields“ (na celkovém počtu brownfields) v Olomouckém a Zlínském kraji. Vysoký podíl „zemědělských brownfileds“ je také v Plzeňském a Pardubickém kraji a v kraji Vysočina. Naopak nízký podíl tohoto typu brownfields je vzhledem k historickému vývoji a charakteru osídlení v Karlovarském, Libereckém a Moravskoslezském kraji.</w:t>
            </w:r>
          </w:p>
          <w:p w14:paraId="2D8C6FAD" w14:textId="77777777" w:rsidR="00DD3EFA" w:rsidRPr="00EC2A1C" w:rsidRDefault="00DD3EFA" w:rsidP="00B15ECB">
            <w:pPr>
              <w:spacing w:before="60" w:after="60"/>
              <w:rPr>
                <w:rFonts w:eastAsiaTheme="majorEastAsia"/>
                <w:i/>
              </w:rPr>
            </w:pPr>
            <w:r w:rsidRPr="00EC2A1C">
              <w:t>Pro oblast revitalizace objektů BWF pro znovuzavední výroby a služeb celá ČR s možnou bonifikací strukturálně postižených regionů (krajů).</w:t>
            </w:r>
          </w:p>
        </w:tc>
        <w:tc>
          <w:tcPr>
            <w:tcW w:w="249" w:type="dxa"/>
            <w:tcBorders>
              <w:top w:val="nil"/>
              <w:left w:val="single" w:sz="4" w:space="0" w:color="auto"/>
              <w:bottom w:val="nil"/>
              <w:right w:val="single" w:sz="4" w:space="0" w:color="auto"/>
            </w:tcBorders>
            <w:shd w:val="clear" w:color="auto" w:fill="66CCFF"/>
          </w:tcPr>
          <w:p w14:paraId="7FA5151D" w14:textId="77777777" w:rsidR="00DD3EFA" w:rsidRPr="00EC2A1C" w:rsidRDefault="00DD3EFA" w:rsidP="00B15ECB">
            <w:pPr>
              <w:rPr>
                <w:b/>
              </w:rPr>
            </w:pPr>
          </w:p>
        </w:tc>
      </w:tr>
      <w:tr w:rsidR="00DD3EFA" w:rsidRPr="00EC2A1C" w14:paraId="39B37ECF"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45F56CCE"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735BFF9D"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2B6A0FA4" w14:textId="77777777" w:rsidR="00DD3EFA" w:rsidRPr="00EC2A1C" w:rsidRDefault="00DD3EFA">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6C5BF" w14:textId="77777777" w:rsidR="00DD3EFA" w:rsidRPr="00EC2A1C" w:rsidRDefault="00DD3EFA">
            <w:r w:rsidRPr="00EC2A1C">
              <w:t>Kontaminované plochy často představují významné zdravotní a ekologické riziko, zejména pro podzemní vody sloužící jako zdroje pitných vod. Toto riziko se může významně zvýšit v případě extrémních situací, např. povodní nebo sucha. Revitalizace kontaminovaných míst může přispět k lepšímu využívání brownfieldů, tedy nepřímo k ochraně zemědělské půdy omezením záborů.</w:t>
            </w:r>
          </w:p>
        </w:tc>
        <w:tc>
          <w:tcPr>
            <w:tcW w:w="249" w:type="dxa"/>
            <w:tcBorders>
              <w:top w:val="nil"/>
              <w:left w:val="single" w:sz="4" w:space="0" w:color="auto"/>
              <w:bottom w:val="nil"/>
              <w:right w:val="single" w:sz="4" w:space="0" w:color="auto"/>
            </w:tcBorders>
            <w:shd w:val="clear" w:color="auto" w:fill="66CCFF"/>
          </w:tcPr>
          <w:p w14:paraId="163CE896" w14:textId="77777777" w:rsidR="00DD3EFA" w:rsidRPr="00EC2A1C" w:rsidRDefault="00DD3EFA">
            <w:pPr>
              <w:rPr>
                <w:b/>
              </w:rPr>
            </w:pPr>
          </w:p>
        </w:tc>
      </w:tr>
      <w:tr w:rsidR="00DD3EFA" w:rsidRPr="00EC2A1C" w14:paraId="439B9FB1"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3614AD82"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525113B1"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p w14:paraId="0B6D4160" w14:textId="77777777" w:rsidR="00DD3EFA" w:rsidRPr="00EC2A1C" w:rsidRDefault="00DD3EFA">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71ABB4" w14:textId="77777777" w:rsidR="00DD3EFA" w:rsidRPr="00EC2A1C" w:rsidRDefault="00DD3EFA">
            <w:pPr>
              <w:spacing w:before="60" w:after="60"/>
              <w:rPr>
                <w:rFonts w:eastAsiaTheme="majorEastAsia"/>
              </w:rPr>
            </w:pPr>
            <w:r w:rsidRPr="00EC2A1C">
              <w:t>Ze strany státu je vhodné zejména podporovat realizaci projektů zpracovaných pomocí informačního modelování staveb (BIM) a za tímto účelem využít nástrojů podpory, která bude specificky uzpůsobena pro potřeby digitální ekonomiky.</w:t>
            </w:r>
          </w:p>
        </w:tc>
        <w:tc>
          <w:tcPr>
            <w:tcW w:w="249" w:type="dxa"/>
            <w:tcBorders>
              <w:top w:val="nil"/>
              <w:left w:val="single" w:sz="4" w:space="0" w:color="auto"/>
              <w:bottom w:val="nil"/>
              <w:right w:val="single" w:sz="4" w:space="0" w:color="auto"/>
            </w:tcBorders>
            <w:shd w:val="clear" w:color="auto" w:fill="66CCFF"/>
          </w:tcPr>
          <w:p w14:paraId="18D52290" w14:textId="77777777" w:rsidR="00DD3EFA" w:rsidRPr="00EC2A1C" w:rsidRDefault="00DD3EFA">
            <w:pPr>
              <w:rPr>
                <w:b/>
              </w:rPr>
            </w:pPr>
          </w:p>
        </w:tc>
      </w:tr>
      <w:tr w:rsidR="00DD3EFA" w:rsidRPr="00EC2A1C" w14:paraId="7E608862"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444A17AD"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697B2189"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33C26EDE" w14:textId="77777777" w:rsidR="00DD3EFA" w:rsidRPr="00EC2A1C" w:rsidRDefault="00DD3EFA">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241C48" w14:textId="77777777" w:rsidR="00DD3EFA" w:rsidRPr="00EC2A1C" w:rsidRDefault="00DD3EFA">
            <w:pPr>
              <w:spacing w:before="60" w:after="60"/>
              <w:rPr>
                <w:rFonts w:eastAsiaTheme="majorEastAsia"/>
              </w:rPr>
            </w:pPr>
            <w:r w:rsidRPr="00EC2A1C">
              <w:rPr>
                <w:rFonts w:eastAsiaTheme="majorEastAsia"/>
              </w:rPr>
              <w:t xml:space="preserve">Podoblast přispívá k řešení </w:t>
            </w:r>
          </w:p>
          <w:p w14:paraId="155DC3A3" w14:textId="77777777" w:rsidR="00DD3EFA" w:rsidRPr="00EC2A1C" w:rsidRDefault="00DD3EFA" w:rsidP="00391907">
            <w:pPr>
              <w:pStyle w:val="Odstavecseseznamem"/>
              <w:numPr>
                <w:ilvl w:val="0"/>
                <w:numId w:val="2"/>
              </w:numPr>
              <w:spacing w:before="60" w:after="60"/>
              <w:jc w:val="both"/>
              <w:rPr>
                <w:rFonts w:eastAsiaTheme="majorEastAsia"/>
              </w:rPr>
            </w:pPr>
            <w:r w:rsidRPr="00EC2A1C">
              <w:rPr>
                <w:rFonts w:eastAsiaTheme="majorEastAsia"/>
              </w:rPr>
              <w:t>GMT2-Degradace ekosystémů,</w:t>
            </w:r>
          </w:p>
          <w:p w14:paraId="4926F0A6" w14:textId="77777777" w:rsidR="00DD3EFA" w:rsidRPr="00EC2A1C" w:rsidRDefault="00DD3EFA" w:rsidP="00391907">
            <w:pPr>
              <w:pStyle w:val="Odstavecseseznamem"/>
              <w:numPr>
                <w:ilvl w:val="0"/>
                <w:numId w:val="2"/>
              </w:numPr>
              <w:spacing w:before="60" w:after="60"/>
              <w:jc w:val="both"/>
              <w:rPr>
                <w:rFonts w:eastAsiaTheme="majorEastAsia"/>
              </w:rPr>
            </w:pPr>
            <w:r w:rsidRPr="00EC2A1C">
              <w:rPr>
                <w:rFonts w:eastAsiaTheme="majorEastAsia"/>
              </w:rPr>
              <w:t xml:space="preserve">GMT9-Potravinová bezpečnost,  </w:t>
            </w:r>
          </w:p>
          <w:p w14:paraId="75EADF20" w14:textId="77777777" w:rsidR="00DD3EFA" w:rsidRPr="00EC2A1C" w:rsidRDefault="00DD3EFA" w:rsidP="00391907">
            <w:pPr>
              <w:pStyle w:val="Odstavecseseznamem"/>
              <w:numPr>
                <w:ilvl w:val="0"/>
                <w:numId w:val="2"/>
              </w:numPr>
              <w:spacing w:before="60" w:after="60"/>
              <w:jc w:val="both"/>
              <w:rPr>
                <w:rFonts w:eastAsiaTheme="majorEastAsia"/>
              </w:rPr>
            </w:pPr>
            <w:r w:rsidRPr="00EC2A1C">
              <w:rPr>
                <w:rFonts w:eastAsiaTheme="majorEastAsia"/>
              </w:rPr>
              <w:t>GMT22-Urbanizace,</w:t>
            </w:r>
          </w:p>
          <w:p w14:paraId="4E7ED220" w14:textId="77777777" w:rsidR="00DD3EFA" w:rsidRPr="00EC2A1C" w:rsidRDefault="00DD3EFA" w:rsidP="00391907">
            <w:pPr>
              <w:pStyle w:val="Odstavecseseznamem"/>
              <w:numPr>
                <w:ilvl w:val="0"/>
                <w:numId w:val="2"/>
              </w:numPr>
              <w:spacing w:before="60" w:after="60"/>
              <w:jc w:val="both"/>
              <w:rPr>
                <w:rFonts w:eastAsiaTheme="majorEastAsia"/>
              </w:rPr>
            </w:pPr>
            <w:r w:rsidRPr="00EC2A1C">
              <w:rPr>
                <w:rFonts w:eastAsiaTheme="majorEastAsia"/>
              </w:rPr>
              <w:t>GMT19-Rostoucí zadluženost (ekologické dluhy).</w:t>
            </w:r>
          </w:p>
        </w:tc>
        <w:tc>
          <w:tcPr>
            <w:tcW w:w="249" w:type="dxa"/>
            <w:tcBorders>
              <w:top w:val="nil"/>
              <w:left w:val="single" w:sz="4" w:space="0" w:color="auto"/>
              <w:bottom w:val="nil"/>
              <w:right w:val="single" w:sz="4" w:space="0" w:color="auto"/>
            </w:tcBorders>
            <w:shd w:val="clear" w:color="auto" w:fill="66CCFF"/>
          </w:tcPr>
          <w:p w14:paraId="724FE712" w14:textId="77777777" w:rsidR="00DD3EFA" w:rsidRPr="00EC2A1C" w:rsidRDefault="00DD3EFA">
            <w:pPr>
              <w:rPr>
                <w:b/>
              </w:rPr>
            </w:pPr>
          </w:p>
        </w:tc>
      </w:tr>
      <w:tr w:rsidR="00DD3EFA" w:rsidRPr="00EC2A1C" w14:paraId="5D973148"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585D18B4"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98A09"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2A2C" w14:textId="77777777" w:rsidR="00DD3EFA" w:rsidRPr="00EC2A1C" w:rsidRDefault="00DD3EFA" w:rsidP="00B15ECB">
            <w:pPr>
              <w:spacing w:before="60" w:after="60"/>
              <w:rPr>
                <w:lang w:eastAsia="en-GB"/>
              </w:rPr>
            </w:pPr>
            <w:r w:rsidRPr="00EC2A1C">
              <w:rPr>
                <w:lang w:eastAsia="en-GB"/>
              </w:rPr>
              <w:t>Článek 4 ON:</w:t>
            </w:r>
            <w:r w:rsidRPr="00EC2A1C">
              <w:rPr>
                <w:lang w:eastAsia="en-GB"/>
              </w:rPr>
              <w:br/>
              <w:t>Politický cíl (CP):</w:t>
            </w:r>
          </w:p>
          <w:p w14:paraId="273BCEF3" w14:textId="77777777" w:rsidR="00DD3EFA" w:rsidRPr="00EC2A1C" w:rsidRDefault="00DD3EFA" w:rsidP="00B15ECB">
            <w:pPr>
              <w:spacing w:before="60" w:after="60"/>
              <w:rPr>
                <w:rFonts w:eastAsiaTheme="majorEastAsia"/>
              </w:rPr>
            </w:pPr>
            <w:r w:rsidRPr="00EC2A1C">
              <w:t xml:space="preserve">CP2) „zelenější, nízkouhlíková Evropa díky podpoře přechodu na čistou a spravedlivou energii, zelených a modrých investic, oběhového hospodářství, přizpůsobení se změnám klimatu a prevence a řízení rizik“ </w:t>
            </w:r>
          </w:p>
          <w:p w14:paraId="3C7F0882" w14:textId="77777777" w:rsidR="00DD3EFA" w:rsidRPr="00EC2A1C" w:rsidRDefault="00DD3EFA" w:rsidP="00B15ECB">
            <w:pPr>
              <w:spacing w:before="60" w:after="60"/>
              <w:rPr>
                <w:rFonts w:eastAsiaTheme="majorEastAsia"/>
              </w:rPr>
            </w:pPr>
            <w:r w:rsidRPr="00EC2A1C">
              <w:t>CP1) „inteligentnější Evropa díky podpoře inovativní a inteligentní ekonomické transformace“</w:t>
            </w:r>
          </w:p>
          <w:p w14:paraId="707640F6" w14:textId="77777777" w:rsidR="00DD3EFA" w:rsidRPr="00EC2A1C" w:rsidRDefault="00DD3EFA" w:rsidP="00B15ECB">
            <w:pPr>
              <w:spacing w:before="60" w:after="60"/>
              <w:rPr>
                <w:lang w:eastAsia="en-GB"/>
              </w:rPr>
            </w:pPr>
            <w:r w:rsidRPr="00EC2A1C">
              <w:rPr>
                <w:lang w:eastAsia="en-GB"/>
              </w:rPr>
              <w:t>Článek 2 Nařízení EFRR a FS:</w:t>
            </w:r>
          </w:p>
          <w:p w14:paraId="03A70020" w14:textId="77777777" w:rsidR="00DD3EFA" w:rsidRPr="00EC2A1C" w:rsidRDefault="00DD3EFA" w:rsidP="00B15ECB">
            <w:pPr>
              <w:spacing w:before="60" w:after="60"/>
            </w:pPr>
            <w:r w:rsidRPr="00EC2A1C">
              <w:rPr>
                <w:lang w:eastAsia="en-GB"/>
              </w:rPr>
              <w:t>CP2</w:t>
            </w:r>
            <w:r w:rsidRPr="00EC2A1C">
              <w:t xml:space="preserve"> -SC podpory opatření v oblasti energetické účinnosti</w:t>
            </w:r>
          </w:p>
          <w:p w14:paraId="38BC8EB0" w14:textId="77777777" w:rsidR="00DD3EFA" w:rsidRPr="00EC2A1C" w:rsidRDefault="00DD3EFA" w:rsidP="00B15ECB">
            <w:pPr>
              <w:spacing w:before="60" w:after="60"/>
            </w:pPr>
            <w:r w:rsidRPr="00EC2A1C">
              <w:t>CP1 -SC posílení růstu a konkurenceschopnosti malých a středních podniků;</w:t>
            </w:r>
          </w:p>
          <w:p w14:paraId="34BABF38" w14:textId="77777777" w:rsidR="00DD3EFA" w:rsidRPr="00EC2A1C" w:rsidRDefault="00DD3EFA" w:rsidP="00B15ECB">
            <w:pPr>
              <w:spacing w:before="60" w:after="60"/>
              <w:rPr>
                <w:rFonts w:eastAsiaTheme="majorEastAsia"/>
              </w:rPr>
            </w:pPr>
          </w:p>
        </w:tc>
        <w:tc>
          <w:tcPr>
            <w:tcW w:w="249" w:type="dxa"/>
            <w:tcBorders>
              <w:top w:val="nil"/>
              <w:left w:val="single" w:sz="4" w:space="0" w:color="auto"/>
              <w:bottom w:val="nil"/>
              <w:right w:val="single" w:sz="4" w:space="0" w:color="auto"/>
            </w:tcBorders>
            <w:shd w:val="clear" w:color="auto" w:fill="66CCFF"/>
          </w:tcPr>
          <w:p w14:paraId="7B46938B" w14:textId="77777777" w:rsidR="00DD3EFA" w:rsidRPr="00EC2A1C" w:rsidRDefault="00DD3EFA">
            <w:pPr>
              <w:rPr>
                <w:b/>
              </w:rPr>
            </w:pPr>
          </w:p>
        </w:tc>
      </w:tr>
      <w:tr w:rsidR="00DD3EFA" w:rsidRPr="00EC2A1C" w14:paraId="75C16BC6" w14:textId="77777777" w:rsidTr="00B15ECB">
        <w:trPr>
          <w:trHeight w:val="1202"/>
        </w:trPr>
        <w:tc>
          <w:tcPr>
            <w:tcW w:w="249" w:type="dxa"/>
            <w:tcBorders>
              <w:top w:val="nil"/>
              <w:left w:val="single" w:sz="4" w:space="0" w:color="auto"/>
              <w:bottom w:val="nil"/>
              <w:right w:val="single" w:sz="4" w:space="0" w:color="auto"/>
            </w:tcBorders>
            <w:shd w:val="clear" w:color="auto" w:fill="66CCFF"/>
          </w:tcPr>
          <w:p w14:paraId="0C4A85AE"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7149E"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DEB1EA" w14:textId="77777777" w:rsidR="00DD3EFA" w:rsidRPr="00EC2A1C" w:rsidRDefault="00DD3EFA" w:rsidP="00B15ECB">
            <w:pPr>
              <w:spacing w:before="60" w:after="60"/>
              <w:rPr>
                <w:rFonts w:eastAsiaTheme="majorEastAsia"/>
              </w:rPr>
            </w:pPr>
            <w:r w:rsidRPr="00EC2A1C">
              <w:rPr>
                <w:rFonts w:eastAsiaTheme="majorEastAsia"/>
              </w:rPr>
              <w:t>Aktuální znění SDR pro rok 2018 neobsahuje žádná doporučení relevantní pro tuto oblast.</w:t>
            </w:r>
          </w:p>
          <w:p w14:paraId="605C208B" w14:textId="77777777" w:rsidR="00DD3EFA" w:rsidRPr="00EC2A1C" w:rsidRDefault="00DD3EFA" w:rsidP="00B15ECB">
            <w:pPr>
              <w:spacing w:before="60" w:after="60"/>
              <w:rPr>
                <w:rFonts w:eastAsiaTheme="majorEastAsia"/>
              </w:rPr>
            </w:pPr>
            <w:r w:rsidRPr="00EC2A1C">
              <w:rPr>
                <w:rFonts w:eastAsiaTheme="majorEastAsia"/>
              </w:rPr>
              <w:t>Oblast je výslovně zmíněna v části ANNEX D - Investment Guidance on Cohesion Policy Funding 2021-2027 for the Czech Republic – Draft  Country Report 2019.</w:t>
            </w:r>
          </w:p>
          <w:p w14:paraId="495959B9" w14:textId="77777777" w:rsidR="00DD3EFA" w:rsidRPr="00EC2A1C" w:rsidRDefault="00DD3EFA" w:rsidP="00B15ECB">
            <w:pPr>
              <w:spacing w:before="60" w:after="60"/>
              <w:rPr>
                <w:rFonts w:eastAsiaTheme="majorEastAsia"/>
              </w:rPr>
            </w:pPr>
          </w:p>
        </w:tc>
        <w:tc>
          <w:tcPr>
            <w:tcW w:w="249" w:type="dxa"/>
            <w:tcBorders>
              <w:top w:val="nil"/>
              <w:left w:val="single" w:sz="4" w:space="0" w:color="auto"/>
              <w:bottom w:val="nil"/>
              <w:right w:val="single" w:sz="4" w:space="0" w:color="auto"/>
            </w:tcBorders>
            <w:shd w:val="clear" w:color="auto" w:fill="66CCFF"/>
          </w:tcPr>
          <w:p w14:paraId="03D3F743" w14:textId="77777777" w:rsidR="00DD3EFA" w:rsidRPr="00EC2A1C" w:rsidRDefault="00DD3EFA">
            <w:pPr>
              <w:rPr>
                <w:b/>
              </w:rPr>
            </w:pPr>
          </w:p>
        </w:tc>
      </w:tr>
      <w:tr w:rsidR="00DD3EFA" w:rsidRPr="00EC2A1C" w14:paraId="6FBED0D8" w14:textId="77777777" w:rsidTr="00B15ECB">
        <w:trPr>
          <w:trHeight w:val="180"/>
        </w:trPr>
        <w:tc>
          <w:tcPr>
            <w:tcW w:w="249" w:type="dxa"/>
            <w:tcBorders>
              <w:top w:val="nil"/>
              <w:left w:val="single" w:sz="4" w:space="0" w:color="auto"/>
              <w:bottom w:val="nil"/>
              <w:right w:val="nil"/>
            </w:tcBorders>
            <w:shd w:val="clear" w:color="auto" w:fill="66CCFF"/>
          </w:tcPr>
          <w:p w14:paraId="1850921A" w14:textId="77777777" w:rsidR="00DD3EFA" w:rsidRPr="00EC2A1C" w:rsidRDefault="00DD3EFA">
            <w:pPr>
              <w:rPr>
                <w:b/>
              </w:rPr>
            </w:pPr>
          </w:p>
        </w:tc>
        <w:tc>
          <w:tcPr>
            <w:tcW w:w="2548" w:type="dxa"/>
            <w:tcBorders>
              <w:top w:val="single" w:sz="4" w:space="0" w:color="auto"/>
              <w:left w:val="nil"/>
              <w:bottom w:val="single" w:sz="4" w:space="0" w:color="auto"/>
              <w:right w:val="nil"/>
            </w:tcBorders>
            <w:shd w:val="clear" w:color="auto" w:fill="66CCFF"/>
          </w:tcPr>
          <w:p w14:paraId="6601BCFE" w14:textId="77777777" w:rsidR="00DD3EFA" w:rsidRPr="00EC2A1C" w:rsidRDefault="00DD3EFA">
            <w:pPr>
              <w:rPr>
                <w:b/>
              </w:rPr>
            </w:pPr>
          </w:p>
        </w:tc>
        <w:tc>
          <w:tcPr>
            <w:tcW w:w="5978" w:type="dxa"/>
            <w:tcBorders>
              <w:top w:val="single" w:sz="4" w:space="0" w:color="auto"/>
              <w:left w:val="nil"/>
              <w:bottom w:val="single" w:sz="4" w:space="0" w:color="auto"/>
              <w:right w:val="nil"/>
            </w:tcBorders>
            <w:shd w:val="clear" w:color="auto" w:fill="66CCFF"/>
          </w:tcPr>
          <w:p w14:paraId="6BBC5C66" w14:textId="77777777" w:rsidR="00DD3EFA" w:rsidRPr="00EC2A1C" w:rsidRDefault="00DD3EFA" w:rsidP="00B15ECB">
            <w:pPr>
              <w:rPr>
                <w:b/>
              </w:rPr>
            </w:pPr>
          </w:p>
        </w:tc>
        <w:tc>
          <w:tcPr>
            <w:tcW w:w="249" w:type="dxa"/>
            <w:tcBorders>
              <w:top w:val="nil"/>
              <w:left w:val="nil"/>
              <w:bottom w:val="nil"/>
              <w:right w:val="single" w:sz="4" w:space="0" w:color="auto"/>
            </w:tcBorders>
            <w:shd w:val="clear" w:color="auto" w:fill="66CCFF"/>
          </w:tcPr>
          <w:p w14:paraId="3431A61F" w14:textId="77777777" w:rsidR="00DD3EFA" w:rsidRPr="00EC2A1C" w:rsidRDefault="00DD3EFA">
            <w:pPr>
              <w:rPr>
                <w:b/>
              </w:rPr>
            </w:pPr>
          </w:p>
        </w:tc>
      </w:tr>
      <w:tr w:rsidR="00DD3EFA" w:rsidRPr="00EC2A1C" w14:paraId="5CCAC1FD"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065EE9A8"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023676D3" w14:textId="77777777" w:rsidR="00DD3EFA" w:rsidRPr="00EC2A1C" w:rsidRDefault="00DD3EFA">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7E79373E" w14:textId="77777777" w:rsidR="00DD3EFA" w:rsidRPr="00EC2A1C" w:rsidRDefault="00DD3EFA">
            <w:pPr>
              <w:pStyle w:val="Odstavecseseznamem"/>
              <w:spacing w:before="60" w:after="60"/>
              <w:ind w:left="3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B494761"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b/>
              </w:rPr>
              <w:t>Státní politika životního prostředí</w:t>
            </w:r>
            <w:r w:rsidRPr="00EC2A1C">
              <w:rPr>
                <w:rFonts w:ascii="Times New Roman" w:hAnsi="Times New Roman"/>
              </w:rPr>
              <w:t xml:space="preserve"> ČR 2012-2020 – je zahájena příprava nové SPŽP. V současnosti jsou zpracovávány analytické podklady</w:t>
            </w:r>
          </w:p>
          <w:p w14:paraId="15441667"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b/>
              </w:rPr>
              <w:t>Národní strategie regenerace brownfieldů</w:t>
            </w:r>
            <w:r w:rsidRPr="00EC2A1C">
              <w:rPr>
                <w:rFonts w:ascii="Times New Roman" w:hAnsi="Times New Roman"/>
              </w:rPr>
              <w:t xml:space="preserve"> (2019?) – proběhla aktualizace dokumentu, schválen pracovní skupinou. Nyní v procesu schvalování. </w:t>
            </w:r>
          </w:p>
          <w:p w14:paraId="701C2FCD" w14:textId="77777777" w:rsidR="00DD3EFA" w:rsidRPr="00EC2A1C" w:rsidRDefault="00DD3EFA" w:rsidP="00B15ECB">
            <w:pPr>
              <w:pStyle w:val="slovanodstavec"/>
              <w:tabs>
                <w:tab w:val="left" w:pos="284"/>
              </w:tabs>
              <w:suppressAutoHyphens/>
              <w:rPr>
                <w:rFonts w:ascii="Times New Roman" w:hAnsi="Times New Roman"/>
                <w:u w:val="single"/>
              </w:rPr>
            </w:pPr>
            <w:r w:rsidRPr="00EC2A1C">
              <w:rPr>
                <w:rFonts w:ascii="Times New Roman" w:hAnsi="Times New Roman"/>
              </w:rPr>
              <w:t xml:space="preserve">MŽP v tuto chvíli v návaznosti na realizaci projektu </w:t>
            </w:r>
            <w:r w:rsidRPr="00EC2A1C">
              <w:rPr>
                <w:rFonts w:ascii="Times New Roman" w:hAnsi="Times New Roman"/>
                <w:b/>
              </w:rPr>
              <w:t>Národní inventarizace kontaminovaných míst</w:t>
            </w:r>
            <w:r w:rsidRPr="00EC2A1C">
              <w:rPr>
                <w:rFonts w:ascii="Times New Roman" w:hAnsi="Times New Roman"/>
              </w:rPr>
              <w:t>, připravuje strategický dokument, který bude obsahovat dlouhodobější koncepci sanací ekologických zátěží.</w:t>
            </w:r>
          </w:p>
        </w:tc>
        <w:tc>
          <w:tcPr>
            <w:tcW w:w="249" w:type="dxa"/>
            <w:tcBorders>
              <w:top w:val="nil"/>
              <w:left w:val="single" w:sz="4" w:space="0" w:color="auto"/>
              <w:bottom w:val="nil"/>
              <w:right w:val="single" w:sz="4" w:space="0" w:color="auto"/>
            </w:tcBorders>
            <w:shd w:val="clear" w:color="auto" w:fill="66CCFF"/>
          </w:tcPr>
          <w:p w14:paraId="0462C922" w14:textId="77777777" w:rsidR="00DD3EFA" w:rsidRPr="00EC2A1C" w:rsidRDefault="00DD3EFA">
            <w:pPr>
              <w:rPr>
                <w:b/>
              </w:rPr>
            </w:pPr>
          </w:p>
        </w:tc>
      </w:tr>
      <w:tr w:rsidR="00DD3EFA" w:rsidRPr="00EC2A1C" w14:paraId="2B81A6C7"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6981004B"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14F520FB"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1AFEE798" w14:textId="77777777" w:rsidR="00DD3EFA" w:rsidRPr="00EC2A1C" w:rsidRDefault="00DD3EFA">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784B7"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rPr>
              <w:t>Problematika kontaminovaných míst a SEZ nemá v tomto okamžiku zpracovanou konkrétní strategii. Problematika je ukotvena mj. v SPŽP a  ČR2030</w:t>
            </w:r>
          </w:p>
          <w:p w14:paraId="7B7B39CB"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rPr>
              <w:t>Na vytipovaných lokalitách (dle SEKM) byly provedeny Analýzy rizik, jejichž závěrem je doporučení realizace sanačního zásahu. Projekty jsou připraveny k realizaci.</w:t>
            </w:r>
          </w:p>
          <w:p w14:paraId="41650E5E"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b/>
                <w:u w:val="single"/>
              </w:rPr>
              <w:t>Národní strategie regenerací brownfieldů 2019-2024 (</w:t>
            </w:r>
            <w:r w:rsidRPr="00EC2A1C">
              <w:rPr>
                <w:rFonts w:ascii="Times New Roman" w:hAnsi="Times New Roman"/>
              </w:rPr>
              <w:t>proběhla aktualizace dokumentu, schválen pracovní skupinou).</w:t>
            </w:r>
          </w:p>
          <w:p w14:paraId="5CE4FC18" w14:textId="77777777" w:rsidR="00DD3EFA" w:rsidRPr="00EC2A1C" w:rsidRDefault="00DD3EFA" w:rsidP="00B15ECB">
            <w:pPr>
              <w:pStyle w:val="slovanodstavec"/>
              <w:tabs>
                <w:tab w:val="left" w:pos="284"/>
              </w:tabs>
              <w:suppressAutoHyphens/>
              <w:rPr>
                <w:rFonts w:ascii="Times New Roman" w:hAnsi="Times New Roman"/>
                <w:b/>
                <w:u w:val="single"/>
              </w:rPr>
            </w:pPr>
          </w:p>
          <w:p w14:paraId="57A81DA7"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rPr>
              <w:t>Na základě Opatření 3.1 NSRB Provedení celkové studie „Analýza brownfieldů v ČR“ včetně ověření možností jejich regenerace a návrhů motivačních nástrojů, připravuje MPO analýzu absorpční kapacity brownfields v ČR.</w:t>
            </w:r>
          </w:p>
        </w:tc>
        <w:tc>
          <w:tcPr>
            <w:tcW w:w="249" w:type="dxa"/>
            <w:tcBorders>
              <w:top w:val="nil"/>
              <w:left w:val="single" w:sz="4" w:space="0" w:color="auto"/>
              <w:bottom w:val="nil"/>
              <w:right w:val="single" w:sz="4" w:space="0" w:color="auto"/>
            </w:tcBorders>
            <w:shd w:val="clear" w:color="auto" w:fill="66CCFF"/>
          </w:tcPr>
          <w:p w14:paraId="67866FF3" w14:textId="77777777" w:rsidR="00DD3EFA" w:rsidRPr="00EC2A1C" w:rsidRDefault="00DD3EFA">
            <w:pPr>
              <w:rPr>
                <w:b/>
              </w:rPr>
            </w:pPr>
          </w:p>
        </w:tc>
      </w:tr>
      <w:tr w:rsidR="00DD3EFA" w:rsidRPr="00EC2A1C" w14:paraId="61611C96"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27E7F08B"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0803CC95"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14CC1991" w14:textId="77777777" w:rsidR="00DD3EFA" w:rsidRPr="00EC2A1C" w:rsidRDefault="00DD3EFA">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FD944F"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rPr>
              <w:t>SEZ jsou prioritizovány dle závažnosti rizik. V rámci analýz pro každou SEZ jsou navržena konkrétní opatření. Projekty jsou připraveny k realizaci.</w:t>
            </w:r>
          </w:p>
          <w:p w14:paraId="3F2F8339" w14:textId="77777777" w:rsidR="00DD3EFA" w:rsidRPr="00EC2A1C" w:rsidRDefault="00DD3EFA" w:rsidP="00B15ECB">
            <w:pPr>
              <w:pStyle w:val="slovanodstavec"/>
              <w:tabs>
                <w:tab w:val="left" w:pos="284"/>
              </w:tabs>
              <w:suppressAutoHyphens/>
              <w:rPr>
                <w:rFonts w:ascii="Times New Roman" w:hAnsi="Times New Roman"/>
                <w:b/>
                <w:u w:val="single"/>
              </w:rPr>
            </w:pPr>
            <w:r w:rsidRPr="00EC2A1C">
              <w:rPr>
                <w:rFonts w:ascii="Times New Roman" w:hAnsi="Times New Roman"/>
                <w:b/>
                <w:u w:val="single"/>
              </w:rPr>
              <w:t>Národní strategie regenerací brownfieldů 2019-2024</w:t>
            </w:r>
          </w:p>
          <w:p w14:paraId="1CCA0A89" w14:textId="77777777" w:rsidR="00DD3EFA" w:rsidRPr="00EC2A1C" w:rsidRDefault="00DD3EFA" w:rsidP="00B15ECB">
            <w:r w:rsidRPr="00EC2A1C">
              <w:rPr>
                <w:b/>
                <w:u w:val="single"/>
              </w:rPr>
              <w:t>Tematické oblasti NSRB 2024:</w:t>
            </w:r>
          </w:p>
          <w:p w14:paraId="0E02E1AB" w14:textId="77777777" w:rsidR="00DD3EFA" w:rsidRPr="00EC2A1C" w:rsidRDefault="00DD3EFA" w:rsidP="00391907">
            <w:pPr>
              <w:numPr>
                <w:ilvl w:val="0"/>
                <w:numId w:val="128"/>
              </w:numPr>
              <w:spacing w:before="40" w:after="40"/>
              <w:ind w:hanging="360"/>
              <w:jc w:val="both"/>
            </w:pPr>
            <w:r w:rsidRPr="00EC2A1C">
              <w:t>Organizace</w:t>
            </w:r>
          </w:p>
          <w:p w14:paraId="1F9823EE" w14:textId="77777777" w:rsidR="00DD3EFA" w:rsidRPr="00EC2A1C" w:rsidRDefault="00DD3EFA" w:rsidP="00391907">
            <w:pPr>
              <w:numPr>
                <w:ilvl w:val="0"/>
                <w:numId w:val="128"/>
              </w:numPr>
              <w:spacing w:before="40" w:after="40"/>
              <w:ind w:hanging="360"/>
              <w:jc w:val="both"/>
            </w:pPr>
            <w:r w:rsidRPr="00EC2A1C">
              <w:t>Finanční podpora</w:t>
            </w:r>
          </w:p>
          <w:p w14:paraId="2AA72DE4" w14:textId="77777777" w:rsidR="00DD3EFA" w:rsidRPr="00EC2A1C" w:rsidRDefault="00DD3EFA" w:rsidP="00391907">
            <w:pPr>
              <w:numPr>
                <w:ilvl w:val="0"/>
                <w:numId w:val="128"/>
              </w:numPr>
              <w:spacing w:before="40" w:after="40"/>
              <w:ind w:hanging="360"/>
              <w:jc w:val="both"/>
            </w:pPr>
            <w:r w:rsidRPr="00EC2A1C">
              <w:t>Územní opatření</w:t>
            </w:r>
          </w:p>
          <w:p w14:paraId="6A9841CB" w14:textId="77777777" w:rsidR="00DD3EFA" w:rsidRPr="00EC2A1C" w:rsidRDefault="00DD3EFA" w:rsidP="00391907">
            <w:pPr>
              <w:numPr>
                <w:ilvl w:val="0"/>
                <w:numId w:val="128"/>
              </w:numPr>
              <w:spacing w:before="40" w:after="40"/>
              <w:ind w:hanging="360"/>
              <w:jc w:val="both"/>
            </w:pPr>
            <w:r w:rsidRPr="00EC2A1C">
              <w:t>Vzdělávání, výzkum, osvěta</w:t>
            </w:r>
          </w:p>
          <w:p w14:paraId="6E20EAE6" w14:textId="77777777" w:rsidR="00DD3EFA" w:rsidRPr="00EC2A1C" w:rsidRDefault="00DD3EFA" w:rsidP="00B15ECB">
            <w:pPr>
              <w:pStyle w:val="slovanodstavec"/>
              <w:tabs>
                <w:tab w:val="left" w:pos="284"/>
              </w:tabs>
              <w:suppressAutoHyphens/>
              <w:rPr>
                <w:rFonts w:ascii="Times New Roman" w:hAnsi="Times New Roman"/>
              </w:rPr>
            </w:pPr>
          </w:p>
        </w:tc>
        <w:tc>
          <w:tcPr>
            <w:tcW w:w="249" w:type="dxa"/>
            <w:tcBorders>
              <w:top w:val="nil"/>
              <w:left w:val="single" w:sz="4" w:space="0" w:color="auto"/>
              <w:bottom w:val="nil"/>
              <w:right w:val="single" w:sz="4" w:space="0" w:color="auto"/>
            </w:tcBorders>
            <w:shd w:val="clear" w:color="auto" w:fill="66CCFF"/>
          </w:tcPr>
          <w:p w14:paraId="7FE077CE" w14:textId="77777777" w:rsidR="00DD3EFA" w:rsidRPr="00EC2A1C" w:rsidRDefault="00DD3EFA">
            <w:pPr>
              <w:rPr>
                <w:b/>
              </w:rPr>
            </w:pPr>
          </w:p>
        </w:tc>
      </w:tr>
      <w:tr w:rsidR="00DD3EFA" w:rsidRPr="00EC2A1C" w14:paraId="601A1DC4"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65927EFB"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tcPr>
          <w:p w14:paraId="401E50E1"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66119E94" w14:textId="77777777" w:rsidR="00DD3EFA" w:rsidRPr="00EC2A1C" w:rsidRDefault="00DD3EFA">
            <w:pPr>
              <w:spacing w:before="60" w:after="60"/>
              <w:rPr>
                <w:rFonts w:eastAsiaTheme="majorEastAsia"/>
                <w:b/>
              </w:rPr>
            </w:pP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CFD819C" w14:textId="77777777" w:rsidR="00DD3EFA" w:rsidRPr="00EC2A1C" w:rsidRDefault="00DD3EFA" w:rsidP="00B15ECB">
            <w:pPr>
              <w:pStyle w:val="slovanodstavec"/>
              <w:tabs>
                <w:tab w:val="left" w:pos="284"/>
              </w:tabs>
              <w:suppressAutoHyphens/>
              <w:rPr>
                <w:rFonts w:ascii="Times New Roman" w:hAnsi="Times New Roman"/>
                <w:b/>
                <w:u w:val="single"/>
              </w:rPr>
            </w:pPr>
            <w:r w:rsidRPr="00EC2A1C">
              <w:rPr>
                <w:rFonts w:ascii="Times New Roman" w:hAnsi="Times New Roman"/>
                <w:b/>
                <w:u w:val="single"/>
              </w:rPr>
              <w:t>Národní strategie regenerací brownfieldů 2019-2024</w:t>
            </w:r>
          </w:p>
          <w:p w14:paraId="34622274"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Opatření, která slouží k naplnění cílů NSRB 2024, jsou uvedena včetně určení zodpovědnosti, spolupráce a termínu realizace. Naplnění opatření určených NSRB 2024 budou řídit garanti jednotlivých opatření, v uvedených případech ve spolupráci s určenými institucemi. Garanty jsou instituce aktivně spolupracující na NSRB 2024. Plnění opatření se předpokládá v letech 2019-2024.</w:t>
            </w:r>
          </w:p>
        </w:tc>
        <w:tc>
          <w:tcPr>
            <w:tcW w:w="249" w:type="dxa"/>
            <w:tcBorders>
              <w:top w:val="nil"/>
              <w:left w:val="single" w:sz="4" w:space="0" w:color="auto"/>
              <w:bottom w:val="nil"/>
              <w:right w:val="single" w:sz="4" w:space="0" w:color="auto"/>
            </w:tcBorders>
            <w:shd w:val="clear" w:color="auto" w:fill="66CCFF"/>
          </w:tcPr>
          <w:p w14:paraId="33D07B62" w14:textId="77777777" w:rsidR="00DD3EFA" w:rsidRPr="00EC2A1C" w:rsidRDefault="00DD3EFA">
            <w:pPr>
              <w:rPr>
                <w:b/>
              </w:rPr>
            </w:pPr>
          </w:p>
        </w:tc>
      </w:tr>
      <w:tr w:rsidR="00DD3EFA" w:rsidRPr="00EC2A1C" w14:paraId="6E931B68" w14:textId="77777777" w:rsidTr="00B15ECB">
        <w:trPr>
          <w:trHeight w:val="938"/>
        </w:trPr>
        <w:tc>
          <w:tcPr>
            <w:tcW w:w="249" w:type="dxa"/>
            <w:tcBorders>
              <w:top w:val="nil"/>
              <w:left w:val="single" w:sz="4" w:space="0" w:color="auto"/>
              <w:bottom w:val="nil"/>
              <w:right w:val="single" w:sz="4" w:space="0" w:color="auto"/>
            </w:tcBorders>
            <w:shd w:val="clear" w:color="auto" w:fill="66CCFF"/>
          </w:tcPr>
          <w:p w14:paraId="64F4C6C3"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7A098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DCC159F" w14:textId="77777777" w:rsidR="00DD3EFA" w:rsidRPr="00EC2A1C" w:rsidRDefault="00DD3EFA" w:rsidP="00B15ECB">
            <w:pPr>
              <w:pStyle w:val="slovanodstavec"/>
              <w:tabs>
                <w:tab w:val="left" w:pos="284"/>
              </w:tabs>
              <w:suppressAutoHyphens/>
              <w:rPr>
                <w:rFonts w:ascii="Times New Roman" w:hAnsi="Times New Roman"/>
                <w:b/>
                <w:u w:val="single"/>
              </w:rPr>
            </w:pPr>
            <w:r w:rsidRPr="00EC2A1C">
              <w:rPr>
                <w:rFonts w:ascii="Times New Roman" w:hAnsi="Times New Roman"/>
                <w:b/>
                <w:u w:val="single"/>
              </w:rPr>
              <w:t>Národní strategie regenerací brownfieldů 2019-2024</w:t>
            </w:r>
          </w:p>
          <w:p w14:paraId="49665A97" w14:textId="77777777" w:rsidR="00DD3EFA" w:rsidRPr="00EC2A1C" w:rsidRDefault="00DD3EFA" w:rsidP="00B15ECB">
            <w:r w:rsidRPr="00EC2A1C">
              <w:t>Plnění opatření bude průběžně sledováno mezirezortní pracovní skupinou pod vedením MPO. Jednání pracovní skupiny budou svolávána podle potřeby. Ministerstvu průmyslu a obchodu pomáhá v plnění cílů a opatření vyplývajících z NSRB 2024 Agentura CzechInvest. V případě potřeby bude zpráva o implementaci NSRB 2024 předložena vládě, závěrečná zpráva a vyhodnocení budou podkladem pro rozhodnutí o aktualizaci NSRB 2024 pro další období.</w:t>
            </w:r>
          </w:p>
          <w:p w14:paraId="76AE26FF" w14:textId="77777777" w:rsidR="00DD3EFA" w:rsidRPr="00EC2A1C" w:rsidRDefault="00DD3EFA" w:rsidP="00B15ECB"/>
          <w:p w14:paraId="121B042B" w14:textId="77777777" w:rsidR="00DD3EFA" w:rsidRPr="00EC2A1C" w:rsidRDefault="00DD3EFA" w:rsidP="00B15ECB">
            <w:r w:rsidRPr="00EC2A1C">
              <w:t>Finanční prostředky na plnění jednotlivých opatření a realizaci programů budou čerpány v rámci rozpočtů kapitol příslušných resortů.</w:t>
            </w:r>
          </w:p>
        </w:tc>
        <w:tc>
          <w:tcPr>
            <w:tcW w:w="249" w:type="dxa"/>
            <w:tcBorders>
              <w:top w:val="nil"/>
              <w:left w:val="single" w:sz="4" w:space="0" w:color="auto"/>
              <w:bottom w:val="nil"/>
              <w:right w:val="single" w:sz="4" w:space="0" w:color="auto"/>
            </w:tcBorders>
            <w:shd w:val="clear" w:color="auto" w:fill="66CCFF"/>
          </w:tcPr>
          <w:p w14:paraId="317B9F18" w14:textId="77777777" w:rsidR="00DD3EFA" w:rsidRPr="00EC2A1C" w:rsidRDefault="00DD3EFA">
            <w:pPr>
              <w:rPr>
                <w:b/>
              </w:rPr>
            </w:pPr>
          </w:p>
        </w:tc>
      </w:tr>
      <w:tr w:rsidR="00DD3EFA" w:rsidRPr="00EC2A1C" w14:paraId="5D0EA83F" w14:textId="77777777" w:rsidTr="00B15ECB">
        <w:trPr>
          <w:trHeight w:val="130"/>
        </w:trPr>
        <w:tc>
          <w:tcPr>
            <w:tcW w:w="249" w:type="dxa"/>
            <w:tcBorders>
              <w:top w:val="nil"/>
              <w:left w:val="single" w:sz="4" w:space="0" w:color="auto"/>
              <w:bottom w:val="nil"/>
              <w:right w:val="nil"/>
            </w:tcBorders>
            <w:shd w:val="clear" w:color="auto" w:fill="66CCFF"/>
          </w:tcPr>
          <w:p w14:paraId="1C8F4DC2" w14:textId="77777777" w:rsidR="00DD3EFA" w:rsidRPr="00EC2A1C" w:rsidRDefault="00DD3EFA">
            <w:pPr>
              <w:rPr>
                <w:b/>
              </w:rPr>
            </w:pPr>
          </w:p>
        </w:tc>
        <w:tc>
          <w:tcPr>
            <w:tcW w:w="2548" w:type="dxa"/>
            <w:tcBorders>
              <w:top w:val="single" w:sz="4" w:space="0" w:color="auto"/>
              <w:left w:val="nil"/>
              <w:bottom w:val="single" w:sz="4" w:space="0" w:color="auto"/>
              <w:right w:val="nil"/>
            </w:tcBorders>
            <w:shd w:val="clear" w:color="auto" w:fill="66CCFF"/>
          </w:tcPr>
          <w:p w14:paraId="40A6D163" w14:textId="77777777" w:rsidR="00DD3EFA" w:rsidRPr="00EC2A1C" w:rsidRDefault="00DD3EFA">
            <w:pPr>
              <w:rPr>
                <w:b/>
              </w:rPr>
            </w:pPr>
          </w:p>
        </w:tc>
        <w:tc>
          <w:tcPr>
            <w:tcW w:w="5978" w:type="dxa"/>
            <w:tcBorders>
              <w:top w:val="single" w:sz="4" w:space="0" w:color="auto"/>
              <w:left w:val="nil"/>
              <w:bottom w:val="single" w:sz="4" w:space="0" w:color="auto"/>
              <w:right w:val="nil"/>
            </w:tcBorders>
            <w:shd w:val="clear" w:color="auto" w:fill="66CCFF"/>
          </w:tcPr>
          <w:p w14:paraId="5ABB887F" w14:textId="77777777" w:rsidR="00DD3EFA" w:rsidRPr="00EC2A1C" w:rsidRDefault="00DD3EFA" w:rsidP="00B15ECB">
            <w:pPr>
              <w:pStyle w:val="slovanodstavec"/>
              <w:tabs>
                <w:tab w:val="left" w:pos="284"/>
              </w:tabs>
              <w:suppressAutoHyphens/>
              <w:spacing w:line="240" w:lineRule="auto"/>
              <w:rPr>
                <w:rFonts w:ascii="Times New Roman" w:eastAsiaTheme="minorHAnsi" w:hAnsi="Times New Roman"/>
                <w:b/>
                <w:noProof/>
              </w:rPr>
            </w:pPr>
          </w:p>
        </w:tc>
        <w:tc>
          <w:tcPr>
            <w:tcW w:w="249" w:type="dxa"/>
            <w:tcBorders>
              <w:top w:val="nil"/>
              <w:left w:val="nil"/>
              <w:bottom w:val="nil"/>
              <w:right w:val="single" w:sz="4" w:space="0" w:color="auto"/>
            </w:tcBorders>
            <w:shd w:val="clear" w:color="auto" w:fill="66CCFF"/>
          </w:tcPr>
          <w:p w14:paraId="67705F8E" w14:textId="77777777" w:rsidR="00DD3EFA" w:rsidRPr="00EC2A1C" w:rsidRDefault="00DD3EFA">
            <w:pPr>
              <w:rPr>
                <w:b/>
              </w:rPr>
            </w:pPr>
          </w:p>
        </w:tc>
      </w:tr>
      <w:tr w:rsidR="00DD3EFA" w:rsidRPr="00EC2A1C" w14:paraId="20226E04" w14:textId="77777777" w:rsidTr="00B15ECB">
        <w:trPr>
          <w:trHeight w:val="1258"/>
        </w:trPr>
        <w:tc>
          <w:tcPr>
            <w:tcW w:w="249" w:type="dxa"/>
            <w:tcBorders>
              <w:top w:val="nil"/>
              <w:left w:val="single" w:sz="4" w:space="0" w:color="auto"/>
              <w:bottom w:val="nil"/>
              <w:right w:val="nil"/>
            </w:tcBorders>
            <w:shd w:val="clear" w:color="auto" w:fill="66CCFF"/>
          </w:tcPr>
          <w:p w14:paraId="165954AD" w14:textId="77777777" w:rsidR="00DD3EFA" w:rsidRPr="00EC2A1C" w:rsidRDefault="00DD3EFA">
            <w:pPr>
              <w:rPr>
                <w:b/>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1237E0"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61F69412" w14:textId="77777777" w:rsidR="00DD3EFA" w:rsidRPr="00EC2A1C" w:rsidRDefault="00DD3EFA" w:rsidP="00B15ECB">
            <w:pPr>
              <w:pStyle w:val="slovanodstavec"/>
              <w:tabs>
                <w:tab w:val="left" w:pos="284"/>
              </w:tabs>
              <w:suppressAutoHyphens/>
              <w:spacing w:line="240" w:lineRule="auto"/>
              <w:rPr>
                <w:rFonts w:ascii="Times New Roman" w:hAnsi="Times New Roman"/>
                <w:i/>
                <w:u w:val="single"/>
              </w:rPr>
            </w:pPr>
          </w:p>
        </w:tc>
        <w:tc>
          <w:tcPr>
            <w:tcW w:w="249" w:type="dxa"/>
            <w:tcBorders>
              <w:top w:val="nil"/>
              <w:left w:val="nil"/>
              <w:bottom w:val="nil"/>
              <w:right w:val="single" w:sz="4" w:space="0" w:color="auto"/>
            </w:tcBorders>
            <w:shd w:val="clear" w:color="auto" w:fill="66CCFF"/>
          </w:tcPr>
          <w:p w14:paraId="4B9B4E94" w14:textId="77777777" w:rsidR="00DD3EFA" w:rsidRPr="00EC2A1C" w:rsidRDefault="00DD3EFA">
            <w:pPr>
              <w:rPr>
                <w:b/>
              </w:rPr>
            </w:pPr>
          </w:p>
        </w:tc>
      </w:tr>
      <w:tr w:rsidR="00DD3EFA" w:rsidRPr="00EC2A1C" w14:paraId="465CEDFB" w14:textId="77777777" w:rsidTr="00B15ECB">
        <w:trPr>
          <w:trHeight w:val="1258"/>
        </w:trPr>
        <w:tc>
          <w:tcPr>
            <w:tcW w:w="249" w:type="dxa"/>
            <w:tcBorders>
              <w:top w:val="nil"/>
              <w:left w:val="single" w:sz="4" w:space="0" w:color="auto"/>
              <w:bottom w:val="nil"/>
              <w:right w:val="nil"/>
            </w:tcBorders>
            <w:shd w:val="clear" w:color="auto" w:fill="66CCFF"/>
          </w:tcPr>
          <w:p w14:paraId="63E358A8"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CD10A1" w14:textId="77777777" w:rsidR="00DD3EFA" w:rsidRPr="00EC2A1C" w:rsidRDefault="00DD3EFA">
            <w:pPr>
              <w:rPr>
                <w:rFonts w:eastAsiaTheme="majorEastAsia"/>
                <w:b/>
              </w:rPr>
            </w:pPr>
            <w:r w:rsidRPr="00EC2A1C">
              <w:rPr>
                <w:rFonts w:eastAsiaTheme="majorEastAsia"/>
                <w:b/>
              </w:rPr>
              <w:t>Věcný posun oblasti</w:t>
            </w:r>
          </w:p>
          <w:p w14:paraId="0D03C409" w14:textId="77777777" w:rsidR="00DD3EFA" w:rsidRPr="00EC2A1C" w:rsidRDefault="00DD3EFA">
            <w:pPr>
              <w:rPr>
                <w:rFonts w:eastAsiaTheme="majorEastAsia"/>
                <w:b/>
              </w:rPr>
            </w:pPr>
            <w:r w:rsidRPr="00EC2A1C">
              <w:rPr>
                <w:rFonts w:eastAsiaTheme="majorEastAsia"/>
                <w:b/>
              </w:rPr>
              <w:t>(tj. v období 2014 – 2020, příp. 2007 – 2013)</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484550D" w14:textId="77777777" w:rsidR="00DD3EFA" w:rsidRPr="00EC2A1C" w:rsidRDefault="00DD3EFA" w:rsidP="00B15ECB">
            <w:pPr>
              <w:pStyle w:val="Nadpis6"/>
              <w:outlineLvl w:val="5"/>
              <w:rPr>
                <w:rFonts w:ascii="Times New Roman" w:eastAsiaTheme="minorHAnsi" w:hAnsi="Times New Roman" w:cs="Times New Roman"/>
                <w:iCs w:val="0"/>
                <w:color w:val="auto"/>
                <w:sz w:val="20"/>
                <w:szCs w:val="20"/>
              </w:rPr>
            </w:pPr>
            <w:r w:rsidRPr="00EC2A1C">
              <w:rPr>
                <w:rFonts w:ascii="Times New Roman" w:eastAsiaTheme="minorHAnsi" w:hAnsi="Times New Roman" w:cs="Times New Roman"/>
                <w:color w:val="auto"/>
                <w:sz w:val="20"/>
                <w:szCs w:val="20"/>
              </w:rPr>
              <w:t>V uplynulých programových obdobích došlo k průzkumu více než 250 lokalit s podezřením a přítomnost rizikové kontaminace a dále k sanaci zhruba 100 lokalit s nejzávažněji hodnocenou kontaminací. Celkově lze pozorovat rostoucí zájem o problematiku v souvislosti se zvýšeným povědomím o problematice.</w:t>
            </w:r>
          </w:p>
          <w:p w14:paraId="43BFAE03" w14:textId="77777777" w:rsidR="00DD3EFA" w:rsidRPr="00EC2A1C" w:rsidRDefault="00DD3EFA" w:rsidP="00B15ECB">
            <w:pPr>
              <w:pStyle w:val="Nadpis6"/>
              <w:outlineLvl w:val="5"/>
              <w:rPr>
                <w:rFonts w:ascii="Times New Roman" w:eastAsiaTheme="minorHAnsi" w:hAnsi="Times New Roman" w:cs="Times New Roman"/>
                <w:b/>
                <w:iCs w:val="0"/>
                <w:color w:val="auto"/>
                <w:sz w:val="20"/>
                <w:szCs w:val="20"/>
              </w:rPr>
            </w:pPr>
            <w:r w:rsidRPr="00EC2A1C">
              <w:rPr>
                <w:rFonts w:ascii="Times New Roman" w:eastAsiaTheme="minorHAnsi" w:hAnsi="Times New Roman" w:cs="Times New Roman"/>
                <w:b/>
                <w:color w:val="auto"/>
                <w:sz w:val="20"/>
                <w:szCs w:val="20"/>
              </w:rPr>
              <w:t>OPŽP 2014 – 2020:</w:t>
            </w:r>
          </w:p>
          <w:p w14:paraId="2B837E36" w14:textId="77777777" w:rsidR="00DD3EFA" w:rsidRPr="00EC2A1C" w:rsidRDefault="00DD3EFA" w:rsidP="00B15ECB">
            <w:pPr>
              <w:pStyle w:val="Nadpis6"/>
              <w:outlineLvl w:val="5"/>
              <w:rPr>
                <w:rFonts w:ascii="Times New Roman" w:eastAsiaTheme="minorHAnsi" w:hAnsi="Times New Roman" w:cs="Times New Roman"/>
                <w:b/>
                <w:iCs w:val="0"/>
                <w:color w:val="auto"/>
                <w:sz w:val="20"/>
                <w:szCs w:val="20"/>
              </w:rPr>
            </w:pPr>
            <w:r w:rsidRPr="00EC2A1C">
              <w:rPr>
                <w:rFonts w:ascii="Times New Roman" w:eastAsiaTheme="minorHAnsi" w:hAnsi="Times New Roman" w:cs="Times New Roman"/>
                <w:b/>
                <w:color w:val="auto"/>
                <w:sz w:val="20"/>
                <w:szCs w:val="20"/>
              </w:rPr>
              <w:t xml:space="preserve">Pro 3.3 Rekultivace starých skládek byl stanoven 1 společný a specifický programový ukazatel výstupu: </w:t>
            </w:r>
          </w:p>
          <w:p w14:paraId="6E8D9E47" w14:textId="77777777" w:rsidR="00DD3EFA" w:rsidRPr="00EC2A1C" w:rsidRDefault="00DD3EFA" w:rsidP="00391907">
            <w:pPr>
              <w:pStyle w:val="Odstavecseseznamem"/>
              <w:numPr>
                <w:ilvl w:val="0"/>
                <w:numId w:val="120"/>
              </w:numPr>
              <w:jc w:val="both"/>
            </w:pPr>
            <w:r w:rsidRPr="00EC2A1C">
              <w:t>Plocha rekultivovaných starých skládek z podpořených projektů s cílovou hodnoutou (2023) 480 722 m</w:t>
            </w:r>
            <w:r w:rsidRPr="00EC2A1C">
              <w:rPr>
                <w:vertAlign w:val="superscript"/>
              </w:rPr>
              <w:t>2</w:t>
            </w:r>
          </w:p>
          <w:p w14:paraId="49FE00A1" w14:textId="77777777" w:rsidR="00DD3EFA" w:rsidRPr="00EC2A1C" w:rsidRDefault="00DD3EFA" w:rsidP="00B15ECB"/>
          <w:p w14:paraId="306AFDA0" w14:textId="77777777" w:rsidR="00DD3EFA" w:rsidRPr="00EC2A1C" w:rsidRDefault="00DD3EFA" w:rsidP="00B15ECB"/>
          <w:p w14:paraId="1390B480" w14:textId="77777777" w:rsidR="00DD3EFA" w:rsidRPr="00EC2A1C" w:rsidRDefault="00DD3EFA" w:rsidP="00B15ECB">
            <w:pPr>
              <w:pStyle w:val="Nadpis6"/>
              <w:outlineLvl w:val="5"/>
              <w:rPr>
                <w:rFonts w:ascii="Times New Roman" w:eastAsiaTheme="minorHAnsi" w:hAnsi="Times New Roman" w:cs="Times New Roman"/>
                <w:b/>
                <w:iCs w:val="0"/>
                <w:color w:val="auto"/>
                <w:sz w:val="20"/>
                <w:szCs w:val="20"/>
              </w:rPr>
            </w:pPr>
            <w:r w:rsidRPr="00EC2A1C">
              <w:rPr>
                <w:rFonts w:ascii="Times New Roman" w:eastAsiaTheme="minorHAnsi" w:hAnsi="Times New Roman" w:cs="Times New Roman"/>
                <w:b/>
                <w:color w:val="auto"/>
                <w:sz w:val="20"/>
                <w:szCs w:val="20"/>
              </w:rPr>
              <w:t xml:space="preserve">Pro SC 3.4 Dokončit inventarizaci a odstranit ekologické zátěže byly stanoveny 3 společné a specifické programové ukazatele výstupu: </w:t>
            </w:r>
          </w:p>
          <w:p w14:paraId="31695004" w14:textId="77777777" w:rsidR="00DD3EFA" w:rsidRPr="00EC2A1C" w:rsidRDefault="00DD3EFA" w:rsidP="00391907">
            <w:pPr>
              <w:pStyle w:val="Odstavecseseznamem"/>
              <w:numPr>
                <w:ilvl w:val="0"/>
                <w:numId w:val="120"/>
              </w:numPr>
              <w:jc w:val="both"/>
            </w:pPr>
            <w:r w:rsidRPr="00EC2A1C">
              <w:t>Inventarizovaná místa s hodnocenou prioritou s cílovou hodnoutou (2023) 8 952 míst</w:t>
            </w:r>
          </w:p>
          <w:p w14:paraId="302F882A" w14:textId="77777777" w:rsidR="00DD3EFA" w:rsidRPr="00EC2A1C" w:rsidRDefault="00DD3EFA" w:rsidP="00391907">
            <w:pPr>
              <w:pStyle w:val="Odstavecseseznamem"/>
              <w:numPr>
                <w:ilvl w:val="0"/>
                <w:numId w:val="120"/>
              </w:numPr>
              <w:jc w:val="both"/>
            </w:pPr>
            <w:r w:rsidRPr="00EC2A1C">
              <w:t>Počet zpracovaných analýz rizik s cílovou hodnoutou (2023) 80 analýz</w:t>
            </w:r>
          </w:p>
          <w:p w14:paraId="2A877D83" w14:textId="77777777" w:rsidR="00DD3EFA" w:rsidRPr="00EC2A1C" w:rsidRDefault="00DD3EFA" w:rsidP="00391907">
            <w:pPr>
              <w:pStyle w:val="Odstavecseseznamem"/>
              <w:numPr>
                <w:ilvl w:val="0"/>
                <w:numId w:val="120"/>
              </w:numPr>
              <w:jc w:val="both"/>
            </w:pPr>
            <w:r w:rsidRPr="00EC2A1C">
              <w:t>Celková rozloha sanovaných lokalit v ČR vztažená k určitému datu s cílovou hodnoutou (2023) 500 000 m</w:t>
            </w:r>
            <w:r w:rsidRPr="00EC2A1C">
              <w:rPr>
                <w:vertAlign w:val="superscript"/>
              </w:rPr>
              <w:t>2</w:t>
            </w:r>
            <w:r w:rsidRPr="00EC2A1C">
              <w:t>.</w:t>
            </w:r>
          </w:p>
          <w:p w14:paraId="2AE6E4A8" w14:textId="77777777" w:rsidR="00DD3EFA" w:rsidRPr="00EC2A1C" w:rsidRDefault="00DD3EFA" w:rsidP="00B15ECB"/>
          <w:p w14:paraId="76DEC13E" w14:textId="77777777" w:rsidR="00DD3EFA" w:rsidRPr="00EC2A1C" w:rsidRDefault="00DD3EFA" w:rsidP="00B15ECB"/>
          <w:p w14:paraId="5AA85AE9" w14:textId="77777777" w:rsidR="00DD3EFA" w:rsidRPr="00EC2A1C" w:rsidRDefault="00DD3EFA" w:rsidP="00B15ECB">
            <w:pPr>
              <w:pStyle w:val="slovanodstavec"/>
              <w:tabs>
                <w:tab w:val="left" w:pos="284"/>
              </w:tabs>
              <w:suppressAutoHyphens/>
              <w:spacing w:line="240" w:lineRule="auto"/>
              <w:rPr>
                <w:rFonts w:ascii="Times New Roman" w:hAnsi="Times New Roman"/>
                <w:b/>
              </w:rPr>
            </w:pPr>
            <w:r w:rsidRPr="00EC2A1C">
              <w:rPr>
                <w:rFonts w:ascii="Times New Roman" w:hAnsi="Times New Roman"/>
                <w:b/>
              </w:rPr>
              <w:t>OPŽP 2007 – 2013:</w:t>
            </w:r>
          </w:p>
          <w:p w14:paraId="07B4925C" w14:textId="77777777" w:rsidR="00DD3EFA" w:rsidRPr="00EC2A1C" w:rsidRDefault="00DD3EFA" w:rsidP="00B15ECB">
            <w:pPr>
              <w:pStyle w:val="slovanodstavec"/>
              <w:tabs>
                <w:tab w:val="left" w:pos="284"/>
              </w:tabs>
              <w:suppressAutoHyphens/>
              <w:spacing w:line="240" w:lineRule="auto"/>
              <w:rPr>
                <w:rFonts w:ascii="Times New Roman" w:eastAsiaTheme="minorHAnsi" w:hAnsi="Times New Roman"/>
                <w:b/>
                <w:noProof/>
              </w:rPr>
            </w:pPr>
            <w:r w:rsidRPr="00EC2A1C">
              <w:rPr>
                <w:rFonts w:ascii="Times New Roman" w:eastAsiaTheme="minorHAnsi" w:hAnsi="Times New Roman"/>
                <w:b/>
                <w:noProof/>
              </w:rPr>
              <w:t>Prioritní osa 4 - Zkvalitnění nakládání s odpady a odstraňování starých ekologických zátěží</w:t>
            </w:r>
          </w:p>
          <w:p w14:paraId="355F949C" w14:textId="77777777" w:rsidR="00DD3EFA" w:rsidRPr="00EC2A1C" w:rsidRDefault="00DD3EFA" w:rsidP="00B15ECB">
            <w:pPr>
              <w:spacing w:before="60" w:after="60" w:line="276" w:lineRule="auto"/>
            </w:pPr>
            <w:r w:rsidRPr="00EC2A1C">
              <w:t xml:space="preserve">V programovém období OPŽP 2007 – 2013 v rámci oblasti podpory 4.2 </w:t>
            </w:r>
            <w:r w:rsidRPr="00EC2A1C">
              <w:rPr>
                <w:i/>
              </w:rPr>
              <w:t>Odstraňování starých ekologických zátěží</w:t>
            </w:r>
            <w:r w:rsidRPr="00EC2A1C">
              <w:t xml:space="preserve"> bylo oproti cílovým 50 projektům podpořeno celkém 183 projektů zaměřených na odstraňování starých ekologických zátěží. Podpořen byl 1 projekt inventarizace starých ekologických zátěží, 127 analýz rizik starých ekologických zátěží, 55 sanací starých ekologických zátěží.  Odstraněno bylo 1 797 246,79 m</w:t>
            </w:r>
            <w:r w:rsidRPr="00EC2A1C">
              <w:rPr>
                <w:vertAlign w:val="superscript"/>
              </w:rPr>
              <w:t>2</w:t>
            </w:r>
            <w:r w:rsidRPr="00EC2A1C">
              <w:t xml:space="preserve"> plochy starých ekologických zátěží. V rámci oblasti podpory 4.2 byly příjemcům proplaceny prostředky ve výši 6,168 mld. Kč (233 mil. EUR).</w:t>
            </w:r>
          </w:p>
          <w:p w14:paraId="2ED4FF90"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rPr>
              <w:t>Dosavadní podporou se podařilo snížit celkový rozsah původně nevyužitelných, nebo s velkými obtížemi využitelných lokalit a podnikatelských ploch a přeměnit je na moderní výrobní infrastrukturu bez záboru nových ploch pro výstavbu. Zájem o podporu revitalizace a rekonstrukcí objektů pro výrobu a služby byl a je od roku 2007 enormní, což jen podtrhuje správné nastavení formátu podpory. V průběhu let byl z hlediska hodnocení předkládaných projektů kladen čím dál větší důraz nejen na nákladovou efektivitu vynaložených prostředků, ale rovněž na environmentální dopad v podobě tlaku na realizace staveb v co nejnižším stupni energetické náročnosti. Energetické charakteristiky nových projektů musí být klíčové i pro pokračování programu, stejně jako tlak na regeneraci co možná nejpostiženějších lokalit, v nichž nelze investice bez dotační podpory prokazatelně realizovat. Program v letech 2007 – 2013 poskytl podporu v souhrnné výši 11,5 mld Kč, v současném období po realokacích disponuje částkou v rozsahu cca ½, přičemž tato je již z velké části využita a poptávka po realizaci dalších výzev je kontinuální. Proto se jeví jako více než vhodné pokračovat v obdobné formě podpory i do budoucna.</w:t>
            </w:r>
          </w:p>
          <w:p w14:paraId="3C5CF774"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rPr>
              <w:t>OP PIK</w:t>
            </w:r>
          </w:p>
          <w:p w14:paraId="558DE333" w14:textId="77777777" w:rsidR="00DD3EFA" w:rsidRPr="00EC2A1C" w:rsidRDefault="00DD3EFA" w:rsidP="00B15ECB">
            <w:pPr>
              <w:spacing w:before="60"/>
              <w:rPr>
                <w:rFonts w:eastAsiaTheme="majorEastAsia"/>
              </w:rPr>
            </w:pPr>
            <w:r w:rsidRPr="00EC2A1C">
              <w:rPr>
                <w:rFonts w:eastAsiaTheme="majorEastAsia"/>
              </w:rPr>
              <w:t>V období 2007–2013 byly tyto aktivity předmětem podpory v programu Nemovitosti v Operačním cíli „Zkvalitnit a rozšířit infrastrukturu pro podnikání v oblasti rozvoje podnikatelských nemovitostí a regenerace brownfields“ OPPI. Ten byl předmětem hodnocení v rámci Ex-post evaluace OPPI: „Infrastruktura pro podnikání byla výrazně podpořena programem podpory NEMOVITOSTI. Možnost zisku a úpravy nemovitostí pro své podnikání je jedním z nejdůležitějších předpokladů pro rozvoj podnikání. Existence programu představuje odstranění limitů tohoto rozvoje a výrazně usnadňuje podnikatelskou činnost. Podpořené podniky nejen že získají prostory pro svou činnost, ale mohou také využít uspořené finanční prostředky na svůj další rozvoj v oblastech, na které by v opačných případech nedosáhli. Rozšíření infrastruktury dokazuje také naplnění indikátorů v rámci prioritní osy 5 OPPI. Co se týče regenerace brownfields, v rámci sledovaných indikátorů neexistuje takový, který by v této oblasti stanovoval určitý cíl. V rámci případové studie programu podpory nemovitosti však byly identifikovány projekty, které svá nová sídla budovaly v místech původních brownfields, lze tak potvrdit také naplňování této části operačního cíle. Závěr: Operační cíl byl v rámci realizace programu naplněn.“</w:t>
            </w:r>
          </w:p>
          <w:p w14:paraId="3F51EEFF" w14:textId="77777777" w:rsidR="00DD3EFA" w:rsidRPr="00EC2A1C" w:rsidRDefault="00DD3EFA" w:rsidP="00B15ECB">
            <w:pPr>
              <w:rPr>
                <w:rFonts w:eastAsiaTheme="majorEastAsia"/>
              </w:rPr>
            </w:pPr>
          </w:p>
          <w:p w14:paraId="454A93D0" w14:textId="77777777" w:rsidR="00DD3EFA" w:rsidRPr="00EC2A1C" w:rsidRDefault="00DD3EFA" w:rsidP="00B15ECB">
            <w:pPr>
              <w:rPr>
                <w:rFonts w:eastAsiaTheme="majorEastAsia"/>
              </w:rPr>
            </w:pPr>
            <w:r w:rsidRPr="00EC2A1C">
              <w:rPr>
                <w:rFonts w:eastAsiaTheme="majorEastAsia"/>
              </w:rPr>
              <w:t>Za období 2014–2020 vyhodnocení probíhá v těchto dnech. Jde o Výsledkovou evaluaci SC 2.3 OP PIK</w:t>
            </w:r>
            <w:r w:rsidRPr="00EC2A1C">
              <w:t>.</w:t>
            </w:r>
            <w:r w:rsidRPr="00EC2A1C">
              <w:rPr>
                <w:rFonts w:eastAsiaTheme="majorEastAsia"/>
              </w:rPr>
              <w:t xml:space="preserve"> Dne 1. 2. 2019 byla předána Vstupní zpráva, Závěrečná zpráva se předpokládá v červnu 2019.</w:t>
            </w:r>
          </w:p>
          <w:p w14:paraId="591570F9"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p>
          <w:p w14:paraId="269BD534" w14:textId="77777777" w:rsidR="00DD3EFA" w:rsidRPr="00EC2A1C" w:rsidRDefault="00DD3EFA" w:rsidP="00B15ECB">
            <w:pPr>
              <w:pStyle w:val="slovanodstavec"/>
              <w:tabs>
                <w:tab w:val="left" w:pos="284"/>
              </w:tabs>
              <w:suppressAutoHyphens/>
              <w:rPr>
                <w:rFonts w:ascii="Times New Roman" w:hAnsi="Times New Roman"/>
              </w:rPr>
            </w:pPr>
            <w:r w:rsidRPr="00EC2A1C">
              <w:rPr>
                <w:rFonts w:ascii="Times New Roman" w:hAnsi="Times New Roman"/>
              </w:rPr>
              <w:t>Dosavadní podporou se podařilo snížit celkový rozsah původně nevyužitelných, nebo s velkými obtížemi využitelných lokalit a podnikatelských ploch a přeměnit je na moderní výrobní infrastrukturu bez záboru nových ploch pro výstavbu. Zájem o podporu revitalizace a rekonstrukcí objektů pro výrobu a služby byl a je od roku 2007 enormní, což jen podtrhuje správné nastavení formátu podpory. V průběhu let byl z hlediska hodnocení předkládaných projektů kladen čím dál větší důraz nejen na nákladovou efektivitu vynaložených prostředků, ale rovněž na environmentální dopad v podobě tlaku na realizace staveb v co nejnižším stupni energetické náročnosti. Energetické charakteristiky nových projektů musí být klíčové i pro pokračování programu, stejně jako tlak na regeneraci co možná nejpostiženějších lokalit, v nichž nelze investice bez dotační podpory prokazatelně realizovat. Program v letech 2007 – 2013 poskytl podporu v souhrnné výši 11,5 mld Kč, v současném období po realokacích disponuje částkou v rozsahu cca ½, přičemž tato je již z velké části využita a poptávka po realizaci dalších výzev je kontinuální. Proto se jeví jako více než vhodné pokračovat v obdobné formě podpory i do budoucna.</w:t>
            </w:r>
          </w:p>
        </w:tc>
        <w:tc>
          <w:tcPr>
            <w:tcW w:w="249" w:type="dxa"/>
            <w:tcBorders>
              <w:top w:val="nil"/>
              <w:left w:val="nil"/>
              <w:bottom w:val="nil"/>
              <w:right w:val="single" w:sz="4" w:space="0" w:color="auto"/>
            </w:tcBorders>
            <w:shd w:val="clear" w:color="auto" w:fill="66CCFF"/>
          </w:tcPr>
          <w:p w14:paraId="434EF013" w14:textId="77777777" w:rsidR="00DD3EFA" w:rsidRPr="00EC2A1C" w:rsidRDefault="00DD3EFA">
            <w:pPr>
              <w:rPr>
                <w:b/>
              </w:rPr>
            </w:pPr>
          </w:p>
        </w:tc>
      </w:tr>
      <w:tr w:rsidR="00DD3EFA" w:rsidRPr="00EC2A1C" w14:paraId="4CF02D10" w14:textId="77777777" w:rsidTr="00B15ECB">
        <w:trPr>
          <w:trHeight w:val="1258"/>
        </w:trPr>
        <w:tc>
          <w:tcPr>
            <w:tcW w:w="249" w:type="dxa"/>
            <w:tcBorders>
              <w:top w:val="nil"/>
              <w:left w:val="single" w:sz="4" w:space="0" w:color="auto"/>
              <w:bottom w:val="nil"/>
              <w:right w:val="nil"/>
            </w:tcBorders>
            <w:shd w:val="clear" w:color="auto" w:fill="66CCFF"/>
          </w:tcPr>
          <w:p w14:paraId="7622914B"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CE5A8" w14:textId="77777777" w:rsidR="00DD3EFA" w:rsidRPr="00EC2A1C" w:rsidRDefault="00DD3EFA">
            <w:pPr>
              <w:rPr>
                <w:rFonts w:eastAsiaTheme="majorEastAsia"/>
                <w:b/>
              </w:rPr>
            </w:pPr>
            <w:r w:rsidRPr="00EC2A1C">
              <w:rPr>
                <w:rFonts w:eastAsiaTheme="majorEastAsia"/>
                <w:b/>
              </w:rPr>
              <w:t>Synergické a multiplikační efekty</w:t>
            </w:r>
          </w:p>
          <w:p w14:paraId="007317CE" w14:textId="77777777" w:rsidR="00DD3EFA" w:rsidRPr="00EC2A1C" w:rsidRDefault="00DD3EFA">
            <w:pPr>
              <w:rPr>
                <w:rFonts w:eastAsiaTheme="majorEastAsia"/>
                <w:b/>
                <w:highlight w:val="yellow"/>
              </w:rPr>
            </w:pPr>
            <w:r w:rsidRPr="00EC2A1C">
              <w:rPr>
                <w:rFonts w:eastAsiaTheme="majorEastAsia"/>
                <w:b/>
              </w:rPr>
              <w:t>(tj. v období 2014 – 2020, příp. 2007 – 2013)</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64EF09"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rPr>
              <w:t xml:space="preserve">Ve vztahu k ostatním kartám NKR přispívá k </w:t>
            </w:r>
          </w:p>
          <w:p w14:paraId="6D3304C2" w14:textId="77777777" w:rsidR="00DD3EFA" w:rsidRPr="00EC2A1C" w:rsidRDefault="00DD3EFA" w:rsidP="00391907">
            <w:pPr>
              <w:pStyle w:val="slovanodstavec"/>
              <w:numPr>
                <w:ilvl w:val="0"/>
                <w:numId w:val="113"/>
              </w:numPr>
              <w:tabs>
                <w:tab w:val="left" w:pos="284"/>
              </w:tabs>
              <w:suppressAutoHyphens/>
              <w:spacing w:after="0" w:line="240" w:lineRule="auto"/>
              <w:ind w:left="714" w:hanging="357"/>
              <w:jc w:val="left"/>
              <w:rPr>
                <w:rFonts w:ascii="Times New Roman" w:hAnsi="Times New Roman"/>
              </w:rPr>
            </w:pPr>
            <w:r w:rsidRPr="00EC2A1C">
              <w:rPr>
                <w:rFonts w:ascii="Times New Roman" w:hAnsi="Times New Roman"/>
              </w:rPr>
              <w:t xml:space="preserve">Podpora podnikání a průmyslu, </w:t>
            </w:r>
          </w:p>
          <w:p w14:paraId="594A7FA2" w14:textId="77777777" w:rsidR="00DD3EFA" w:rsidRPr="00EC2A1C" w:rsidRDefault="00DD3EFA" w:rsidP="00391907">
            <w:pPr>
              <w:pStyle w:val="slovanodstavec"/>
              <w:numPr>
                <w:ilvl w:val="0"/>
                <w:numId w:val="113"/>
              </w:numPr>
              <w:tabs>
                <w:tab w:val="left" w:pos="284"/>
              </w:tabs>
              <w:suppressAutoHyphens/>
              <w:spacing w:after="0" w:line="240" w:lineRule="auto"/>
              <w:ind w:left="714" w:hanging="357"/>
              <w:jc w:val="left"/>
              <w:rPr>
                <w:rFonts w:ascii="Times New Roman" w:hAnsi="Times New Roman"/>
              </w:rPr>
            </w:pPr>
            <w:r w:rsidRPr="00EC2A1C">
              <w:rPr>
                <w:rFonts w:ascii="Times New Roman" w:hAnsi="Times New Roman"/>
              </w:rPr>
              <w:t xml:space="preserve">Výzkumný a inovační systém, </w:t>
            </w:r>
          </w:p>
          <w:p w14:paraId="1A0F5F1E" w14:textId="77777777" w:rsidR="00DD3EFA" w:rsidRPr="00EC2A1C" w:rsidRDefault="00DD3EFA" w:rsidP="00391907">
            <w:pPr>
              <w:pStyle w:val="slovanodstavec"/>
              <w:numPr>
                <w:ilvl w:val="0"/>
                <w:numId w:val="113"/>
              </w:numPr>
              <w:tabs>
                <w:tab w:val="left" w:pos="284"/>
              </w:tabs>
              <w:suppressAutoHyphens/>
              <w:spacing w:after="0" w:line="240" w:lineRule="auto"/>
              <w:ind w:left="714" w:hanging="357"/>
              <w:jc w:val="left"/>
              <w:rPr>
                <w:rFonts w:ascii="Times New Roman" w:hAnsi="Times New Roman"/>
              </w:rPr>
            </w:pPr>
            <w:r w:rsidRPr="00EC2A1C">
              <w:rPr>
                <w:rFonts w:ascii="Times New Roman" w:hAnsi="Times New Roman"/>
              </w:rPr>
              <w:t xml:space="preserve">Trh a zaměstnanost, </w:t>
            </w:r>
          </w:p>
          <w:p w14:paraId="5AC0BFA3" w14:textId="77777777" w:rsidR="00DD3EFA" w:rsidRPr="00EC2A1C" w:rsidRDefault="00DD3EFA" w:rsidP="00391907">
            <w:pPr>
              <w:pStyle w:val="slovanodstavec"/>
              <w:numPr>
                <w:ilvl w:val="0"/>
                <w:numId w:val="113"/>
              </w:numPr>
              <w:tabs>
                <w:tab w:val="left" w:pos="284"/>
              </w:tabs>
              <w:suppressAutoHyphens/>
              <w:spacing w:after="0" w:line="240" w:lineRule="auto"/>
              <w:ind w:left="714" w:hanging="357"/>
              <w:jc w:val="left"/>
              <w:rPr>
                <w:rFonts w:ascii="Times New Roman" w:hAnsi="Times New Roman"/>
              </w:rPr>
            </w:pPr>
            <w:r w:rsidRPr="00EC2A1C">
              <w:rPr>
                <w:rFonts w:ascii="Times New Roman" w:hAnsi="Times New Roman"/>
              </w:rPr>
              <w:t xml:space="preserve">Veřejná správa a bezpečnost, </w:t>
            </w:r>
          </w:p>
          <w:p w14:paraId="2F84C3D5" w14:textId="77777777" w:rsidR="00DD3EFA" w:rsidRPr="00EC2A1C" w:rsidRDefault="00DD3EFA" w:rsidP="00391907">
            <w:pPr>
              <w:pStyle w:val="slovanodstavec"/>
              <w:numPr>
                <w:ilvl w:val="0"/>
                <w:numId w:val="113"/>
              </w:numPr>
              <w:tabs>
                <w:tab w:val="left" w:pos="284"/>
              </w:tabs>
              <w:suppressAutoHyphens/>
              <w:spacing w:line="240" w:lineRule="auto"/>
              <w:jc w:val="left"/>
              <w:rPr>
                <w:rFonts w:ascii="Times New Roman" w:hAnsi="Times New Roman"/>
                <w:i/>
              </w:rPr>
            </w:pPr>
            <w:r w:rsidRPr="00EC2A1C">
              <w:rPr>
                <w:rFonts w:ascii="Times New Roman" w:hAnsi="Times New Roman"/>
              </w:rPr>
              <w:t>Sociální začleňování, sociální služby a systém péče o zdraví</w:t>
            </w:r>
          </w:p>
          <w:p w14:paraId="13598046"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Dekontaminace lokalit a revitalizace brownfieldů přispívají k ochraně půdy a vod, zejm. podzemních. Omezují se tak ohrožení zdraví obyvatelstva a ekosystémů. Umožní znovuvyužití těchto lokalit, čímž se omezí zábory zemědělského půdního fondu, přispějí ke zvýšení kompaktnosti měst, omezuje vznik a rozšiřování vyloučených lokalit a přispívá k regeneraci přirozených vazeb v krajině.  Sekundárně přispívá ke zlepšení kvality života obyvatel.</w:t>
            </w:r>
          </w:p>
          <w:p w14:paraId="6B9AB240" w14:textId="77777777" w:rsidR="00DD3EFA" w:rsidRPr="00EC2A1C" w:rsidRDefault="00DD3EFA" w:rsidP="00B15ECB">
            <w:pPr>
              <w:pStyle w:val="slovanodstavec"/>
              <w:tabs>
                <w:tab w:val="left" w:pos="284"/>
              </w:tabs>
              <w:suppressAutoHyphens/>
              <w:spacing w:after="0" w:line="240" w:lineRule="auto"/>
              <w:jc w:val="left"/>
              <w:rPr>
                <w:rFonts w:ascii="Times New Roman" w:hAnsi="Times New Roman"/>
                <w:i/>
              </w:rPr>
            </w:pPr>
          </w:p>
        </w:tc>
        <w:tc>
          <w:tcPr>
            <w:tcW w:w="249" w:type="dxa"/>
            <w:tcBorders>
              <w:top w:val="nil"/>
              <w:left w:val="nil"/>
              <w:bottom w:val="nil"/>
              <w:right w:val="single" w:sz="4" w:space="0" w:color="auto"/>
            </w:tcBorders>
            <w:shd w:val="clear" w:color="auto" w:fill="66CCFF"/>
          </w:tcPr>
          <w:p w14:paraId="28B543A1" w14:textId="77777777" w:rsidR="00DD3EFA" w:rsidRPr="00EC2A1C" w:rsidRDefault="00DD3EFA">
            <w:pPr>
              <w:rPr>
                <w:b/>
              </w:rPr>
            </w:pPr>
          </w:p>
        </w:tc>
      </w:tr>
      <w:tr w:rsidR="00DD3EFA" w:rsidRPr="00EC2A1C" w14:paraId="4D52710D" w14:textId="77777777" w:rsidTr="00B15ECB">
        <w:trPr>
          <w:trHeight w:val="180"/>
        </w:trPr>
        <w:tc>
          <w:tcPr>
            <w:tcW w:w="249" w:type="dxa"/>
            <w:tcBorders>
              <w:top w:val="nil"/>
              <w:left w:val="single" w:sz="4" w:space="0" w:color="auto"/>
              <w:bottom w:val="nil"/>
              <w:right w:val="nil"/>
            </w:tcBorders>
            <w:shd w:val="clear" w:color="auto" w:fill="66CCFF"/>
          </w:tcPr>
          <w:p w14:paraId="34FD93C8" w14:textId="77777777" w:rsidR="00DD3EFA" w:rsidRPr="00EC2A1C" w:rsidRDefault="00DD3EFA">
            <w:pPr>
              <w:rPr>
                <w:b/>
              </w:rPr>
            </w:pPr>
          </w:p>
        </w:tc>
        <w:tc>
          <w:tcPr>
            <w:tcW w:w="2548" w:type="dxa"/>
            <w:tcBorders>
              <w:top w:val="single" w:sz="4" w:space="0" w:color="auto"/>
              <w:left w:val="nil"/>
              <w:bottom w:val="single" w:sz="4" w:space="0" w:color="auto"/>
              <w:right w:val="nil"/>
            </w:tcBorders>
            <w:shd w:val="clear" w:color="auto" w:fill="66CCFF"/>
          </w:tcPr>
          <w:p w14:paraId="7F1B38BE" w14:textId="77777777" w:rsidR="00DD3EFA" w:rsidRPr="00EC2A1C" w:rsidRDefault="00DD3EFA">
            <w:pPr>
              <w:rPr>
                <w:b/>
              </w:rPr>
            </w:pPr>
          </w:p>
        </w:tc>
        <w:tc>
          <w:tcPr>
            <w:tcW w:w="5978" w:type="dxa"/>
            <w:tcBorders>
              <w:top w:val="single" w:sz="4" w:space="0" w:color="auto"/>
              <w:left w:val="nil"/>
              <w:bottom w:val="single" w:sz="4" w:space="0" w:color="auto"/>
              <w:right w:val="nil"/>
            </w:tcBorders>
            <w:shd w:val="clear" w:color="auto" w:fill="66CCFF"/>
          </w:tcPr>
          <w:p w14:paraId="525CD01A" w14:textId="77777777" w:rsidR="00DD3EFA" w:rsidRPr="00EC2A1C" w:rsidRDefault="00DD3EFA">
            <w:pPr>
              <w:rPr>
                <w:b/>
              </w:rPr>
            </w:pPr>
          </w:p>
        </w:tc>
        <w:tc>
          <w:tcPr>
            <w:tcW w:w="249" w:type="dxa"/>
            <w:tcBorders>
              <w:top w:val="nil"/>
              <w:left w:val="nil"/>
              <w:bottom w:val="nil"/>
              <w:right w:val="single" w:sz="4" w:space="0" w:color="auto"/>
            </w:tcBorders>
            <w:shd w:val="clear" w:color="auto" w:fill="66CCFF"/>
          </w:tcPr>
          <w:p w14:paraId="4DA851AE" w14:textId="77777777" w:rsidR="00DD3EFA" w:rsidRPr="00EC2A1C" w:rsidRDefault="00DD3EFA">
            <w:pPr>
              <w:rPr>
                <w:b/>
              </w:rPr>
            </w:pPr>
          </w:p>
        </w:tc>
      </w:tr>
      <w:tr w:rsidR="00DD3EFA" w:rsidRPr="00EC2A1C" w14:paraId="41331B78" w14:textId="77777777" w:rsidTr="00B15ECB">
        <w:trPr>
          <w:trHeight w:val="990"/>
        </w:trPr>
        <w:tc>
          <w:tcPr>
            <w:tcW w:w="249" w:type="dxa"/>
            <w:tcBorders>
              <w:top w:val="nil"/>
              <w:left w:val="single" w:sz="4" w:space="0" w:color="auto"/>
              <w:bottom w:val="nil"/>
              <w:right w:val="single" w:sz="4" w:space="0" w:color="auto"/>
            </w:tcBorders>
            <w:shd w:val="clear" w:color="auto" w:fill="66CCFF"/>
          </w:tcPr>
          <w:p w14:paraId="6EC7EEB0" w14:textId="77777777" w:rsidR="00DD3EFA" w:rsidRPr="00EC2A1C" w:rsidRDefault="00DD3EFA">
            <w:pPr>
              <w:rPr>
                <w:b/>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1CD685" w14:textId="77777777" w:rsidR="00DD3EFA" w:rsidRPr="00EC2A1C" w:rsidRDefault="00DD3EFA">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785E541A" w14:textId="77777777" w:rsidR="00DD3EFA" w:rsidRPr="00EC2A1C" w:rsidRDefault="00DD3EFA">
            <w:pPr>
              <w:spacing w:before="60" w:after="60"/>
              <w:rPr>
                <w:rFonts w:eastAsiaTheme="majorEastAsia"/>
              </w:rPr>
            </w:pPr>
          </w:p>
        </w:tc>
        <w:tc>
          <w:tcPr>
            <w:tcW w:w="249" w:type="dxa"/>
            <w:tcBorders>
              <w:top w:val="nil"/>
              <w:left w:val="single" w:sz="4" w:space="0" w:color="auto"/>
              <w:bottom w:val="nil"/>
              <w:right w:val="single" w:sz="4" w:space="0" w:color="auto"/>
            </w:tcBorders>
            <w:shd w:val="clear" w:color="auto" w:fill="66CCFF"/>
          </w:tcPr>
          <w:p w14:paraId="55CD5497" w14:textId="77777777" w:rsidR="00DD3EFA" w:rsidRPr="00EC2A1C" w:rsidRDefault="00DD3EFA">
            <w:pPr>
              <w:rPr>
                <w:b/>
              </w:rPr>
            </w:pPr>
          </w:p>
        </w:tc>
      </w:tr>
      <w:tr w:rsidR="00DD3EFA" w:rsidRPr="00EC2A1C" w14:paraId="7B94FC45" w14:textId="77777777" w:rsidTr="00B15ECB">
        <w:trPr>
          <w:trHeight w:val="1260"/>
        </w:trPr>
        <w:tc>
          <w:tcPr>
            <w:tcW w:w="249" w:type="dxa"/>
            <w:tcBorders>
              <w:top w:val="nil"/>
              <w:left w:val="single" w:sz="4" w:space="0" w:color="auto"/>
              <w:bottom w:val="nil"/>
              <w:right w:val="single" w:sz="4" w:space="0" w:color="auto"/>
            </w:tcBorders>
            <w:shd w:val="clear" w:color="auto" w:fill="66CCFF"/>
          </w:tcPr>
          <w:p w14:paraId="60B192AC"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54C6A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A5592F1" w14:textId="77777777" w:rsidR="00DD3EFA" w:rsidRPr="00EC2A1C" w:rsidRDefault="00DD3EFA">
            <w:pPr>
              <w:spacing w:before="60" w:after="60"/>
              <w:rPr>
                <w:rFonts w:eastAsiaTheme="majorEastAsia"/>
                <w:i/>
              </w:rPr>
            </w:pPr>
            <w:r w:rsidRPr="00EC2A1C">
              <w:rPr>
                <w:rFonts w:eastAsiaTheme="majorEastAsia"/>
                <w:i/>
              </w:rPr>
              <w:t>Zhodnocení plnění naplánované abs. kapacity v minulém a stávajícím období.</w:t>
            </w:r>
          </w:p>
          <w:p w14:paraId="2FF2E9B7" w14:textId="77777777" w:rsidR="00DD3EFA" w:rsidRPr="00EC2A1C" w:rsidRDefault="00DD3EFA">
            <w:pPr>
              <w:spacing w:before="60" w:after="60"/>
              <w:rPr>
                <w:rFonts w:eastAsiaTheme="majorEastAsia"/>
              </w:rPr>
            </w:pPr>
            <w:r w:rsidRPr="00EC2A1C">
              <w:rPr>
                <w:rFonts w:eastAsiaTheme="majorEastAsia"/>
              </w:rPr>
              <w:t xml:space="preserve">Ačkoliv ČR dosud nedokončila inventarizaci ekologických zátěží, která by lépe umožnila rozvržení investičních nároků jednotlivých lokalit, v programovém obrobí 2007-2013 byl celkový požadavek projektů směřujících na odstranění SEZ cca 12 mld. Kč z čehož byly kofinancovány projekty pouze ve výši cca 5,2 mld. Kč (cca 200 projektů). Pro programové období 2014-2020 bylo na problematiku SEZ určeno cca 3 mld. Kč, které se podařilo alokovat již v průběhu 5. výzvy OPŽP (tj. v roce 2015). Jak v případě OPŽP 2007-2013 tak v případě OPŽP 20014-2020 došlo k výraznému překonání indikátorů, které program předpokládal naplnit v průběhu programového období. Výše uvedené pak mimo jiné ukazuje na skutečnost, že došlo k efektivní popularizaci problematiky a majitelé kontaminovaných lokalit a brownfieldů mají díky dlouhodobé podpoře v OPŽP dostatek informací o možnosti narovnání závadného stavu. Zásadním problémem v realizaci projektů se ukázala délka a efektivita výběrového řízení na dodavatele sanačních prací, případně nemožnost realizace některých sanačních zásahů ve složitých geologických podmínkách, kde nezbytná doba pro realizaci sanačního zásahu může významně přesahovat délku programového období. </w:t>
            </w:r>
          </w:p>
          <w:p w14:paraId="14FCD3DF" w14:textId="77777777" w:rsidR="00DD3EFA" w:rsidRPr="00EC2A1C" w:rsidRDefault="00DD3EFA">
            <w:pPr>
              <w:spacing w:before="60" w:after="60"/>
            </w:pPr>
            <w:r w:rsidRPr="00EC2A1C">
              <w:t>V OP ŽP 2014-2020 je tato oblast řešena v rámci PO 3 Odpady a materiálové toky, ekologické zátěže a rizika v SC 3.3 Rekultivace staré skládky a SC 3.4 Dokončit inventarizaci a odstranit staré ekologické zátěže. Absorpční kapacita a čerpání je u obou SC na velmi dobré úrovni</w:t>
            </w:r>
          </w:p>
          <w:p w14:paraId="4258C2F1" w14:textId="77777777" w:rsidR="00DD3EFA" w:rsidRPr="00EC2A1C" w:rsidRDefault="00DD3EFA">
            <w:pPr>
              <w:spacing w:before="60" w:after="60"/>
              <w:rPr>
                <w:color w:val="000000"/>
              </w:rPr>
            </w:pPr>
            <w:r w:rsidRPr="00EC2A1C">
              <w:rPr>
                <w:rFonts w:eastAsiaTheme="majorEastAsia"/>
              </w:rPr>
              <w:t>V rámci SC 3.3  bylo dosud schváleno 17 žádostí (s příspěvkem EU ve výši  314,5 mil. Kč)</w:t>
            </w:r>
            <w:r w:rsidRPr="00EC2A1C">
              <w:rPr>
                <w:color w:val="000000"/>
              </w:rPr>
              <w:t>Tímto byla alokace na SC 3.3 v rámci dvou výzev zazávazkována. Na základě potřeby a zájmu ze strany žadatelů bylo do SC 3.3 realokováno dalších 200 mil. Kč ze SC 3.1. Aktuálně je proto plánováno vyhlášení ještě jedné a zřejmě poslední výzvy (č. 118) pro SC 3.3 s alokací 200 mil. Kč, jejíž vyhlášení je naplánováno na 1. 3. 2019. Výzva bude vypsána pouze pro veřejný sektor a omezena na zvláště chráněná území.</w:t>
            </w:r>
          </w:p>
          <w:p w14:paraId="623B627A" w14:textId="77777777" w:rsidR="00DD3EFA" w:rsidRPr="00EC2A1C" w:rsidRDefault="00DD3EFA" w:rsidP="00B15ECB">
            <w:pPr>
              <w:spacing w:before="60" w:after="60"/>
              <w:rPr>
                <w:rFonts w:eastAsiaTheme="majorEastAsia"/>
              </w:rPr>
            </w:pPr>
            <w:r w:rsidRPr="00EC2A1C">
              <w:rPr>
                <w:rFonts w:eastAsiaTheme="majorEastAsia"/>
              </w:rPr>
              <w:t xml:space="preserve">V rámci SC 3.4  bylo dosud schváleno 103 žádostí (s příspěvkem EU ve výši  cca 2,8 mld. Kč). </w:t>
            </w:r>
          </w:p>
          <w:p w14:paraId="1B3DD4BD" w14:textId="77777777" w:rsidR="00DD3EFA" w:rsidRPr="00EC2A1C" w:rsidRDefault="00DD3EFA">
            <w:pPr>
              <w:spacing w:before="60" w:after="60"/>
              <w:rPr>
                <w:rFonts w:eastAsiaTheme="majorEastAsia"/>
              </w:rPr>
            </w:pPr>
            <w:r w:rsidRPr="00EC2A1C">
              <w:rPr>
                <w:rFonts w:eastAsiaTheme="majorEastAsia"/>
              </w:rPr>
              <w:t>V roce 2019 je pro SC 3.4 plánována 99. výzva na zbývající alokaci (vyhlášení 1.7.2019, otevření žádosti 1.8 – 31.10.2019, alokace 200 mil. Kč.</w:t>
            </w:r>
          </w:p>
          <w:p w14:paraId="2E171826" w14:textId="77777777" w:rsidR="00DD3EFA" w:rsidRPr="00EC2A1C" w:rsidRDefault="00DD3EFA">
            <w:pPr>
              <w:spacing w:before="60" w:after="60"/>
              <w:rPr>
                <w:i/>
              </w:rPr>
            </w:pPr>
          </w:p>
          <w:p w14:paraId="47063A34" w14:textId="77777777" w:rsidR="00DD3EFA" w:rsidRPr="00EC2A1C" w:rsidRDefault="00DD3EFA">
            <w:pPr>
              <w:spacing w:before="60" w:after="60"/>
              <w:rPr>
                <w:rFonts w:eastAsiaTheme="majorEastAsia"/>
                <w:i/>
              </w:rPr>
            </w:pPr>
            <w:r w:rsidRPr="00EC2A1C">
              <w:t>V letech 2007 – 2013 byla investiční podpora na revitalizace průmyslových  objektů brownfields realizována i v gesci MPO v rámci dotačního titulu „Nemovitosti“, Operační program Podnikání a Inovace. Jednalo se o investiční podporu pro MSP a velké podniky za účelem rekonstrukcí a revitalizací objektů typu brownfields, nebo jejich obdoby (technicky méně zchátralé, leč komplexní rekonstrukci vyžadující). Podpora směřovala do rekonstrukcí objektů za účelem zřízení průmyslové výroby a služeb, případně demolice a novostavby tam, kde rekonstrukce nebyla technicky, či ekonomicky možná. Vymezení vůči programům MŽP spočívalo v zákazu finanční podpory na ekologickou likvidaci průmyslových odpadů typu olej, ropné a jiné texické látky. Z hlediska věcného zaměření tedy šlo o návazný program spočívající v reviotalizaci a rekonstrukci dekontaminovaných oblatí, případně takových, kde ke kontaminaci nedošlo, a kterých je i v dnešní době velmi vysoké množství. Program podpory byl mimořádně úspěšný, stejně jako ve stávajícím období 2014 – 2020, kdy poptávka projektů výrazně převyšuje disponibilní alokaci. V rámci OPPI došlo k rekonstrukci a zřízení více jak 3 000 000 m</w:t>
            </w:r>
            <w:r w:rsidRPr="00EC2A1C">
              <w:rPr>
                <w:vertAlign w:val="superscript"/>
              </w:rPr>
              <w:t>2</w:t>
            </w:r>
            <w:r w:rsidRPr="00EC2A1C">
              <w:t xml:space="preserve"> nových ploch pro podnikání a průmyslovou výrobu, přičemž celkový objem přidělené podpory představoval částku 11,2 mld Kč, jež byla zcela vyčerpána. To vše při celkovém počtu 995 projektových záměrů.</w:t>
            </w:r>
          </w:p>
          <w:p w14:paraId="54F3B2E8" w14:textId="77777777" w:rsidR="00DD3EFA" w:rsidRPr="00EC2A1C" w:rsidRDefault="00DD3EFA">
            <w:pPr>
              <w:spacing w:before="60" w:after="60"/>
              <w:rPr>
                <w:rFonts w:eastAsiaTheme="majorEastAsia"/>
              </w:rPr>
            </w:pPr>
          </w:p>
        </w:tc>
        <w:tc>
          <w:tcPr>
            <w:tcW w:w="249" w:type="dxa"/>
            <w:tcBorders>
              <w:top w:val="nil"/>
              <w:left w:val="single" w:sz="4" w:space="0" w:color="auto"/>
              <w:bottom w:val="nil"/>
              <w:right w:val="single" w:sz="4" w:space="0" w:color="auto"/>
            </w:tcBorders>
            <w:shd w:val="clear" w:color="auto" w:fill="66CCFF"/>
          </w:tcPr>
          <w:p w14:paraId="24235C34" w14:textId="77777777" w:rsidR="00DD3EFA" w:rsidRPr="00EC2A1C" w:rsidRDefault="00DD3EFA">
            <w:pPr>
              <w:rPr>
                <w:b/>
              </w:rPr>
            </w:pPr>
          </w:p>
        </w:tc>
      </w:tr>
      <w:tr w:rsidR="00DD3EFA" w:rsidRPr="00EC2A1C" w14:paraId="0A831CA6" w14:textId="77777777" w:rsidTr="00B15ECB">
        <w:trPr>
          <w:trHeight w:val="850"/>
        </w:trPr>
        <w:tc>
          <w:tcPr>
            <w:tcW w:w="249" w:type="dxa"/>
            <w:tcBorders>
              <w:top w:val="nil"/>
              <w:left w:val="single" w:sz="4" w:space="0" w:color="auto"/>
              <w:bottom w:val="nil"/>
              <w:right w:val="single" w:sz="4" w:space="0" w:color="auto"/>
            </w:tcBorders>
            <w:shd w:val="clear" w:color="auto" w:fill="66CCFF"/>
          </w:tcPr>
          <w:p w14:paraId="1D9EEAEA"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6D29E"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AFFC5" w14:textId="77777777" w:rsidR="00DD3EFA" w:rsidRPr="00EC2A1C" w:rsidRDefault="00DD3EFA">
            <w:pPr>
              <w:spacing w:before="60" w:after="60"/>
              <w:rPr>
                <w:rFonts w:eastAsiaTheme="majorEastAsia"/>
              </w:rPr>
            </w:pPr>
            <w:r w:rsidRPr="00EC2A1C">
              <w:rPr>
                <w:rFonts w:eastAsiaTheme="majorEastAsia"/>
              </w:rPr>
              <w:t>Vzhledem k počtu lokalit s ekologickou zátěží lze konstatovat, že poptávka je prakticky neuspokojitelná a v jednotlivých výzvách jsou pravidelně odmítáni žadatelé z důvodu naplnění finančních kapacit (případně pro poskytnutí většího časového protoru pro projektovou přípravu).</w:t>
            </w:r>
          </w:p>
          <w:p w14:paraId="5862F285" w14:textId="77777777" w:rsidR="00DD3EFA" w:rsidRPr="00EC2A1C" w:rsidRDefault="00DD3EFA">
            <w:pPr>
              <w:spacing w:before="60" w:after="60"/>
              <w:rPr>
                <w:rFonts w:eastAsiaTheme="majorEastAsia"/>
              </w:rPr>
            </w:pPr>
            <w:r w:rsidRPr="00EC2A1C">
              <w:rPr>
                <w:rFonts w:eastAsiaTheme="majorEastAsia"/>
              </w:rPr>
              <w:t>Stávající poptávka po regeneraci objektů typu BWF a objektů k rekonstrukci v rámci OPPIK (2014-2020) je mimořádná a vysoko překračuje schopnosti programu MPO (Nemovitosti) poptávku uspokojit, čemuž částečně, ale nikoliv úplně, pomohly již 2 realokace právě do programu Nemovitosti, který tak od zahájení období zdvojnásobil svou hodnotu. Poptávka do budoucna bude rovněž velmi významná.</w:t>
            </w:r>
          </w:p>
          <w:p w14:paraId="66FEBCDE" w14:textId="77777777" w:rsidR="00DD3EFA" w:rsidRPr="00EC2A1C" w:rsidRDefault="00DD3EFA" w:rsidP="00B15ECB">
            <w:r w:rsidRPr="00EC2A1C">
              <w:rPr>
                <w:rFonts w:eastAsiaTheme="majorEastAsia"/>
              </w:rPr>
              <w:t xml:space="preserve">MPO v současnosti řeší/soutěží </w:t>
            </w:r>
            <w:r w:rsidRPr="00EC2A1C">
              <w:t xml:space="preserve">veřejnou zakázku na analýzu absorpční kapacity OP zaměřeného na konkurenceschopnost (dále jen „OP K“) pro období 2021+. Cílem je zjistit absorpční kapacitu, resp. míru připravenosti projektů / projektových záměrů v prioritních oblastech vycházejících z NKR, resp. návrhu nařízení o EFRR a FS, a stanovit případný předběžný návrh finančních alokací pro jednotlivé oblasti podpory v rámci OPK. Využity budou zkušenosti z předchozích období (dosavadních včetně bariér čerpání) a možné změny a omezení vycházející z návrhů evropské legislativy (např. nižší míra spolufinancování, omezení podpory dle velikosti podniku, resp. omezené podmínky podpory velkých podniků, nutnost rychlejší realizace projektů s ohledem na navržené pravidlo N+2 aj.). Součástí vyhodnocení budou závěry, výsledky a doporučení dodavatele, včetně zdůvodnění a potřebné argumentace za účelem jejich řádného využití při dalších pracích MPO na OPK. </w:t>
            </w:r>
          </w:p>
        </w:tc>
        <w:tc>
          <w:tcPr>
            <w:tcW w:w="249" w:type="dxa"/>
            <w:tcBorders>
              <w:top w:val="nil"/>
              <w:left w:val="single" w:sz="4" w:space="0" w:color="auto"/>
              <w:bottom w:val="nil"/>
              <w:right w:val="single" w:sz="4" w:space="0" w:color="auto"/>
            </w:tcBorders>
            <w:shd w:val="clear" w:color="auto" w:fill="66CCFF"/>
          </w:tcPr>
          <w:p w14:paraId="55A087B5" w14:textId="77777777" w:rsidR="00DD3EFA" w:rsidRPr="00EC2A1C" w:rsidRDefault="00DD3EFA">
            <w:pPr>
              <w:rPr>
                <w:b/>
              </w:rPr>
            </w:pPr>
          </w:p>
        </w:tc>
      </w:tr>
      <w:tr w:rsidR="00DD3EFA" w:rsidRPr="00EC2A1C" w14:paraId="6CA0366E" w14:textId="77777777" w:rsidTr="00B15ECB">
        <w:trPr>
          <w:trHeight w:val="925"/>
        </w:trPr>
        <w:tc>
          <w:tcPr>
            <w:tcW w:w="249" w:type="dxa"/>
            <w:tcBorders>
              <w:top w:val="nil"/>
              <w:left w:val="single" w:sz="4" w:space="0" w:color="auto"/>
              <w:bottom w:val="nil"/>
              <w:right w:val="single" w:sz="4" w:space="0" w:color="auto"/>
            </w:tcBorders>
            <w:shd w:val="clear" w:color="auto" w:fill="66CCFF"/>
          </w:tcPr>
          <w:p w14:paraId="62EEC360"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CA271E"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BA3A7" w14:textId="77777777" w:rsidR="00DD3EFA" w:rsidRPr="00EC2A1C" w:rsidRDefault="00DD3EFA">
            <w:pPr>
              <w:spacing w:before="60" w:after="60"/>
              <w:rPr>
                <w:rFonts w:eastAsiaTheme="majorEastAsia"/>
              </w:rPr>
            </w:pPr>
            <w:r w:rsidRPr="00EC2A1C">
              <w:rPr>
                <w:rFonts w:eastAsiaTheme="majorEastAsia"/>
              </w:rPr>
              <w:t xml:space="preserve">Příprava projektů probíhá kontinuálně bez ohledu na aktuální plán vyhlášení výzev. Složitější projekty sanačních zásahů vyžadují pro předprojektovou přípravu delší časový horizont. </w:t>
            </w:r>
          </w:p>
          <w:p w14:paraId="5AD24450" w14:textId="77777777" w:rsidR="00DD3EFA" w:rsidRPr="00EC2A1C" w:rsidRDefault="00DD3EFA">
            <w:pPr>
              <w:spacing w:before="60" w:after="60"/>
              <w:rPr>
                <w:rFonts w:eastAsiaTheme="majorEastAsia"/>
                <w:i/>
              </w:rPr>
            </w:pPr>
            <w:r w:rsidRPr="00EC2A1C">
              <w:rPr>
                <w:rFonts w:eastAsiaTheme="majorEastAsia"/>
              </w:rPr>
              <w:t>Pro budoucí období jsou projekty aktivně připravovány, neboť otázka existence objektů typu brownfield není a nebyla stávajícími intervencemí na úrovni předchozích období vyřešena. Jedná se navíc o projekty, jejichž návratnost je dlouhodobá a z hlediska obejmu investic představují významný zásah do cash flow příjemců, čili připrava takových projektů rok i dva snadno zabere a již nyní evidujeme zřejmý zájem u těch, kteří nevyužili, nebo nevyužijí z časových důvodů možnost podpory ve stávajícím OP.</w:t>
            </w:r>
          </w:p>
        </w:tc>
        <w:tc>
          <w:tcPr>
            <w:tcW w:w="249" w:type="dxa"/>
            <w:tcBorders>
              <w:top w:val="nil"/>
              <w:left w:val="single" w:sz="4" w:space="0" w:color="auto"/>
              <w:bottom w:val="nil"/>
              <w:right w:val="single" w:sz="4" w:space="0" w:color="auto"/>
            </w:tcBorders>
            <w:shd w:val="clear" w:color="auto" w:fill="66CCFF"/>
          </w:tcPr>
          <w:p w14:paraId="4F939AA3" w14:textId="77777777" w:rsidR="00DD3EFA" w:rsidRPr="00EC2A1C" w:rsidRDefault="00DD3EFA">
            <w:pPr>
              <w:rPr>
                <w:b/>
              </w:rPr>
            </w:pPr>
          </w:p>
        </w:tc>
      </w:tr>
      <w:tr w:rsidR="00DD3EFA" w:rsidRPr="00EC2A1C" w14:paraId="74E48C93" w14:textId="77777777" w:rsidTr="00B15ECB">
        <w:trPr>
          <w:trHeight w:val="1001"/>
        </w:trPr>
        <w:tc>
          <w:tcPr>
            <w:tcW w:w="249" w:type="dxa"/>
            <w:tcBorders>
              <w:top w:val="nil"/>
              <w:left w:val="single" w:sz="4" w:space="0" w:color="auto"/>
              <w:bottom w:val="nil"/>
              <w:right w:val="single" w:sz="4" w:space="0" w:color="auto"/>
            </w:tcBorders>
            <w:shd w:val="clear" w:color="auto" w:fill="66CCFF"/>
          </w:tcPr>
          <w:p w14:paraId="59550448" w14:textId="77777777" w:rsidR="00DD3EFA" w:rsidRPr="00EC2A1C" w:rsidRDefault="00DD3EFA">
            <w:pPr>
              <w:rPr>
                <w:b/>
              </w:rPr>
            </w:pPr>
          </w:p>
        </w:tc>
        <w:tc>
          <w:tcPr>
            <w:tcW w:w="2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234C5"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F31A5" w14:textId="77777777" w:rsidR="00DD3EFA" w:rsidRPr="00EC2A1C" w:rsidRDefault="00DD3EFA">
            <w:pPr>
              <w:spacing w:before="60" w:after="60"/>
              <w:rPr>
                <w:rFonts w:eastAsiaTheme="majorEastAsia"/>
              </w:rPr>
            </w:pPr>
            <w:r w:rsidRPr="00EC2A1C">
              <w:rPr>
                <w:rFonts w:eastAsiaTheme="majorEastAsia"/>
              </w:rPr>
              <w:t>Klíčovou bariérou je vysoká míra nákladů spojených s kofinancováním realizace projektu či jen projektovou přípravou, kdy kofinancování 85% uznatelných nákladů je pro žadatele v oblasti limitního stropu a pro mnohé projekty není reálné nalézt dostatečně ekonomicky silného partnera. Větší míra kofinancování tedy usnadňuje ochotu žadatelů k řešení problému.</w:t>
            </w:r>
          </w:p>
          <w:p w14:paraId="45207D1A" w14:textId="77777777" w:rsidR="00DD3EFA" w:rsidRPr="00EC2A1C" w:rsidRDefault="00DD3EFA">
            <w:pPr>
              <w:spacing w:before="60" w:after="60"/>
              <w:rPr>
                <w:rFonts w:eastAsiaTheme="majorEastAsia"/>
              </w:rPr>
            </w:pPr>
            <w:r w:rsidRPr="00EC2A1C">
              <w:rPr>
                <w:rFonts w:eastAsiaTheme="majorEastAsia"/>
              </w:rPr>
              <w:t>Bariéru při rekonstrukcích objektů BWF tvoří především nákladová náročnost, která je významně vyšší než u staveb „na zelené louce“, proto investoři stojí vždy před otázkou, zda zajištění nových prostor pro výrobu a služby řešit levnější a jednoidušší cestou novostaveb, nebo jít cestou rekonstrukcí stávajícíh, brownfields. Řešením této situace je pak právě dotační podpora, která působí pákovým efektem při rozhodování směrem k variantě rekonstrukcí a revitalizací.</w:t>
            </w:r>
          </w:p>
        </w:tc>
        <w:tc>
          <w:tcPr>
            <w:tcW w:w="249" w:type="dxa"/>
            <w:tcBorders>
              <w:top w:val="nil"/>
              <w:left w:val="single" w:sz="4" w:space="0" w:color="auto"/>
              <w:bottom w:val="nil"/>
              <w:right w:val="single" w:sz="4" w:space="0" w:color="auto"/>
            </w:tcBorders>
            <w:shd w:val="clear" w:color="auto" w:fill="66CCFF"/>
          </w:tcPr>
          <w:p w14:paraId="0A6C3972" w14:textId="77777777" w:rsidR="00DD3EFA" w:rsidRPr="00EC2A1C" w:rsidRDefault="00DD3EFA">
            <w:pPr>
              <w:rPr>
                <w:b/>
              </w:rPr>
            </w:pPr>
          </w:p>
        </w:tc>
      </w:tr>
      <w:tr w:rsidR="00DD3EFA" w:rsidRPr="00EC2A1C" w14:paraId="397A350B"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7EF1CC26" w14:textId="77777777" w:rsidR="00DD3EFA" w:rsidRPr="00EC2A1C" w:rsidRDefault="00DD3EFA">
            <w:pPr>
              <w:rPr>
                <w:b/>
              </w:rPr>
            </w:pPr>
          </w:p>
        </w:tc>
        <w:tc>
          <w:tcPr>
            <w:tcW w:w="2548" w:type="dxa"/>
            <w:tcBorders>
              <w:top w:val="single" w:sz="4" w:space="0" w:color="auto"/>
              <w:left w:val="nil"/>
              <w:bottom w:val="single" w:sz="4" w:space="0" w:color="auto"/>
              <w:right w:val="nil"/>
            </w:tcBorders>
            <w:shd w:val="clear" w:color="auto" w:fill="66CCFF"/>
          </w:tcPr>
          <w:p w14:paraId="1D31CB9D" w14:textId="77777777" w:rsidR="00DD3EFA" w:rsidRPr="00EC2A1C" w:rsidRDefault="00DD3EFA">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1A5CF89D" w14:textId="77777777" w:rsidR="00DD3EFA" w:rsidRPr="00EC2A1C" w:rsidRDefault="00DD3EFA">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7BBA69CF" w14:textId="77777777" w:rsidR="00DD3EFA" w:rsidRPr="00EC2A1C" w:rsidRDefault="00DD3EFA">
            <w:pPr>
              <w:rPr>
                <w:b/>
              </w:rPr>
            </w:pPr>
          </w:p>
        </w:tc>
      </w:tr>
      <w:tr w:rsidR="00DD3EFA" w:rsidRPr="00EC2A1C" w14:paraId="72F7AE63" w14:textId="77777777" w:rsidTr="00B15ECB">
        <w:trPr>
          <w:trHeight w:val="1559"/>
        </w:trPr>
        <w:tc>
          <w:tcPr>
            <w:tcW w:w="249" w:type="dxa"/>
            <w:tcBorders>
              <w:top w:val="single" w:sz="4" w:space="0" w:color="auto"/>
              <w:left w:val="single" w:sz="4" w:space="0" w:color="auto"/>
              <w:bottom w:val="nil"/>
              <w:right w:val="single" w:sz="4" w:space="0" w:color="auto"/>
            </w:tcBorders>
            <w:shd w:val="clear" w:color="auto" w:fill="66CCFF"/>
          </w:tcPr>
          <w:p w14:paraId="2051B0CD" w14:textId="77777777" w:rsidR="00DD3EFA" w:rsidRPr="00EC2A1C" w:rsidRDefault="00DD3EFA">
            <w:pPr>
              <w:rPr>
                <w:b/>
              </w:rPr>
            </w:pPr>
          </w:p>
        </w:tc>
        <w:tc>
          <w:tcPr>
            <w:tcW w:w="8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87F16" w14:textId="77777777" w:rsidR="00DD3EFA" w:rsidRPr="00EC2A1C" w:rsidRDefault="00DD3EFA">
            <w:pPr>
              <w:spacing w:before="60" w:after="60"/>
              <w:rPr>
                <w:rFonts w:eastAsiaTheme="majorEastAsia"/>
                <w:b/>
              </w:rPr>
            </w:pPr>
            <w:r w:rsidRPr="00EC2A1C">
              <w:rPr>
                <w:rFonts w:eastAsiaTheme="majorEastAsia"/>
                <w:b/>
              </w:rPr>
              <w:t>Alternativní zdroje</w:t>
            </w:r>
          </w:p>
          <w:p w14:paraId="70306E4B" w14:textId="77777777" w:rsidR="00DD3EFA" w:rsidRPr="00EC2A1C" w:rsidRDefault="00DD3EFA">
            <w:pPr>
              <w:spacing w:before="60" w:after="60"/>
              <w:rPr>
                <w:rFonts w:eastAsiaTheme="majorEastAsia"/>
                <w:u w:val="single"/>
              </w:rPr>
            </w:pPr>
          </w:p>
        </w:tc>
        <w:tc>
          <w:tcPr>
            <w:tcW w:w="249" w:type="dxa"/>
            <w:tcBorders>
              <w:top w:val="single" w:sz="4" w:space="0" w:color="auto"/>
              <w:left w:val="single" w:sz="4" w:space="0" w:color="auto"/>
              <w:bottom w:val="nil"/>
              <w:right w:val="single" w:sz="4" w:space="0" w:color="auto"/>
            </w:tcBorders>
            <w:shd w:val="clear" w:color="auto" w:fill="66CCFF"/>
          </w:tcPr>
          <w:p w14:paraId="0D042477" w14:textId="77777777" w:rsidR="00DD3EFA" w:rsidRPr="00EC2A1C" w:rsidRDefault="00DD3EFA">
            <w:pPr>
              <w:rPr>
                <w:b/>
              </w:rPr>
            </w:pPr>
          </w:p>
        </w:tc>
      </w:tr>
      <w:tr w:rsidR="00DD3EFA" w:rsidRPr="00EC2A1C" w14:paraId="609142E5"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22E9FEE8" w14:textId="77777777" w:rsidR="00DD3EFA" w:rsidRPr="00EC2A1C" w:rsidRDefault="00DD3EFA">
            <w:pPr>
              <w:rPr>
                <w:b/>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05E4D656" w14:textId="77777777" w:rsidR="00DD3EFA" w:rsidRPr="00EC2A1C" w:rsidRDefault="00DD3EFA">
            <w:pPr>
              <w:spacing w:before="60" w:after="60"/>
              <w:rPr>
                <w:rFonts w:eastAsiaTheme="majorEastAsia"/>
                <w:b/>
              </w:rPr>
            </w:pPr>
            <w:r w:rsidRPr="00EC2A1C">
              <w:rPr>
                <w:rFonts w:eastAsiaTheme="majorEastAsia"/>
                <w:b/>
              </w:rPr>
              <w:t>Unijní programy</w:t>
            </w:r>
          </w:p>
        </w:tc>
        <w:tc>
          <w:tcPr>
            <w:tcW w:w="5978" w:type="dxa"/>
            <w:tcBorders>
              <w:top w:val="nil"/>
              <w:left w:val="single" w:sz="4" w:space="0" w:color="auto"/>
              <w:bottom w:val="single" w:sz="4" w:space="0" w:color="auto"/>
              <w:right w:val="single" w:sz="4" w:space="0" w:color="auto"/>
            </w:tcBorders>
            <w:shd w:val="clear" w:color="auto" w:fill="FFFFFF" w:themeFill="background1"/>
            <w:hideMark/>
          </w:tcPr>
          <w:p w14:paraId="36FF62BB" w14:textId="77777777" w:rsidR="00DD3EFA" w:rsidRPr="00EC2A1C" w:rsidRDefault="00DD3EFA">
            <w:pPr>
              <w:spacing w:before="60" w:after="60"/>
              <w:rPr>
                <w:rFonts w:eastAsiaTheme="majorEastAsia"/>
                <w:i/>
              </w:rPr>
            </w:pPr>
            <w:r w:rsidRPr="00EC2A1C">
              <w:rPr>
                <w:rFonts w:eastAsiaTheme="majorEastAsia"/>
              </w:rPr>
              <w:t>Z programu LIFE je možné financovat demonstrační a pilotní projekty, je komplementární k podpoře z ESIF. Program LIFE nepodporuje projekty, které mohou být financovány v rámci jiných finančních nástrojů Evropské komise.</w:t>
            </w:r>
          </w:p>
        </w:tc>
        <w:tc>
          <w:tcPr>
            <w:tcW w:w="249" w:type="dxa"/>
            <w:tcBorders>
              <w:top w:val="nil"/>
              <w:left w:val="single" w:sz="4" w:space="0" w:color="auto"/>
              <w:bottom w:val="nil"/>
              <w:right w:val="single" w:sz="4" w:space="0" w:color="auto"/>
            </w:tcBorders>
            <w:shd w:val="clear" w:color="auto" w:fill="66CCFF"/>
          </w:tcPr>
          <w:p w14:paraId="7E7B7054" w14:textId="77777777" w:rsidR="00DD3EFA" w:rsidRPr="00EC2A1C" w:rsidRDefault="00DD3EFA">
            <w:pPr>
              <w:rPr>
                <w:b/>
              </w:rPr>
            </w:pPr>
          </w:p>
        </w:tc>
      </w:tr>
      <w:tr w:rsidR="00DD3EFA" w:rsidRPr="00EC2A1C" w14:paraId="7BEE2855"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3FC0391D" w14:textId="77777777" w:rsidR="00DD3EFA" w:rsidRPr="00EC2A1C" w:rsidRDefault="00DD3EFA">
            <w:pPr>
              <w:rPr>
                <w:b/>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4C5BD2EB" w14:textId="77777777" w:rsidR="00DD3EFA" w:rsidRPr="00EC2A1C" w:rsidRDefault="00DD3EFA">
            <w:pPr>
              <w:spacing w:before="60" w:after="60"/>
              <w:rPr>
                <w:rFonts w:eastAsiaTheme="majorEastAsia"/>
                <w:b/>
              </w:rPr>
            </w:pPr>
            <w:r w:rsidRPr="00EC2A1C">
              <w:rPr>
                <w:rFonts w:eastAsiaTheme="majorEastAsia"/>
                <w:b/>
              </w:rPr>
              <w:t>Státní rozpočet a další národní zdroje</w:t>
            </w:r>
          </w:p>
        </w:tc>
        <w:tc>
          <w:tcPr>
            <w:tcW w:w="5978" w:type="dxa"/>
            <w:tcBorders>
              <w:top w:val="nil"/>
              <w:left w:val="single" w:sz="4" w:space="0" w:color="auto"/>
              <w:bottom w:val="single" w:sz="4" w:space="0" w:color="auto"/>
              <w:right w:val="single" w:sz="4" w:space="0" w:color="auto"/>
            </w:tcBorders>
            <w:shd w:val="clear" w:color="auto" w:fill="FFFFFF" w:themeFill="background1"/>
            <w:hideMark/>
          </w:tcPr>
          <w:p w14:paraId="79B762D9" w14:textId="77777777" w:rsidR="00DD3EFA" w:rsidRPr="00EC2A1C" w:rsidRDefault="00DD3EFA">
            <w:pPr>
              <w:spacing w:before="60" w:after="60"/>
              <w:rPr>
                <w:rFonts w:eastAsiaTheme="majorEastAsia"/>
              </w:rPr>
            </w:pPr>
            <w:r w:rsidRPr="00EC2A1C">
              <w:rPr>
                <w:rFonts w:eastAsiaTheme="majorEastAsia"/>
              </w:rPr>
              <w:t>Omezené množství lokalit je financováno z tzv. Ekologických smluv, nicméně se jedná řádově o stovky lokalit mezi desítkami tisíc. Funkčnost tohoto mechanismu je vzhledem k jeho stáří a postupně se snižujícícm pzbývajícím prostředkům velmi omezená.</w:t>
            </w:r>
          </w:p>
          <w:p w14:paraId="0B582B1A" w14:textId="77777777" w:rsidR="00DD3EFA" w:rsidRPr="00EC2A1C" w:rsidRDefault="00DD3EFA">
            <w:pPr>
              <w:spacing w:before="60" w:after="60"/>
              <w:rPr>
                <w:rFonts w:eastAsiaTheme="majorEastAsia"/>
                <w:i/>
              </w:rPr>
            </w:pPr>
            <w:r w:rsidRPr="00EC2A1C">
              <w:rPr>
                <w:rFonts w:eastAsiaTheme="majorEastAsia"/>
              </w:rPr>
              <w:t>Jiné národní zdroje nejsou v tuto chvíli dostatečně silným nástrojem, který by řešil tuto extrémně finančně náročnou problematiku.</w:t>
            </w:r>
          </w:p>
        </w:tc>
        <w:tc>
          <w:tcPr>
            <w:tcW w:w="249" w:type="dxa"/>
            <w:tcBorders>
              <w:top w:val="nil"/>
              <w:left w:val="single" w:sz="4" w:space="0" w:color="auto"/>
              <w:bottom w:val="nil"/>
              <w:right w:val="single" w:sz="4" w:space="0" w:color="auto"/>
            </w:tcBorders>
            <w:shd w:val="clear" w:color="auto" w:fill="66CCFF"/>
          </w:tcPr>
          <w:p w14:paraId="507A391F" w14:textId="77777777" w:rsidR="00DD3EFA" w:rsidRPr="00EC2A1C" w:rsidRDefault="00DD3EFA">
            <w:pPr>
              <w:rPr>
                <w:b/>
              </w:rPr>
            </w:pPr>
          </w:p>
        </w:tc>
      </w:tr>
      <w:tr w:rsidR="00DD3EFA" w:rsidRPr="00EC2A1C" w14:paraId="15ACFADC"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7A8E4F6B" w14:textId="77777777" w:rsidR="00DD3EFA" w:rsidRPr="00EC2A1C" w:rsidRDefault="00DD3EFA">
            <w:pPr>
              <w:rPr>
                <w:b/>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4089B687" w14:textId="77777777" w:rsidR="00DD3EFA" w:rsidRPr="00EC2A1C" w:rsidRDefault="00DD3EFA">
            <w:pPr>
              <w:spacing w:before="60" w:after="60"/>
              <w:rPr>
                <w:rFonts w:eastAsiaTheme="majorEastAsia"/>
                <w:b/>
              </w:rPr>
            </w:pPr>
            <w:r w:rsidRPr="00EC2A1C">
              <w:rPr>
                <w:rFonts w:eastAsiaTheme="majorEastAsia"/>
                <w:b/>
              </w:rPr>
              <w:t>Další zdroje mimo veřejné rozpočty</w:t>
            </w:r>
          </w:p>
        </w:tc>
        <w:tc>
          <w:tcPr>
            <w:tcW w:w="5978" w:type="dxa"/>
            <w:tcBorders>
              <w:top w:val="nil"/>
              <w:left w:val="single" w:sz="4" w:space="0" w:color="auto"/>
              <w:bottom w:val="single" w:sz="4" w:space="0" w:color="auto"/>
              <w:right w:val="single" w:sz="4" w:space="0" w:color="auto"/>
            </w:tcBorders>
            <w:shd w:val="clear" w:color="auto" w:fill="FFFFFF" w:themeFill="background1"/>
          </w:tcPr>
          <w:p w14:paraId="7E2C4037" w14:textId="77777777" w:rsidR="00DD3EFA" w:rsidRPr="00EC2A1C" w:rsidRDefault="00DD3EFA">
            <w:pPr>
              <w:spacing w:before="60" w:after="60"/>
              <w:rPr>
                <w:rFonts w:eastAsiaTheme="majorEastAsia"/>
                <w:i/>
              </w:rPr>
            </w:pPr>
            <w:r w:rsidRPr="00EC2A1C">
              <w:rPr>
                <w:rFonts w:eastAsiaTheme="majorEastAsia"/>
                <w:i/>
              </w:rPr>
              <w:t>-</w:t>
            </w:r>
          </w:p>
        </w:tc>
        <w:tc>
          <w:tcPr>
            <w:tcW w:w="249" w:type="dxa"/>
            <w:tcBorders>
              <w:top w:val="nil"/>
              <w:left w:val="single" w:sz="4" w:space="0" w:color="auto"/>
              <w:bottom w:val="nil"/>
              <w:right w:val="single" w:sz="4" w:space="0" w:color="auto"/>
            </w:tcBorders>
            <w:shd w:val="clear" w:color="auto" w:fill="66CCFF"/>
          </w:tcPr>
          <w:p w14:paraId="02A882C2" w14:textId="77777777" w:rsidR="00DD3EFA" w:rsidRPr="00EC2A1C" w:rsidRDefault="00DD3EFA">
            <w:pPr>
              <w:rPr>
                <w:b/>
              </w:rPr>
            </w:pPr>
          </w:p>
        </w:tc>
      </w:tr>
      <w:tr w:rsidR="00DD3EFA" w:rsidRPr="00EC2A1C" w14:paraId="50B7EC9E" w14:textId="77777777" w:rsidTr="00B15ECB">
        <w:trPr>
          <w:trHeight w:val="1968"/>
        </w:trPr>
        <w:tc>
          <w:tcPr>
            <w:tcW w:w="249" w:type="dxa"/>
            <w:tcBorders>
              <w:top w:val="nil"/>
              <w:left w:val="single" w:sz="4" w:space="0" w:color="auto"/>
              <w:bottom w:val="nil"/>
              <w:right w:val="single" w:sz="4" w:space="0" w:color="auto"/>
            </w:tcBorders>
            <w:shd w:val="clear" w:color="auto" w:fill="66CCFF"/>
          </w:tcPr>
          <w:p w14:paraId="28208E1C" w14:textId="77777777" w:rsidR="00DD3EFA" w:rsidRPr="00EC2A1C" w:rsidRDefault="00DD3EFA">
            <w:pPr>
              <w:rPr>
                <w:b/>
              </w:rPr>
            </w:pPr>
          </w:p>
        </w:tc>
        <w:tc>
          <w:tcPr>
            <w:tcW w:w="2548" w:type="dxa"/>
            <w:tcBorders>
              <w:top w:val="nil"/>
              <w:left w:val="single" w:sz="4" w:space="0" w:color="auto"/>
              <w:bottom w:val="single" w:sz="4" w:space="0" w:color="auto"/>
              <w:right w:val="single" w:sz="4" w:space="0" w:color="auto"/>
            </w:tcBorders>
            <w:shd w:val="clear" w:color="auto" w:fill="FFFFFF" w:themeFill="background1"/>
            <w:hideMark/>
          </w:tcPr>
          <w:p w14:paraId="03F89DE5" w14:textId="77777777" w:rsidR="00DD3EFA" w:rsidRPr="00EC2A1C" w:rsidRDefault="00DD3EFA">
            <w:pPr>
              <w:spacing w:before="60" w:after="60"/>
              <w:rPr>
                <w:rFonts w:eastAsiaTheme="majorEastAsia"/>
                <w:b/>
              </w:rPr>
            </w:pPr>
            <w:r w:rsidRPr="00EC2A1C">
              <w:rPr>
                <w:rFonts w:eastAsiaTheme="majorEastAsia"/>
                <w:b/>
              </w:rPr>
              <w:t>Možnost využití FN</w:t>
            </w:r>
          </w:p>
        </w:tc>
        <w:tc>
          <w:tcPr>
            <w:tcW w:w="5978" w:type="dxa"/>
            <w:tcBorders>
              <w:top w:val="nil"/>
              <w:left w:val="single" w:sz="4" w:space="0" w:color="auto"/>
              <w:bottom w:val="single" w:sz="4" w:space="0" w:color="auto"/>
              <w:right w:val="single" w:sz="4" w:space="0" w:color="auto"/>
            </w:tcBorders>
            <w:shd w:val="clear" w:color="auto" w:fill="FFFFFF" w:themeFill="background1"/>
          </w:tcPr>
          <w:p w14:paraId="73CE05DF" w14:textId="77777777" w:rsidR="00DD3EFA" w:rsidRPr="00EC2A1C" w:rsidRDefault="00DD3EFA">
            <w:pPr>
              <w:spacing w:before="60" w:after="60"/>
              <w:rPr>
                <w:rFonts w:eastAsiaTheme="majorEastAsia"/>
              </w:rPr>
            </w:pPr>
            <w:r w:rsidRPr="00EC2A1C">
              <w:rPr>
                <w:rFonts w:eastAsiaTheme="majorEastAsia"/>
              </w:rPr>
              <w:t>V rámci oblasti sanací se využití FN nejeví jako reálné.</w:t>
            </w:r>
          </w:p>
          <w:p w14:paraId="41C4383E" w14:textId="77777777" w:rsidR="00DD3EFA" w:rsidRPr="00EC2A1C" w:rsidRDefault="00DD3EFA">
            <w:pPr>
              <w:spacing w:before="60" w:after="60"/>
              <w:rPr>
                <w:rFonts w:eastAsiaTheme="majorEastAsia"/>
              </w:rPr>
            </w:pPr>
            <w:r w:rsidRPr="00EC2A1C">
              <w:rPr>
                <w:rFonts w:eastAsiaTheme="majorEastAsia"/>
              </w:rPr>
              <w:t>Oblast regenerace brownfieldů je vhodná ke zvážení využití FN, a to v rámci fondů městského rozvoje. Pro tyto aktivity existují úspěšné příklady nástrojů EIB v rámci iniciativy JESSICA, včetně JESSICA Moravskoslezsko. V rámci OPPIK je připravován investiční nástroj pro ostravskou aglomeraci. Opatření mohou kombinovat úvěrovou i ekvitní podporu. FN by tak měly pokrýt oblast poptávky, která představuje řešení revitalizace velkých brownfieldových lokalit, které by pro regeneraci a rekonstrucki sloužily nikoliv primárně příjemci podpoyu, ale zasídleným MSP, pro něž by celá investice byla realizována. tato možnost se jeví jako jediná reálná pro větší brownfieldové celky, které běžný MSP není schopen využít ani finančně zajistit jejich revitalizaci.</w:t>
            </w:r>
          </w:p>
          <w:p w14:paraId="1FAE82A9" w14:textId="77777777" w:rsidR="00DD3EFA" w:rsidRPr="00EC2A1C" w:rsidRDefault="00DD3EFA">
            <w:pPr>
              <w:spacing w:before="60" w:after="60"/>
              <w:rPr>
                <w:rFonts w:eastAsiaTheme="majorEastAsia"/>
              </w:rPr>
            </w:pPr>
            <w:r w:rsidRPr="00EC2A1C">
              <w:rPr>
                <w:rFonts w:eastAsiaTheme="majorEastAsia"/>
              </w:rPr>
              <w:t>Pro efektivní realizaci FN je důležitá možnost podpory velkých komplexních investičních projektů, které umožní regenerovat brownfields včetně nové výstavby a komerčního využití nové infrastruktury. Cíl je kombinovatelný s kartou Podnikání v rámci budování inovační a startupové infrastruktury (inovační parky, sdílené kanceláře apod.). Projekty by zároveň měly umožnit zapojení municipalit a následné smíšené využití pro místní infrastrukturu/podnikání/bydlení.</w:t>
            </w:r>
          </w:p>
          <w:p w14:paraId="04D74299" w14:textId="77777777" w:rsidR="00DD3EFA" w:rsidRPr="00EC2A1C" w:rsidRDefault="00DD3EFA">
            <w:pPr>
              <w:rPr>
                <w:rFonts w:eastAsiaTheme="majorEastAsia"/>
              </w:rPr>
            </w:pPr>
            <w:r w:rsidRPr="00EC2A1C">
              <w:rPr>
                <w:rFonts w:eastAsiaTheme="majorEastAsia"/>
              </w:rPr>
              <w:t>Dle aktualizovaného CPR 2021-2027, Čl. 52 bude možné FN kombinovat s dotací, přičemž pravidla pro poskytnutí tohoto typu podpory budou dle zjednodušených podmínek FN. Díky revolvingovému a pákovému efektu, jsou zdroje opakovaně navraceny a z původní alokované částky je tak možné podpořit maximální počet podniků. Konkrétní podpora FN bude záviset na výstupu nového Předběžného posouzení FN pro programovací období 2021-2027.</w:t>
            </w:r>
          </w:p>
          <w:p w14:paraId="512299B5" w14:textId="77777777" w:rsidR="00DD3EFA" w:rsidRPr="00EC2A1C" w:rsidRDefault="00DD3EFA">
            <w:pPr>
              <w:spacing w:before="60" w:after="60"/>
              <w:rPr>
                <w:rFonts w:eastAsiaTheme="majorEastAsia"/>
                <w:i/>
              </w:rPr>
            </w:pPr>
          </w:p>
        </w:tc>
        <w:tc>
          <w:tcPr>
            <w:tcW w:w="249" w:type="dxa"/>
            <w:tcBorders>
              <w:top w:val="nil"/>
              <w:left w:val="single" w:sz="4" w:space="0" w:color="auto"/>
              <w:bottom w:val="nil"/>
              <w:right w:val="single" w:sz="4" w:space="0" w:color="auto"/>
            </w:tcBorders>
            <w:shd w:val="clear" w:color="auto" w:fill="66CCFF"/>
          </w:tcPr>
          <w:p w14:paraId="376FA273" w14:textId="77777777" w:rsidR="00DD3EFA" w:rsidRPr="00EC2A1C" w:rsidRDefault="00DD3EFA">
            <w:pPr>
              <w:rPr>
                <w:b/>
              </w:rPr>
            </w:pPr>
          </w:p>
        </w:tc>
      </w:tr>
      <w:tr w:rsidR="00DD3EFA" w:rsidRPr="00EC2A1C" w14:paraId="57065E05" w14:textId="77777777" w:rsidTr="00B15ECB">
        <w:trPr>
          <w:trHeight w:val="150"/>
        </w:trPr>
        <w:tc>
          <w:tcPr>
            <w:tcW w:w="249" w:type="dxa"/>
            <w:tcBorders>
              <w:top w:val="nil"/>
              <w:left w:val="single" w:sz="4" w:space="0" w:color="auto"/>
              <w:bottom w:val="single" w:sz="4" w:space="0" w:color="auto"/>
              <w:right w:val="nil"/>
            </w:tcBorders>
            <w:shd w:val="clear" w:color="auto" w:fill="66CCFF"/>
          </w:tcPr>
          <w:p w14:paraId="3AFD573E" w14:textId="77777777" w:rsidR="00DD3EFA" w:rsidRPr="00EC2A1C" w:rsidRDefault="00DD3EFA">
            <w:pPr>
              <w:rPr>
                <w:b/>
              </w:rPr>
            </w:pPr>
          </w:p>
        </w:tc>
        <w:tc>
          <w:tcPr>
            <w:tcW w:w="2548" w:type="dxa"/>
            <w:tcBorders>
              <w:top w:val="single" w:sz="4" w:space="0" w:color="auto"/>
              <w:left w:val="nil"/>
              <w:bottom w:val="single" w:sz="4" w:space="0" w:color="auto"/>
              <w:right w:val="nil"/>
            </w:tcBorders>
            <w:shd w:val="clear" w:color="auto" w:fill="66CCFF"/>
          </w:tcPr>
          <w:p w14:paraId="2408CA4E" w14:textId="77777777" w:rsidR="00DD3EFA" w:rsidRPr="00EC2A1C" w:rsidRDefault="00DD3EFA">
            <w:pPr>
              <w:rPr>
                <w:b/>
              </w:rPr>
            </w:pPr>
          </w:p>
        </w:tc>
        <w:tc>
          <w:tcPr>
            <w:tcW w:w="5978" w:type="dxa"/>
            <w:tcBorders>
              <w:top w:val="single" w:sz="4" w:space="0" w:color="auto"/>
              <w:left w:val="nil"/>
              <w:bottom w:val="single" w:sz="4" w:space="0" w:color="auto"/>
              <w:right w:val="nil"/>
            </w:tcBorders>
            <w:shd w:val="clear" w:color="auto" w:fill="66CCFF"/>
          </w:tcPr>
          <w:p w14:paraId="0045D194" w14:textId="77777777" w:rsidR="00DD3EFA" w:rsidRPr="00EC2A1C" w:rsidRDefault="00DD3EFA">
            <w:pPr>
              <w:rPr>
                <w:b/>
              </w:rPr>
            </w:pPr>
          </w:p>
        </w:tc>
        <w:tc>
          <w:tcPr>
            <w:tcW w:w="249" w:type="dxa"/>
            <w:tcBorders>
              <w:top w:val="nil"/>
              <w:left w:val="nil"/>
              <w:bottom w:val="single" w:sz="4" w:space="0" w:color="auto"/>
              <w:right w:val="single" w:sz="4" w:space="0" w:color="auto"/>
            </w:tcBorders>
            <w:shd w:val="clear" w:color="auto" w:fill="66CCFF"/>
          </w:tcPr>
          <w:p w14:paraId="1185D9EF" w14:textId="77777777" w:rsidR="00DD3EFA" w:rsidRPr="00EC2A1C" w:rsidRDefault="00DD3EFA">
            <w:pPr>
              <w:rPr>
                <w:b/>
              </w:rPr>
            </w:pPr>
          </w:p>
        </w:tc>
      </w:tr>
    </w:tbl>
    <w:p w14:paraId="2A51D6DE" w14:textId="77777777" w:rsidR="00DD3EFA" w:rsidRPr="002D2123" w:rsidRDefault="00DD3EFA" w:rsidP="00B15ECB">
      <w:pPr>
        <w:rPr>
          <w:rFonts w:ascii="Times New Roman" w:hAnsi="Times New Roman" w:cs="Times New Roman"/>
          <w:b/>
        </w:rPr>
      </w:pPr>
    </w:p>
    <w:p w14:paraId="20ACC1AA" w14:textId="77777777" w:rsidR="00DD3EFA" w:rsidRPr="002D2123" w:rsidRDefault="00DD3EFA" w:rsidP="00B15ECB">
      <w:pPr>
        <w:rPr>
          <w:rFonts w:ascii="Times New Roman" w:hAnsi="Times New Roman" w:cs="Times New Roman"/>
          <w:b/>
        </w:rPr>
      </w:pPr>
    </w:p>
    <w:p w14:paraId="1E8E6762" w14:textId="77777777" w:rsidR="00DD3EFA" w:rsidRPr="002D2123" w:rsidRDefault="00DD3EFA" w:rsidP="00B15ECB">
      <w:pPr>
        <w:rPr>
          <w:rFonts w:ascii="Times New Roman" w:hAnsi="Times New Roman" w:cs="Times New Roman"/>
        </w:rPr>
      </w:pPr>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59C6778B" w14:textId="77777777" w:rsidTr="00B15ECB">
        <w:trPr>
          <w:trHeight w:val="180"/>
        </w:trPr>
        <w:tc>
          <w:tcPr>
            <w:tcW w:w="249" w:type="dxa"/>
            <w:tcBorders>
              <w:bottom w:val="nil"/>
              <w:right w:val="nil"/>
            </w:tcBorders>
            <w:shd w:val="clear" w:color="auto" w:fill="66CCFF"/>
          </w:tcPr>
          <w:p w14:paraId="5820DF29" w14:textId="77777777" w:rsidR="00DD3EFA" w:rsidRPr="00EC2A1C" w:rsidRDefault="00DD3EFA" w:rsidP="00B15ECB">
            <w:pPr>
              <w:rPr>
                <w:b/>
              </w:rPr>
            </w:pPr>
          </w:p>
        </w:tc>
        <w:tc>
          <w:tcPr>
            <w:tcW w:w="2548" w:type="dxa"/>
            <w:tcBorders>
              <w:left w:val="nil"/>
              <w:right w:val="nil"/>
            </w:tcBorders>
            <w:shd w:val="clear" w:color="auto" w:fill="66CCFF"/>
          </w:tcPr>
          <w:p w14:paraId="001E0975" w14:textId="77777777" w:rsidR="00DD3EFA" w:rsidRPr="00EC2A1C" w:rsidRDefault="00DD3EFA" w:rsidP="00B15ECB">
            <w:pPr>
              <w:rPr>
                <w:b/>
              </w:rPr>
            </w:pPr>
          </w:p>
        </w:tc>
        <w:tc>
          <w:tcPr>
            <w:tcW w:w="5978" w:type="dxa"/>
            <w:tcBorders>
              <w:left w:val="nil"/>
              <w:right w:val="nil"/>
            </w:tcBorders>
            <w:shd w:val="clear" w:color="auto" w:fill="66CCFF"/>
          </w:tcPr>
          <w:p w14:paraId="1B5D6DA7" w14:textId="77777777" w:rsidR="00DD3EFA" w:rsidRPr="00EC2A1C" w:rsidRDefault="00DD3EFA" w:rsidP="00B15ECB">
            <w:pPr>
              <w:rPr>
                <w:b/>
              </w:rPr>
            </w:pPr>
          </w:p>
        </w:tc>
        <w:tc>
          <w:tcPr>
            <w:tcW w:w="249" w:type="dxa"/>
            <w:tcBorders>
              <w:left w:val="nil"/>
              <w:bottom w:val="nil"/>
            </w:tcBorders>
            <w:shd w:val="clear" w:color="auto" w:fill="66CCFF"/>
          </w:tcPr>
          <w:p w14:paraId="6A445039" w14:textId="77777777" w:rsidR="00DD3EFA" w:rsidRPr="00EC2A1C" w:rsidRDefault="00DD3EFA" w:rsidP="00B15ECB">
            <w:pPr>
              <w:rPr>
                <w:b/>
              </w:rPr>
            </w:pPr>
          </w:p>
        </w:tc>
      </w:tr>
      <w:tr w:rsidR="00DD3EFA" w:rsidRPr="00EC2A1C" w14:paraId="61A1F5D0" w14:textId="77777777" w:rsidTr="00B15ECB">
        <w:trPr>
          <w:trHeight w:val="561"/>
        </w:trPr>
        <w:tc>
          <w:tcPr>
            <w:tcW w:w="249" w:type="dxa"/>
            <w:tcBorders>
              <w:top w:val="nil"/>
              <w:bottom w:val="nil"/>
            </w:tcBorders>
            <w:shd w:val="clear" w:color="auto" w:fill="66CCFF"/>
          </w:tcPr>
          <w:p w14:paraId="2DE4EB5C" w14:textId="77777777" w:rsidR="00DD3EFA" w:rsidRPr="00EC2A1C" w:rsidRDefault="00DD3EFA" w:rsidP="00B15ECB">
            <w:pPr>
              <w:rPr>
                <w:b/>
              </w:rPr>
            </w:pPr>
          </w:p>
        </w:tc>
        <w:tc>
          <w:tcPr>
            <w:tcW w:w="2548" w:type="dxa"/>
            <w:shd w:val="clear" w:color="auto" w:fill="0070C0"/>
          </w:tcPr>
          <w:p w14:paraId="4225F66C"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Strategický cíl NKR: …..</w:t>
            </w:r>
          </w:p>
        </w:tc>
        <w:tc>
          <w:tcPr>
            <w:tcW w:w="5978" w:type="dxa"/>
            <w:shd w:val="clear" w:color="auto" w:fill="0070C0"/>
          </w:tcPr>
          <w:p w14:paraId="456B6A72"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56"/>
            </w:r>
            <w:r w:rsidRPr="00EC2A1C">
              <w:rPr>
                <w:rFonts w:eastAsiaTheme="majorEastAsia"/>
                <w:b/>
                <w:color w:val="FFFFFF" w:themeColor="background1"/>
                <w:u w:val="single"/>
              </w:rPr>
              <w:t xml:space="preserve">: </w:t>
            </w:r>
          </w:p>
          <w:p w14:paraId="4ACF1EDF" w14:textId="77777777" w:rsidR="00DD3EFA" w:rsidRPr="00EC2A1C" w:rsidRDefault="00DD3EFA" w:rsidP="00B15ECB">
            <w:pPr>
              <w:pStyle w:val="Nadpis1"/>
              <w:outlineLvl w:val="0"/>
              <w:rPr>
                <w:rFonts w:ascii="Times New Roman" w:hAnsi="Times New Roman" w:cs="Times New Roman"/>
                <w:b/>
                <w:color w:val="FFFFFF" w:themeColor="background1"/>
                <w:sz w:val="20"/>
                <w:szCs w:val="20"/>
                <w:u w:val="single"/>
              </w:rPr>
            </w:pPr>
            <w:bookmarkStart w:id="45" w:name="_Toc1491421"/>
            <w:r w:rsidRPr="00EC2A1C">
              <w:rPr>
                <w:rFonts w:ascii="Times New Roman" w:hAnsi="Times New Roman" w:cs="Times New Roman"/>
                <w:b/>
                <w:color w:val="FFFFFF" w:themeColor="background1"/>
                <w:sz w:val="20"/>
                <w:szCs w:val="20"/>
              </w:rPr>
              <w:t>Vytvoření zázemí pro vzdělávání pro udržitelný rozvoj</w:t>
            </w:r>
            <w:bookmarkEnd w:id="45"/>
          </w:p>
        </w:tc>
        <w:tc>
          <w:tcPr>
            <w:tcW w:w="249" w:type="dxa"/>
            <w:tcBorders>
              <w:top w:val="nil"/>
              <w:bottom w:val="nil"/>
            </w:tcBorders>
            <w:shd w:val="clear" w:color="auto" w:fill="66CCFF"/>
          </w:tcPr>
          <w:p w14:paraId="06E03019" w14:textId="77777777" w:rsidR="00DD3EFA" w:rsidRPr="00EC2A1C" w:rsidRDefault="00DD3EFA" w:rsidP="00B15ECB">
            <w:pPr>
              <w:rPr>
                <w:b/>
              </w:rPr>
            </w:pPr>
          </w:p>
        </w:tc>
      </w:tr>
      <w:tr w:rsidR="00DD3EFA" w:rsidRPr="00EC2A1C" w14:paraId="1D76E259" w14:textId="77777777" w:rsidTr="00B15ECB">
        <w:trPr>
          <w:trHeight w:val="180"/>
        </w:trPr>
        <w:tc>
          <w:tcPr>
            <w:tcW w:w="249" w:type="dxa"/>
            <w:tcBorders>
              <w:top w:val="nil"/>
              <w:bottom w:val="nil"/>
              <w:right w:val="nil"/>
            </w:tcBorders>
            <w:shd w:val="clear" w:color="auto" w:fill="66CCFF"/>
          </w:tcPr>
          <w:p w14:paraId="1D601863" w14:textId="77777777" w:rsidR="00DD3EFA" w:rsidRPr="00EC2A1C" w:rsidRDefault="00DD3EFA" w:rsidP="00B15ECB">
            <w:pPr>
              <w:rPr>
                <w:b/>
              </w:rPr>
            </w:pPr>
          </w:p>
        </w:tc>
        <w:tc>
          <w:tcPr>
            <w:tcW w:w="2548" w:type="dxa"/>
            <w:tcBorders>
              <w:left w:val="nil"/>
              <w:right w:val="nil"/>
            </w:tcBorders>
            <w:shd w:val="clear" w:color="auto" w:fill="66CCFF"/>
          </w:tcPr>
          <w:p w14:paraId="0A94500E" w14:textId="77777777" w:rsidR="00DD3EFA" w:rsidRPr="00EC2A1C" w:rsidRDefault="00DD3EFA" w:rsidP="00B15ECB">
            <w:pPr>
              <w:rPr>
                <w:b/>
              </w:rPr>
            </w:pPr>
          </w:p>
        </w:tc>
        <w:tc>
          <w:tcPr>
            <w:tcW w:w="5978" w:type="dxa"/>
            <w:tcBorders>
              <w:left w:val="nil"/>
              <w:right w:val="nil"/>
            </w:tcBorders>
            <w:shd w:val="clear" w:color="auto" w:fill="66CCFF"/>
          </w:tcPr>
          <w:p w14:paraId="76CFE480" w14:textId="77777777" w:rsidR="00DD3EFA" w:rsidRPr="00EC2A1C" w:rsidRDefault="00DD3EFA" w:rsidP="00B15ECB">
            <w:pPr>
              <w:rPr>
                <w:b/>
              </w:rPr>
            </w:pPr>
          </w:p>
        </w:tc>
        <w:tc>
          <w:tcPr>
            <w:tcW w:w="249" w:type="dxa"/>
            <w:tcBorders>
              <w:top w:val="nil"/>
              <w:left w:val="nil"/>
              <w:bottom w:val="nil"/>
            </w:tcBorders>
            <w:shd w:val="clear" w:color="auto" w:fill="66CCFF"/>
          </w:tcPr>
          <w:p w14:paraId="207E0447" w14:textId="77777777" w:rsidR="00DD3EFA" w:rsidRPr="00EC2A1C" w:rsidRDefault="00DD3EFA" w:rsidP="00B15ECB">
            <w:pPr>
              <w:rPr>
                <w:b/>
              </w:rPr>
            </w:pPr>
          </w:p>
        </w:tc>
      </w:tr>
      <w:tr w:rsidR="00DD3EFA" w:rsidRPr="00EC2A1C" w14:paraId="7268E89E" w14:textId="77777777" w:rsidTr="00B15ECB">
        <w:trPr>
          <w:trHeight w:val="892"/>
        </w:trPr>
        <w:tc>
          <w:tcPr>
            <w:tcW w:w="249" w:type="dxa"/>
            <w:tcBorders>
              <w:top w:val="nil"/>
              <w:bottom w:val="nil"/>
            </w:tcBorders>
            <w:shd w:val="clear" w:color="auto" w:fill="66CCFF"/>
          </w:tcPr>
          <w:p w14:paraId="74D63FE7" w14:textId="77777777" w:rsidR="00DD3EFA" w:rsidRPr="00EC2A1C" w:rsidRDefault="00DD3EFA" w:rsidP="00B15ECB">
            <w:pPr>
              <w:rPr>
                <w:b/>
              </w:rPr>
            </w:pPr>
          </w:p>
        </w:tc>
        <w:tc>
          <w:tcPr>
            <w:tcW w:w="2548" w:type="dxa"/>
            <w:shd w:val="clear" w:color="auto" w:fill="FFFFFF" w:themeFill="background1"/>
          </w:tcPr>
          <w:p w14:paraId="5A5E7D5F"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shd w:val="clear" w:color="auto" w:fill="FFFFFF" w:themeFill="background1"/>
          </w:tcPr>
          <w:p w14:paraId="75FC9A79" w14:textId="77777777" w:rsidR="00DD3EFA" w:rsidRPr="00EC2A1C" w:rsidRDefault="00DD3EFA" w:rsidP="00B15ECB">
            <w:r w:rsidRPr="00EC2A1C">
              <w:rPr>
                <w:rFonts w:eastAsia="Calibri"/>
              </w:rPr>
              <w:t xml:space="preserve">rozvoj a modernizace </w:t>
            </w:r>
            <w:r w:rsidRPr="00EC2A1C">
              <w:t>zázemí pro vzdělávání pro udržitelný rozvoj ve specializovaných vzdělávacích zařízeních (např. v environmentálních vzdělávacích a informačních centrech) s důrazem na ekologický provoz zařízení a moderní formy poskytování vzdělávání.</w:t>
            </w:r>
          </w:p>
          <w:p w14:paraId="76BF028C" w14:textId="77777777" w:rsidR="00DD3EFA" w:rsidRPr="00EC2A1C" w:rsidRDefault="00DD3EFA" w:rsidP="00B15ECB"/>
          <w:p w14:paraId="18D1B8F6" w14:textId="77777777" w:rsidR="00DD3EFA" w:rsidRPr="00EC2A1C" w:rsidRDefault="00DD3EFA" w:rsidP="00B15ECB">
            <w:pPr>
              <w:spacing w:before="60" w:after="60"/>
              <w:rPr>
                <w:u w:val="single"/>
              </w:rPr>
            </w:pPr>
          </w:p>
        </w:tc>
        <w:tc>
          <w:tcPr>
            <w:tcW w:w="249" w:type="dxa"/>
            <w:tcBorders>
              <w:top w:val="nil"/>
              <w:bottom w:val="nil"/>
            </w:tcBorders>
            <w:shd w:val="clear" w:color="auto" w:fill="66CCFF"/>
          </w:tcPr>
          <w:p w14:paraId="40B171D6" w14:textId="77777777" w:rsidR="00DD3EFA" w:rsidRPr="00EC2A1C" w:rsidRDefault="00DD3EFA" w:rsidP="00B15ECB">
            <w:pPr>
              <w:rPr>
                <w:b/>
              </w:rPr>
            </w:pPr>
          </w:p>
        </w:tc>
      </w:tr>
      <w:tr w:rsidR="00DD3EFA" w:rsidRPr="00EC2A1C" w14:paraId="6F942813" w14:textId="77777777" w:rsidTr="00B15ECB">
        <w:trPr>
          <w:trHeight w:val="46"/>
        </w:trPr>
        <w:tc>
          <w:tcPr>
            <w:tcW w:w="249" w:type="dxa"/>
            <w:tcBorders>
              <w:top w:val="nil"/>
              <w:bottom w:val="nil"/>
              <w:right w:val="nil"/>
            </w:tcBorders>
            <w:shd w:val="clear" w:color="auto" w:fill="66CCFF"/>
          </w:tcPr>
          <w:p w14:paraId="3DB0F959"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495AA03A"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34C1A331" w14:textId="77777777" w:rsidR="00DD3EFA" w:rsidRPr="00EC2A1C" w:rsidRDefault="00DD3EFA" w:rsidP="00B15ECB">
            <w:pPr>
              <w:rPr>
                <w:b/>
              </w:rPr>
            </w:pPr>
          </w:p>
        </w:tc>
        <w:tc>
          <w:tcPr>
            <w:tcW w:w="249" w:type="dxa"/>
            <w:tcBorders>
              <w:top w:val="nil"/>
              <w:left w:val="nil"/>
              <w:bottom w:val="nil"/>
            </w:tcBorders>
            <w:shd w:val="clear" w:color="auto" w:fill="66CCFF"/>
          </w:tcPr>
          <w:p w14:paraId="039E6BA4" w14:textId="77777777" w:rsidR="00DD3EFA" w:rsidRPr="00EC2A1C" w:rsidRDefault="00DD3EFA" w:rsidP="00B15ECB">
            <w:pPr>
              <w:rPr>
                <w:b/>
              </w:rPr>
            </w:pPr>
          </w:p>
        </w:tc>
      </w:tr>
      <w:tr w:rsidR="00DD3EFA" w:rsidRPr="00EC2A1C" w14:paraId="5C1F0FD4" w14:textId="77777777" w:rsidTr="00B15ECB">
        <w:trPr>
          <w:trHeight w:val="1274"/>
        </w:trPr>
        <w:tc>
          <w:tcPr>
            <w:tcW w:w="249" w:type="dxa"/>
            <w:tcBorders>
              <w:top w:val="nil"/>
              <w:bottom w:val="nil"/>
            </w:tcBorders>
            <w:shd w:val="clear" w:color="auto" w:fill="66CCFF"/>
          </w:tcPr>
          <w:p w14:paraId="21D25545"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D1DEEFE"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20663F39" w14:textId="77777777" w:rsidR="00DD3EFA" w:rsidRPr="00EC2A1C" w:rsidRDefault="00DD3EFA" w:rsidP="00B15ECB">
            <w:pPr>
              <w:autoSpaceDE w:val="0"/>
              <w:autoSpaceDN w:val="0"/>
              <w:adjustRightInd w:val="0"/>
              <w:rPr>
                <w:color w:val="000000"/>
              </w:rPr>
            </w:pPr>
          </w:p>
          <w:p w14:paraId="0D9422FC" w14:textId="77777777" w:rsidR="00DD3EFA" w:rsidRPr="00EC2A1C" w:rsidRDefault="00DD3EFA" w:rsidP="00B15ECB">
            <w:pPr>
              <w:autoSpaceDE w:val="0"/>
              <w:autoSpaceDN w:val="0"/>
              <w:adjustRightInd w:val="0"/>
              <w:rPr>
                <w:color w:val="000000"/>
              </w:rPr>
            </w:pPr>
            <w:r w:rsidRPr="00EC2A1C">
              <w:rPr>
                <w:color w:val="000000"/>
              </w:rPr>
              <w:t>V roce 2008 vznikla Strategie vzdělávání pro udržitelný rozvoj České republiky 2008–2015. Dokument vymezuje roli vzdělávání pro udržitelný rozvoj následovně:</w:t>
            </w:r>
          </w:p>
          <w:p w14:paraId="070ED6A5" w14:textId="77777777" w:rsidR="00DD3EFA" w:rsidRPr="00EC2A1C" w:rsidRDefault="00DD3EFA" w:rsidP="00B15ECB">
            <w:pPr>
              <w:autoSpaceDE w:val="0"/>
              <w:autoSpaceDN w:val="0"/>
              <w:adjustRightInd w:val="0"/>
              <w:rPr>
                <w:color w:val="000000"/>
              </w:rPr>
            </w:pPr>
          </w:p>
          <w:p w14:paraId="5F4D3B27" w14:textId="77777777" w:rsidR="00DD3EFA" w:rsidRPr="00EC2A1C" w:rsidRDefault="00DD3EFA" w:rsidP="00391907">
            <w:pPr>
              <w:pStyle w:val="Odstavecseseznamem"/>
              <w:numPr>
                <w:ilvl w:val="0"/>
                <w:numId w:val="96"/>
              </w:numPr>
              <w:autoSpaceDE w:val="0"/>
              <w:autoSpaceDN w:val="0"/>
              <w:adjustRightInd w:val="0"/>
              <w:jc w:val="both"/>
              <w:rPr>
                <w:color w:val="000000"/>
              </w:rPr>
            </w:pPr>
            <w:r w:rsidRPr="00EC2A1C">
              <w:rPr>
                <w:color w:val="000000"/>
              </w:rPr>
              <w:t>pochopení propojenosti a vzájemné souvislosti ekonomických, sociálních a environmentálních hledisek rozvoje, a to na lokální, národní i globální úrovni;</w:t>
            </w:r>
          </w:p>
          <w:p w14:paraId="30E31E63" w14:textId="77777777" w:rsidR="00DD3EFA" w:rsidRPr="00EC2A1C" w:rsidRDefault="00DD3EFA" w:rsidP="00391907">
            <w:pPr>
              <w:pStyle w:val="Odstavecseseznamem"/>
              <w:numPr>
                <w:ilvl w:val="0"/>
                <w:numId w:val="96"/>
              </w:numPr>
              <w:autoSpaceDE w:val="0"/>
              <w:autoSpaceDN w:val="0"/>
              <w:adjustRightInd w:val="0"/>
              <w:jc w:val="both"/>
              <w:rPr>
                <w:color w:val="000000"/>
              </w:rPr>
            </w:pPr>
            <w:r w:rsidRPr="00EC2A1C">
              <w:rPr>
                <w:color w:val="000000"/>
              </w:rPr>
              <w:t>vnímání udržitelného rozvoje jako celostního a systémového přístupu, který směřuje k ekonomicky prosperující společnosti a respektuje sociální a environmentální souvislosti a limity;</w:t>
            </w:r>
          </w:p>
          <w:p w14:paraId="14117FEE" w14:textId="77777777" w:rsidR="00DD3EFA" w:rsidRPr="00EC2A1C" w:rsidRDefault="00DD3EFA" w:rsidP="00391907">
            <w:pPr>
              <w:pStyle w:val="Odstavecseseznamem"/>
              <w:numPr>
                <w:ilvl w:val="0"/>
                <w:numId w:val="96"/>
              </w:numPr>
              <w:autoSpaceDE w:val="0"/>
              <w:autoSpaceDN w:val="0"/>
              <w:adjustRightInd w:val="0"/>
              <w:jc w:val="both"/>
              <w:rPr>
                <w:color w:val="000000"/>
              </w:rPr>
            </w:pPr>
            <w:r w:rsidRPr="00EC2A1C">
              <w:rPr>
                <w:color w:val="000000"/>
              </w:rPr>
              <w:t>rozvoj kompetencí (znalostí, dovedností a postojů) pro demokratické a svobodné rozhodování ve vlastním i veřejném zájmu v souladu s právem a s principy udržitelného rozvoje.</w:t>
            </w:r>
          </w:p>
          <w:p w14:paraId="7E657744" w14:textId="77777777" w:rsidR="00DD3EFA" w:rsidRPr="00EC2A1C" w:rsidRDefault="00DD3EFA" w:rsidP="00B15ECB">
            <w:pPr>
              <w:autoSpaceDE w:val="0"/>
              <w:autoSpaceDN w:val="0"/>
              <w:adjustRightInd w:val="0"/>
              <w:rPr>
                <w:color w:val="000000"/>
              </w:rPr>
            </w:pPr>
          </w:p>
          <w:p w14:paraId="159D798C" w14:textId="77777777" w:rsidR="00DD3EFA" w:rsidRPr="00EC2A1C" w:rsidRDefault="00DD3EFA" w:rsidP="00B15ECB">
            <w:pPr>
              <w:autoSpaceDE w:val="0"/>
              <w:autoSpaceDN w:val="0"/>
              <w:adjustRightInd w:val="0"/>
              <w:rPr>
                <w:color w:val="000000"/>
              </w:rPr>
            </w:pPr>
            <w:r w:rsidRPr="00EC2A1C">
              <w:rPr>
                <w:color w:val="000000"/>
              </w:rPr>
              <w:t>Praktické naplnění cílů Strategie probíhalo a nadále probíhá jednak postupnou implementací napříč kurikulem, ale zároveň i prostřednictvím etablovaných systémů jako je systém rozvoje a podpory environmnetálního vzdělávání výchovy a osvěty (EVVO), popř. systém globálního a rozvojového vzdělávání (GRV).</w:t>
            </w:r>
          </w:p>
          <w:p w14:paraId="554C9D7D" w14:textId="77777777" w:rsidR="00DD3EFA" w:rsidRPr="00EC2A1C" w:rsidRDefault="00DD3EFA" w:rsidP="00B15ECB">
            <w:pPr>
              <w:autoSpaceDE w:val="0"/>
              <w:autoSpaceDN w:val="0"/>
              <w:adjustRightInd w:val="0"/>
              <w:rPr>
                <w:color w:val="000000"/>
              </w:rPr>
            </w:pPr>
          </w:p>
          <w:p w14:paraId="7742B600" w14:textId="77777777" w:rsidR="00DD3EFA" w:rsidRPr="00EC2A1C" w:rsidRDefault="00DD3EFA" w:rsidP="00B15ECB">
            <w:pPr>
              <w:autoSpaceDE w:val="0"/>
              <w:autoSpaceDN w:val="0"/>
              <w:adjustRightInd w:val="0"/>
              <w:rPr>
                <w:color w:val="000000"/>
              </w:rPr>
            </w:pPr>
            <w:r w:rsidRPr="00EC2A1C">
              <w:rPr>
                <w:color w:val="000000"/>
              </w:rPr>
              <w:t>Environmentální výchova, vzdělávání a osvěta přispívá významně k inovacím, růstu a zaměstnanosti (green jobs, oběhové hospodářství), k uplatňování adaptačních a mitigačních opatření v oblasti změn klimatu a také k efektivnímu využití vynaložených investic do ochrany životního prostředí, infrastruktury apod. Bez systematického vzdělávání, výchovy a osvěty se výrazně snižuje efektivita investic do ochrany životního prostředí – vzniká infrastruktura pro nakládání s odpady, vodou, šetrnou mobilitu apod., kterou však obyvatelé bez dostatečné motivace (přesvědčení a postojů), znalostí a dovedností nejsou připraveni dostatečně využívat.</w:t>
            </w:r>
          </w:p>
          <w:p w14:paraId="554D05ED" w14:textId="77777777" w:rsidR="00DD3EFA" w:rsidRPr="00EC2A1C" w:rsidRDefault="00DD3EFA" w:rsidP="00B15ECB">
            <w:pPr>
              <w:autoSpaceDE w:val="0"/>
              <w:autoSpaceDN w:val="0"/>
              <w:adjustRightInd w:val="0"/>
              <w:rPr>
                <w:color w:val="000000"/>
              </w:rPr>
            </w:pPr>
          </w:p>
          <w:p w14:paraId="06E92C8B" w14:textId="77777777" w:rsidR="00DD3EFA" w:rsidRPr="00EC2A1C" w:rsidRDefault="00DD3EFA" w:rsidP="00B15ECB">
            <w:pPr>
              <w:autoSpaceDE w:val="0"/>
              <w:autoSpaceDN w:val="0"/>
              <w:adjustRightInd w:val="0"/>
              <w:rPr>
                <w:color w:val="000000"/>
              </w:rPr>
            </w:pPr>
            <w:r w:rsidRPr="00EC2A1C">
              <w:rPr>
                <w:color w:val="000000"/>
              </w:rPr>
              <w:t xml:space="preserve">Environmentální vzdělávání, výchova a osvěta je tak klíčový preventivní nástroj ochrany životního prostředí, který u veřejnosti rozvíjí kompetence (znalosti, dovednosti a postoje) potřebné pro environmentálně odpovědné jednání, to je jednání, které je v dané situaci a daných možnostech co nejpříznivější pro současný i budoucí stav životního prostředí. </w:t>
            </w:r>
          </w:p>
          <w:p w14:paraId="3A5E8300" w14:textId="77777777" w:rsidR="00DD3EFA" w:rsidRPr="00EC2A1C" w:rsidRDefault="00DD3EFA" w:rsidP="00B15ECB">
            <w:pPr>
              <w:autoSpaceDE w:val="0"/>
              <w:autoSpaceDN w:val="0"/>
              <w:adjustRightInd w:val="0"/>
              <w:rPr>
                <w:color w:val="000000"/>
              </w:rPr>
            </w:pPr>
          </w:p>
          <w:p w14:paraId="56D45ACF" w14:textId="77777777" w:rsidR="00DD3EFA" w:rsidRPr="00EC2A1C" w:rsidRDefault="00DD3EFA" w:rsidP="00B15ECB">
            <w:pPr>
              <w:autoSpaceDE w:val="0"/>
              <w:autoSpaceDN w:val="0"/>
              <w:adjustRightInd w:val="0"/>
              <w:rPr>
                <w:color w:val="000000"/>
              </w:rPr>
            </w:pPr>
            <w:r w:rsidRPr="00EC2A1C">
              <w:rPr>
                <w:color w:val="000000"/>
              </w:rPr>
              <w:t xml:space="preserve">V ČR se postupně vyvinul systém, zakotvený v politikách a strategických dokumentech, financovaný na různých úrovních, založený na spolupráci různých aktérů od veřejné správy, přes školy, další vzdělavatele, NNO, výzkumné instituce a další poskytovatele EVVO. EVVO se také stalo jedním z průřezových témat Rámcových vzdělávacích programů na školách. </w:t>
            </w:r>
          </w:p>
          <w:p w14:paraId="2BAC9FCD" w14:textId="77777777" w:rsidR="00DD3EFA" w:rsidRPr="00EC2A1C" w:rsidRDefault="00DD3EFA" w:rsidP="00B15ECB">
            <w:pPr>
              <w:autoSpaceDE w:val="0"/>
              <w:autoSpaceDN w:val="0"/>
              <w:adjustRightInd w:val="0"/>
              <w:rPr>
                <w:color w:val="000000"/>
              </w:rPr>
            </w:pPr>
          </w:p>
          <w:p w14:paraId="187B44D5" w14:textId="77777777" w:rsidR="00DD3EFA" w:rsidRPr="00EC2A1C" w:rsidRDefault="00DD3EFA" w:rsidP="00B15ECB">
            <w:pPr>
              <w:autoSpaceDE w:val="0"/>
              <w:autoSpaceDN w:val="0"/>
              <w:adjustRightInd w:val="0"/>
              <w:rPr>
                <w:color w:val="000000"/>
              </w:rPr>
            </w:pPr>
            <w:r w:rsidRPr="00EC2A1C">
              <w:rPr>
                <w:color w:val="000000"/>
              </w:rPr>
              <w:t>Cílem ČR je zajistit dlouhodobé fungování systému EVVO, a to zaprvé podporou tvorby metodik a vzdělávacích programů (probíhá např. v rámci národních např. SFŽP a regionálních dotačních programů) a zadruhé podporou tvorby zázemí pro realizaci EVVO. Podpora zázemí pro EVVO je finančně náročnější a národní či regionální zdroje ji mohou financovat jen okrajově – proto je předmětem této karty.</w:t>
            </w:r>
          </w:p>
          <w:p w14:paraId="4C0C4C30" w14:textId="77777777" w:rsidR="00DD3EFA" w:rsidRPr="00EC2A1C" w:rsidRDefault="00DD3EFA" w:rsidP="00B15ECB">
            <w:pPr>
              <w:autoSpaceDE w:val="0"/>
              <w:autoSpaceDN w:val="0"/>
              <w:adjustRightInd w:val="0"/>
              <w:rPr>
                <w:color w:val="000000"/>
              </w:rPr>
            </w:pPr>
          </w:p>
          <w:p w14:paraId="0ED398BE"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6697798D" w14:textId="77777777" w:rsidR="00DD3EFA" w:rsidRPr="00EC2A1C" w:rsidRDefault="00DD3EFA" w:rsidP="00B15ECB">
            <w:pPr>
              <w:rPr>
                <w:b/>
              </w:rPr>
            </w:pPr>
          </w:p>
        </w:tc>
      </w:tr>
      <w:tr w:rsidR="00DD3EFA" w:rsidRPr="00EC2A1C" w14:paraId="02DE8CB0" w14:textId="77777777" w:rsidTr="00B15ECB">
        <w:trPr>
          <w:trHeight w:val="1274"/>
        </w:trPr>
        <w:tc>
          <w:tcPr>
            <w:tcW w:w="249" w:type="dxa"/>
            <w:tcBorders>
              <w:top w:val="nil"/>
              <w:bottom w:val="nil"/>
            </w:tcBorders>
            <w:shd w:val="clear" w:color="auto" w:fill="66CCFF"/>
          </w:tcPr>
          <w:p w14:paraId="2EAF30A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1EA3B15"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61E941E2" w14:textId="77777777" w:rsidR="00DD3EFA" w:rsidRPr="00EC2A1C" w:rsidRDefault="00DD3EFA" w:rsidP="00B15ECB">
            <w:pPr>
              <w:spacing w:before="60" w:after="60"/>
              <w:rPr>
                <w:rFonts w:eastAsiaTheme="majorEastAsia"/>
                <w:i/>
                <w:u w:val="single"/>
              </w:rPr>
            </w:pPr>
          </w:p>
          <w:p w14:paraId="4C917037" w14:textId="77777777" w:rsidR="00DD3EFA" w:rsidRPr="00EC2A1C" w:rsidRDefault="00DD3EFA" w:rsidP="00B15ECB">
            <w:pPr>
              <w:spacing w:before="40" w:after="40" w:line="259" w:lineRule="auto"/>
              <w:rPr>
                <w:rFonts w:eastAsia="Calibri"/>
              </w:rPr>
            </w:pPr>
            <w:r w:rsidRPr="00EC2A1C">
              <w:rPr>
                <w:rFonts w:eastAsia="Calibri"/>
              </w:rPr>
              <w:t xml:space="preserve">V ČR funguje cca 100 středisek ekologické výchovy, které nabízejí školám a veřejnosti služby v oblasti EVVO (Environmentální vzdělávání, výchova a osvěta). Jedná se často o NNO, ale jsou to i školská zařízení či subjekty zřizované krajem či obcí. Tento sektor byl významně podpořen v rámci OPŽP (2007-2013), kdy došlo k zahuštění této sítě.. </w:t>
            </w:r>
          </w:p>
          <w:p w14:paraId="028AC427" w14:textId="77777777" w:rsidR="00DD3EFA" w:rsidRPr="00EC2A1C" w:rsidRDefault="00DD3EFA" w:rsidP="00B15ECB">
            <w:pPr>
              <w:spacing w:before="40" w:after="40" w:line="259" w:lineRule="auto"/>
              <w:rPr>
                <w:rFonts w:eastAsia="Calibri"/>
              </w:rPr>
            </w:pPr>
          </w:p>
          <w:p w14:paraId="2093BB4D" w14:textId="77777777" w:rsidR="00DD3EFA" w:rsidRPr="00EC2A1C" w:rsidRDefault="00DD3EFA" w:rsidP="00B15ECB">
            <w:pPr>
              <w:spacing w:before="40" w:after="40"/>
              <w:rPr>
                <w:rFonts w:eastAsia="Calibri"/>
              </w:rPr>
            </w:pPr>
            <w:r w:rsidRPr="00EC2A1C">
              <w:rPr>
                <w:rFonts w:eastAsia="Calibri"/>
              </w:rPr>
              <w:t xml:space="preserve">Situační analýza z roku 2017 ukazuje, že tyto subjekty i nadále plánují investice do objektů, ve kterých realizují EVVO programy. Objekty se totiž postupně opotřebovávají a vyžadují adaptace tak, aby vyhovovaly měnícím se nárokům na výuku, ale i ubytování a další servis pro školy a další zájemce. Jedná se zejména o dostavby či přístavby (často pro zvětšení ubytovací kapacity), dále pak doplnění či modernizaci vybavení (jak ubytovacího, tak didaktického včetně multimediálního vybavení), začlenění environmentálních technologií a dalších opatření do provozu (fotovoltaika, úsporná zařízení, nádrže na vodu, kořenové čistírny odpadních vod apod.) či ostatní menší rekonstrukce. </w:t>
            </w:r>
          </w:p>
          <w:p w14:paraId="5E85361D" w14:textId="77777777" w:rsidR="00DD3EFA" w:rsidRPr="00EC2A1C" w:rsidRDefault="00DD3EFA" w:rsidP="00B15ECB">
            <w:pPr>
              <w:spacing w:before="40" w:after="40"/>
              <w:rPr>
                <w:rFonts w:eastAsia="Calibri"/>
              </w:rPr>
            </w:pPr>
          </w:p>
          <w:p w14:paraId="3779EFC5" w14:textId="77777777" w:rsidR="00DD3EFA" w:rsidRPr="00EC2A1C" w:rsidRDefault="00DD3EFA" w:rsidP="00B15ECB">
            <w:pPr>
              <w:spacing w:before="40" w:after="40"/>
              <w:rPr>
                <w:rFonts w:eastAsia="Calibri"/>
              </w:rPr>
            </w:pPr>
            <w:r w:rsidRPr="00EC2A1C">
              <w:rPr>
                <w:rFonts w:eastAsia="Calibri"/>
              </w:rPr>
              <w:t xml:space="preserve">Aktuálně v ČR chybí systémový zdroj, který by se průběžně staral o to, aby environmentální centra byla moderní a funkční ve svém vybavení a zároveň ve svém provozu šla příkladem v opatřeních propagujícím z MŽP (aktuálně instalace nádrží na dešťovou vodu apod.). Opětovnou podporou do zázemí center EVVO dojde v národním měřítku k jejich dalšímu rozvoji a posílení možností škol a dalších zájemců pro využívání těchto center v rámci environmentálně zaměřených škol v přírodě, ale i na krátkodobé vzdělávací programy.      </w:t>
            </w:r>
          </w:p>
          <w:p w14:paraId="5BF02E5C" w14:textId="77777777" w:rsidR="00DD3EFA" w:rsidRPr="00EC2A1C" w:rsidRDefault="00DD3EFA" w:rsidP="00B15ECB">
            <w:pPr>
              <w:spacing w:before="40" w:after="40" w:line="259" w:lineRule="auto"/>
              <w:rPr>
                <w:rFonts w:eastAsia="Calibri"/>
              </w:rPr>
            </w:pPr>
          </w:p>
          <w:p w14:paraId="282F5870" w14:textId="77777777" w:rsidR="00DD3EFA" w:rsidRPr="00EC2A1C" w:rsidRDefault="00DD3EFA" w:rsidP="00B15ECB">
            <w:pPr>
              <w:spacing w:before="60" w:after="60"/>
              <w:rPr>
                <w:i/>
              </w:rPr>
            </w:pPr>
          </w:p>
        </w:tc>
        <w:tc>
          <w:tcPr>
            <w:tcW w:w="249" w:type="dxa"/>
            <w:tcBorders>
              <w:top w:val="nil"/>
              <w:bottom w:val="nil"/>
            </w:tcBorders>
            <w:shd w:val="clear" w:color="auto" w:fill="66CCFF"/>
          </w:tcPr>
          <w:p w14:paraId="3B60926F" w14:textId="77777777" w:rsidR="00DD3EFA" w:rsidRPr="00EC2A1C" w:rsidRDefault="00DD3EFA" w:rsidP="00B15ECB">
            <w:pPr>
              <w:rPr>
                <w:b/>
              </w:rPr>
            </w:pPr>
          </w:p>
        </w:tc>
      </w:tr>
      <w:tr w:rsidR="00DD3EFA" w:rsidRPr="00EC2A1C" w14:paraId="3B51B3F7" w14:textId="77777777" w:rsidTr="00B15ECB">
        <w:trPr>
          <w:trHeight w:val="1274"/>
        </w:trPr>
        <w:tc>
          <w:tcPr>
            <w:tcW w:w="249" w:type="dxa"/>
            <w:tcBorders>
              <w:top w:val="nil"/>
              <w:bottom w:val="nil"/>
            </w:tcBorders>
            <w:shd w:val="clear" w:color="auto" w:fill="66CCFF"/>
          </w:tcPr>
          <w:p w14:paraId="2EC7DFAE"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4DCE257" w14:textId="77777777" w:rsidR="00DD3EFA" w:rsidRPr="00EC2A1C" w:rsidRDefault="00DD3EFA" w:rsidP="00B15ECB">
            <w:pPr>
              <w:spacing w:before="60" w:after="60"/>
              <w:rPr>
                <w:rFonts w:eastAsiaTheme="majorEastAsia"/>
                <w:b/>
              </w:rPr>
            </w:pPr>
            <w:r w:rsidRPr="00EC2A1C">
              <w:rPr>
                <w:rFonts w:eastAsiaTheme="majorEastAsia"/>
                <w:b/>
              </w:rPr>
              <w:t>Definice cíle – změny, které chceme dosáhnout</w:t>
            </w:r>
          </w:p>
          <w:p w14:paraId="68E40310"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0E566664" w14:textId="77777777" w:rsidR="00DD3EFA" w:rsidRPr="00EC2A1C" w:rsidRDefault="00DD3EFA" w:rsidP="00B15ECB">
            <w:pPr>
              <w:spacing w:before="60" w:after="60"/>
              <w:rPr>
                <w:color w:val="A6A6A6" w:themeColor="background1" w:themeShade="A6"/>
              </w:rPr>
            </w:pPr>
          </w:p>
          <w:p w14:paraId="23A2BB2F" w14:textId="77777777" w:rsidR="00DD3EFA" w:rsidRPr="00EC2A1C" w:rsidRDefault="00DD3EFA" w:rsidP="00B15ECB">
            <w:pPr>
              <w:spacing w:before="60" w:after="60"/>
              <w:rPr>
                <w:rFonts w:eastAsia="Calibri"/>
              </w:rPr>
            </w:pPr>
            <w:r w:rsidRPr="00EC2A1C">
              <w:rPr>
                <w:rFonts w:eastAsia="Calibri"/>
              </w:rPr>
              <w:t>V ČR bude na podporu vzdělávání pro udržitelný rozvoj na školách a pro osvětu veřejnosti v klíčových environmnetálních otázkách (předcházení změny klimatu, adaptace  na změnu klimatu, ochrana přírody apod.) existovat dostatek vzdělávacích center s profesionálním zázemím. Tato centra pomohou docílit výzmaného posunu v environmentální gramotnosti žáků škol a v proenvironmnetálních kompetencích obyvatel ČR (na základě plošných průzkumů v ČR v roce 2020 a v roce 2025).</w:t>
            </w:r>
          </w:p>
          <w:p w14:paraId="34F3BE09" w14:textId="77777777" w:rsidR="00DD3EFA" w:rsidRPr="00EC2A1C" w:rsidRDefault="00DD3EFA" w:rsidP="00B15ECB">
            <w:pPr>
              <w:spacing w:before="60" w:after="60"/>
              <w:rPr>
                <w:rFonts w:eastAsiaTheme="majorEastAsia"/>
                <w:i/>
                <w:u w:val="single"/>
              </w:rPr>
            </w:pPr>
          </w:p>
          <w:p w14:paraId="05CE2F72"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51FEE987" w14:textId="77777777" w:rsidR="00DD3EFA" w:rsidRPr="00EC2A1C" w:rsidRDefault="00DD3EFA" w:rsidP="00B15ECB">
            <w:pPr>
              <w:rPr>
                <w:b/>
              </w:rPr>
            </w:pPr>
          </w:p>
        </w:tc>
      </w:tr>
      <w:tr w:rsidR="00DD3EFA" w:rsidRPr="00EC2A1C" w14:paraId="22853C33" w14:textId="77777777" w:rsidTr="00B15ECB">
        <w:trPr>
          <w:trHeight w:val="1274"/>
        </w:trPr>
        <w:tc>
          <w:tcPr>
            <w:tcW w:w="249" w:type="dxa"/>
            <w:tcBorders>
              <w:top w:val="nil"/>
              <w:bottom w:val="nil"/>
            </w:tcBorders>
            <w:shd w:val="clear" w:color="auto" w:fill="66CCFF"/>
          </w:tcPr>
          <w:p w14:paraId="4871CEF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11EABF5" w14:textId="77777777" w:rsidR="00DD3EFA" w:rsidRPr="00EC2A1C" w:rsidRDefault="00DD3EFA" w:rsidP="00B15ECB">
            <w:pPr>
              <w:spacing w:before="60" w:after="60"/>
              <w:rPr>
                <w:rFonts w:eastAsiaTheme="majorEastAsia"/>
                <w:b/>
              </w:rPr>
            </w:pPr>
            <w:r w:rsidRPr="00EC2A1C">
              <w:rPr>
                <w:rFonts w:eastAsiaTheme="majorEastAsia"/>
                <w:b/>
              </w:rPr>
              <w:t>Defininice předpokládaných výstupů/výsledků/dopadů</w:t>
            </w:r>
          </w:p>
        </w:tc>
        <w:tc>
          <w:tcPr>
            <w:tcW w:w="5978" w:type="dxa"/>
            <w:tcBorders>
              <w:bottom w:val="single" w:sz="4" w:space="0" w:color="auto"/>
            </w:tcBorders>
            <w:shd w:val="clear" w:color="auto" w:fill="FFFFFF" w:themeFill="background1"/>
          </w:tcPr>
          <w:p w14:paraId="20B7ACFF" w14:textId="77777777" w:rsidR="00DD3EFA" w:rsidRPr="00EC2A1C" w:rsidRDefault="00DD3EFA" w:rsidP="00B15ECB">
            <w:pPr>
              <w:spacing w:before="60" w:after="60"/>
            </w:pPr>
            <w:r w:rsidRPr="00EC2A1C">
              <w:t>Stanovené indikátory operačního programu budou respektovat požadavky evropských i národních metodik. V této fázi přípravy nového období, kdy nejsou ještě přesně určeny konkrétní definované aktivity a nejsou k dispozici podrobné metodiky, nejsme schopni přesné ukazatele definovat. Předpokládáme, že indikátory budou popsány v kartách intervenční logiky.</w:t>
            </w:r>
          </w:p>
          <w:p w14:paraId="4174880E" w14:textId="77777777" w:rsidR="00DD3EFA" w:rsidRPr="00EC2A1C" w:rsidRDefault="00DD3EFA" w:rsidP="00B15ECB">
            <w:pPr>
              <w:spacing w:before="60" w:after="60"/>
              <w:rPr>
                <w:rFonts w:eastAsiaTheme="majorEastAsia"/>
                <w:u w:val="single"/>
              </w:rPr>
            </w:pPr>
            <w:r w:rsidRPr="00EC2A1C">
              <w:rPr>
                <w:rFonts w:eastAsiaTheme="majorEastAsia"/>
                <w:i/>
                <w:u w:val="single"/>
              </w:rPr>
              <w:t xml:space="preserve">   </w:t>
            </w:r>
            <w:r w:rsidRPr="00EC2A1C">
              <w:rPr>
                <w:rFonts w:eastAsiaTheme="majorEastAsia"/>
                <w:u w:val="single"/>
              </w:rPr>
              <w:t>Mezi v tuto chvíli uvažované výstupy patří např.:</w:t>
            </w:r>
          </w:p>
          <w:p w14:paraId="2E945DA0" w14:textId="77777777" w:rsidR="00DD3EFA" w:rsidRPr="00EC2A1C" w:rsidRDefault="00DD3EFA" w:rsidP="00391907">
            <w:pPr>
              <w:numPr>
                <w:ilvl w:val="0"/>
                <w:numId w:val="96"/>
              </w:numPr>
              <w:autoSpaceDE w:val="0"/>
              <w:spacing w:after="60"/>
              <w:jc w:val="both"/>
            </w:pPr>
            <w:r w:rsidRPr="00EC2A1C">
              <w:t>Počet modernizovaných objektů center environmentálního vzdělávání</w:t>
            </w:r>
          </w:p>
          <w:p w14:paraId="0CD8831E" w14:textId="77777777" w:rsidR="00DD3EFA" w:rsidRPr="00EC2A1C" w:rsidRDefault="00DD3EFA" w:rsidP="00391907">
            <w:pPr>
              <w:numPr>
                <w:ilvl w:val="0"/>
                <w:numId w:val="96"/>
              </w:numPr>
              <w:autoSpaceDE w:val="0"/>
              <w:spacing w:after="60"/>
              <w:jc w:val="both"/>
            </w:pPr>
            <w:r w:rsidRPr="00EC2A1C">
              <w:t xml:space="preserve">Počet center environmentálního vzdělávání s novým či modernizovaným vybavením pro vzdělávání </w:t>
            </w:r>
          </w:p>
          <w:p w14:paraId="692ACE04" w14:textId="77777777" w:rsidR="00DD3EFA" w:rsidRPr="00EC2A1C" w:rsidRDefault="00DD3EFA" w:rsidP="00B15ECB">
            <w:pPr>
              <w:spacing w:before="60" w:after="60"/>
              <w:rPr>
                <w:rFonts w:eastAsiaTheme="majorEastAsia"/>
              </w:rPr>
            </w:pPr>
          </w:p>
          <w:p w14:paraId="2A2E7188" w14:textId="77777777" w:rsidR="00DD3EFA" w:rsidRPr="00EC2A1C" w:rsidRDefault="00DD3EFA" w:rsidP="00B15ECB">
            <w:pPr>
              <w:spacing w:before="60" w:after="60"/>
              <w:rPr>
                <w:rFonts w:eastAsiaTheme="majorEastAsia"/>
                <w:u w:val="single"/>
              </w:rPr>
            </w:pPr>
            <w:r w:rsidRPr="00EC2A1C">
              <w:rPr>
                <w:rFonts w:eastAsiaTheme="majorEastAsia"/>
                <w:u w:val="single"/>
              </w:rPr>
              <w:t>Mezi v tuto chvíli uvažované dopady patří např.:</w:t>
            </w:r>
          </w:p>
          <w:p w14:paraId="52C62E78" w14:textId="77777777" w:rsidR="00DD3EFA" w:rsidRPr="00EC2A1C" w:rsidRDefault="00DD3EFA" w:rsidP="00391907">
            <w:pPr>
              <w:pStyle w:val="Odstavecseseznamem"/>
              <w:numPr>
                <w:ilvl w:val="0"/>
                <w:numId w:val="96"/>
              </w:numPr>
              <w:spacing w:before="60" w:after="60"/>
              <w:jc w:val="both"/>
              <w:rPr>
                <w:rFonts w:eastAsiaTheme="majorEastAsia"/>
              </w:rPr>
            </w:pPr>
            <w:r w:rsidRPr="00EC2A1C">
              <w:rPr>
                <w:rFonts w:eastAsiaTheme="majorEastAsia"/>
              </w:rPr>
              <w:t>Nárůst environmentální gramotnosti žáků škol</w:t>
            </w:r>
          </w:p>
          <w:p w14:paraId="17F1970D" w14:textId="77777777" w:rsidR="00DD3EFA" w:rsidRPr="00EC2A1C" w:rsidRDefault="00DD3EFA" w:rsidP="00391907">
            <w:pPr>
              <w:pStyle w:val="Odstavecseseznamem"/>
              <w:numPr>
                <w:ilvl w:val="0"/>
                <w:numId w:val="96"/>
              </w:numPr>
              <w:spacing w:before="60" w:after="60"/>
              <w:jc w:val="both"/>
              <w:rPr>
                <w:rFonts w:eastAsiaTheme="majorEastAsia"/>
              </w:rPr>
            </w:pPr>
            <w:r w:rsidRPr="00EC2A1C">
              <w:rPr>
                <w:rFonts w:eastAsiaTheme="majorEastAsia"/>
              </w:rPr>
              <w:t>Nárůst proenvironmnetálních kompetencí obyvatelstva</w:t>
            </w:r>
          </w:p>
          <w:p w14:paraId="2A3C7EF4" w14:textId="77777777" w:rsidR="00DD3EFA" w:rsidRPr="00EC2A1C" w:rsidRDefault="00DD3EFA" w:rsidP="00B15ECB">
            <w:pPr>
              <w:spacing w:before="60" w:after="60"/>
              <w:rPr>
                <w:rFonts w:eastAsiaTheme="majorEastAsia"/>
                <w:u w:val="single"/>
              </w:rPr>
            </w:pPr>
          </w:p>
        </w:tc>
        <w:tc>
          <w:tcPr>
            <w:tcW w:w="249" w:type="dxa"/>
            <w:tcBorders>
              <w:top w:val="nil"/>
              <w:bottom w:val="nil"/>
            </w:tcBorders>
            <w:shd w:val="clear" w:color="auto" w:fill="66CCFF"/>
          </w:tcPr>
          <w:p w14:paraId="6DDF1714" w14:textId="77777777" w:rsidR="00DD3EFA" w:rsidRPr="00EC2A1C" w:rsidRDefault="00DD3EFA" w:rsidP="00B15ECB">
            <w:pPr>
              <w:rPr>
                <w:b/>
              </w:rPr>
            </w:pPr>
          </w:p>
        </w:tc>
      </w:tr>
      <w:tr w:rsidR="00DD3EFA" w:rsidRPr="00EC2A1C" w14:paraId="589CEB0C" w14:textId="77777777" w:rsidTr="00B15ECB">
        <w:trPr>
          <w:trHeight w:val="1274"/>
        </w:trPr>
        <w:tc>
          <w:tcPr>
            <w:tcW w:w="249" w:type="dxa"/>
            <w:tcBorders>
              <w:top w:val="nil"/>
              <w:bottom w:val="nil"/>
            </w:tcBorders>
            <w:shd w:val="clear" w:color="auto" w:fill="66CCFF"/>
          </w:tcPr>
          <w:p w14:paraId="6C63339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4BEF123" w14:textId="77777777" w:rsidR="00DD3EFA" w:rsidRPr="00EC2A1C" w:rsidRDefault="00DD3EFA"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1C359812" w14:textId="77777777" w:rsidR="00DD3EFA" w:rsidRPr="00EC2A1C" w:rsidRDefault="00DD3EFA" w:rsidP="00B15ECB">
            <w:pPr>
              <w:spacing w:before="60" w:after="60"/>
              <w:rPr>
                <w:rFonts w:eastAsiaTheme="majorEastAsia"/>
                <w:i/>
                <w:u w:val="single"/>
              </w:rPr>
            </w:pPr>
            <w:r w:rsidRPr="00EC2A1C">
              <w:rPr>
                <w:rFonts w:eastAsiaTheme="majorEastAsia"/>
                <w:i/>
                <w:u w:val="single"/>
              </w:rPr>
              <w:t>Role ESIF na naplnění specifického cíle NKR je u tohoto specifického cíle  zcela zásadní, podíl zdrojů ESIF lze odhadnout na 80- 90 % vůči národním zdrojům.</w:t>
            </w:r>
          </w:p>
        </w:tc>
        <w:tc>
          <w:tcPr>
            <w:tcW w:w="249" w:type="dxa"/>
            <w:tcBorders>
              <w:top w:val="nil"/>
              <w:bottom w:val="nil"/>
            </w:tcBorders>
            <w:shd w:val="clear" w:color="auto" w:fill="66CCFF"/>
          </w:tcPr>
          <w:p w14:paraId="4F17A189" w14:textId="77777777" w:rsidR="00DD3EFA" w:rsidRPr="00EC2A1C" w:rsidRDefault="00DD3EFA" w:rsidP="00B15ECB">
            <w:pPr>
              <w:rPr>
                <w:b/>
              </w:rPr>
            </w:pPr>
          </w:p>
        </w:tc>
      </w:tr>
      <w:tr w:rsidR="00DD3EFA" w:rsidRPr="00EC2A1C" w14:paraId="1F7031F6" w14:textId="77777777" w:rsidTr="00B15ECB">
        <w:trPr>
          <w:trHeight w:val="1274"/>
        </w:trPr>
        <w:tc>
          <w:tcPr>
            <w:tcW w:w="249" w:type="dxa"/>
            <w:tcBorders>
              <w:top w:val="nil"/>
              <w:bottom w:val="nil"/>
            </w:tcBorders>
            <w:shd w:val="clear" w:color="auto" w:fill="66CCFF"/>
          </w:tcPr>
          <w:p w14:paraId="16F202E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D652B35" w14:textId="77777777" w:rsidR="00DD3EFA" w:rsidRPr="00EC2A1C" w:rsidRDefault="00DD3EFA" w:rsidP="00B15ECB">
            <w:pPr>
              <w:spacing w:before="60" w:after="60"/>
              <w:rPr>
                <w:rFonts w:eastAsiaTheme="majorEastAsia"/>
                <w:b/>
              </w:rPr>
            </w:pPr>
            <w:r w:rsidRPr="00EC2A1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0D37764F" w14:textId="77777777" w:rsidR="00DD3EFA" w:rsidRPr="00EC2A1C" w:rsidRDefault="00DD3EFA" w:rsidP="00B15ECB">
            <w:pPr>
              <w:spacing w:before="60" w:after="60" w:line="276" w:lineRule="auto"/>
              <w:contextualSpacing/>
              <w:rPr>
                <w:color w:val="000000"/>
              </w:rPr>
            </w:pPr>
            <w:r w:rsidRPr="00EC2A1C">
              <w:rPr>
                <w:color w:val="000000"/>
              </w:rPr>
              <w:t xml:space="preserve">Environmentální výchova byla předmětem podpory v rámci OPŽP v programovém období 2007-2013, v následujícím období zařazena nebyla. </w:t>
            </w:r>
          </w:p>
          <w:p w14:paraId="23C27750" w14:textId="77777777" w:rsidR="00DD3EFA" w:rsidRPr="00EC2A1C" w:rsidRDefault="00DD3EFA" w:rsidP="00B15ECB">
            <w:pPr>
              <w:spacing w:before="60" w:after="60" w:line="276" w:lineRule="auto"/>
              <w:contextualSpacing/>
              <w:rPr>
                <w:color w:val="000000"/>
              </w:rPr>
            </w:pPr>
            <w:r w:rsidRPr="00EC2A1C">
              <w:rPr>
                <w:color w:val="000000"/>
              </w:rPr>
              <w:t>Oproti programovému období 2007-2013 bude kladen výrazně větší důraz na kvalitativní rozvoj a stabilizaci existujících environmentálních center (nepředpokládá se vznik nových center na zelené louce, ale prioritně modernizace, dovybavení a rozvoj již existujících).</w:t>
            </w:r>
          </w:p>
          <w:p w14:paraId="7667FDE5" w14:textId="77777777" w:rsidR="00DD3EFA" w:rsidRPr="00EC2A1C" w:rsidRDefault="00DD3EFA" w:rsidP="00B15ECB">
            <w:r w:rsidRPr="00EC2A1C">
              <w:t xml:space="preserve">V programovém období 2020+ chceme zaměřit podporu z Evropských fondů na </w:t>
            </w:r>
            <w:r w:rsidRPr="00EC2A1C">
              <w:rPr>
                <w:b/>
              </w:rPr>
              <w:t>rekonstrukce, dostavby a přístavby již fungujících center environmentálního vzdělávání</w:t>
            </w:r>
            <w:r w:rsidRPr="00EC2A1C">
              <w:t xml:space="preserve"> a nadále tak zvyšovat jejich prostorovou a personální kapacitu. Zároveň tuto budoucí podporu vnímáme jako důležitou i pro centra, která již byla podpořena v programovém období 2007 – 2013. Jako další oblast, kam je možné cílit podporu, spatřujeme ve </w:t>
            </w:r>
            <w:r w:rsidRPr="00EC2A1C">
              <w:rPr>
                <w:b/>
              </w:rPr>
              <w:t>vybavení</w:t>
            </w:r>
            <w:r w:rsidRPr="00EC2A1C">
              <w:t xml:space="preserve"> (interaktivní pomůcky, nábytek, vybavení kuchyní, laboratoří atp.). A to opět jak pro centra, která doposud nežádala, případně ta, která chtějí své vybavení rozšířit, tak i pro modernizaci vybavení a pomůcek, které se několik let intenzivně využívají. V dalším programovém období budou totiž některé interaktivní pomůcky nebo vybavení zastaralé, v té době se bude jednat např. o 12 -16 let staré pomůcky. Zejména elektronické mohou být v tomto období zastaralé či nefunkční, stejně tak jako nábytek, který může, především u projektů podpořených v prvních výzvách PO7 OPŽP, jevit stopy intenzivního využívání. </w:t>
            </w:r>
          </w:p>
          <w:p w14:paraId="0E841F20" w14:textId="77777777" w:rsidR="00DD3EFA" w:rsidRPr="00EC2A1C" w:rsidRDefault="00DD3EFA" w:rsidP="00B15ECB">
            <w:pPr>
              <w:rPr>
                <w:rFonts w:eastAsia="Calibri"/>
              </w:rPr>
            </w:pPr>
          </w:p>
          <w:p w14:paraId="7DAAB582" w14:textId="77777777" w:rsidR="00DD3EFA" w:rsidRPr="00EC2A1C" w:rsidRDefault="00DD3EFA" w:rsidP="00B15ECB">
            <w:r w:rsidRPr="00EC2A1C">
              <w:rPr>
                <w:b/>
              </w:rPr>
              <w:t>Navrhované oblasti intervencí</w:t>
            </w:r>
            <w:r w:rsidRPr="00EC2A1C">
              <w:t>:</w:t>
            </w:r>
          </w:p>
          <w:p w14:paraId="190246D9" w14:textId="77777777" w:rsidR="00DD3EFA" w:rsidRPr="00EC2A1C" w:rsidRDefault="00DD3EFA" w:rsidP="00391907">
            <w:pPr>
              <w:numPr>
                <w:ilvl w:val="0"/>
                <w:numId w:val="96"/>
              </w:numPr>
              <w:autoSpaceDE w:val="0"/>
              <w:spacing w:after="60"/>
              <w:jc w:val="both"/>
            </w:pPr>
            <w:r w:rsidRPr="00EC2A1C">
              <w:t>Modernizace, rekonstrukce, dostavby, přestavby a přístavby nových i stávajících center environmentálního vzdělávání.</w:t>
            </w:r>
          </w:p>
          <w:p w14:paraId="0764A7CF" w14:textId="77777777" w:rsidR="00DD3EFA" w:rsidRPr="00EC2A1C" w:rsidRDefault="00DD3EFA" w:rsidP="00391907">
            <w:pPr>
              <w:numPr>
                <w:ilvl w:val="0"/>
                <w:numId w:val="96"/>
              </w:numPr>
              <w:autoSpaceDE w:val="0"/>
              <w:spacing w:after="60"/>
              <w:jc w:val="both"/>
            </w:pPr>
            <w:r w:rsidRPr="00EC2A1C">
              <w:t xml:space="preserve">Vybavení nových i stávajících center environmentálního vzdělávání. </w:t>
            </w:r>
          </w:p>
          <w:p w14:paraId="3B8673C9" w14:textId="77777777" w:rsidR="00DD3EFA" w:rsidRPr="00EC2A1C" w:rsidRDefault="00DD3EFA" w:rsidP="00B15ECB">
            <w:pPr>
              <w:spacing w:before="40" w:after="40"/>
              <w:rPr>
                <w:rFonts w:eastAsia="Calibri"/>
              </w:rPr>
            </w:pPr>
          </w:p>
          <w:p w14:paraId="3014B9B7" w14:textId="77777777" w:rsidR="00DD3EFA" w:rsidRPr="00EC2A1C" w:rsidRDefault="00DD3EFA" w:rsidP="00B15ECB">
            <w:pPr>
              <w:spacing w:before="40" w:after="40"/>
              <w:rPr>
                <w:rFonts w:eastAsia="Calibri"/>
              </w:rPr>
            </w:pPr>
            <w:r w:rsidRPr="00EC2A1C">
              <w:rPr>
                <w:rFonts w:eastAsia="Calibri"/>
                <w:b/>
              </w:rPr>
              <w:t>Dílčí navrhovaná opatření</w:t>
            </w:r>
            <w:r w:rsidRPr="00EC2A1C">
              <w:rPr>
                <w:rFonts w:eastAsia="Calibri"/>
              </w:rPr>
              <w:t xml:space="preserve">: </w:t>
            </w:r>
          </w:p>
          <w:p w14:paraId="26257733" w14:textId="77777777" w:rsidR="00DD3EFA" w:rsidRPr="00EC2A1C" w:rsidRDefault="00DD3EFA" w:rsidP="00391907">
            <w:pPr>
              <w:pStyle w:val="Odstavecseseznamem"/>
              <w:numPr>
                <w:ilvl w:val="0"/>
                <w:numId w:val="121"/>
              </w:numPr>
              <w:spacing w:before="40" w:after="40"/>
              <w:jc w:val="both"/>
              <w:rPr>
                <w:rFonts w:eastAsia="Calibri"/>
              </w:rPr>
            </w:pPr>
            <w:r w:rsidRPr="00EC2A1C">
              <w:rPr>
                <w:rFonts w:eastAsia="Calibri"/>
              </w:rPr>
              <w:t>exteriérové zázemí: učebny v přírodě, přístřešky (např. jurty, maringotky), naučné stezky apod. včetně úprav zahrad a pozemků;</w:t>
            </w:r>
          </w:p>
          <w:p w14:paraId="065AB194" w14:textId="77777777" w:rsidR="00DD3EFA" w:rsidRPr="00EC2A1C" w:rsidRDefault="00DD3EFA" w:rsidP="00391907">
            <w:pPr>
              <w:pStyle w:val="Odstavecseseznamem"/>
              <w:numPr>
                <w:ilvl w:val="0"/>
                <w:numId w:val="121"/>
              </w:numPr>
              <w:spacing w:before="40" w:after="40"/>
              <w:jc w:val="both"/>
              <w:rPr>
                <w:rFonts w:eastAsia="Calibri"/>
              </w:rPr>
            </w:pPr>
            <w:r w:rsidRPr="00EC2A1C">
              <w:rPr>
                <w:rFonts w:eastAsia="Calibri"/>
              </w:rPr>
              <w:t>vybavení učeben a laboratoří;</w:t>
            </w:r>
          </w:p>
          <w:p w14:paraId="605B2A45" w14:textId="77777777" w:rsidR="00DD3EFA" w:rsidRPr="00EC2A1C" w:rsidRDefault="00DD3EFA" w:rsidP="00391907">
            <w:pPr>
              <w:pStyle w:val="Odstavecseseznamem"/>
              <w:numPr>
                <w:ilvl w:val="0"/>
                <w:numId w:val="121"/>
              </w:numPr>
              <w:spacing w:before="40" w:after="40"/>
              <w:jc w:val="both"/>
              <w:rPr>
                <w:rFonts w:eastAsia="Calibri"/>
              </w:rPr>
            </w:pPr>
            <w:r w:rsidRPr="00EC2A1C">
              <w:rPr>
                <w:rFonts w:eastAsia="Calibri"/>
              </w:rPr>
              <w:t>drobné úpravy vnitřních prostor (např. vestavby, úpravy stavebních dispozic apod.);</w:t>
            </w:r>
          </w:p>
          <w:p w14:paraId="2471790D" w14:textId="77777777" w:rsidR="00DD3EFA" w:rsidRPr="00EC2A1C" w:rsidRDefault="00DD3EFA" w:rsidP="00391907">
            <w:pPr>
              <w:pStyle w:val="Odstavecseseznamem"/>
              <w:numPr>
                <w:ilvl w:val="0"/>
                <w:numId w:val="121"/>
              </w:numPr>
              <w:spacing w:before="40" w:after="40"/>
              <w:jc w:val="both"/>
              <w:rPr>
                <w:rFonts w:eastAsia="Calibri"/>
              </w:rPr>
            </w:pPr>
            <w:r w:rsidRPr="00EC2A1C">
              <w:rPr>
                <w:rFonts w:eastAsia="Calibri"/>
              </w:rPr>
              <w:t>pořízení a obnova expozic a jiného didaktického vybavení;</w:t>
            </w:r>
          </w:p>
          <w:p w14:paraId="303DB55A" w14:textId="77777777" w:rsidR="00DD3EFA" w:rsidRPr="00EC2A1C" w:rsidRDefault="00DD3EFA" w:rsidP="00391907">
            <w:pPr>
              <w:pStyle w:val="Odstavecseseznamem"/>
              <w:numPr>
                <w:ilvl w:val="0"/>
                <w:numId w:val="121"/>
              </w:numPr>
              <w:spacing w:before="40" w:after="40"/>
              <w:jc w:val="both"/>
              <w:rPr>
                <w:rFonts w:eastAsia="Calibri"/>
              </w:rPr>
            </w:pPr>
            <w:r w:rsidRPr="00EC2A1C">
              <w:rPr>
                <w:rFonts w:eastAsia="Calibri"/>
              </w:rPr>
              <w:t>pořízení a obnova chovatelského zařízení;</w:t>
            </w:r>
          </w:p>
          <w:p w14:paraId="4A62F810" w14:textId="77777777" w:rsidR="00DD3EFA" w:rsidRPr="00EC2A1C" w:rsidRDefault="00DD3EFA" w:rsidP="00391907">
            <w:pPr>
              <w:pStyle w:val="Odstavecseseznamem"/>
              <w:numPr>
                <w:ilvl w:val="0"/>
                <w:numId w:val="121"/>
              </w:numPr>
              <w:spacing w:before="40" w:after="40"/>
              <w:jc w:val="both"/>
              <w:rPr>
                <w:rFonts w:eastAsia="Calibri"/>
              </w:rPr>
            </w:pPr>
            <w:r w:rsidRPr="00EC2A1C">
              <w:rPr>
                <w:rFonts w:eastAsia="Calibri"/>
              </w:rPr>
              <w:t>kancelářská a prezentační technika;</w:t>
            </w:r>
          </w:p>
          <w:p w14:paraId="51D36AC2" w14:textId="77777777" w:rsidR="00DD3EFA" w:rsidRPr="00EC2A1C" w:rsidRDefault="00DD3EFA" w:rsidP="00391907">
            <w:pPr>
              <w:pStyle w:val="Odstavecseseznamem"/>
              <w:numPr>
                <w:ilvl w:val="0"/>
                <w:numId w:val="121"/>
              </w:numPr>
              <w:spacing w:before="40" w:after="40"/>
              <w:jc w:val="both"/>
              <w:rPr>
                <w:rFonts w:eastAsia="Calibri"/>
              </w:rPr>
            </w:pPr>
            <w:r w:rsidRPr="00EC2A1C">
              <w:rPr>
                <w:rFonts w:eastAsia="Calibri"/>
              </w:rPr>
              <w:t>opatření na podporu ekoprovozu: instalace nádrží na dešťovou vodu, včetně řešení rozvodů dešťové vody a využívání předčištěné odpadní vody; instalace fotovoltaických a fototermických systémů; instalace kořenových čističek odpadních vod; pořízení kompostérů apod.</w:t>
            </w:r>
          </w:p>
          <w:p w14:paraId="36B3725D" w14:textId="77777777" w:rsidR="00DD3EFA" w:rsidRPr="00EC2A1C" w:rsidRDefault="00DD3EFA" w:rsidP="00B15ECB">
            <w:pPr>
              <w:rPr>
                <w:rFonts w:eastAsia="Calibri"/>
              </w:rPr>
            </w:pPr>
          </w:p>
          <w:p w14:paraId="1D37241E" w14:textId="77777777" w:rsidR="00DD3EFA" w:rsidRPr="00EC2A1C" w:rsidRDefault="00DD3EFA" w:rsidP="00B15ECB">
            <w:pPr>
              <w:spacing w:before="40" w:after="40"/>
              <w:rPr>
                <w:rFonts w:eastAsia="Calibri"/>
                <w:b/>
              </w:rPr>
            </w:pPr>
            <w:r w:rsidRPr="00EC2A1C">
              <w:rPr>
                <w:rFonts w:eastAsia="Calibri"/>
                <w:b/>
              </w:rPr>
              <w:t>Potenciální příjemci podpory:</w:t>
            </w:r>
          </w:p>
          <w:p w14:paraId="67714D91" w14:textId="77777777" w:rsidR="00DD3EFA" w:rsidRPr="00EC2A1C" w:rsidRDefault="00DD3EFA" w:rsidP="00B15ECB">
            <w:pPr>
              <w:spacing w:before="40" w:after="40"/>
              <w:rPr>
                <w:rFonts w:eastAsia="Calibri"/>
              </w:rPr>
            </w:pPr>
            <w:r w:rsidRPr="00EC2A1C">
              <w:rPr>
                <w:rFonts w:eastAsia="Calibri"/>
              </w:rPr>
              <w:t>Jedná se o organizace zajišťující vzdělávání a výchovu s různým právním statutem. Spadají sem zejména klasická environmentální centra a poradny, v menší míře pak další školská a mimoškolská zařízení, tj. např. DDM, družiny, vzdělávací centra a další zařízení, která prokáží, že realizují EVVO. V rámci podpory se počítá s přibližně o 60 subjekty/projekty  v ČR.</w:t>
            </w:r>
          </w:p>
          <w:p w14:paraId="00B99623" w14:textId="77777777" w:rsidR="00DD3EFA" w:rsidRPr="00EC2A1C" w:rsidRDefault="00DD3EFA" w:rsidP="00B15ECB">
            <w:pPr>
              <w:spacing w:before="40" w:after="40"/>
              <w:rPr>
                <w:rFonts w:eastAsia="Calibri"/>
              </w:rPr>
            </w:pPr>
          </w:p>
          <w:p w14:paraId="6AC163C0" w14:textId="77777777" w:rsidR="00DD3EFA" w:rsidRPr="00EC2A1C" w:rsidRDefault="00DD3EFA" w:rsidP="00B15ECB">
            <w:pPr>
              <w:spacing w:before="60" w:after="60"/>
              <w:rPr>
                <w:rFonts w:eastAsiaTheme="majorEastAsia"/>
                <w:u w:val="single"/>
              </w:rPr>
            </w:pPr>
            <w:r w:rsidRPr="00EC2A1C">
              <w:rPr>
                <w:rFonts w:eastAsiaTheme="majorEastAsia"/>
              </w:rPr>
              <w:t>Pozn.: U podpořených projektů bude následně po realizaci investice důležité sledovat kvalitu a efektivitu poskytovaného vzdělávání, pro což MŽP již podpořilo vývoj řady nástrojů. Jedná se o nástroj na měření ekogramotnosti žáků, který se aktuálně připravuje v rámci programu BETA2 na TAČR. Dalším nástrojem je systém certifikace poskytovatelů environmentální výchovy  (http://www.certifikace-sev.cz/). Nakonec i pro provádění evaluací týdenních či celoročních programů EVVO se rozvinulo v ČR odborné zázemí při vysokých školách. Předpokládá se využití těchto nástrojů ve vazbě na podpořené projekty</w:t>
            </w:r>
            <w:r w:rsidRPr="00EC2A1C">
              <w:rPr>
                <w:rFonts w:eastAsiaTheme="majorEastAsia"/>
                <w:u w:val="single"/>
              </w:rPr>
              <w:t>.</w:t>
            </w:r>
          </w:p>
        </w:tc>
        <w:tc>
          <w:tcPr>
            <w:tcW w:w="249" w:type="dxa"/>
            <w:tcBorders>
              <w:top w:val="nil"/>
              <w:bottom w:val="nil"/>
            </w:tcBorders>
            <w:shd w:val="clear" w:color="auto" w:fill="66CCFF"/>
          </w:tcPr>
          <w:p w14:paraId="181CAEF2" w14:textId="77777777" w:rsidR="00DD3EFA" w:rsidRPr="00EC2A1C" w:rsidRDefault="00DD3EFA" w:rsidP="00B15ECB">
            <w:pPr>
              <w:rPr>
                <w:b/>
              </w:rPr>
            </w:pPr>
          </w:p>
        </w:tc>
      </w:tr>
      <w:tr w:rsidR="00DD3EFA" w:rsidRPr="00EC2A1C" w14:paraId="57E43BD2" w14:textId="77777777" w:rsidTr="00B15ECB">
        <w:trPr>
          <w:trHeight w:val="272"/>
        </w:trPr>
        <w:tc>
          <w:tcPr>
            <w:tcW w:w="249" w:type="dxa"/>
            <w:tcBorders>
              <w:top w:val="nil"/>
              <w:bottom w:val="nil"/>
              <w:right w:val="nil"/>
            </w:tcBorders>
            <w:shd w:val="clear" w:color="auto" w:fill="66CCFF"/>
          </w:tcPr>
          <w:p w14:paraId="2E397F1D"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6ECE3FB8"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796F5AEB"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3FFFEAEC" w14:textId="77777777" w:rsidR="00DD3EFA" w:rsidRPr="00EC2A1C" w:rsidRDefault="00DD3EFA" w:rsidP="00B15ECB">
            <w:pPr>
              <w:rPr>
                <w:b/>
              </w:rPr>
            </w:pPr>
          </w:p>
        </w:tc>
      </w:tr>
      <w:tr w:rsidR="00DD3EFA" w:rsidRPr="00EC2A1C" w14:paraId="3110AFB7" w14:textId="77777777" w:rsidTr="00B15ECB">
        <w:trPr>
          <w:trHeight w:val="835"/>
        </w:trPr>
        <w:tc>
          <w:tcPr>
            <w:tcW w:w="249" w:type="dxa"/>
            <w:tcBorders>
              <w:top w:val="nil"/>
              <w:bottom w:val="nil"/>
            </w:tcBorders>
            <w:shd w:val="clear" w:color="auto" w:fill="66CCFF"/>
          </w:tcPr>
          <w:p w14:paraId="69D7CA31"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1674B104"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15B7998F" w14:textId="77777777" w:rsidR="00DD3EFA" w:rsidRPr="00EC2A1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3F8AB1C8" w14:textId="77777777" w:rsidR="00DD3EFA" w:rsidRPr="00EC2A1C" w:rsidRDefault="00DD3EFA" w:rsidP="00B15ECB">
            <w:r w:rsidRPr="00EC2A1C">
              <w:t>Navrhované oblasti intervencí:</w:t>
            </w:r>
          </w:p>
          <w:p w14:paraId="46D30D4A" w14:textId="77777777" w:rsidR="00DD3EFA" w:rsidRPr="00EC2A1C" w:rsidRDefault="00DD3EFA" w:rsidP="00391907">
            <w:pPr>
              <w:numPr>
                <w:ilvl w:val="0"/>
                <w:numId w:val="96"/>
              </w:numPr>
              <w:autoSpaceDE w:val="0"/>
              <w:spacing w:after="60"/>
              <w:jc w:val="both"/>
            </w:pPr>
            <w:r w:rsidRPr="00EC2A1C">
              <w:t>Modernizace, rekonstrukce, dostavby, přestavby a přístavby nových i stávajících center environmentálního vzdělávání.</w:t>
            </w:r>
          </w:p>
          <w:p w14:paraId="29B19C3D" w14:textId="77777777" w:rsidR="00DD3EFA" w:rsidRPr="00EC2A1C" w:rsidRDefault="00DD3EFA" w:rsidP="00391907">
            <w:pPr>
              <w:numPr>
                <w:ilvl w:val="0"/>
                <w:numId w:val="96"/>
              </w:numPr>
              <w:autoSpaceDE w:val="0"/>
              <w:spacing w:before="60" w:after="60"/>
              <w:jc w:val="both"/>
              <w:rPr>
                <w:rFonts w:eastAsiaTheme="majorEastAsia"/>
                <w:u w:val="single"/>
              </w:rPr>
            </w:pPr>
            <w:r w:rsidRPr="00EC2A1C">
              <w:t xml:space="preserve">Vybavení nových i stávajících center environmentálního vzdělávání. </w:t>
            </w:r>
          </w:p>
          <w:p w14:paraId="1DC38729"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7124EFCE" w14:textId="77777777" w:rsidR="00DD3EFA" w:rsidRPr="00EC2A1C" w:rsidRDefault="00DD3EFA" w:rsidP="00B15ECB">
            <w:pPr>
              <w:rPr>
                <w:b/>
              </w:rPr>
            </w:pPr>
          </w:p>
        </w:tc>
      </w:tr>
      <w:tr w:rsidR="00DD3EFA" w:rsidRPr="00EC2A1C" w14:paraId="54FA0629" w14:textId="77777777" w:rsidTr="00B15ECB">
        <w:trPr>
          <w:trHeight w:val="377"/>
        </w:trPr>
        <w:tc>
          <w:tcPr>
            <w:tcW w:w="249" w:type="dxa"/>
            <w:tcBorders>
              <w:top w:val="nil"/>
              <w:bottom w:val="nil"/>
              <w:right w:val="nil"/>
            </w:tcBorders>
            <w:shd w:val="clear" w:color="auto" w:fill="66CCFF"/>
          </w:tcPr>
          <w:p w14:paraId="6831DF50"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5C50E61D"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2698CF83"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4F5D9A6C" w14:textId="77777777" w:rsidR="00DD3EFA" w:rsidRPr="00EC2A1C" w:rsidRDefault="00DD3EFA" w:rsidP="00B15ECB">
            <w:pPr>
              <w:rPr>
                <w:b/>
              </w:rPr>
            </w:pPr>
          </w:p>
        </w:tc>
      </w:tr>
      <w:tr w:rsidR="00DD3EFA" w:rsidRPr="00EC2A1C" w14:paraId="723407BF" w14:textId="77777777" w:rsidTr="00B15ECB">
        <w:trPr>
          <w:trHeight w:val="1202"/>
        </w:trPr>
        <w:tc>
          <w:tcPr>
            <w:tcW w:w="249" w:type="dxa"/>
            <w:tcBorders>
              <w:top w:val="nil"/>
              <w:bottom w:val="nil"/>
            </w:tcBorders>
            <w:shd w:val="clear" w:color="auto" w:fill="66CCFF"/>
          </w:tcPr>
          <w:p w14:paraId="16CB4670" w14:textId="77777777" w:rsidR="00DD3EFA" w:rsidRPr="00EC2A1C" w:rsidRDefault="00DD3EFA" w:rsidP="00B15ECB">
            <w:pPr>
              <w:rPr>
                <w:b/>
              </w:rPr>
            </w:pPr>
          </w:p>
        </w:tc>
        <w:tc>
          <w:tcPr>
            <w:tcW w:w="8526" w:type="dxa"/>
            <w:gridSpan w:val="2"/>
            <w:tcBorders>
              <w:top w:val="single" w:sz="4" w:space="0" w:color="auto"/>
              <w:bottom w:val="single" w:sz="4" w:space="0" w:color="auto"/>
            </w:tcBorders>
            <w:shd w:val="clear" w:color="auto" w:fill="FFFFFF" w:themeFill="background1"/>
          </w:tcPr>
          <w:p w14:paraId="0F59ED9D"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p w14:paraId="07FD58FC" w14:textId="77777777" w:rsidR="00DD3EFA" w:rsidRPr="00EC2A1C" w:rsidRDefault="00DD3EFA" w:rsidP="00B15ECB">
            <w:pPr>
              <w:spacing w:before="60" w:after="60"/>
              <w:rPr>
                <w:rFonts w:eastAsiaTheme="majorEastAsia"/>
                <w:i/>
                <w:u w:val="single"/>
              </w:rPr>
            </w:pPr>
          </w:p>
        </w:tc>
        <w:tc>
          <w:tcPr>
            <w:tcW w:w="249" w:type="dxa"/>
            <w:tcBorders>
              <w:top w:val="nil"/>
              <w:bottom w:val="nil"/>
            </w:tcBorders>
            <w:shd w:val="clear" w:color="auto" w:fill="66CCFF"/>
          </w:tcPr>
          <w:p w14:paraId="1D4B70D3" w14:textId="77777777" w:rsidR="00DD3EFA" w:rsidRPr="00EC2A1C" w:rsidRDefault="00DD3EFA" w:rsidP="00B15ECB">
            <w:pPr>
              <w:rPr>
                <w:b/>
              </w:rPr>
            </w:pPr>
          </w:p>
        </w:tc>
      </w:tr>
      <w:tr w:rsidR="00DD3EFA" w:rsidRPr="00EC2A1C" w14:paraId="52A0DF24" w14:textId="77777777" w:rsidTr="00B15ECB">
        <w:trPr>
          <w:trHeight w:val="1202"/>
        </w:trPr>
        <w:tc>
          <w:tcPr>
            <w:tcW w:w="249" w:type="dxa"/>
            <w:tcBorders>
              <w:top w:val="nil"/>
              <w:bottom w:val="nil"/>
            </w:tcBorders>
            <w:shd w:val="clear" w:color="auto" w:fill="66CCFF"/>
          </w:tcPr>
          <w:p w14:paraId="511A13F6"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07C9BA8"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776C6D52"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5AAD535" w14:textId="77777777" w:rsidR="00DD3EFA" w:rsidRPr="00EC2A1C" w:rsidRDefault="00DD3EFA" w:rsidP="00B15ECB">
            <w:r w:rsidRPr="00EC2A1C">
              <w:t>Problematika má celorepublikový charakter. Centra environmetálního vzdělávání se vyskytují ve všech krajích ČR, často se nacházejí v přírodně významných územích.</w:t>
            </w:r>
          </w:p>
          <w:p w14:paraId="55C213D1" w14:textId="77777777" w:rsidR="00DD3EFA" w:rsidRPr="00EC2A1C" w:rsidRDefault="00DD3EFA" w:rsidP="00B15ECB">
            <w:pPr>
              <w:spacing w:before="60" w:after="60"/>
              <w:rPr>
                <w:rFonts w:eastAsiaTheme="majorEastAsia"/>
              </w:rPr>
            </w:pPr>
          </w:p>
        </w:tc>
        <w:tc>
          <w:tcPr>
            <w:tcW w:w="249" w:type="dxa"/>
            <w:tcBorders>
              <w:top w:val="nil"/>
              <w:bottom w:val="nil"/>
            </w:tcBorders>
            <w:shd w:val="clear" w:color="auto" w:fill="66CCFF"/>
          </w:tcPr>
          <w:p w14:paraId="117F104C" w14:textId="77777777" w:rsidR="00DD3EFA" w:rsidRPr="00EC2A1C" w:rsidRDefault="00DD3EFA" w:rsidP="00B15ECB">
            <w:pPr>
              <w:rPr>
                <w:b/>
              </w:rPr>
            </w:pPr>
          </w:p>
        </w:tc>
      </w:tr>
      <w:tr w:rsidR="00DD3EFA" w:rsidRPr="00EC2A1C" w14:paraId="4D7CCDEF" w14:textId="77777777" w:rsidTr="00B15ECB">
        <w:trPr>
          <w:trHeight w:val="1202"/>
        </w:trPr>
        <w:tc>
          <w:tcPr>
            <w:tcW w:w="249" w:type="dxa"/>
            <w:tcBorders>
              <w:top w:val="nil"/>
              <w:bottom w:val="nil"/>
            </w:tcBorders>
            <w:shd w:val="clear" w:color="auto" w:fill="66CCFF"/>
          </w:tcPr>
          <w:p w14:paraId="009D566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F0762BD"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4963B98A"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1D1B00D" w14:textId="77777777" w:rsidR="00DD3EFA" w:rsidRPr="00EC2A1C" w:rsidRDefault="00DD3EFA" w:rsidP="00B15ECB">
            <w:pPr>
              <w:spacing w:after="160" w:line="276" w:lineRule="auto"/>
            </w:pPr>
            <w:r w:rsidRPr="00EC2A1C">
              <w:t xml:space="preserve">Státní program EVVO a EP na léta 2016-2025 ve vazbě na aktuální dokumenty z oblasti změny klimatu zařadil jako jedno z prioritních obsahových témat pro EVVO téma „Klima v souvislostech“. Jeho cílem je, aby existovala nabídka programů EVVO umožňující, aby všechny významné cílové skupiny porozuměly příčinám změny klimatu a jejím negativním dopadům v ČR, Evropě a ve světě, měly povědomí a znalosti o mezinárodních jednáních o ochraně klimatu a kompetence pro osvojení a uskutečňování mitigačních (snižování emisí skleníkových plynů, zejména pak odklonem od využívání fosilních paliv) a adaptačních opatření (přizpůsobování se dopadům změny klimatu, zejména pak reakce na extrémní projevy počasí). </w:t>
            </w:r>
          </w:p>
          <w:p w14:paraId="345B947A" w14:textId="77777777" w:rsidR="00DD3EFA" w:rsidRPr="00EC2A1C" w:rsidRDefault="00DD3EFA" w:rsidP="00B15ECB">
            <w:pPr>
              <w:spacing w:after="160" w:line="276" w:lineRule="auto"/>
            </w:pPr>
            <w:r w:rsidRPr="00EC2A1C">
              <w:t xml:space="preserve">V případě navrhovaných opatření zde existuje přímá vazba, protože dojde k úsporám elektrické energie, energie k vytápění objektů, dojde ale i k úsporám vody a k uplatnění některých adaptačních opatření v rámci managementu vody v rámci objektu škol a vzdělávacích center. </w:t>
            </w:r>
          </w:p>
          <w:p w14:paraId="385BD72D"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365A9E6F" w14:textId="77777777" w:rsidR="00DD3EFA" w:rsidRPr="00EC2A1C" w:rsidRDefault="00DD3EFA" w:rsidP="00B15ECB">
            <w:pPr>
              <w:rPr>
                <w:b/>
              </w:rPr>
            </w:pPr>
          </w:p>
        </w:tc>
      </w:tr>
      <w:tr w:rsidR="00DD3EFA" w:rsidRPr="00EC2A1C" w14:paraId="5CB694A4" w14:textId="77777777" w:rsidTr="00B15ECB">
        <w:trPr>
          <w:trHeight w:val="1202"/>
        </w:trPr>
        <w:tc>
          <w:tcPr>
            <w:tcW w:w="249" w:type="dxa"/>
            <w:tcBorders>
              <w:top w:val="nil"/>
              <w:bottom w:val="nil"/>
            </w:tcBorders>
            <w:shd w:val="clear" w:color="auto" w:fill="66CCFF"/>
          </w:tcPr>
          <w:p w14:paraId="47F519D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0ED7360"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p w14:paraId="506FDFAC"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EE4B35B" w14:textId="77777777" w:rsidR="00DD3EFA" w:rsidRPr="00EC2A1C" w:rsidRDefault="00DD3EFA" w:rsidP="00B15ECB">
            <w:pPr>
              <w:spacing w:before="60" w:after="60"/>
              <w:rPr>
                <w:rFonts w:eastAsiaTheme="majorEastAsia"/>
                <w:i/>
              </w:rPr>
            </w:pPr>
            <w:r w:rsidRPr="00EC2A1C">
              <w:t>V rámci opatření bude kladen důraz na využívání chytrých technologií, např. chytrý systém monitorování spotřeby vody a elektřiny, zadržování a využití dešťové vody v chytrých budovách, chytré způsoby vytápění a větrání apod.</w:t>
            </w:r>
          </w:p>
        </w:tc>
        <w:tc>
          <w:tcPr>
            <w:tcW w:w="249" w:type="dxa"/>
            <w:tcBorders>
              <w:top w:val="nil"/>
              <w:bottom w:val="nil"/>
            </w:tcBorders>
            <w:shd w:val="clear" w:color="auto" w:fill="66CCFF"/>
          </w:tcPr>
          <w:p w14:paraId="56C19D26" w14:textId="77777777" w:rsidR="00DD3EFA" w:rsidRPr="00EC2A1C" w:rsidRDefault="00DD3EFA" w:rsidP="00B15ECB">
            <w:pPr>
              <w:rPr>
                <w:b/>
              </w:rPr>
            </w:pPr>
          </w:p>
        </w:tc>
      </w:tr>
      <w:tr w:rsidR="00DD3EFA" w:rsidRPr="00EC2A1C" w14:paraId="48269C5C" w14:textId="77777777" w:rsidTr="00B15ECB">
        <w:trPr>
          <w:trHeight w:val="1202"/>
        </w:trPr>
        <w:tc>
          <w:tcPr>
            <w:tcW w:w="249" w:type="dxa"/>
            <w:tcBorders>
              <w:top w:val="nil"/>
              <w:bottom w:val="nil"/>
            </w:tcBorders>
            <w:shd w:val="clear" w:color="auto" w:fill="66CCFF"/>
          </w:tcPr>
          <w:p w14:paraId="63714F9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D08136E"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09DE0AD4"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6520C68" w14:textId="77777777" w:rsidR="00DD3EFA" w:rsidRPr="00EC2A1C" w:rsidRDefault="00DD3EFA" w:rsidP="00B15ECB">
            <w:pPr>
              <w:spacing w:before="60" w:after="60"/>
              <w:rPr>
                <w:rFonts w:eastAsiaTheme="majorEastAsia"/>
              </w:rPr>
            </w:pPr>
            <w:r w:rsidRPr="00EC2A1C">
              <w:rPr>
                <w:rFonts w:eastAsiaTheme="majorEastAsia"/>
              </w:rPr>
              <w:t>Podoblast přispívá k řešení  GMT17 - Rostoucí spotřeba zdrojů, GMT18 - Rostoucí spotřeba energie, GMT16 - Rostoucí přístup k informacím. Podoblast souvisí s GMT2-Degradace ekosystémů, GMT26- Změna klimatu a její dopady, GMT24-Zdravý životní styl</w:t>
            </w:r>
          </w:p>
        </w:tc>
        <w:tc>
          <w:tcPr>
            <w:tcW w:w="249" w:type="dxa"/>
            <w:tcBorders>
              <w:top w:val="nil"/>
              <w:bottom w:val="nil"/>
            </w:tcBorders>
            <w:shd w:val="clear" w:color="auto" w:fill="66CCFF"/>
          </w:tcPr>
          <w:p w14:paraId="34B2BDC2" w14:textId="77777777" w:rsidR="00DD3EFA" w:rsidRPr="00EC2A1C" w:rsidRDefault="00DD3EFA" w:rsidP="00B15ECB">
            <w:pPr>
              <w:rPr>
                <w:b/>
              </w:rPr>
            </w:pPr>
          </w:p>
        </w:tc>
      </w:tr>
      <w:tr w:rsidR="00DD3EFA" w:rsidRPr="00EC2A1C" w14:paraId="534EF51E" w14:textId="77777777" w:rsidTr="00B15ECB">
        <w:trPr>
          <w:trHeight w:val="1202"/>
        </w:trPr>
        <w:tc>
          <w:tcPr>
            <w:tcW w:w="249" w:type="dxa"/>
            <w:tcBorders>
              <w:top w:val="nil"/>
              <w:bottom w:val="nil"/>
            </w:tcBorders>
            <w:shd w:val="clear" w:color="auto" w:fill="66CCFF"/>
          </w:tcPr>
          <w:p w14:paraId="0C4949F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2A67831"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775DE13D" w14:textId="77777777" w:rsidR="00DD3EFA" w:rsidRPr="00EC2A1C" w:rsidRDefault="00DD3EFA" w:rsidP="00B15ECB">
            <w:pPr>
              <w:spacing w:before="60" w:after="60"/>
              <w:rPr>
                <w:rFonts w:eastAsiaTheme="majorEastAsia"/>
              </w:rPr>
            </w:pPr>
            <w:r w:rsidRPr="00EC2A1C">
              <w:rPr>
                <w:rFonts w:eastAsiaTheme="majorEastAsia"/>
              </w:rPr>
              <w:t>CP2 – obecně podpora prevence v oblasti životního prostředí</w:t>
            </w:r>
          </w:p>
          <w:p w14:paraId="6796E1A9" w14:textId="77777777" w:rsidR="00DD3EFA" w:rsidRPr="00EC2A1C" w:rsidRDefault="00DD3EFA" w:rsidP="00B15ECB">
            <w:pPr>
              <w:spacing w:before="60" w:after="60"/>
              <w:rPr>
                <w:rFonts w:eastAsiaTheme="majorEastAsia"/>
              </w:rPr>
            </w:pPr>
            <w:r w:rsidRPr="00EC2A1C">
              <w:rPr>
                <w:rFonts w:eastAsiaTheme="majorEastAsia"/>
              </w:rPr>
              <w:t>Podoblast dále přispívá k plnění CP3 prostřednictvím zlepšení přístupu k inkluzivním a kvalitním službám v oblasti vzdělávání, odborné přípravy a celoživotního učení pomocí rozvoje infrastruktury</w:t>
            </w:r>
          </w:p>
          <w:p w14:paraId="225BFE04" w14:textId="77777777" w:rsidR="00DD3EFA" w:rsidRPr="00EC2A1C" w:rsidRDefault="00DD3EFA" w:rsidP="00B15ECB">
            <w:pPr>
              <w:spacing w:before="60" w:after="60"/>
              <w:rPr>
                <w:rFonts w:eastAsiaTheme="majorEastAsia"/>
              </w:rPr>
            </w:pPr>
          </w:p>
        </w:tc>
        <w:tc>
          <w:tcPr>
            <w:tcW w:w="249" w:type="dxa"/>
            <w:tcBorders>
              <w:top w:val="nil"/>
              <w:bottom w:val="nil"/>
            </w:tcBorders>
            <w:shd w:val="clear" w:color="auto" w:fill="66CCFF"/>
          </w:tcPr>
          <w:p w14:paraId="3E2CAF54" w14:textId="77777777" w:rsidR="00DD3EFA" w:rsidRPr="00EC2A1C" w:rsidRDefault="00DD3EFA" w:rsidP="00B15ECB">
            <w:pPr>
              <w:rPr>
                <w:b/>
              </w:rPr>
            </w:pPr>
          </w:p>
        </w:tc>
      </w:tr>
      <w:tr w:rsidR="00DD3EFA" w:rsidRPr="00EC2A1C" w14:paraId="2AED3C07" w14:textId="77777777" w:rsidTr="00B15ECB">
        <w:trPr>
          <w:trHeight w:val="1202"/>
        </w:trPr>
        <w:tc>
          <w:tcPr>
            <w:tcW w:w="249" w:type="dxa"/>
            <w:tcBorders>
              <w:top w:val="nil"/>
              <w:bottom w:val="nil"/>
            </w:tcBorders>
            <w:shd w:val="clear" w:color="auto" w:fill="66CCFF"/>
          </w:tcPr>
          <w:p w14:paraId="171E644E"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3FAC71A"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bottom w:val="single" w:sz="4" w:space="0" w:color="auto"/>
            </w:tcBorders>
            <w:shd w:val="clear" w:color="auto" w:fill="FFFFFF" w:themeFill="background1"/>
          </w:tcPr>
          <w:p w14:paraId="46B4DDDA" w14:textId="77777777" w:rsidR="00DD3EFA" w:rsidRPr="00EC2A1C" w:rsidRDefault="00DD3EFA" w:rsidP="00B15ECB">
            <w:pPr>
              <w:spacing w:before="60" w:after="60"/>
              <w:rPr>
                <w:rFonts w:eastAsiaTheme="majorEastAsia"/>
              </w:rPr>
            </w:pPr>
            <w:r w:rsidRPr="00EC2A1C">
              <w:rPr>
                <w:rFonts w:eastAsiaTheme="majorEastAsia"/>
              </w:rPr>
              <w:t>Aktuální znění SDR pro rok 2018 neobsahuje žádná doporučení relevantní pro tuto oblast.</w:t>
            </w:r>
          </w:p>
        </w:tc>
        <w:tc>
          <w:tcPr>
            <w:tcW w:w="249" w:type="dxa"/>
            <w:tcBorders>
              <w:top w:val="nil"/>
              <w:bottom w:val="nil"/>
            </w:tcBorders>
            <w:shd w:val="clear" w:color="auto" w:fill="66CCFF"/>
          </w:tcPr>
          <w:p w14:paraId="23AFD0E2" w14:textId="77777777" w:rsidR="00DD3EFA" w:rsidRPr="00EC2A1C" w:rsidRDefault="00DD3EFA" w:rsidP="00B15ECB">
            <w:pPr>
              <w:rPr>
                <w:b/>
              </w:rPr>
            </w:pPr>
          </w:p>
        </w:tc>
      </w:tr>
      <w:tr w:rsidR="00DD3EFA" w:rsidRPr="00EC2A1C" w14:paraId="7B26FCFE" w14:textId="77777777" w:rsidTr="00B15ECB">
        <w:trPr>
          <w:trHeight w:val="180"/>
        </w:trPr>
        <w:tc>
          <w:tcPr>
            <w:tcW w:w="249" w:type="dxa"/>
            <w:tcBorders>
              <w:top w:val="nil"/>
              <w:bottom w:val="nil"/>
              <w:right w:val="nil"/>
            </w:tcBorders>
            <w:shd w:val="clear" w:color="auto" w:fill="66CCFF"/>
          </w:tcPr>
          <w:p w14:paraId="6A24AEC8" w14:textId="77777777" w:rsidR="00DD3EFA" w:rsidRPr="00EC2A1C" w:rsidRDefault="00DD3EFA" w:rsidP="00B15ECB">
            <w:pPr>
              <w:rPr>
                <w:b/>
              </w:rPr>
            </w:pPr>
          </w:p>
        </w:tc>
        <w:tc>
          <w:tcPr>
            <w:tcW w:w="2548" w:type="dxa"/>
            <w:tcBorders>
              <w:left w:val="nil"/>
              <w:right w:val="nil"/>
            </w:tcBorders>
            <w:shd w:val="clear" w:color="auto" w:fill="66CCFF"/>
          </w:tcPr>
          <w:p w14:paraId="1C52317C" w14:textId="77777777" w:rsidR="00DD3EFA" w:rsidRPr="00EC2A1C" w:rsidRDefault="00DD3EFA" w:rsidP="00B15ECB">
            <w:pPr>
              <w:rPr>
                <w:b/>
              </w:rPr>
            </w:pPr>
          </w:p>
        </w:tc>
        <w:tc>
          <w:tcPr>
            <w:tcW w:w="5978" w:type="dxa"/>
            <w:tcBorders>
              <w:left w:val="nil"/>
              <w:right w:val="nil"/>
            </w:tcBorders>
            <w:shd w:val="clear" w:color="auto" w:fill="66CCFF"/>
          </w:tcPr>
          <w:p w14:paraId="18411B12" w14:textId="77777777" w:rsidR="00DD3EFA" w:rsidRPr="00EC2A1C" w:rsidRDefault="00DD3EFA" w:rsidP="00B15ECB">
            <w:pPr>
              <w:rPr>
                <w:b/>
              </w:rPr>
            </w:pPr>
          </w:p>
        </w:tc>
        <w:tc>
          <w:tcPr>
            <w:tcW w:w="249" w:type="dxa"/>
            <w:tcBorders>
              <w:top w:val="nil"/>
              <w:left w:val="nil"/>
              <w:bottom w:val="nil"/>
            </w:tcBorders>
            <w:shd w:val="clear" w:color="auto" w:fill="66CCFF"/>
          </w:tcPr>
          <w:p w14:paraId="14B83DC9" w14:textId="77777777" w:rsidR="00DD3EFA" w:rsidRPr="00EC2A1C" w:rsidRDefault="00DD3EFA" w:rsidP="00B15ECB">
            <w:pPr>
              <w:rPr>
                <w:b/>
              </w:rPr>
            </w:pPr>
          </w:p>
        </w:tc>
      </w:tr>
      <w:tr w:rsidR="00DD3EFA" w:rsidRPr="00EC2A1C" w14:paraId="3C0C2FCB" w14:textId="77777777" w:rsidTr="00B15ECB">
        <w:trPr>
          <w:trHeight w:val="938"/>
        </w:trPr>
        <w:tc>
          <w:tcPr>
            <w:tcW w:w="249" w:type="dxa"/>
            <w:tcBorders>
              <w:top w:val="nil"/>
              <w:bottom w:val="nil"/>
            </w:tcBorders>
            <w:shd w:val="clear" w:color="auto" w:fill="66CCFF"/>
          </w:tcPr>
          <w:p w14:paraId="21C4863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B5E0C8E"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321460E1" w14:textId="77777777" w:rsidR="00DD3EFA" w:rsidRPr="00EC2A1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52D5618B"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b/>
                <w:u w:val="single"/>
              </w:rPr>
            </w:pPr>
            <w:r w:rsidRPr="00EC2A1C">
              <w:rPr>
                <w:rFonts w:ascii="Times New Roman" w:hAnsi="Times New Roman"/>
                <w:b/>
                <w:u w:val="single"/>
              </w:rPr>
              <w:t xml:space="preserve">Primární dokument: </w:t>
            </w:r>
          </w:p>
          <w:p w14:paraId="5F0BE81D" w14:textId="77777777" w:rsidR="00DD3EFA" w:rsidRPr="00EC2A1C" w:rsidRDefault="00DD3EFA" w:rsidP="00B15ECB">
            <w:pPr>
              <w:spacing w:before="60" w:after="60" w:line="259" w:lineRule="auto"/>
              <w:rPr>
                <w:b/>
              </w:rPr>
            </w:pPr>
            <w:r w:rsidRPr="00EC2A1C">
              <w:rPr>
                <w:b/>
              </w:rPr>
              <w:t>Státní program environmentálního vzdělávání, výchovy a osvěty a environmentálního poradenství na léta 2016 - 2025</w:t>
            </w:r>
          </w:p>
          <w:p w14:paraId="66D47979" w14:textId="77777777" w:rsidR="00DD3EFA" w:rsidRPr="00EC2A1C" w:rsidRDefault="00DD3EFA" w:rsidP="00B15ECB">
            <w:pPr>
              <w:spacing w:before="60" w:after="60" w:line="259" w:lineRule="auto"/>
            </w:pPr>
            <w:r w:rsidRPr="00EC2A1C">
              <w:t>Státní program je detailněji specifikován v tříletých akčních plánech. Akční plán na léta 2019-2021 byl vytvořen v druhé polovině 2018 a v lednu 2019 předložen na jednání vlády pro informaci.</w:t>
            </w:r>
          </w:p>
          <w:p w14:paraId="0045081A" w14:textId="77777777" w:rsidR="00DD3EFA" w:rsidRPr="00EC2A1C" w:rsidRDefault="00DD3EFA" w:rsidP="00B15ECB">
            <w:pPr>
              <w:spacing w:before="60" w:after="60" w:line="259" w:lineRule="auto"/>
            </w:pPr>
          </w:p>
          <w:p w14:paraId="73548B8F" w14:textId="77777777" w:rsidR="00DD3EFA" w:rsidRPr="00EC2A1C" w:rsidRDefault="00DD3EFA" w:rsidP="00B15ECB">
            <w:pPr>
              <w:spacing w:before="60" w:after="60" w:line="259" w:lineRule="auto"/>
            </w:pPr>
            <w:r w:rsidRPr="00EC2A1C">
              <w:rPr>
                <w:b/>
              </w:rPr>
              <w:t>Další strategické dokumenty</w:t>
            </w:r>
            <w:r w:rsidRPr="00EC2A1C">
              <w:t>:</w:t>
            </w:r>
          </w:p>
          <w:p w14:paraId="0D7ADD0C" w14:textId="77777777" w:rsidR="00DD3EFA" w:rsidRPr="00EC2A1C" w:rsidRDefault="00DD3EFA" w:rsidP="00B15ECB">
            <w:pPr>
              <w:spacing w:before="60" w:after="60" w:line="259" w:lineRule="auto"/>
            </w:pPr>
            <w:r w:rsidRPr="00EC2A1C">
              <w:t xml:space="preserve">Aarhuská úmluva </w:t>
            </w:r>
          </w:p>
          <w:p w14:paraId="3D7ECD08" w14:textId="77777777" w:rsidR="00DD3EFA" w:rsidRPr="00EC2A1C" w:rsidRDefault="00DD3EFA" w:rsidP="00B15ECB">
            <w:pPr>
              <w:spacing w:before="60" w:after="60" w:line="259" w:lineRule="auto"/>
            </w:pPr>
            <w:r w:rsidRPr="00EC2A1C">
              <w:t>Evropská úmluva o krajině</w:t>
            </w:r>
          </w:p>
          <w:p w14:paraId="448C842C" w14:textId="77777777" w:rsidR="00DD3EFA" w:rsidRPr="00EC2A1C" w:rsidRDefault="00DD3EFA" w:rsidP="00B15ECB">
            <w:pPr>
              <w:spacing w:before="60" w:after="60" w:line="259" w:lineRule="auto"/>
            </w:pPr>
            <w:r w:rsidRPr="00EC2A1C">
              <w:t xml:space="preserve">Globální cíle udržitelného rozvoje (SDGs), </w:t>
            </w:r>
          </w:p>
          <w:p w14:paraId="5DB764C6" w14:textId="77777777" w:rsidR="00DD3EFA" w:rsidRPr="00EC2A1C" w:rsidRDefault="00DD3EFA" w:rsidP="00B15ECB">
            <w:pPr>
              <w:spacing w:before="60" w:after="60" w:line="259" w:lineRule="auto"/>
            </w:pPr>
            <w:r w:rsidRPr="00EC2A1C">
              <w:t xml:space="preserve">Pařížská dohoda o změně klimatu </w:t>
            </w:r>
          </w:p>
          <w:p w14:paraId="5FA1E322" w14:textId="77777777" w:rsidR="00DD3EFA" w:rsidRPr="00EC2A1C" w:rsidRDefault="00DD3EFA" w:rsidP="00B15ECB">
            <w:pPr>
              <w:tabs>
                <w:tab w:val="left" w:pos="284"/>
              </w:tabs>
              <w:suppressAutoHyphens/>
              <w:spacing w:after="200"/>
              <w:rPr>
                <w:b/>
              </w:rPr>
            </w:pPr>
            <w:r w:rsidRPr="00EC2A1C">
              <w:t>Česká republika 2030</w:t>
            </w:r>
            <w:r w:rsidRPr="00EC2A1C">
              <w:rPr>
                <w:b/>
              </w:rPr>
              <w:t xml:space="preserve"> </w:t>
            </w:r>
          </w:p>
          <w:p w14:paraId="60937C12" w14:textId="77777777" w:rsidR="00DD3EFA" w:rsidRPr="00EC2A1C" w:rsidRDefault="00DD3EFA" w:rsidP="00B15ECB">
            <w:pPr>
              <w:spacing w:before="60" w:after="60" w:line="259" w:lineRule="auto"/>
            </w:pPr>
            <w:r w:rsidRPr="00EC2A1C">
              <w:t xml:space="preserve">Zákon č. 123/1998 Sb., o právu na informace o životním prostředí, § 13 </w:t>
            </w:r>
          </w:p>
          <w:p w14:paraId="150BADE3" w14:textId="77777777" w:rsidR="00DD3EFA" w:rsidRPr="00EC2A1C" w:rsidRDefault="00DD3EFA" w:rsidP="00B15ECB">
            <w:pPr>
              <w:spacing w:before="60" w:after="60" w:line="259" w:lineRule="auto"/>
            </w:pPr>
            <w:r w:rsidRPr="00EC2A1C">
              <w:t xml:space="preserve">Zákon č. 114/1992 Sb., o ochraně přírody a krajiny </w:t>
            </w:r>
          </w:p>
          <w:p w14:paraId="7C1A8DCA" w14:textId="77777777" w:rsidR="00DD3EFA" w:rsidRPr="00EC2A1C" w:rsidRDefault="00DD3EFA" w:rsidP="00B15ECB">
            <w:pPr>
              <w:spacing w:before="60" w:after="60" w:line="259" w:lineRule="auto"/>
            </w:pPr>
            <w:r w:rsidRPr="00EC2A1C">
              <w:t xml:space="preserve">Zákon č. 561/2004 Sb., o předškolním, základním, středním, vyšším odborném a jiném vzdělávání (školský zákon) </w:t>
            </w:r>
          </w:p>
          <w:p w14:paraId="21BE84A8"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b/>
                <w:i/>
                <w:u w:val="single"/>
              </w:rPr>
            </w:pPr>
          </w:p>
        </w:tc>
        <w:tc>
          <w:tcPr>
            <w:tcW w:w="249" w:type="dxa"/>
            <w:tcBorders>
              <w:top w:val="nil"/>
              <w:bottom w:val="nil"/>
            </w:tcBorders>
            <w:shd w:val="clear" w:color="auto" w:fill="66CCFF"/>
          </w:tcPr>
          <w:p w14:paraId="24F3E7B1" w14:textId="77777777" w:rsidR="00DD3EFA" w:rsidRPr="00EC2A1C" w:rsidRDefault="00DD3EFA" w:rsidP="00B15ECB">
            <w:pPr>
              <w:rPr>
                <w:b/>
              </w:rPr>
            </w:pPr>
          </w:p>
        </w:tc>
      </w:tr>
      <w:tr w:rsidR="00DD3EFA" w:rsidRPr="00EC2A1C" w14:paraId="4331A676" w14:textId="77777777" w:rsidTr="00B15ECB">
        <w:trPr>
          <w:trHeight w:val="938"/>
        </w:trPr>
        <w:tc>
          <w:tcPr>
            <w:tcW w:w="249" w:type="dxa"/>
            <w:tcBorders>
              <w:top w:val="nil"/>
              <w:bottom w:val="nil"/>
            </w:tcBorders>
            <w:shd w:val="clear" w:color="auto" w:fill="66CCFF"/>
          </w:tcPr>
          <w:p w14:paraId="3A9244F4"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86C260D" w14:textId="77777777" w:rsidR="00DD3EFA" w:rsidRPr="00EC2A1C" w:rsidRDefault="00DD3EFA" w:rsidP="00391907">
            <w:pPr>
              <w:pStyle w:val="Odstavecseseznamem"/>
              <w:numPr>
                <w:ilvl w:val="0"/>
                <w:numId w:val="3"/>
              </w:numPr>
              <w:spacing w:before="60" w:after="60"/>
              <w:jc w:val="both"/>
              <w:rPr>
                <w:rFonts w:eastAsiaTheme="majorEastAsia"/>
                <w:b/>
              </w:rPr>
            </w:pPr>
            <w:r w:rsidRPr="00EC2A1C">
              <w:rPr>
                <w:rFonts w:eastAsiaTheme="majorEastAsia"/>
                <w:b/>
              </w:rPr>
              <w:t>analýza problémů a potřeb</w:t>
            </w:r>
          </w:p>
          <w:p w14:paraId="07FC794C"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BC6116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Ve SP EVVO je uveden stručný popis problematiky. Analytický podklad není součást strategie. Akční plány jsou zpracované na základě vyhodnocení předchozího dokumentu </w:t>
            </w:r>
          </w:p>
        </w:tc>
        <w:tc>
          <w:tcPr>
            <w:tcW w:w="249" w:type="dxa"/>
            <w:tcBorders>
              <w:top w:val="nil"/>
              <w:bottom w:val="nil"/>
            </w:tcBorders>
            <w:shd w:val="clear" w:color="auto" w:fill="66CCFF"/>
          </w:tcPr>
          <w:p w14:paraId="7896907B" w14:textId="77777777" w:rsidR="00DD3EFA" w:rsidRPr="00EC2A1C" w:rsidRDefault="00DD3EFA" w:rsidP="00B15ECB">
            <w:pPr>
              <w:rPr>
                <w:b/>
              </w:rPr>
            </w:pPr>
          </w:p>
        </w:tc>
      </w:tr>
      <w:tr w:rsidR="00DD3EFA" w:rsidRPr="00EC2A1C" w14:paraId="42AFACF8" w14:textId="77777777" w:rsidTr="00B15ECB">
        <w:trPr>
          <w:trHeight w:val="938"/>
        </w:trPr>
        <w:tc>
          <w:tcPr>
            <w:tcW w:w="249" w:type="dxa"/>
            <w:tcBorders>
              <w:top w:val="nil"/>
              <w:bottom w:val="nil"/>
            </w:tcBorders>
            <w:shd w:val="clear" w:color="auto" w:fill="66CCFF"/>
          </w:tcPr>
          <w:p w14:paraId="62CBC65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E860B9F" w14:textId="77777777" w:rsidR="00DD3EFA" w:rsidRPr="00EC2A1C" w:rsidRDefault="00DD3EFA" w:rsidP="00391907">
            <w:pPr>
              <w:pStyle w:val="Odstavecseseznamem"/>
              <w:numPr>
                <w:ilvl w:val="0"/>
                <w:numId w:val="3"/>
              </w:numPr>
              <w:spacing w:before="60" w:after="60"/>
              <w:jc w:val="both"/>
              <w:rPr>
                <w:rFonts w:eastAsiaTheme="majorEastAsia"/>
                <w:b/>
              </w:rPr>
            </w:pPr>
            <w:r w:rsidRPr="00EC2A1C">
              <w:rPr>
                <w:rFonts w:eastAsiaTheme="majorEastAsia"/>
                <w:b/>
              </w:rPr>
              <w:t>jasně definované cíle a opatření</w:t>
            </w:r>
          </w:p>
          <w:p w14:paraId="377895D3"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281888EF"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SP EVVO je uspořádán do 5 strategických oblastí, z nichž se 4 zaměřují na klíčové parametry systému a pátá na vlastní obsah EVVO a EP (cíle a témata) a v nichž jsou formulovány cíle</w:t>
            </w:r>
          </w:p>
        </w:tc>
        <w:tc>
          <w:tcPr>
            <w:tcW w:w="249" w:type="dxa"/>
            <w:tcBorders>
              <w:top w:val="nil"/>
              <w:bottom w:val="nil"/>
            </w:tcBorders>
            <w:shd w:val="clear" w:color="auto" w:fill="66CCFF"/>
          </w:tcPr>
          <w:p w14:paraId="504A0507" w14:textId="77777777" w:rsidR="00DD3EFA" w:rsidRPr="00EC2A1C" w:rsidRDefault="00DD3EFA" w:rsidP="00B15ECB">
            <w:pPr>
              <w:rPr>
                <w:b/>
              </w:rPr>
            </w:pPr>
          </w:p>
        </w:tc>
      </w:tr>
      <w:tr w:rsidR="00DD3EFA" w:rsidRPr="00EC2A1C" w14:paraId="7DA13B6B" w14:textId="77777777" w:rsidTr="00B15ECB">
        <w:trPr>
          <w:trHeight w:val="938"/>
        </w:trPr>
        <w:tc>
          <w:tcPr>
            <w:tcW w:w="249" w:type="dxa"/>
            <w:tcBorders>
              <w:top w:val="nil"/>
              <w:bottom w:val="nil"/>
            </w:tcBorders>
            <w:shd w:val="clear" w:color="auto" w:fill="66CCFF"/>
          </w:tcPr>
          <w:p w14:paraId="688B6E3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8116404" w14:textId="77777777" w:rsidR="00DD3EFA" w:rsidRPr="00EC2A1C" w:rsidRDefault="00DD3EFA" w:rsidP="00391907">
            <w:pPr>
              <w:pStyle w:val="Odstavecseseznamem"/>
              <w:numPr>
                <w:ilvl w:val="0"/>
                <w:numId w:val="3"/>
              </w:numPr>
              <w:spacing w:before="60" w:after="60"/>
              <w:jc w:val="both"/>
              <w:rPr>
                <w:rFonts w:eastAsiaTheme="majorEastAsia"/>
                <w:b/>
              </w:rPr>
            </w:pPr>
            <w:r w:rsidRPr="00EC2A1C">
              <w:rPr>
                <w:rFonts w:eastAsiaTheme="majorEastAsia"/>
                <w:b/>
              </w:rPr>
              <w:t>implementační mechanismus</w:t>
            </w:r>
          </w:p>
          <w:p w14:paraId="5E36D454"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87C836A"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SP EVVO stanoví gestory pro jednotlivá opatření, harmonogram i indikátor plnění. Vedle orgánů státní správy se na realizaci opatření podílejí mj. kraje, obce a města, školy, včetně škol vysokých, střediska ekologické výchovy a ekologické poradny i neziskové organizace, vzdělávací a výzkumné instituce, muzea, zoo, botanické zahrady, knihovny.</w:t>
            </w:r>
          </w:p>
        </w:tc>
        <w:tc>
          <w:tcPr>
            <w:tcW w:w="249" w:type="dxa"/>
            <w:tcBorders>
              <w:top w:val="nil"/>
              <w:bottom w:val="nil"/>
            </w:tcBorders>
            <w:shd w:val="clear" w:color="auto" w:fill="66CCFF"/>
          </w:tcPr>
          <w:p w14:paraId="5BCA5EBC" w14:textId="77777777" w:rsidR="00DD3EFA" w:rsidRPr="00EC2A1C" w:rsidRDefault="00DD3EFA" w:rsidP="00B15ECB">
            <w:pPr>
              <w:rPr>
                <w:b/>
              </w:rPr>
            </w:pPr>
          </w:p>
        </w:tc>
      </w:tr>
      <w:tr w:rsidR="00DD3EFA" w:rsidRPr="00EC2A1C" w14:paraId="22E13678" w14:textId="77777777" w:rsidTr="00B15ECB">
        <w:trPr>
          <w:trHeight w:val="938"/>
        </w:trPr>
        <w:tc>
          <w:tcPr>
            <w:tcW w:w="249" w:type="dxa"/>
            <w:tcBorders>
              <w:top w:val="nil"/>
              <w:bottom w:val="nil"/>
            </w:tcBorders>
            <w:shd w:val="clear" w:color="auto" w:fill="66CCFF"/>
          </w:tcPr>
          <w:p w14:paraId="2D71720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42F6D32" w14:textId="77777777" w:rsidR="00DD3EFA" w:rsidRPr="00EC2A1C" w:rsidRDefault="00DD3EFA" w:rsidP="00391907">
            <w:pPr>
              <w:pStyle w:val="Odstavecseseznamem"/>
              <w:numPr>
                <w:ilvl w:val="0"/>
                <w:numId w:val="5"/>
              </w:numPr>
              <w:spacing w:before="60" w:after="60"/>
              <w:jc w:val="both"/>
              <w:rPr>
                <w:rFonts w:eastAsiaTheme="majorEastAsia"/>
                <w:b/>
              </w:rPr>
            </w:pPr>
            <w:r w:rsidRPr="00EC2A1C">
              <w:rPr>
                <w:rFonts w:eastAsiaTheme="majorEastAsia"/>
                <w:b/>
              </w:rPr>
              <w:t>monitoring a evaluace</w:t>
            </w:r>
          </w:p>
        </w:tc>
        <w:tc>
          <w:tcPr>
            <w:tcW w:w="5978" w:type="dxa"/>
            <w:tcBorders>
              <w:bottom w:val="single" w:sz="4" w:space="0" w:color="auto"/>
            </w:tcBorders>
            <w:shd w:val="clear" w:color="auto" w:fill="FFFFFF" w:themeFill="background1"/>
          </w:tcPr>
          <w:p w14:paraId="5A7D1963"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Plnění Státního programu je vyhodnocováno každoročně. Závěrečné hodnocení za celé období bude předloženo vládě v roce 2025 společně s návrhem Státního programu na další období.</w:t>
            </w:r>
          </w:p>
        </w:tc>
        <w:tc>
          <w:tcPr>
            <w:tcW w:w="249" w:type="dxa"/>
            <w:tcBorders>
              <w:top w:val="nil"/>
              <w:bottom w:val="nil"/>
            </w:tcBorders>
            <w:shd w:val="clear" w:color="auto" w:fill="66CCFF"/>
          </w:tcPr>
          <w:p w14:paraId="0C43DF7B" w14:textId="77777777" w:rsidR="00DD3EFA" w:rsidRPr="00EC2A1C" w:rsidRDefault="00DD3EFA" w:rsidP="00B15ECB">
            <w:pPr>
              <w:rPr>
                <w:b/>
              </w:rPr>
            </w:pPr>
          </w:p>
        </w:tc>
      </w:tr>
      <w:tr w:rsidR="00DD3EFA" w:rsidRPr="00EC2A1C" w14:paraId="7E3CB74B" w14:textId="77777777" w:rsidTr="00B15ECB">
        <w:trPr>
          <w:trHeight w:val="130"/>
        </w:trPr>
        <w:tc>
          <w:tcPr>
            <w:tcW w:w="249" w:type="dxa"/>
            <w:tcBorders>
              <w:top w:val="nil"/>
              <w:bottom w:val="nil"/>
              <w:right w:val="nil"/>
            </w:tcBorders>
            <w:shd w:val="clear" w:color="auto" w:fill="66CCFF"/>
          </w:tcPr>
          <w:p w14:paraId="34F369B1" w14:textId="77777777" w:rsidR="00DD3EFA" w:rsidRPr="00EC2A1C" w:rsidRDefault="00DD3EFA" w:rsidP="00B15ECB">
            <w:pPr>
              <w:rPr>
                <w:b/>
              </w:rPr>
            </w:pPr>
          </w:p>
        </w:tc>
        <w:tc>
          <w:tcPr>
            <w:tcW w:w="2548" w:type="dxa"/>
            <w:tcBorders>
              <w:left w:val="nil"/>
              <w:right w:val="nil"/>
            </w:tcBorders>
            <w:shd w:val="clear" w:color="auto" w:fill="66CCFF"/>
          </w:tcPr>
          <w:p w14:paraId="792A8BCE" w14:textId="77777777" w:rsidR="00DD3EFA" w:rsidRPr="00EC2A1C" w:rsidRDefault="00DD3EFA" w:rsidP="00B15ECB">
            <w:pPr>
              <w:rPr>
                <w:b/>
              </w:rPr>
            </w:pPr>
          </w:p>
        </w:tc>
        <w:tc>
          <w:tcPr>
            <w:tcW w:w="5978" w:type="dxa"/>
            <w:tcBorders>
              <w:left w:val="nil"/>
              <w:right w:val="nil"/>
            </w:tcBorders>
            <w:shd w:val="clear" w:color="auto" w:fill="66CCFF"/>
          </w:tcPr>
          <w:p w14:paraId="70425C3D" w14:textId="77777777" w:rsidR="00DD3EFA" w:rsidRPr="00EC2A1C" w:rsidRDefault="00DD3EFA" w:rsidP="00B15ECB">
            <w:pPr>
              <w:pStyle w:val="slovanodstavec"/>
              <w:tabs>
                <w:tab w:val="clear" w:pos="567"/>
                <w:tab w:val="left" w:pos="284"/>
              </w:tabs>
              <w:suppressAutoHyphens/>
              <w:spacing w:line="240" w:lineRule="auto"/>
              <w:rPr>
                <w:rFonts w:ascii="Times New Roman" w:eastAsiaTheme="minorHAnsi" w:hAnsi="Times New Roman"/>
                <w:b/>
                <w:noProof/>
              </w:rPr>
            </w:pPr>
          </w:p>
        </w:tc>
        <w:tc>
          <w:tcPr>
            <w:tcW w:w="249" w:type="dxa"/>
            <w:tcBorders>
              <w:top w:val="nil"/>
              <w:left w:val="nil"/>
              <w:bottom w:val="nil"/>
            </w:tcBorders>
            <w:shd w:val="clear" w:color="auto" w:fill="66CCFF"/>
          </w:tcPr>
          <w:p w14:paraId="3CD97A7C" w14:textId="77777777" w:rsidR="00DD3EFA" w:rsidRPr="00EC2A1C" w:rsidRDefault="00DD3EFA" w:rsidP="00B15ECB">
            <w:pPr>
              <w:rPr>
                <w:b/>
              </w:rPr>
            </w:pPr>
          </w:p>
        </w:tc>
      </w:tr>
      <w:tr w:rsidR="00DD3EFA" w:rsidRPr="00EC2A1C" w14:paraId="5848E86E" w14:textId="77777777" w:rsidTr="00B15ECB">
        <w:trPr>
          <w:trHeight w:val="1258"/>
        </w:trPr>
        <w:tc>
          <w:tcPr>
            <w:tcW w:w="249" w:type="dxa"/>
            <w:tcBorders>
              <w:top w:val="nil"/>
              <w:bottom w:val="nil"/>
              <w:right w:val="nil"/>
            </w:tcBorders>
            <w:shd w:val="clear" w:color="auto" w:fill="66CCFF"/>
          </w:tcPr>
          <w:p w14:paraId="7A50A6B0" w14:textId="77777777" w:rsidR="00DD3EFA" w:rsidRPr="00EC2A1C" w:rsidRDefault="00DD3EFA" w:rsidP="00B15ECB">
            <w:pPr>
              <w:rPr>
                <w:b/>
              </w:rPr>
            </w:pPr>
          </w:p>
        </w:tc>
        <w:tc>
          <w:tcPr>
            <w:tcW w:w="8526" w:type="dxa"/>
            <w:gridSpan w:val="2"/>
            <w:shd w:val="clear" w:color="auto" w:fill="FFFFFF" w:themeFill="background1"/>
          </w:tcPr>
          <w:p w14:paraId="0317A441"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3D04FDE5"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u w:val="single"/>
              </w:rPr>
            </w:pPr>
          </w:p>
        </w:tc>
        <w:tc>
          <w:tcPr>
            <w:tcW w:w="249" w:type="dxa"/>
            <w:tcBorders>
              <w:top w:val="nil"/>
              <w:left w:val="nil"/>
              <w:bottom w:val="nil"/>
            </w:tcBorders>
            <w:shd w:val="clear" w:color="auto" w:fill="66CCFF"/>
          </w:tcPr>
          <w:p w14:paraId="038D2173" w14:textId="77777777" w:rsidR="00DD3EFA" w:rsidRPr="00EC2A1C" w:rsidRDefault="00DD3EFA" w:rsidP="00B15ECB">
            <w:pPr>
              <w:rPr>
                <w:b/>
              </w:rPr>
            </w:pPr>
          </w:p>
        </w:tc>
      </w:tr>
      <w:tr w:rsidR="00DD3EFA" w:rsidRPr="00EC2A1C" w14:paraId="0BB6A925" w14:textId="77777777" w:rsidTr="00B15ECB">
        <w:trPr>
          <w:trHeight w:val="1258"/>
        </w:trPr>
        <w:tc>
          <w:tcPr>
            <w:tcW w:w="249" w:type="dxa"/>
            <w:tcBorders>
              <w:top w:val="nil"/>
              <w:bottom w:val="nil"/>
              <w:right w:val="nil"/>
            </w:tcBorders>
            <w:shd w:val="clear" w:color="auto" w:fill="66CCFF"/>
          </w:tcPr>
          <w:p w14:paraId="0009B1E3" w14:textId="77777777" w:rsidR="00DD3EFA" w:rsidRPr="00EC2A1C" w:rsidRDefault="00DD3EFA" w:rsidP="00B15ECB">
            <w:pPr>
              <w:rPr>
                <w:b/>
              </w:rPr>
            </w:pPr>
          </w:p>
        </w:tc>
        <w:tc>
          <w:tcPr>
            <w:tcW w:w="2548" w:type="dxa"/>
            <w:shd w:val="clear" w:color="auto" w:fill="FFFFFF" w:themeFill="background1"/>
          </w:tcPr>
          <w:p w14:paraId="0EF9F07D" w14:textId="77777777" w:rsidR="00DD3EFA" w:rsidRPr="00EC2A1C" w:rsidRDefault="00DD3EFA" w:rsidP="00B15ECB">
            <w:pPr>
              <w:rPr>
                <w:rFonts w:eastAsiaTheme="majorEastAsia"/>
                <w:b/>
              </w:rPr>
            </w:pPr>
            <w:r w:rsidRPr="00EC2A1C">
              <w:rPr>
                <w:rFonts w:eastAsiaTheme="majorEastAsia"/>
                <w:b/>
              </w:rPr>
              <w:t>Věcný posun oblasti</w:t>
            </w:r>
          </w:p>
          <w:p w14:paraId="258BA688"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79807C99"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Environmentální výchova byla předmětem podpory v rámci OPŽP v programovém období 2007-2013 (prioritní osa 7), v programovém období 2014 - 2020 zařazena pouze okrajově (návštěvnická střediska, informační panely, naučné stezky apod. v rámci SC 4.1 a SC 4.2).</w:t>
            </w:r>
          </w:p>
          <w:p w14:paraId="5138F55D"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Posun vnímáme především v soustředění se na menší počet projektů (oproti období 2007-2013, kdy bylo podpořeno 616 projektů) kde bude ale o to větší důraz kladen na splnění dispozic pro kvalitní, moderní výuku s prioritním zaměřením na aktuální problémy ŽP jako je změna klimatu.</w:t>
            </w:r>
          </w:p>
        </w:tc>
        <w:tc>
          <w:tcPr>
            <w:tcW w:w="249" w:type="dxa"/>
            <w:tcBorders>
              <w:top w:val="nil"/>
              <w:left w:val="nil"/>
              <w:bottom w:val="nil"/>
            </w:tcBorders>
            <w:shd w:val="clear" w:color="auto" w:fill="66CCFF"/>
          </w:tcPr>
          <w:p w14:paraId="1129CD53" w14:textId="77777777" w:rsidR="00DD3EFA" w:rsidRPr="00EC2A1C" w:rsidRDefault="00DD3EFA" w:rsidP="00B15ECB">
            <w:pPr>
              <w:rPr>
                <w:b/>
              </w:rPr>
            </w:pPr>
          </w:p>
        </w:tc>
      </w:tr>
      <w:tr w:rsidR="00DD3EFA" w:rsidRPr="00EC2A1C" w14:paraId="47A21AE3" w14:textId="77777777" w:rsidTr="00B15ECB">
        <w:trPr>
          <w:trHeight w:val="1258"/>
        </w:trPr>
        <w:tc>
          <w:tcPr>
            <w:tcW w:w="249" w:type="dxa"/>
            <w:tcBorders>
              <w:top w:val="nil"/>
              <w:bottom w:val="nil"/>
              <w:right w:val="nil"/>
            </w:tcBorders>
            <w:shd w:val="clear" w:color="auto" w:fill="66CCFF"/>
          </w:tcPr>
          <w:p w14:paraId="7983A88F" w14:textId="77777777" w:rsidR="00DD3EFA" w:rsidRPr="00EC2A1C" w:rsidRDefault="00DD3EFA" w:rsidP="00B15ECB">
            <w:pPr>
              <w:rPr>
                <w:b/>
              </w:rPr>
            </w:pPr>
          </w:p>
        </w:tc>
        <w:tc>
          <w:tcPr>
            <w:tcW w:w="2548" w:type="dxa"/>
            <w:shd w:val="clear" w:color="auto" w:fill="FFFFFF" w:themeFill="background1"/>
          </w:tcPr>
          <w:p w14:paraId="4AE67806" w14:textId="77777777" w:rsidR="00DD3EFA" w:rsidRPr="00EC2A1C" w:rsidRDefault="00DD3EFA" w:rsidP="00B15ECB">
            <w:pPr>
              <w:rPr>
                <w:rFonts w:eastAsiaTheme="majorEastAsia"/>
                <w:b/>
              </w:rPr>
            </w:pPr>
            <w:r w:rsidRPr="00EC2A1C">
              <w:rPr>
                <w:rFonts w:eastAsiaTheme="majorEastAsia"/>
                <w:b/>
              </w:rPr>
              <w:t>Synergické a multiplikační efekty</w:t>
            </w:r>
          </w:p>
          <w:p w14:paraId="0697649C"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78FB73C2" w14:textId="77777777" w:rsidR="00DD3EFA" w:rsidRPr="00EC2A1C" w:rsidRDefault="00DD3EFA"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 xml:space="preserve">Ve vztahu k ostatním kartám NKR přispívá k </w:t>
            </w:r>
          </w:p>
          <w:p w14:paraId="6194D76E" w14:textId="77777777" w:rsidR="00DD3EFA" w:rsidRPr="00EC2A1C" w:rsidRDefault="00DD3EFA" w:rsidP="00391907">
            <w:pPr>
              <w:pStyle w:val="slovanodstavec"/>
              <w:numPr>
                <w:ilvl w:val="0"/>
                <w:numId w:val="117"/>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Sociální začleňování, sociální služby a systém péče o zdraví, </w:t>
            </w:r>
          </w:p>
          <w:p w14:paraId="26197DD7" w14:textId="77777777" w:rsidR="00DD3EFA" w:rsidRPr="00EC2A1C" w:rsidRDefault="00DD3EFA" w:rsidP="00391907">
            <w:pPr>
              <w:pStyle w:val="slovanodstavec"/>
              <w:numPr>
                <w:ilvl w:val="0"/>
                <w:numId w:val="117"/>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Trh práce a zaměstnanost, </w:t>
            </w:r>
          </w:p>
          <w:p w14:paraId="3AFD63A4" w14:textId="77777777" w:rsidR="00DD3EFA" w:rsidRPr="00EC2A1C" w:rsidRDefault="00DD3EFA" w:rsidP="00391907">
            <w:pPr>
              <w:pStyle w:val="slovanodstavec"/>
              <w:numPr>
                <w:ilvl w:val="0"/>
                <w:numId w:val="117"/>
              </w:numPr>
              <w:tabs>
                <w:tab w:val="clear" w:pos="567"/>
                <w:tab w:val="left" w:pos="284"/>
              </w:tabs>
              <w:suppressAutoHyphens/>
              <w:spacing w:after="0" w:line="240" w:lineRule="auto"/>
              <w:rPr>
                <w:rFonts w:ascii="Times New Roman" w:hAnsi="Times New Roman"/>
                <w:i/>
              </w:rPr>
            </w:pPr>
            <w:r w:rsidRPr="00EC2A1C">
              <w:rPr>
                <w:rFonts w:ascii="Times New Roman" w:hAnsi="Times New Roman"/>
              </w:rPr>
              <w:t>Posun k nízkouhlíkovému hospodářství,</w:t>
            </w:r>
          </w:p>
        </w:tc>
        <w:tc>
          <w:tcPr>
            <w:tcW w:w="249" w:type="dxa"/>
            <w:tcBorders>
              <w:top w:val="nil"/>
              <w:left w:val="nil"/>
              <w:bottom w:val="nil"/>
            </w:tcBorders>
            <w:shd w:val="clear" w:color="auto" w:fill="66CCFF"/>
          </w:tcPr>
          <w:p w14:paraId="25E46FCF" w14:textId="77777777" w:rsidR="00DD3EFA" w:rsidRPr="00EC2A1C" w:rsidRDefault="00DD3EFA" w:rsidP="00B15ECB">
            <w:pPr>
              <w:rPr>
                <w:b/>
              </w:rPr>
            </w:pPr>
          </w:p>
        </w:tc>
      </w:tr>
      <w:tr w:rsidR="00DD3EFA" w:rsidRPr="00EC2A1C" w14:paraId="74A0DE2B" w14:textId="77777777" w:rsidTr="00B15ECB">
        <w:trPr>
          <w:trHeight w:val="180"/>
        </w:trPr>
        <w:tc>
          <w:tcPr>
            <w:tcW w:w="249" w:type="dxa"/>
            <w:tcBorders>
              <w:top w:val="nil"/>
              <w:bottom w:val="nil"/>
              <w:right w:val="nil"/>
            </w:tcBorders>
            <w:shd w:val="clear" w:color="auto" w:fill="66CCFF"/>
          </w:tcPr>
          <w:p w14:paraId="30EE4345"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3F976883"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2E913724" w14:textId="77777777" w:rsidR="00DD3EFA" w:rsidRPr="00EC2A1C" w:rsidRDefault="00DD3EFA" w:rsidP="00B15ECB">
            <w:pPr>
              <w:rPr>
                <w:b/>
              </w:rPr>
            </w:pPr>
          </w:p>
        </w:tc>
        <w:tc>
          <w:tcPr>
            <w:tcW w:w="249" w:type="dxa"/>
            <w:tcBorders>
              <w:top w:val="nil"/>
              <w:left w:val="nil"/>
              <w:bottom w:val="nil"/>
            </w:tcBorders>
            <w:shd w:val="clear" w:color="auto" w:fill="66CCFF"/>
          </w:tcPr>
          <w:p w14:paraId="13FD39D8" w14:textId="77777777" w:rsidR="00DD3EFA" w:rsidRPr="00EC2A1C" w:rsidRDefault="00DD3EFA" w:rsidP="00B15ECB">
            <w:pPr>
              <w:rPr>
                <w:b/>
              </w:rPr>
            </w:pPr>
          </w:p>
        </w:tc>
      </w:tr>
      <w:tr w:rsidR="00DD3EFA" w:rsidRPr="00EC2A1C" w14:paraId="3E9EE00A" w14:textId="77777777" w:rsidTr="00B15ECB">
        <w:trPr>
          <w:trHeight w:val="990"/>
        </w:trPr>
        <w:tc>
          <w:tcPr>
            <w:tcW w:w="249" w:type="dxa"/>
            <w:tcBorders>
              <w:top w:val="nil"/>
              <w:bottom w:val="nil"/>
            </w:tcBorders>
            <w:shd w:val="clear" w:color="auto" w:fill="66CCFF"/>
          </w:tcPr>
          <w:p w14:paraId="5A781B7E" w14:textId="77777777" w:rsidR="00DD3EFA" w:rsidRPr="00EC2A1C" w:rsidRDefault="00DD3EFA" w:rsidP="00B15ECB">
            <w:pPr>
              <w:rPr>
                <w:b/>
              </w:rPr>
            </w:pPr>
          </w:p>
        </w:tc>
        <w:tc>
          <w:tcPr>
            <w:tcW w:w="8526" w:type="dxa"/>
            <w:gridSpan w:val="2"/>
            <w:tcBorders>
              <w:bottom w:val="single" w:sz="4" w:space="0" w:color="auto"/>
            </w:tcBorders>
            <w:shd w:val="clear" w:color="auto" w:fill="FFFFFF" w:themeFill="background1"/>
          </w:tcPr>
          <w:p w14:paraId="4CC3A4FD" w14:textId="77777777" w:rsidR="00DD3EFA" w:rsidRPr="00EC2A1C" w:rsidRDefault="00DD3EFA"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089D4D30" w14:textId="77777777" w:rsidR="00DD3EFA" w:rsidRPr="00EC2A1C" w:rsidRDefault="00DD3EFA">
            <w:pPr>
              <w:spacing w:before="60" w:after="60"/>
              <w:rPr>
                <w:rFonts w:eastAsiaTheme="majorEastAsia"/>
              </w:rPr>
            </w:pPr>
          </w:p>
        </w:tc>
        <w:tc>
          <w:tcPr>
            <w:tcW w:w="249" w:type="dxa"/>
            <w:tcBorders>
              <w:top w:val="nil"/>
              <w:bottom w:val="nil"/>
            </w:tcBorders>
            <w:shd w:val="clear" w:color="auto" w:fill="66CCFF"/>
          </w:tcPr>
          <w:p w14:paraId="15A6E4A9" w14:textId="77777777" w:rsidR="00DD3EFA" w:rsidRPr="00EC2A1C" w:rsidRDefault="00DD3EFA" w:rsidP="00B15ECB">
            <w:pPr>
              <w:rPr>
                <w:b/>
              </w:rPr>
            </w:pPr>
          </w:p>
        </w:tc>
      </w:tr>
      <w:tr w:rsidR="00DD3EFA" w:rsidRPr="00EC2A1C" w14:paraId="0A82B3A3" w14:textId="77777777" w:rsidTr="00B15ECB">
        <w:trPr>
          <w:trHeight w:val="1260"/>
        </w:trPr>
        <w:tc>
          <w:tcPr>
            <w:tcW w:w="249" w:type="dxa"/>
            <w:tcBorders>
              <w:top w:val="nil"/>
              <w:bottom w:val="nil"/>
            </w:tcBorders>
            <w:shd w:val="clear" w:color="auto" w:fill="66CCFF"/>
          </w:tcPr>
          <w:p w14:paraId="7005C5C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880936C" w14:textId="77777777" w:rsidR="00DD3EFA" w:rsidRPr="00EC2A1C" w:rsidRDefault="00DD3EFA" w:rsidP="00391907">
            <w:pPr>
              <w:pStyle w:val="Odstavecseseznamem"/>
              <w:numPr>
                <w:ilvl w:val="0"/>
                <w:numId w:val="5"/>
              </w:numPr>
              <w:spacing w:before="60" w:after="60"/>
              <w:jc w:val="both"/>
              <w:rPr>
                <w:rFonts w:eastAsiaTheme="majorEastAsia"/>
                <w:b/>
              </w:rPr>
            </w:pPr>
            <w:r w:rsidRPr="00EC2A1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67A45818" w14:textId="77777777" w:rsidR="00DD3EFA" w:rsidRPr="00EC2A1C" w:rsidRDefault="00DD3EFA" w:rsidP="00B15ECB">
            <w:pPr>
              <w:spacing w:before="60" w:after="60" w:line="276" w:lineRule="auto"/>
              <w:contextualSpacing/>
              <w:rPr>
                <w:color w:val="000000"/>
              </w:rPr>
            </w:pPr>
            <w:r w:rsidRPr="00EC2A1C">
              <w:rPr>
                <w:color w:val="000000"/>
              </w:rPr>
              <w:t>Environmentální výchova byla předmětem podpory v rámci OPŽP v programovém období 2007-2013, v  období 2014-2020 zařazena nebyla (viz výše). Výstupy programového období 2007-2013 lze hodnotit pozitivně.</w:t>
            </w:r>
          </w:p>
          <w:p w14:paraId="26D483F6" w14:textId="77777777" w:rsidR="00DD3EFA" w:rsidRPr="00EC2A1C" w:rsidRDefault="00DD3EFA" w:rsidP="00B15ECB">
            <w:pPr>
              <w:autoSpaceDE w:val="0"/>
              <w:autoSpaceDN w:val="0"/>
              <w:adjustRightInd w:val="0"/>
              <w:rPr>
                <w:color w:val="000000"/>
              </w:rPr>
            </w:pPr>
          </w:p>
          <w:p w14:paraId="41D735C8" w14:textId="77777777" w:rsidR="00DD3EFA" w:rsidRPr="00EC2A1C" w:rsidRDefault="00DD3EFA" w:rsidP="00B15ECB">
            <w:pPr>
              <w:autoSpaceDE w:val="0"/>
              <w:autoSpaceDN w:val="0"/>
              <w:adjustRightInd w:val="0"/>
              <w:rPr>
                <w:b/>
                <w:color w:val="000000"/>
              </w:rPr>
            </w:pPr>
            <w:r w:rsidRPr="00EC2A1C">
              <w:rPr>
                <w:b/>
                <w:color w:val="000000"/>
              </w:rPr>
              <w:t>Výstupy programového období 2007-2013</w:t>
            </w:r>
          </w:p>
          <w:p w14:paraId="78370315" w14:textId="77777777" w:rsidR="00DD3EFA" w:rsidRPr="00EC2A1C" w:rsidRDefault="00DD3EFA" w:rsidP="00B15ECB">
            <w:pPr>
              <w:autoSpaceDE w:val="0"/>
              <w:autoSpaceDN w:val="0"/>
              <w:adjustRightInd w:val="0"/>
              <w:rPr>
                <w:color w:val="000000"/>
              </w:rPr>
            </w:pPr>
            <w:r w:rsidRPr="00EC2A1C">
              <w:rPr>
                <w:color w:val="000000"/>
              </w:rPr>
              <w:t xml:space="preserve">Do konce programového období bylo nově koupeno, vybudováno, zrekonstruováno a vybaveno 70 objektů environmentálních center a poraden. Užitná plocha těchto objektů činila více než 43 380 m2. V průběhu implementace OPŽP byly také nově vytvořeny materiály a pomůcky pro environmentální vzdělávání, výchovu a osvětu včetně podpory vytváření a rozvoje zázemí lesních mateřských škol a úprav zahrad v přírodním stylu u MŠ. Celkově bylo z PO7 OPŽP podpořeno 616 projektů. Výrazně převažovala podpora finančně méně náročných projektů (podpora zde činila maximálně 2 mil Kč) – úpravy zahrad a hřišť v přírodním stylu, a to zejména v posledních dvou výzvách. </w:t>
            </w:r>
          </w:p>
          <w:p w14:paraId="717E3D21" w14:textId="77777777" w:rsidR="00DD3EFA" w:rsidRPr="00EC2A1C" w:rsidRDefault="00DD3EFA" w:rsidP="00B15ECB">
            <w:pPr>
              <w:autoSpaceDE w:val="0"/>
              <w:autoSpaceDN w:val="0"/>
              <w:adjustRightInd w:val="0"/>
              <w:rPr>
                <w:color w:val="000000"/>
              </w:rPr>
            </w:pPr>
          </w:p>
          <w:p w14:paraId="12FC089D" w14:textId="77777777" w:rsidR="00DD3EFA" w:rsidRPr="00EC2A1C" w:rsidRDefault="00DD3EFA" w:rsidP="00B15ECB">
            <w:pPr>
              <w:autoSpaceDE w:val="0"/>
              <w:autoSpaceDN w:val="0"/>
              <w:adjustRightInd w:val="0"/>
              <w:rPr>
                <w:color w:val="000000"/>
              </w:rPr>
            </w:pPr>
            <w:r w:rsidRPr="00EC2A1C">
              <w:rPr>
                <w:color w:val="000000"/>
              </w:rPr>
              <w:t>Podporou projektů (zejména takových, které byly zaměřeny na vybudování či rekonstrukce center environmentálního vzdělávání) došlo mj. také ke zvýšení instalovaného elektrického výkonu z OZE o 8,333 MW a ke zvýšení instalovaného tepelného výkonu z OZE o 7,61 MW. Všechny zmíněné aktivity přispěly k plnění specifického cíle Prioritní osy 7 a druhotně i k plnění specifického cíle Prioritní osy 3.</w:t>
            </w:r>
          </w:p>
          <w:p w14:paraId="69E3189E" w14:textId="77777777" w:rsidR="00DD3EFA" w:rsidRPr="00EC2A1C" w:rsidRDefault="00DD3EFA" w:rsidP="00B15ECB">
            <w:pPr>
              <w:autoSpaceDE w:val="0"/>
              <w:autoSpaceDN w:val="0"/>
              <w:adjustRightInd w:val="0"/>
              <w:rPr>
                <w:color w:val="000000"/>
              </w:rPr>
            </w:pPr>
          </w:p>
          <w:p w14:paraId="48345E55" w14:textId="77777777" w:rsidR="00DD3EFA" w:rsidRPr="00EC2A1C" w:rsidRDefault="00DD3EFA" w:rsidP="00B15ECB">
            <w:pPr>
              <w:autoSpaceDE w:val="0"/>
              <w:autoSpaceDN w:val="0"/>
              <w:adjustRightInd w:val="0"/>
              <w:rPr>
                <w:color w:val="000000"/>
              </w:rPr>
            </w:pPr>
            <w:r w:rsidRPr="00EC2A1C">
              <w:rPr>
                <w:color w:val="000000"/>
              </w:rPr>
              <w:t xml:space="preserve">Ve sledovaném období 2007-2013 (2015) došlo také k růstu výkonů sektoru environmentálního vzdělávání, výchovy a osvěty (EVVO) a k nárůstu kapacit center EVVO, a to jak prostorových, tak personálních. Na základě vyjádření center samotných i klientů (zejména škol), lze uvést, že se zvýšila kvalita poskytovaných služeb a také kvalifikace odborných pracovníků center. </w:t>
            </w:r>
          </w:p>
          <w:p w14:paraId="1C13C32A" w14:textId="77777777" w:rsidR="00DD3EFA" w:rsidRPr="00EC2A1C" w:rsidRDefault="00DD3EFA" w:rsidP="00B15ECB">
            <w:pPr>
              <w:autoSpaceDE w:val="0"/>
              <w:autoSpaceDN w:val="0"/>
              <w:adjustRightInd w:val="0"/>
              <w:rPr>
                <w:color w:val="000000"/>
              </w:rPr>
            </w:pPr>
          </w:p>
          <w:p w14:paraId="3D32E565" w14:textId="77777777" w:rsidR="00DD3EFA" w:rsidRPr="00EC2A1C" w:rsidRDefault="00DD3EFA" w:rsidP="00B15ECB">
            <w:pPr>
              <w:autoSpaceDE w:val="0"/>
              <w:autoSpaceDN w:val="0"/>
              <w:adjustRightInd w:val="0"/>
              <w:rPr>
                <w:color w:val="000000"/>
              </w:rPr>
            </w:pPr>
            <w:r w:rsidRPr="00EC2A1C">
              <w:rPr>
                <w:color w:val="000000"/>
              </w:rPr>
              <w:t>Došlo ke zvýšení objemu poskytovaných služeb centry environmentálního vzdělávání (v případě 77 % center), rozšířila se nabídka různých druhů služeb (uvádí 72 % center), služby center jsou využívány více klienty (73 %) a celkově jsou poskytované služby kvalitnější (uvádí 90 % center).</w:t>
            </w:r>
          </w:p>
          <w:p w14:paraId="649723F0" w14:textId="77777777" w:rsidR="00DD3EFA" w:rsidRPr="00EC2A1C" w:rsidRDefault="00DD3EFA" w:rsidP="00B15ECB">
            <w:pPr>
              <w:autoSpaceDE w:val="0"/>
              <w:autoSpaceDN w:val="0"/>
              <w:adjustRightInd w:val="0"/>
              <w:rPr>
                <w:color w:val="000000"/>
              </w:rPr>
            </w:pPr>
          </w:p>
          <w:p w14:paraId="154A9CA2" w14:textId="77777777" w:rsidR="00DD3EFA" w:rsidRPr="00EC2A1C" w:rsidRDefault="00DD3EFA" w:rsidP="00B15ECB">
            <w:pPr>
              <w:autoSpaceDE w:val="0"/>
              <w:autoSpaceDN w:val="0"/>
              <w:adjustRightInd w:val="0"/>
              <w:rPr>
                <w:b/>
                <w:color w:val="000000"/>
              </w:rPr>
            </w:pPr>
            <w:r w:rsidRPr="00EC2A1C">
              <w:rPr>
                <w:b/>
                <w:color w:val="000000"/>
              </w:rPr>
              <w:t>Financování</w:t>
            </w:r>
          </w:p>
          <w:p w14:paraId="6A67C2A6" w14:textId="77777777" w:rsidR="00DD3EFA" w:rsidRPr="00EC2A1C" w:rsidRDefault="00DD3EFA" w:rsidP="00B15ECB">
            <w:pPr>
              <w:autoSpaceDE w:val="0"/>
              <w:autoSpaceDN w:val="0"/>
              <w:adjustRightInd w:val="0"/>
              <w:rPr>
                <w:color w:val="000000"/>
              </w:rPr>
            </w:pPr>
            <w:r w:rsidRPr="00EC2A1C">
              <w:rPr>
                <w:color w:val="000000"/>
              </w:rPr>
              <w:t>Prioritní osa 7 (2007-2013) - Rozvoj infrastruktury pro environmentální vzdělávání, poradenství a osvětu</w:t>
            </w:r>
            <w:r w:rsidRPr="00EC2A1C">
              <w:rPr>
                <w:color w:val="000000"/>
              </w:rPr>
              <w:tab/>
            </w:r>
          </w:p>
          <w:p w14:paraId="29A3454E" w14:textId="77777777" w:rsidR="00DD3EFA" w:rsidRPr="00EC2A1C" w:rsidRDefault="00DD3EFA" w:rsidP="00B15ECB">
            <w:pPr>
              <w:autoSpaceDE w:val="0"/>
              <w:autoSpaceDN w:val="0"/>
              <w:adjustRightInd w:val="0"/>
              <w:rPr>
                <w:color w:val="000000"/>
              </w:rPr>
            </w:pPr>
            <w:r w:rsidRPr="00EC2A1C">
              <w:rPr>
                <w:color w:val="000000"/>
              </w:rPr>
              <w:t>Fond EU: EFRR</w:t>
            </w:r>
            <w:r w:rsidRPr="00EC2A1C">
              <w:rPr>
                <w:color w:val="000000"/>
              </w:rPr>
              <w:tab/>
            </w:r>
          </w:p>
          <w:p w14:paraId="77A6837F" w14:textId="77777777" w:rsidR="00DD3EFA" w:rsidRPr="00EC2A1C" w:rsidRDefault="00DD3EFA" w:rsidP="00B15ECB">
            <w:pPr>
              <w:autoSpaceDE w:val="0"/>
              <w:autoSpaceDN w:val="0"/>
              <w:adjustRightInd w:val="0"/>
              <w:rPr>
                <w:color w:val="000000"/>
              </w:rPr>
            </w:pPr>
            <w:r w:rsidRPr="00EC2A1C">
              <w:rPr>
                <w:color w:val="000000"/>
              </w:rPr>
              <w:t>Příspěvek EU: 67 238 535 EUR</w:t>
            </w:r>
            <w:r w:rsidRPr="00EC2A1C">
              <w:rPr>
                <w:color w:val="000000"/>
              </w:rPr>
              <w:tab/>
            </w:r>
          </w:p>
          <w:p w14:paraId="4A0F87E3" w14:textId="77777777" w:rsidR="00DD3EFA" w:rsidRPr="00EC2A1C" w:rsidRDefault="00DD3EFA" w:rsidP="00B15ECB">
            <w:pPr>
              <w:autoSpaceDE w:val="0"/>
              <w:autoSpaceDN w:val="0"/>
              <w:adjustRightInd w:val="0"/>
              <w:rPr>
                <w:color w:val="000000"/>
              </w:rPr>
            </w:pPr>
            <w:r w:rsidRPr="00EC2A1C">
              <w:rPr>
                <w:color w:val="000000"/>
              </w:rPr>
              <w:t>Celkové způsobilé výdaje: 79 104 160 EUR</w:t>
            </w:r>
          </w:p>
          <w:p w14:paraId="50DCE6E8" w14:textId="77777777" w:rsidR="00DD3EFA" w:rsidRPr="00EC2A1C" w:rsidRDefault="00DD3EFA" w:rsidP="00B15ECB">
            <w:pPr>
              <w:spacing w:before="60" w:after="60"/>
              <w:rPr>
                <w:rFonts w:eastAsiaTheme="majorEastAsia"/>
                <w:i/>
              </w:rPr>
            </w:pPr>
            <w:r w:rsidRPr="00EC2A1C">
              <w:rPr>
                <w:color w:val="000000"/>
              </w:rPr>
              <w:t>Alokace v této prioritní ose byla oproti jiným prioritním osám OPŽP výrazně menší.</w:t>
            </w:r>
          </w:p>
          <w:p w14:paraId="45932B25"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39EB149E" w14:textId="77777777" w:rsidR="00DD3EFA" w:rsidRPr="00EC2A1C" w:rsidRDefault="00DD3EFA" w:rsidP="00B15ECB">
            <w:pPr>
              <w:rPr>
                <w:b/>
              </w:rPr>
            </w:pPr>
          </w:p>
        </w:tc>
      </w:tr>
      <w:tr w:rsidR="00DD3EFA" w:rsidRPr="00EC2A1C" w14:paraId="1A9BC581" w14:textId="77777777" w:rsidTr="00B15ECB">
        <w:trPr>
          <w:trHeight w:val="850"/>
        </w:trPr>
        <w:tc>
          <w:tcPr>
            <w:tcW w:w="249" w:type="dxa"/>
            <w:tcBorders>
              <w:top w:val="nil"/>
              <w:bottom w:val="nil"/>
            </w:tcBorders>
            <w:shd w:val="clear" w:color="auto" w:fill="66CCFF"/>
          </w:tcPr>
          <w:p w14:paraId="53323D92"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970DD36" w14:textId="77777777" w:rsidR="00DD3EFA" w:rsidRPr="00EC2A1C" w:rsidRDefault="00DD3EFA" w:rsidP="00391907">
            <w:pPr>
              <w:pStyle w:val="Odstavecseseznamem"/>
              <w:numPr>
                <w:ilvl w:val="0"/>
                <w:numId w:val="5"/>
              </w:numPr>
              <w:spacing w:before="60" w:after="60"/>
              <w:jc w:val="both"/>
              <w:rPr>
                <w:rFonts w:eastAsiaTheme="majorEastAsia"/>
                <w:b/>
              </w:rPr>
            </w:pPr>
            <w:r w:rsidRPr="00EC2A1C">
              <w:rPr>
                <w:rFonts w:eastAsiaTheme="majorEastAsia"/>
                <w:b/>
              </w:rPr>
              <w:t>Poptávka příjemců</w:t>
            </w:r>
          </w:p>
        </w:tc>
        <w:tc>
          <w:tcPr>
            <w:tcW w:w="5978" w:type="dxa"/>
            <w:tcBorders>
              <w:bottom w:val="single" w:sz="4" w:space="0" w:color="auto"/>
            </w:tcBorders>
            <w:shd w:val="clear" w:color="auto" w:fill="FFFFFF" w:themeFill="background1"/>
          </w:tcPr>
          <w:p w14:paraId="09E32BEC" w14:textId="77777777" w:rsidR="00DD3EFA" w:rsidRPr="00EC2A1C" w:rsidRDefault="00DD3EFA" w:rsidP="00B15ECB">
            <w:pPr>
              <w:spacing w:before="60" w:after="60"/>
              <w:rPr>
                <w:rFonts w:eastAsiaTheme="majorEastAsia"/>
                <w:i/>
              </w:rPr>
            </w:pPr>
            <w:r w:rsidRPr="00EC2A1C">
              <w:rPr>
                <w:rFonts w:eastAsia="Calibri"/>
              </w:rPr>
              <w:t>MŽP provedlo v roce 2018 průzkum plánovaných  investičních opatřeních v rámci středisek ekologické výchovy v ČR (tzv. situační analýza). Ta  ukazuje, že tyto subjekty i nadále plánují investice do objektů, ve kterých realizují EVVO programy, protože objekty se postupně opotřebovávají a vyžadují adaptace, tak aby vyhovovaly měnícím se nárokům na výuku a další servis pro školy. Jedná se zejména dostavby či přístavby školícíhc objektů, dále pak doplnění či modernizace vybavení (zejména didaktického, včetně multimediálního vybavení), začlenění ukázkových environmentálních technologií a dalších opatření do provozu budov určených pro EVVO (fotovoltaika, úsporná zařízení, nádrže na vodu, kořenové čističky apod.) či ostatní drobnější nezbytné rekonstrukce.</w:t>
            </w:r>
          </w:p>
          <w:p w14:paraId="6B18C543" w14:textId="77777777" w:rsidR="00DD3EFA" w:rsidRPr="00EC2A1C" w:rsidRDefault="00DD3EFA" w:rsidP="00B15ECB">
            <w:pPr>
              <w:spacing w:before="60" w:after="60"/>
              <w:rPr>
                <w:rFonts w:eastAsiaTheme="majorEastAsia"/>
                <w:i/>
              </w:rPr>
            </w:pPr>
          </w:p>
          <w:p w14:paraId="305494F3" w14:textId="77777777" w:rsidR="00DD3EFA" w:rsidRPr="00EC2A1C" w:rsidRDefault="00DD3EFA" w:rsidP="00B15ECB">
            <w:pPr>
              <w:autoSpaceDE w:val="0"/>
              <w:autoSpaceDN w:val="0"/>
              <w:adjustRightInd w:val="0"/>
              <w:rPr>
                <w:color w:val="000000"/>
              </w:rPr>
            </w:pPr>
            <w:r w:rsidRPr="00EC2A1C">
              <w:rPr>
                <w:color w:val="000000"/>
              </w:rPr>
              <w:t xml:space="preserve">Předpokládá se investice do cca 60 subjektů vzdělávacích center v ČR. Vzhledem k tomu, že se nejedná převážně o stavby nových objektů, vychází průměrná dotace na jeden projekt ve výši  10 mil. Kč. </w:t>
            </w:r>
          </w:p>
        </w:tc>
        <w:tc>
          <w:tcPr>
            <w:tcW w:w="249" w:type="dxa"/>
            <w:tcBorders>
              <w:top w:val="nil"/>
              <w:bottom w:val="nil"/>
            </w:tcBorders>
            <w:shd w:val="clear" w:color="auto" w:fill="66CCFF"/>
          </w:tcPr>
          <w:p w14:paraId="37E300A0" w14:textId="77777777" w:rsidR="00DD3EFA" w:rsidRPr="00EC2A1C" w:rsidRDefault="00DD3EFA" w:rsidP="00B15ECB">
            <w:pPr>
              <w:rPr>
                <w:b/>
              </w:rPr>
            </w:pPr>
          </w:p>
        </w:tc>
      </w:tr>
      <w:tr w:rsidR="00DD3EFA" w:rsidRPr="00EC2A1C" w14:paraId="231223BB" w14:textId="77777777" w:rsidTr="00B15ECB">
        <w:trPr>
          <w:trHeight w:val="925"/>
        </w:trPr>
        <w:tc>
          <w:tcPr>
            <w:tcW w:w="249" w:type="dxa"/>
            <w:tcBorders>
              <w:top w:val="nil"/>
              <w:bottom w:val="nil"/>
            </w:tcBorders>
            <w:shd w:val="clear" w:color="auto" w:fill="66CCFF"/>
          </w:tcPr>
          <w:p w14:paraId="64F4B55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ADE7FE9" w14:textId="77777777" w:rsidR="00DD3EFA" w:rsidRPr="00EC2A1C" w:rsidRDefault="00DD3EFA" w:rsidP="00391907">
            <w:pPr>
              <w:pStyle w:val="Odstavecseseznamem"/>
              <w:numPr>
                <w:ilvl w:val="0"/>
                <w:numId w:val="5"/>
              </w:numPr>
              <w:spacing w:before="60" w:after="60"/>
              <w:jc w:val="both"/>
              <w:rPr>
                <w:rFonts w:eastAsiaTheme="majorEastAsia"/>
                <w:b/>
              </w:rPr>
            </w:pPr>
            <w:r w:rsidRPr="00EC2A1C">
              <w:rPr>
                <w:rFonts w:eastAsiaTheme="majorEastAsia"/>
                <w:b/>
              </w:rPr>
              <w:t>Příprava projektových záměrů</w:t>
            </w:r>
          </w:p>
        </w:tc>
        <w:tc>
          <w:tcPr>
            <w:tcW w:w="5978" w:type="dxa"/>
            <w:tcBorders>
              <w:bottom w:val="single" w:sz="4" w:space="0" w:color="auto"/>
            </w:tcBorders>
            <w:shd w:val="clear" w:color="auto" w:fill="FFFFFF" w:themeFill="background1"/>
          </w:tcPr>
          <w:p w14:paraId="64DDE04A" w14:textId="77777777" w:rsidR="00DD3EFA" w:rsidRPr="00EC2A1C" w:rsidRDefault="00DD3EFA" w:rsidP="00B15ECB">
            <w:pPr>
              <w:spacing w:before="60" w:after="60"/>
              <w:rPr>
                <w:rFonts w:eastAsiaTheme="majorEastAsia"/>
              </w:rPr>
            </w:pPr>
            <w:r w:rsidRPr="00EC2A1C">
              <w:rPr>
                <w:rFonts w:eastAsiaTheme="majorEastAsia"/>
              </w:rPr>
              <w:t xml:space="preserve">Viz výše, existuje průzkum plánovaných investičních opatření (tzv. situační analýza), pouze v některých případech lze hovořit o přípravě projektových záměrech (u velkých ekocenter např.  LIPKA  – středisko ekologické výchovy Jihomoravského kraje) .  </w:t>
            </w:r>
          </w:p>
        </w:tc>
        <w:tc>
          <w:tcPr>
            <w:tcW w:w="249" w:type="dxa"/>
            <w:tcBorders>
              <w:top w:val="nil"/>
              <w:bottom w:val="nil"/>
            </w:tcBorders>
            <w:shd w:val="clear" w:color="auto" w:fill="66CCFF"/>
          </w:tcPr>
          <w:p w14:paraId="2EF25E23" w14:textId="77777777" w:rsidR="00DD3EFA" w:rsidRPr="00EC2A1C" w:rsidRDefault="00DD3EFA" w:rsidP="00B15ECB">
            <w:pPr>
              <w:rPr>
                <w:b/>
              </w:rPr>
            </w:pPr>
          </w:p>
        </w:tc>
      </w:tr>
      <w:tr w:rsidR="00DD3EFA" w:rsidRPr="00EC2A1C" w14:paraId="366AFD8F" w14:textId="77777777" w:rsidTr="00B15ECB">
        <w:trPr>
          <w:trHeight w:val="1001"/>
        </w:trPr>
        <w:tc>
          <w:tcPr>
            <w:tcW w:w="249" w:type="dxa"/>
            <w:tcBorders>
              <w:top w:val="nil"/>
              <w:bottom w:val="nil"/>
            </w:tcBorders>
            <w:shd w:val="clear" w:color="auto" w:fill="66CCFF"/>
          </w:tcPr>
          <w:p w14:paraId="09F18D8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2D06B83" w14:textId="77777777" w:rsidR="00DD3EFA" w:rsidRPr="00EC2A1C" w:rsidRDefault="00DD3EFA" w:rsidP="00391907">
            <w:pPr>
              <w:pStyle w:val="Odstavecseseznamem"/>
              <w:numPr>
                <w:ilvl w:val="0"/>
                <w:numId w:val="5"/>
              </w:numPr>
              <w:spacing w:before="60" w:after="60"/>
              <w:jc w:val="both"/>
              <w:rPr>
                <w:rFonts w:eastAsiaTheme="majorEastAsia"/>
                <w:b/>
              </w:rPr>
            </w:pPr>
            <w:r w:rsidRPr="00EC2A1C">
              <w:rPr>
                <w:rFonts w:eastAsiaTheme="majorEastAsia"/>
                <w:b/>
              </w:rPr>
              <w:t>Bariéry</w:t>
            </w:r>
          </w:p>
        </w:tc>
        <w:tc>
          <w:tcPr>
            <w:tcW w:w="5978" w:type="dxa"/>
            <w:tcBorders>
              <w:bottom w:val="single" w:sz="4" w:space="0" w:color="auto"/>
            </w:tcBorders>
            <w:shd w:val="clear" w:color="auto" w:fill="FFFFFF" w:themeFill="background1"/>
          </w:tcPr>
          <w:p w14:paraId="60B93BC8" w14:textId="77777777" w:rsidR="00DD3EFA" w:rsidRPr="00EC2A1C" w:rsidRDefault="00DD3EFA" w:rsidP="00B15ECB">
            <w:pPr>
              <w:spacing w:before="60" w:after="60"/>
              <w:rPr>
                <w:rFonts w:eastAsiaTheme="majorEastAsia"/>
              </w:rPr>
            </w:pPr>
            <w:r w:rsidRPr="00EC2A1C">
              <w:rPr>
                <w:rFonts w:eastAsiaTheme="majorEastAsia"/>
              </w:rPr>
              <w:t>Spolufinancování</w:t>
            </w:r>
          </w:p>
          <w:p w14:paraId="3D375487" w14:textId="77777777" w:rsidR="00DD3EFA" w:rsidRPr="00EC2A1C" w:rsidRDefault="00DD3EFA" w:rsidP="00391907">
            <w:pPr>
              <w:pStyle w:val="Odstavecseseznamem"/>
              <w:numPr>
                <w:ilvl w:val="0"/>
                <w:numId w:val="117"/>
              </w:numPr>
              <w:spacing w:before="60" w:after="60"/>
              <w:jc w:val="both"/>
              <w:rPr>
                <w:rFonts w:eastAsiaTheme="majorEastAsia"/>
              </w:rPr>
            </w:pPr>
            <w:r w:rsidRPr="00EC2A1C">
              <w:rPr>
                <w:rFonts w:eastAsiaTheme="majorEastAsia"/>
              </w:rPr>
              <w:t xml:space="preserve">Klíčové pro absorpční kapacitu bude nastavení míry spolufinancování ze strany příjemců. Pokud tato částka bude vyšší než 20-30%, absorpční kapacita se výrazně sníží. Jedná se totiž o subjekty, které jsou často NNO a mají jen velmi omezené možnosti zajištění spolufinacování investic. </w:t>
            </w:r>
          </w:p>
          <w:p w14:paraId="0EB295F7" w14:textId="77777777" w:rsidR="00DD3EFA" w:rsidRPr="00EC2A1C" w:rsidRDefault="00DD3EFA" w:rsidP="00B15ECB">
            <w:pPr>
              <w:spacing w:before="60" w:after="60"/>
              <w:rPr>
                <w:rFonts w:eastAsiaTheme="majorEastAsia"/>
              </w:rPr>
            </w:pPr>
          </w:p>
          <w:p w14:paraId="742FCCD0" w14:textId="77777777" w:rsidR="00DD3EFA" w:rsidRPr="00EC2A1C" w:rsidRDefault="00DD3EFA" w:rsidP="00B15ECB">
            <w:pPr>
              <w:spacing w:before="60" w:after="60"/>
              <w:rPr>
                <w:rFonts w:eastAsiaTheme="majorEastAsia"/>
              </w:rPr>
            </w:pPr>
            <w:r w:rsidRPr="00EC2A1C">
              <w:rPr>
                <w:rFonts w:eastAsiaTheme="majorEastAsia"/>
              </w:rPr>
              <w:t>Administrativní kapacita příjemců</w:t>
            </w:r>
          </w:p>
          <w:p w14:paraId="68D14E95" w14:textId="77777777" w:rsidR="00DD3EFA" w:rsidRPr="00EC2A1C" w:rsidRDefault="00DD3EFA" w:rsidP="00391907">
            <w:pPr>
              <w:pStyle w:val="Odstavecseseznamem"/>
              <w:numPr>
                <w:ilvl w:val="0"/>
                <w:numId w:val="117"/>
              </w:numPr>
              <w:spacing w:before="60" w:after="60"/>
              <w:jc w:val="both"/>
              <w:rPr>
                <w:rFonts w:eastAsiaTheme="majorEastAsia"/>
                <w:i/>
              </w:rPr>
            </w:pPr>
            <w:r w:rsidRPr="00EC2A1C">
              <w:rPr>
                <w:rFonts w:eastAsiaTheme="majorEastAsia"/>
              </w:rPr>
              <w:t>U některých příjemců je bariérou aktuálně omezená administrativní kapacita pro realizaci investice (zejména ve středních a malých NNO). Dílčím řešením je v rámci technické asistence vytvořit zázemí pro pomoc s administracípro takové subjekty.</w:t>
            </w:r>
          </w:p>
        </w:tc>
        <w:tc>
          <w:tcPr>
            <w:tcW w:w="249" w:type="dxa"/>
            <w:tcBorders>
              <w:top w:val="nil"/>
              <w:bottom w:val="nil"/>
            </w:tcBorders>
            <w:shd w:val="clear" w:color="auto" w:fill="66CCFF"/>
          </w:tcPr>
          <w:p w14:paraId="40C09042" w14:textId="77777777" w:rsidR="00DD3EFA" w:rsidRPr="00EC2A1C" w:rsidRDefault="00DD3EFA" w:rsidP="00B15ECB">
            <w:pPr>
              <w:rPr>
                <w:b/>
              </w:rPr>
            </w:pPr>
          </w:p>
        </w:tc>
      </w:tr>
      <w:tr w:rsidR="00DD3EFA" w:rsidRPr="00EC2A1C" w14:paraId="72FC9BDF"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418E18A9"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0354F0B4"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CA2CCAE"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3C931E42" w14:textId="77777777" w:rsidR="00DD3EFA" w:rsidRPr="00EC2A1C" w:rsidRDefault="00DD3EFA" w:rsidP="00B15ECB">
            <w:pPr>
              <w:rPr>
                <w:b/>
              </w:rPr>
            </w:pPr>
          </w:p>
        </w:tc>
      </w:tr>
      <w:tr w:rsidR="00DD3EFA" w:rsidRPr="00EC2A1C" w14:paraId="48436569" w14:textId="77777777" w:rsidTr="00B15ECB">
        <w:trPr>
          <w:trHeight w:val="1559"/>
        </w:trPr>
        <w:tc>
          <w:tcPr>
            <w:tcW w:w="249" w:type="dxa"/>
            <w:tcBorders>
              <w:top w:val="single" w:sz="4" w:space="0" w:color="auto"/>
              <w:bottom w:val="nil"/>
            </w:tcBorders>
            <w:shd w:val="clear" w:color="auto" w:fill="66CCFF"/>
          </w:tcPr>
          <w:p w14:paraId="5FF4A84E" w14:textId="77777777" w:rsidR="00DD3EFA" w:rsidRPr="00EC2A1C" w:rsidRDefault="00DD3EFA" w:rsidP="00B15ECB">
            <w:pPr>
              <w:rPr>
                <w:b/>
              </w:rPr>
            </w:pPr>
          </w:p>
        </w:tc>
        <w:tc>
          <w:tcPr>
            <w:tcW w:w="8526" w:type="dxa"/>
            <w:gridSpan w:val="2"/>
            <w:tcBorders>
              <w:top w:val="single" w:sz="4" w:space="0" w:color="auto"/>
            </w:tcBorders>
            <w:shd w:val="clear" w:color="auto" w:fill="FFFFFF" w:themeFill="background1"/>
          </w:tcPr>
          <w:p w14:paraId="47E9A090" w14:textId="77777777" w:rsidR="00DD3EFA" w:rsidRPr="00EC2A1C" w:rsidRDefault="00DD3EFA" w:rsidP="00B15ECB">
            <w:pPr>
              <w:spacing w:before="60" w:after="60"/>
              <w:rPr>
                <w:rFonts w:eastAsiaTheme="majorEastAsia"/>
                <w:b/>
              </w:rPr>
            </w:pPr>
            <w:r w:rsidRPr="00EC2A1C">
              <w:rPr>
                <w:rFonts w:eastAsiaTheme="majorEastAsia"/>
                <w:b/>
              </w:rPr>
              <w:t>Alternativní zdroje</w:t>
            </w:r>
          </w:p>
          <w:p w14:paraId="68C18130" w14:textId="77777777" w:rsidR="00DD3EFA" w:rsidRPr="00EC2A1C" w:rsidRDefault="00DD3EFA" w:rsidP="00B15ECB">
            <w:pPr>
              <w:spacing w:before="60" w:after="60"/>
              <w:rPr>
                <w:rFonts w:eastAsiaTheme="majorEastAsia"/>
                <w:u w:val="single"/>
              </w:rPr>
            </w:pPr>
          </w:p>
        </w:tc>
        <w:tc>
          <w:tcPr>
            <w:tcW w:w="249" w:type="dxa"/>
            <w:tcBorders>
              <w:top w:val="single" w:sz="4" w:space="0" w:color="auto"/>
              <w:bottom w:val="nil"/>
            </w:tcBorders>
            <w:shd w:val="clear" w:color="auto" w:fill="66CCFF"/>
          </w:tcPr>
          <w:p w14:paraId="6285F636" w14:textId="77777777" w:rsidR="00DD3EFA" w:rsidRPr="00EC2A1C" w:rsidRDefault="00DD3EFA" w:rsidP="00B15ECB">
            <w:pPr>
              <w:rPr>
                <w:b/>
              </w:rPr>
            </w:pPr>
          </w:p>
        </w:tc>
      </w:tr>
      <w:tr w:rsidR="00DD3EFA" w:rsidRPr="00EC2A1C" w14:paraId="459703E8" w14:textId="77777777" w:rsidTr="00B15ECB">
        <w:trPr>
          <w:trHeight w:val="686"/>
        </w:trPr>
        <w:tc>
          <w:tcPr>
            <w:tcW w:w="249" w:type="dxa"/>
            <w:tcBorders>
              <w:top w:val="nil"/>
              <w:bottom w:val="nil"/>
            </w:tcBorders>
            <w:shd w:val="clear" w:color="auto" w:fill="66CCFF"/>
          </w:tcPr>
          <w:p w14:paraId="5C964748" w14:textId="77777777" w:rsidR="00DD3EFA" w:rsidRPr="00EC2A1C" w:rsidRDefault="00DD3EFA" w:rsidP="00B15ECB">
            <w:pPr>
              <w:rPr>
                <w:b/>
              </w:rPr>
            </w:pPr>
          </w:p>
        </w:tc>
        <w:tc>
          <w:tcPr>
            <w:tcW w:w="2548" w:type="dxa"/>
            <w:tcBorders>
              <w:top w:val="nil"/>
            </w:tcBorders>
            <w:shd w:val="clear" w:color="auto" w:fill="FFFFFF" w:themeFill="background1"/>
          </w:tcPr>
          <w:p w14:paraId="0C3982B4" w14:textId="77777777" w:rsidR="00DD3EFA" w:rsidRPr="00EC2A1C" w:rsidRDefault="00DD3EFA" w:rsidP="00B15ECB">
            <w:pPr>
              <w:spacing w:before="60" w:after="60"/>
              <w:rPr>
                <w:rFonts w:eastAsiaTheme="majorEastAsia"/>
                <w:b/>
              </w:rPr>
            </w:pPr>
            <w:r w:rsidRPr="00EC2A1C">
              <w:rPr>
                <w:rFonts w:eastAsiaTheme="majorEastAsia"/>
                <w:b/>
              </w:rPr>
              <w:t>Unijní programy</w:t>
            </w:r>
          </w:p>
        </w:tc>
        <w:tc>
          <w:tcPr>
            <w:tcW w:w="5978" w:type="dxa"/>
            <w:tcBorders>
              <w:top w:val="nil"/>
            </w:tcBorders>
            <w:shd w:val="clear" w:color="auto" w:fill="FFFFFF" w:themeFill="background1"/>
          </w:tcPr>
          <w:p w14:paraId="1557FC4C" w14:textId="77777777" w:rsidR="00DD3EFA" w:rsidRPr="00EC2A1C" w:rsidRDefault="00DD3EFA" w:rsidP="00B15ECB">
            <w:pPr>
              <w:spacing w:before="60" w:after="60"/>
              <w:rPr>
                <w:rFonts w:eastAsiaTheme="majorEastAsia"/>
                <w:i/>
              </w:rPr>
            </w:pPr>
            <w:r w:rsidRPr="00EC2A1C">
              <w:rPr>
                <w:rFonts w:eastAsiaTheme="majorEastAsia"/>
              </w:rPr>
              <w:t>Oblast nelze podporovat z LIFE.</w:t>
            </w:r>
          </w:p>
        </w:tc>
        <w:tc>
          <w:tcPr>
            <w:tcW w:w="249" w:type="dxa"/>
            <w:tcBorders>
              <w:top w:val="nil"/>
              <w:bottom w:val="nil"/>
            </w:tcBorders>
            <w:shd w:val="clear" w:color="auto" w:fill="66CCFF"/>
          </w:tcPr>
          <w:p w14:paraId="6B76BF55" w14:textId="77777777" w:rsidR="00DD3EFA" w:rsidRPr="00EC2A1C" w:rsidRDefault="00DD3EFA" w:rsidP="00B15ECB">
            <w:pPr>
              <w:rPr>
                <w:b/>
              </w:rPr>
            </w:pPr>
          </w:p>
        </w:tc>
      </w:tr>
      <w:tr w:rsidR="00DD3EFA" w:rsidRPr="00EC2A1C" w14:paraId="198B86DE" w14:textId="77777777" w:rsidTr="00B15ECB">
        <w:trPr>
          <w:trHeight w:val="1968"/>
        </w:trPr>
        <w:tc>
          <w:tcPr>
            <w:tcW w:w="249" w:type="dxa"/>
            <w:tcBorders>
              <w:top w:val="nil"/>
              <w:bottom w:val="nil"/>
            </w:tcBorders>
            <w:shd w:val="clear" w:color="auto" w:fill="66CCFF"/>
          </w:tcPr>
          <w:p w14:paraId="4D7DC800" w14:textId="77777777" w:rsidR="00DD3EFA" w:rsidRPr="00EC2A1C" w:rsidRDefault="00DD3EFA" w:rsidP="00B15ECB">
            <w:pPr>
              <w:rPr>
                <w:b/>
              </w:rPr>
            </w:pPr>
          </w:p>
        </w:tc>
        <w:tc>
          <w:tcPr>
            <w:tcW w:w="2548" w:type="dxa"/>
            <w:tcBorders>
              <w:top w:val="nil"/>
            </w:tcBorders>
            <w:shd w:val="clear" w:color="auto" w:fill="FFFFFF" w:themeFill="background1"/>
          </w:tcPr>
          <w:p w14:paraId="6D6E9757" w14:textId="77777777" w:rsidR="00DD3EFA" w:rsidRPr="00EC2A1C" w:rsidRDefault="00DD3EFA" w:rsidP="00B15ECB">
            <w:pPr>
              <w:spacing w:before="60" w:after="60"/>
              <w:rPr>
                <w:rFonts w:eastAsiaTheme="majorEastAsia"/>
                <w:b/>
              </w:rPr>
            </w:pPr>
            <w:r w:rsidRPr="00EC2A1C">
              <w:rPr>
                <w:rFonts w:eastAsiaTheme="majorEastAsia"/>
                <w:b/>
              </w:rPr>
              <w:t>Státní rozpočet a další národní zdroje</w:t>
            </w:r>
          </w:p>
        </w:tc>
        <w:tc>
          <w:tcPr>
            <w:tcW w:w="5978" w:type="dxa"/>
            <w:tcBorders>
              <w:top w:val="nil"/>
            </w:tcBorders>
            <w:shd w:val="clear" w:color="auto" w:fill="FFFFFF" w:themeFill="background1"/>
          </w:tcPr>
          <w:p w14:paraId="46B0E1A9" w14:textId="77777777" w:rsidR="00DD3EFA" w:rsidRPr="00EC2A1C" w:rsidRDefault="00DD3EFA" w:rsidP="00B15ECB">
            <w:pPr>
              <w:spacing w:before="60" w:after="60"/>
              <w:rPr>
                <w:rFonts w:eastAsiaTheme="majorEastAsia"/>
              </w:rPr>
            </w:pPr>
            <w:r w:rsidRPr="00EC2A1C">
              <w:rPr>
                <w:rFonts w:eastAsiaTheme="majorEastAsia"/>
              </w:rPr>
              <w:t>Alterativními zdroji na spolufinancování investic by v omezené míře mohly být rozpočty krajů a měst.</w:t>
            </w:r>
          </w:p>
        </w:tc>
        <w:tc>
          <w:tcPr>
            <w:tcW w:w="249" w:type="dxa"/>
            <w:tcBorders>
              <w:top w:val="nil"/>
              <w:bottom w:val="nil"/>
            </w:tcBorders>
            <w:shd w:val="clear" w:color="auto" w:fill="66CCFF"/>
          </w:tcPr>
          <w:p w14:paraId="0ACDF062" w14:textId="77777777" w:rsidR="00DD3EFA" w:rsidRPr="00EC2A1C" w:rsidRDefault="00DD3EFA" w:rsidP="00B15ECB">
            <w:pPr>
              <w:rPr>
                <w:b/>
              </w:rPr>
            </w:pPr>
          </w:p>
        </w:tc>
      </w:tr>
      <w:tr w:rsidR="00DD3EFA" w:rsidRPr="00EC2A1C" w14:paraId="761134C4" w14:textId="77777777" w:rsidTr="00B15ECB">
        <w:trPr>
          <w:trHeight w:val="1968"/>
        </w:trPr>
        <w:tc>
          <w:tcPr>
            <w:tcW w:w="249" w:type="dxa"/>
            <w:tcBorders>
              <w:top w:val="nil"/>
              <w:bottom w:val="nil"/>
            </w:tcBorders>
            <w:shd w:val="clear" w:color="auto" w:fill="66CCFF"/>
          </w:tcPr>
          <w:p w14:paraId="18C1AD05" w14:textId="77777777" w:rsidR="00DD3EFA" w:rsidRPr="00EC2A1C" w:rsidRDefault="00DD3EFA" w:rsidP="00B15ECB">
            <w:pPr>
              <w:rPr>
                <w:b/>
              </w:rPr>
            </w:pPr>
          </w:p>
        </w:tc>
        <w:tc>
          <w:tcPr>
            <w:tcW w:w="2548" w:type="dxa"/>
            <w:tcBorders>
              <w:top w:val="nil"/>
            </w:tcBorders>
            <w:shd w:val="clear" w:color="auto" w:fill="FFFFFF" w:themeFill="background1"/>
          </w:tcPr>
          <w:p w14:paraId="59175F66" w14:textId="77777777" w:rsidR="00DD3EFA" w:rsidRPr="00EC2A1C" w:rsidRDefault="00DD3EFA" w:rsidP="00B15ECB">
            <w:pPr>
              <w:spacing w:before="60" w:after="60"/>
              <w:rPr>
                <w:rFonts w:eastAsiaTheme="majorEastAsia"/>
                <w:b/>
              </w:rPr>
            </w:pPr>
            <w:r w:rsidRPr="00EC2A1C">
              <w:rPr>
                <w:rFonts w:eastAsiaTheme="majorEastAsia"/>
                <w:b/>
              </w:rPr>
              <w:t>Další zdroje mimo veřejné rozpočty</w:t>
            </w:r>
          </w:p>
        </w:tc>
        <w:tc>
          <w:tcPr>
            <w:tcW w:w="5978" w:type="dxa"/>
            <w:tcBorders>
              <w:top w:val="nil"/>
            </w:tcBorders>
            <w:shd w:val="clear" w:color="auto" w:fill="FFFFFF" w:themeFill="background1"/>
          </w:tcPr>
          <w:p w14:paraId="70B3A9F0" w14:textId="77777777" w:rsidR="00DD3EFA" w:rsidRPr="00EC2A1C" w:rsidRDefault="00DD3EFA" w:rsidP="00B15ECB">
            <w:pPr>
              <w:spacing w:before="60" w:after="60"/>
              <w:rPr>
                <w:rFonts w:eastAsiaTheme="majorEastAsia"/>
                <w:i/>
              </w:rPr>
            </w:pPr>
            <w:r w:rsidRPr="00EC2A1C">
              <w:rPr>
                <w:rFonts w:eastAsiaTheme="majorEastAsia"/>
              </w:rPr>
              <w:t>Nepředpokládáme využití soukromých investic, protože se v případě environmentálního vzdělávání nejedná o ziskovou činnost</w:t>
            </w:r>
            <w:r w:rsidRPr="00EC2A1C">
              <w:rPr>
                <w:rFonts w:eastAsiaTheme="majorEastAsia"/>
                <w:i/>
              </w:rPr>
              <w:t>.</w:t>
            </w:r>
          </w:p>
        </w:tc>
        <w:tc>
          <w:tcPr>
            <w:tcW w:w="249" w:type="dxa"/>
            <w:tcBorders>
              <w:top w:val="nil"/>
              <w:bottom w:val="nil"/>
            </w:tcBorders>
            <w:shd w:val="clear" w:color="auto" w:fill="66CCFF"/>
          </w:tcPr>
          <w:p w14:paraId="378B4CE1" w14:textId="77777777" w:rsidR="00DD3EFA" w:rsidRPr="00EC2A1C" w:rsidRDefault="00DD3EFA" w:rsidP="00B15ECB">
            <w:pPr>
              <w:rPr>
                <w:b/>
              </w:rPr>
            </w:pPr>
          </w:p>
        </w:tc>
      </w:tr>
      <w:tr w:rsidR="00DD3EFA" w:rsidRPr="00EC2A1C" w14:paraId="044B4E30" w14:textId="77777777" w:rsidTr="00B15ECB">
        <w:trPr>
          <w:trHeight w:val="1968"/>
        </w:trPr>
        <w:tc>
          <w:tcPr>
            <w:tcW w:w="249" w:type="dxa"/>
            <w:tcBorders>
              <w:top w:val="nil"/>
              <w:bottom w:val="nil"/>
            </w:tcBorders>
            <w:shd w:val="clear" w:color="auto" w:fill="66CCFF"/>
          </w:tcPr>
          <w:p w14:paraId="0D224C07" w14:textId="77777777" w:rsidR="00DD3EFA" w:rsidRPr="00EC2A1C" w:rsidRDefault="00DD3EFA" w:rsidP="00B15ECB">
            <w:pPr>
              <w:rPr>
                <w:b/>
              </w:rPr>
            </w:pPr>
          </w:p>
        </w:tc>
        <w:tc>
          <w:tcPr>
            <w:tcW w:w="2548" w:type="dxa"/>
            <w:tcBorders>
              <w:top w:val="nil"/>
            </w:tcBorders>
            <w:shd w:val="clear" w:color="auto" w:fill="FFFFFF" w:themeFill="background1"/>
          </w:tcPr>
          <w:p w14:paraId="77CB4FBA" w14:textId="77777777" w:rsidR="00DD3EFA" w:rsidRPr="00EC2A1C" w:rsidRDefault="00DD3EFA" w:rsidP="00B15ECB">
            <w:pPr>
              <w:spacing w:before="60" w:after="60"/>
              <w:rPr>
                <w:rFonts w:eastAsiaTheme="majorEastAsia"/>
                <w:b/>
              </w:rPr>
            </w:pPr>
            <w:r w:rsidRPr="00EC2A1C">
              <w:rPr>
                <w:rFonts w:eastAsiaTheme="majorEastAsia"/>
                <w:b/>
              </w:rPr>
              <w:t>Možnost využití FN</w:t>
            </w:r>
          </w:p>
        </w:tc>
        <w:tc>
          <w:tcPr>
            <w:tcW w:w="5978" w:type="dxa"/>
            <w:tcBorders>
              <w:top w:val="nil"/>
            </w:tcBorders>
            <w:shd w:val="clear" w:color="auto" w:fill="FFFFFF" w:themeFill="background1"/>
          </w:tcPr>
          <w:p w14:paraId="4DBE92B2" w14:textId="77777777" w:rsidR="00DD3EFA" w:rsidRPr="00EC2A1C" w:rsidRDefault="00DD3EFA" w:rsidP="00B15ECB">
            <w:pPr>
              <w:spacing w:before="60" w:after="60"/>
              <w:rPr>
                <w:rFonts w:eastAsiaTheme="majorEastAsia"/>
              </w:rPr>
            </w:pPr>
            <w:r w:rsidRPr="00EC2A1C">
              <w:rPr>
                <w:rFonts w:eastAsiaTheme="majorEastAsia"/>
              </w:rPr>
              <w:t>Využití finančních nástrojů v oblasti EVVO není vhodné.</w:t>
            </w:r>
          </w:p>
        </w:tc>
        <w:tc>
          <w:tcPr>
            <w:tcW w:w="249" w:type="dxa"/>
            <w:tcBorders>
              <w:top w:val="nil"/>
              <w:bottom w:val="nil"/>
            </w:tcBorders>
            <w:shd w:val="clear" w:color="auto" w:fill="66CCFF"/>
          </w:tcPr>
          <w:p w14:paraId="230EA7E2" w14:textId="77777777" w:rsidR="00DD3EFA" w:rsidRPr="00EC2A1C" w:rsidRDefault="00DD3EFA" w:rsidP="00B15ECB">
            <w:pPr>
              <w:rPr>
                <w:b/>
              </w:rPr>
            </w:pPr>
          </w:p>
        </w:tc>
      </w:tr>
      <w:tr w:rsidR="00DD3EFA" w:rsidRPr="00EC2A1C" w14:paraId="4DF72509" w14:textId="77777777" w:rsidTr="00B15ECB">
        <w:trPr>
          <w:trHeight w:val="150"/>
        </w:trPr>
        <w:tc>
          <w:tcPr>
            <w:tcW w:w="249" w:type="dxa"/>
            <w:tcBorders>
              <w:top w:val="nil"/>
              <w:right w:val="nil"/>
            </w:tcBorders>
            <w:shd w:val="clear" w:color="auto" w:fill="66CCFF"/>
          </w:tcPr>
          <w:p w14:paraId="58034D0B" w14:textId="77777777" w:rsidR="00DD3EFA" w:rsidRPr="00EC2A1C" w:rsidRDefault="00DD3EFA" w:rsidP="00B15ECB">
            <w:pPr>
              <w:rPr>
                <w:b/>
              </w:rPr>
            </w:pPr>
          </w:p>
        </w:tc>
        <w:tc>
          <w:tcPr>
            <w:tcW w:w="2548" w:type="dxa"/>
            <w:tcBorders>
              <w:left w:val="nil"/>
              <w:right w:val="nil"/>
            </w:tcBorders>
            <w:shd w:val="clear" w:color="auto" w:fill="66CCFF"/>
          </w:tcPr>
          <w:p w14:paraId="11AF9563" w14:textId="77777777" w:rsidR="00DD3EFA" w:rsidRPr="00EC2A1C" w:rsidRDefault="00DD3EFA" w:rsidP="00B15ECB">
            <w:pPr>
              <w:rPr>
                <w:b/>
              </w:rPr>
            </w:pPr>
          </w:p>
        </w:tc>
        <w:tc>
          <w:tcPr>
            <w:tcW w:w="5978" w:type="dxa"/>
            <w:tcBorders>
              <w:left w:val="nil"/>
              <w:right w:val="nil"/>
            </w:tcBorders>
            <w:shd w:val="clear" w:color="auto" w:fill="66CCFF"/>
          </w:tcPr>
          <w:p w14:paraId="1802AA25" w14:textId="77777777" w:rsidR="00DD3EFA" w:rsidRPr="00EC2A1C" w:rsidRDefault="00DD3EFA" w:rsidP="00B15ECB">
            <w:pPr>
              <w:rPr>
                <w:b/>
              </w:rPr>
            </w:pPr>
          </w:p>
        </w:tc>
        <w:tc>
          <w:tcPr>
            <w:tcW w:w="249" w:type="dxa"/>
            <w:tcBorders>
              <w:top w:val="nil"/>
              <w:left w:val="nil"/>
            </w:tcBorders>
            <w:shd w:val="clear" w:color="auto" w:fill="66CCFF"/>
          </w:tcPr>
          <w:p w14:paraId="3946033E" w14:textId="77777777" w:rsidR="00DD3EFA" w:rsidRPr="00EC2A1C" w:rsidRDefault="00DD3EFA" w:rsidP="00B15ECB">
            <w:pPr>
              <w:rPr>
                <w:b/>
              </w:rPr>
            </w:pPr>
          </w:p>
        </w:tc>
      </w:tr>
    </w:tbl>
    <w:p w14:paraId="1D549700" w14:textId="77777777" w:rsidR="00DD3EFA" w:rsidRPr="002D2123" w:rsidRDefault="00DD3EFA" w:rsidP="00B15ECB">
      <w:pPr>
        <w:rPr>
          <w:rFonts w:ascii="Times New Roman" w:hAnsi="Times New Roman" w:cs="Times New Roman"/>
          <w:b/>
        </w:rPr>
      </w:pPr>
    </w:p>
    <w:p w14:paraId="51318E7A" w14:textId="77777777" w:rsidR="00DD3EFA" w:rsidRPr="002D2123" w:rsidRDefault="00DD3EFA">
      <w:pPr>
        <w:rPr>
          <w:rFonts w:ascii="Times New Roman" w:hAnsi="Times New Roman" w:cs="Times New Roman"/>
        </w:rPr>
      </w:pPr>
      <w:r w:rsidRPr="002D2123">
        <w:rPr>
          <w:rFonts w:ascii="Times New Roman" w:hAnsi="Times New Roman" w:cs="Times New Roman"/>
        </w:rPr>
        <w:br w:type="page"/>
      </w:r>
    </w:p>
    <w:p w14:paraId="7533AFFD" w14:textId="77777777" w:rsidR="00D762E9" w:rsidRPr="002D2123" w:rsidRDefault="00D762E9" w:rsidP="00F24899">
      <w:pPr>
        <w:pStyle w:val="Nadpis1"/>
        <w:numPr>
          <w:ilvl w:val="0"/>
          <w:numId w:val="1"/>
        </w:numPr>
        <w:ind w:left="584" w:hanging="357"/>
        <w:rPr>
          <w:rFonts w:ascii="Times New Roman" w:hAnsi="Times New Roman" w:cs="Times New Roman"/>
        </w:rPr>
      </w:pPr>
      <w:bookmarkStart w:id="46" w:name="_Toc9511889"/>
      <w:r w:rsidRPr="002D2123">
        <w:rPr>
          <w:rFonts w:ascii="Times New Roman" w:hAnsi="Times New Roman" w:cs="Times New Roman"/>
        </w:rPr>
        <w:t>Zkvalitňování veřejných prostranství a rozvoj zelené infrastruktury</w:t>
      </w:r>
      <w:bookmarkEnd w:id="46"/>
    </w:p>
    <w:tbl>
      <w:tblPr>
        <w:tblStyle w:val="Mkatabulky"/>
        <w:tblW w:w="0" w:type="auto"/>
        <w:tblInd w:w="-5" w:type="dxa"/>
        <w:shd w:val="clear" w:color="auto" w:fill="C7ECF1"/>
        <w:tblLayout w:type="fixed"/>
        <w:tblLook w:val="04A0" w:firstRow="1" w:lastRow="0" w:firstColumn="1" w:lastColumn="0" w:noHBand="0" w:noVBand="1"/>
      </w:tblPr>
      <w:tblGrid>
        <w:gridCol w:w="249"/>
        <w:gridCol w:w="2445"/>
        <w:gridCol w:w="5942"/>
        <w:gridCol w:w="36"/>
        <w:gridCol w:w="213"/>
        <w:gridCol w:w="38"/>
      </w:tblGrid>
      <w:tr w:rsidR="00DD3EFA" w:rsidRPr="00EC2A1C" w14:paraId="1E1B625D" w14:textId="77777777" w:rsidTr="00B15ECB">
        <w:trPr>
          <w:trHeight w:val="180"/>
        </w:trPr>
        <w:tc>
          <w:tcPr>
            <w:tcW w:w="249" w:type="dxa"/>
            <w:tcBorders>
              <w:bottom w:val="nil"/>
              <w:right w:val="nil"/>
            </w:tcBorders>
            <w:shd w:val="clear" w:color="auto" w:fill="66CCFF"/>
          </w:tcPr>
          <w:p w14:paraId="5AF37CA9" w14:textId="77777777" w:rsidR="00DD3EFA" w:rsidRPr="00EC2A1C" w:rsidRDefault="00DD3EFA" w:rsidP="00B15ECB">
            <w:pPr>
              <w:rPr>
                <w:b/>
              </w:rPr>
            </w:pPr>
          </w:p>
        </w:tc>
        <w:tc>
          <w:tcPr>
            <w:tcW w:w="2445" w:type="dxa"/>
            <w:tcBorders>
              <w:left w:val="nil"/>
              <w:right w:val="nil"/>
            </w:tcBorders>
            <w:shd w:val="clear" w:color="auto" w:fill="66CCFF"/>
          </w:tcPr>
          <w:p w14:paraId="4A02540F" w14:textId="77777777" w:rsidR="00DD3EFA" w:rsidRPr="00EC2A1C" w:rsidRDefault="00DD3EFA" w:rsidP="00B15ECB">
            <w:pPr>
              <w:rPr>
                <w:b/>
              </w:rPr>
            </w:pPr>
          </w:p>
        </w:tc>
        <w:tc>
          <w:tcPr>
            <w:tcW w:w="5978" w:type="dxa"/>
            <w:gridSpan w:val="2"/>
            <w:tcBorders>
              <w:left w:val="nil"/>
              <w:right w:val="nil"/>
            </w:tcBorders>
            <w:shd w:val="clear" w:color="auto" w:fill="66CCFF"/>
          </w:tcPr>
          <w:p w14:paraId="565F962B" w14:textId="77777777" w:rsidR="00DD3EFA" w:rsidRPr="00EC2A1C" w:rsidRDefault="00DD3EFA" w:rsidP="00B15ECB">
            <w:pPr>
              <w:rPr>
                <w:b/>
              </w:rPr>
            </w:pPr>
          </w:p>
        </w:tc>
        <w:tc>
          <w:tcPr>
            <w:tcW w:w="249" w:type="dxa"/>
            <w:gridSpan w:val="2"/>
            <w:tcBorders>
              <w:left w:val="nil"/>
              <w:bottom w:val="nil"/>
            </w:tcBorders>
            <w:shd w:val="clear" w:color="auto" w:fill="66CCFF"/>
          </w:tcPr>
          <w:p w14:paraId="2C10DDD8" w14:textId="77777777" w:rsidR="00DD3EFA" w:rsidRPr="00EC2A1C" w:rsidRDefault="00DD3EFA" w:rsidP="00B15ECB">
            <w:pPr>
              <w:rPr>
                <w:b/>
              </w:rPr>
            </w:pPr>
          </w:p>
        </w:tc>
      </w:tr>
      <w:tr w:rsidR="00DD3EFA" w:rsidRPr="00EC2A1C" w14:paraId="0723D92C" w14:textId="77777777" w:rsidTr="00B15ECB">
        <w:trPr>
          <w:trHeight w:val="561"/>
        </w:trPr>
        <w:tc>
          <w:tcPr>
            <w:tcW w:w="249" w:type="dxa"/>
            <w:tcBorders>
              <w:top w:val="nil"/>
              <w:bottom w:val="nil"/>
            </w:tcBorders>
            <w:shd w:val="clear" w:color="auto" w:fill="66CCFF"/>
          </w:tcPr>
          <w:p w14:paraId="1B995AC9" w14:textId="77777777" w:rsidR="00DD3EFA" w:rsidRPr="00EC2A1C" w:rsidRDefault="00DD3EFA" w:rsidP="00B15ECB">
            <w:pPr>
              <w:rPr>
                <w:b/>
              </w:rPr>
            </w:pPr>
          </w:p>
        </w:tc>
        <w:tc>
          <w:tcPr>
            <w:tcW w:w="2445" w:type="dxa"/>
            <w:shd w:val="clear" w:color="auto" w:fill="0070C0"/>
          </w:tcPr>
          <w:p w14:paraId="653C920E"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rPr>
              <w:t>Strategický cíl NKR:</w:t>
            </w:r>
            <w:r w:rsidRPr="00EC2A1C">
              <w:rPr>
                <w:b/>
                <w:color w:val="FFFFFF" w:themeColor="background1"/>
              </w:rPr>
              <w:t xml:space="preserve"> Udržitelný a integrovaný rozvoj městských a venkovských oblastí</w:t>
            </w:r>
          </w:p>
        </w:tc>
        <w:tc>
          <w:tcPr>
            <w:tcW w:w="5978" w:type="dxa"/>
            <w:gridSpan w:val="2"/>
            <w:shd w:val="clear" w:color="auto" w:fill="0070C0"/>
          </w:tcPr>
          <w:p w14:paraId="5FBC1666"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57"/>
            </w:r>
            <w:r w:rsidRPr="00EC2A1C">
              <w:rPr>
                <w:rFonts w:eastAsiaTheme="majorEastAsia"/>
                <w:b/>
                <w:color w:val="FFFFFF" w:themeColor="background1"/>
                <w:u w:val="single"/>
              </w:rPr>
              <w:t>: Zkvalitňování veřejných prostranství a rozvoj zelené infrastruktury</w:t>
            </w:r>
          </w:p>
        </w:tc>
        <w:tc>
          <w:tcPr>
            <w:tcW w:w="249" w:type="dxa"/>
            <w:gridSpan w:val="2"/>
            <w:tcBorders>
              <w:top w:val="nil"/>
              <w:bottom w:val="nil"/>
            </w:tcBorders>
            <w:shd w:val="clear" w:color="auto" w:fill="66CCFF"/>
          </w:tcPr>
          <w:p w14:paraId="1580BEC9" w14:textId="77777777" w:rsidR="00DD3EFA" w:rsidRPr="00EC2A1C" w:rsidRDefault="00DD3EFA" w:rsidP="00B15ECB">
            <w:pPr>
              <w:rPr>
                <w:b/>
              </w:rPr>
            </w:pPr>
          </w:p>
        </w:tc>
      </w:tr>
      <w:tr w:rsidR="00DD3EFA" w:rsidRPr="00EC2A1C" w14:paraId="3D7300BD" w14:textId="77777777" w:rsidTr="00B15ECB">
        <w:trPr>
          <w:trHeight w:val="180"/>
        </w:trPr>
        <w:tc>
          <w:tcPr>
            <w:tcW w:w="249" w:type="dxa"/>
            <w:tcBorders>
              <w:top w:val="nil"/>
              <w:bottom w:val="nil"/>
              <w:right w:val="nil"/>
            </w:tcBorders>
            <w:shd w:val="clear" w:color="auto" w:fill="66CCFF"/>
          </w:tcPr>
          <w:p w14:paraId="054F30A6" w14:textId="77777777" w:rsidR="00DD3EFA" w:rsidRPr="00EC2A1C" w:rsidRDefault="00DD3EFA" w:rsidP="00B15ECB">
            <w:pPr>
              <w:rPr>
                <w:b/>
              </w:rPr>
            </w:pPr>
          </w:p>
        </w:tc>
        <w:tc>
          <w:tcPr>
            <w:tcW w:w="2445" w:type="dxa"/>
            <w:tcBorders>
              <w:left w:val="nil"/>
              <w:right w:val="nil"/>
            </w:tcBorders>
            <w:shd w:val="clear" w:color="auto" w:fill="66CCFF"/>
          </w:tcPr>
          <w:p w14:paraId="4A0A049B" w14:textId="77777777" w:rsidR="00DD3EFA" w:rsidRPr="00EC2A1C" w:rsidRDefault="00DD3EFA" w:rsidP="00B15ECB">
            <w:pPr>
              <w:rPr>
                <w:b/>
              </w:rPr>
            </w:pPr>
          </w:p>
        </w:tc>
        <w:tc>
          <w:tcPr>
            <w:tcW w:w="5978" w:type="dxa"/>
            <w:gridSpan w:val="2"/>
            <w:tcBorders>
              <w:left w:val="nil"/>
              <w:right w:val="nil"/>
            </w:tcBorders>
            <w:shd w:val="clear" w:color="auto" w:fill="66CCFF"/>
          </w:tcPr>
          <w:p w14:paraId="7D5F7FE7" w14:textId="77777777" w:rsidR="00DD3EFA" w:rsidRPr="00EC2A1C" w:rsidRDefault="00DD3EFA" w:rsidP="00B15ECB">
            <w:pPr>
              <w:rPr>
                <w:b/>
              </w:rPr>
            </w:pPr>
          </w:p>
        </w:tc>
        <w:tc>
          <w:tcPr>
            <w:tcW w:w="249" w:type="dxa"/>
            <w:gridSpan w:val="2"/>
            <w:tcBorders>
              <w:top w:val="nil"/>
              <w:left w:val="nil"/>
              <w:bottom w:val="nil"/>
            </w:tcBorders>
            <w:shd w:val="clear" w:color="auto" w:fill="66CCFF"/>
          </w:tcPr>
          <w:p w14:paraId="53BAB9B4" w14:textId="77777777" w:rsidR="00DD3EFA" w:rsidRPr="00EC2A1C" w:rsidRDefault="00DD3EFA" w:rsidP="00B15ECB">
            <w:pPr>
              <w:rPr>
                <w:b/>
              </w:rPr>
            </w:pPr>
          </w:p>
        </w:tc>
      </w:tr>
      <w:tr w:rsidR="00DD3EFA" w:rsidRPr="00EC2A1C" w14:paraId="2A420AE0" w14:textId="77777777" w:rsidTr="00B15ECB">
        <w:trPr>
          <w:trHeight w:val="892"/>
        </w:trPr>
        <w:tc>
          <w:tcPr>
            <w:tcW w:w="249" w:type="dxa"/>
            <w:tcBorders>
              <w:top w:val="nil"/>
              <w:bottom w:val="nil"/>
            </w:tcBorders>
            <w:shd w:val="clear" w:color="auto" w:fill="66CCFF"/>
          </w:tcPr>
          <w:p w14:paraId="7FF01E09" w14:textId="77777777" w:rsidR="00DD3EFA" w:rsidRPr="00EC2A1C" w:rsidRDefault="00DD3EFA" w:rsidP="00B15ECB">
            <w:pPr>
              <w:rPr>
                <w:b/>
              </w:rPr>
            </w:pPr>
          </w:p>
        </w:tc>
        <w:tc>
          <w:tcPr>
            <w:tcW w:w="2445" w:type="dxa"/>
            <w:shd w:val="clear" w:color="auto" w:fill="FFFFFF" w:themeFill="background1"/>
          </w:tcPr>
          <w:p w14:paraId="39BD3522"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gridSpan w:val="2"/>
            <w:shd w:val="clear" w:color="auto" w:fill="FFFFFF" w:themeFill="background1"/>
          </w:tcPr>
          <w:p w14:paraId="2AAC288D" w14:textId="77777777" w:rsidR="00DD3EFA" w:rsidRPr="00EC2A1C" w:rsidRDefault="00DD3EFA" w:rsidP="00B15ECB">
            <w:pPr>
              <w:spacing w:before="60" w:after="60"/>
              <w:rPr>
                <w:u w:val="single"/>
              </w:rPr>
            </w:pPr>
            <w:r w:rsidRPr="00EC2A1C">
              <w:rPr>
                <w:u w:val="single"/>
              </w:rPr>
              <w:t>Zkvalitňování veřejných prostranství v obcích a městech včetně zelené infrastruktury představuje následujcí:</w:t>
            </w:r>
          </w:p>
          <w:p w14:paraId="299C82D7" w14:textId="77777777" w:rsidR="00DD3EFA" w:rsidRPr="00EC2A1C" w:rsidRDefault="00DD3EFA" w:rsidP="00B15ECB">
            <w:pPr>
              <w:spacing w:before="60" w:after="60"/>
            </w:pPr>
          </w:p>
          <w:p w14:paraId="74542EDF" w14:textId="77777777" w:rsidR="00DD3EFA" w:rsidRPr="00EC2A1C" w:rsidRDefault="00DD3EFA" w:rsidP="00B15ECB">
            <w:pPr>
              <w:spacing w:before="60" w:after="60"/>
            </w:pPr>
            <w:r w:rsidRPr="00EC2A1C">
              <w:t>Cílem je dosáhnout zlepšení kvality života ve sdíleném veřejném prostoru ve městech a obcích ČR za pomoci zkvalitňování veřejných prostranství.</w:t>
            </w:r>
          </w:p>
          <w:p w14:paraId="5C9706C3" w14:textId="77777777" w:rsidR="00DD3EFA" w:rsidRPr="00EC2A1C" w:rsidRDefault="00DD3EFA" w:rsidP="00B15ECB">
            <w:pPr>
              <w:spacing w:before="60" w:after="60"/>
            </w:pPr>
          </w:p>
          <w:p w14:paraId="28EB5A75" w14:textId="77777777" w:rsidR="00DD3EFA" w:rsidRPr="00EC2A1C" w:rsidRDefault="00DD3EFA" w:rsidP="00B15ECB">
            <w:pPr>
              <w:spacing w:before="60" w:after="60"/>
            </w:pPr>
            <w:r w:rsidRPr="00EC2A1C">
              <w:t>A to prostřednictvím:</w:t>
            </w:r>
          </w:p>
          <w:p w14:paraId="67F9F864" w14:textId="77777777" w:rsidR="00DD3EFA" w:rsidRPr="00EC2A1C" w:rsidRDefault="00DD3EFA" w:rsidP="00391907">
            <w:pPr>
              <w:pStyle w:val="Odstavecseseznamem"/>
              <w:numPr>
                <w:ilvl w:val="0"/>
                <w:numId w:val="132"/>
              </w:numPr>
              <w:spacing w:before="60" w:after="60"/>
              <w:ind w:left="211" w:hanging="211"/>
            </w:pPr>
            <w:r w:rsidRPr="00EC2A1C">
              <w:t>Realizace revitalizací, případně zakládání nových, veřejných prostranství, včetně dílčích úprav zlepšujících výrazně jejich bezbariérovost a mikroklima za pomocí zelené infrastruktury.</w:t>
            </w:r>
          </w:p>
          <w:p w14:paraId="7BBB15E0" w14:textId="77777777" w:rsidR="00DD3EFA" w:rsidRPr="00EC2A1C" w:rsidRDefault="00DD3EFA" w:rsidP="00B15ECB">
            <w:pPr>
              <w:spacing w:before="60" w:after="60"/>
            </w:pPr>
          </w:p>
          <w:p w14:paraId="534334C0" w14:textId="77777777" w:rsidR="00DD3EFA" w:rsidRPr="00EC2A1C" w:rsidRDefault="00DD3EFA" w:rsidP="00B15ECB">
            <w:pPr>
              <w:spacing w:before="60" w:after="60"/>
            </w:pPr>
            <w:r w:rsidRPr="00EC2A1C">
              <w:t>B) zpracováním podkladových územních studií, které dokážou řešit multioborovou problematiku veřejných prostranství (doprava, architektura, zeleň).</w:t>
            </w:r>
          </w:p>
          <w:p w14:paraId="544B85B0" w14:textId="77777777" w:rsidR="00DD3EFA" w:rsidRPr="00EC2A1C" w:rsidRDefault="00DD3EFA" w:rsidP="00B15ECB">
            <w:pPr>
              <w:spacing w:before="60" w:after="60"/>
            </w:pPr>
            <w:r w:rsidRPr="00EC2A1C">
              <w:t>Tyto územní studie budou řešit komplexně a integrovaně naráz následující témata:</w:t>
            </w:r>
          </w:p>
          <w:p w14:paraId="705485E7" w14:textId="77777777" w:rsidR="00DD3EFA" w:rsidRPr="00EC2A1C" w:rsidRDefault="00DD3EFA" w:rsidP="00391907">
            <w:pPr>
              <w:pStyle w:val="Odstavecseseznamem"/>
              <w:numPr>
                <w:ilvl w:val="0"/>
                <w:numId w:val="131"/>
              </w:numPr>
              <w:spacing w:before="60" w:after="60"/>
            </w:pPr>
            <w:r w:rsidRPr="00EC2A1C">
              <w:t>Udržitelný rozvoj území;</w:t>
            </w:r>
          </w:p>
          <w:p w14:paraId="75A1EE5E" w14:textId="77777777" w:rsidR="00DD3EFA" w:rsidRPr="00EC2A1C" w:rsidRDefault="00DD3EFA" w:rsidP="00391907">
            <w:pPr>
              <w:pStyle w:val="Odstavecseseznamem"/>
              <w:numPr>
                <w:ilvl w:val="0"/>
                <w:numId w:val="131"/>
              </w:numPr>
              <w:spacing w:before="60" w:after="60"/>
            </w:pPr>
            <w:r w:rsidRPr="00EC2A1C">
              <w:t xml:space="preserve">Koncepční rozvoj veřejných prostranství, zelené infrastruktury a ekosystémových služeb, které zelená infrastruktura poskytuje; </w:t>
            </w:r>
          </w:p>
          <w:p w14:paraId="60428B4D" w14:textId="77777777" w:rsidR="00DD3EFA" w:rsidRPr="00EC2A1C" w:rsidRDefault="00DD3EFA" w:rsidP="00391907">
            <w:pPr>
              <w:pStyle w:val="Odstavecseseznamem"/>
              <w:numPr>
                <w:ilvl w:val="0"/>
                <w:numId w:val="131"/>
              </w:numPr>
              <w:spacing w:before="60" w:after="60"/>
            </w:pPr>
            <w:r w:rsidRPr="00EC2A1C">
              <w:t>Adaptaci na klimatickou změnu a její průvodní projevy;</w:t>
            </w:r>
          </w:p>
          <w:p w14:paraId="73E6EC40" w14:textId="77777777" w:rsidR="00DD3EFA" w:rsidRPr="00EC2A1C" w:rsidRDefault="00DD3EFA" w:rsidP="00391907">
            <w:pPr>
              <w:pStyle w:val="Odstavecseseznamem"/>
              <w:numPr>
                <w:ilvl w:val="0"/>
                <w:numId w:val="131"/>
              </w:numPr>
              <w:spacing w:before="60" w:after="60"/>
            </w:pPr>
            <w:r w:rsidRPr="00EC2A1C">
              <w:t xml:space="preserve">Zlepšení stavu krajiny prostřednictvím rozvoje zelené infrastruktury; </w:t>
            </w:r>
          </w:p>
          <w:p w14:paraId="7D0246F0" w14:textId="77777777" w:rsidR="00DD3EFA" w:rsidRPr="00EC2A1C" w:rsidRDefault="00DD3EFA" w:rsidP="00391907">
            <w:pPr>
              <w:pStyle w:val="Odstavecseseznamem"/>
              <w:numPr>
                <w:ilvl w:val="0"/>
                <w:numId w:val="131"/>
              </w:numPr>
              <w:spacing w:before="60" w:after="60"/>
            </w:pPr>
            <w:r w:rsidRPr="00EC2A1C">
              <w:t>Ochranu a rozvoj přírodních, kulturních, historických a estetických hodnot městských i venkovských území;</w:t>
            </w:r>
          </w:p>
          <w:p w14:paraId="5B685069" w14:textId="77777777" w:rsidR="00DD3EFA" w:rsidRPr="00EC2A1C" w:rsidRDefault="00DD3EFA" w:rsidP="00B15ECB">
            <w:pPr>
              <w:spacing w:before="60" w:after="60"/>
              <w:rPr>
                <w:u w:val="single"/>
              </w:rPr>
            </w:pPr>
          </w:p>
        </w:tc>
        <w:tc>
          <w:tcPr>
            <w:tcW w:w="249" w:type="dxa"/>
            <w:gridSpan w:val="2"/>
            <w:tcBorders>
              <w:top w:val="nil"/>
              <w:bottom w:val="nil"/>
            </w:tcBorders>
            <w:shd w:val="clear" w:color="auto" w:fill="66CCFF"/>
          </w:tcPr>
          <w:p w14:paraId="4BE1A349" w14:textId="77777777" w:rsidR="00DD3EFA" w:rsidRPr="00EC2A1C" w:rsidRDefault="00DD3EFA" w:rsidP="00B15ECB">
            <w:pPr>
              <w:rPr>
                <w:b/>
              </w:rPr>
            </w:pPr>
          </w:p>
        </w:tc>
      </w:tr>
      <w:tr w:rsidR="00DD3EFA" w:rsidRPr="00EC2A1C" w14:paraId="28B9F84C" w14:textId="77777777" w:rsidTr="00B15ECB">
        <w:trPr>
          <w:trHeight w:val="46"/>
        </w:trPr>
        <w:tc>
          <w:tcPr>
            <w:tcW w:w="249" w:type="dxa"/>
            <w:tcBorders>
              <w:top w:val="nil"/>
              <w:bottom w:val="nil"/>
              <w:right w:val="nil"/>
            </w:tcBorders>
            <w:shd w:val="clear" w:color="auto" w:fill="66CCFF"/>
          </w:tcPr>
          <w:p w14:paraId="42A807AB" w14:textId="77777777" w:rsidR="00DD3EFA" w:rsidRPr="00EC2A1C" w:rsidRDefault="00DD3EFA" w:rsidP="00B15ECB">
            <w:pPr>
              <w:rPr>
                <w:b/>
              </w:rPr>
            </w:pPr>
          </w:p>
        </w:tc>
        <w:tc>
          <w:tcPr>
            <w:tcW w:w="2445" w:type="dxa"/>
            <w:tcBorders>
              <w:left w:val="nil"/>
              <w:bottom w:val="single" w:sz="4" w:space="0" w:color="auto"/>
              <w:right w:val="nil"/>
            </w:tcBorders>
            <w:shd w:val="clear" w:color="auto" w:fill="66CCFF"/>
          </w:tcPr>
          <w:p w14:paraId="433B1239" w14:textId="77777777" w:rsidR="00DD3EFA" w:rsidRPr="00EC2A1C" w:rsidRDefault="00DD3EFA" w:rsidP="00B15ECB">
            <w:pPr>
              <w:rPr>
                <w:b/>
              </w:rPr>
            </w:pPr>
          </w:p>
        </w:tc>
        <w:tc>
          <w:tcPr>
            <w:tcW w:w="5978" w:type="dxa"/>
            <w:gridSpan w:val="2"/>
            <w:tcBorders>
              <w:left w:val="nil"/>
              <w:bottom w:val="single" w:sz="4" w:space="0" w:color="auto"/>
              <w:right w:val="nil"/>
            </w:tcBorders>
            <w:shd w:val="clear" w:color="auto" w:fill="66CCFF"/>
          </w:tcPr>
          <w:p w14:paraId="4C36EC26" w14:textId="77777777" w:rsidR="00DD3EFA" w:rsidRPr="00EC2A1C" w:rsidRDefault="00DD3EFA" w:rsidP="00B15ECB">
            <w:pPr>
              <w:rPr>
                <w:b/>
              </w:rPr>
            </w:pPr>
          </w:p>
        </w:tc>
        <w:tc>
          <w:tcPr>
            <w:tcW w:w="249" w:type="dxa"/>
            <w:gridSpan w:val="2"/>
            <w:tcBorders>
              <w:top w:val="nil"/>
              <w:left w:val="nil"/>
              <w:bottom w:val="nil"/>
            </w:tcBorders>
            <w:shd w:val="clear" w:color="auto" w:fill="66CCFF"/>
          </w:tcPr>
          <w:p w14:paraId="720E46AB" w14:textId="77777777" w:rsidR="00DD3EFA" w:rsidRPr="00EC2A1C" w:rsidRDefault="00DD3EFA" w:rsidP="00B15ECB">
            <w:pPr>
              <w:rPr>
                <w:b/>
              </w:rPr>
            </w:pPr>
          </w:p>
        </w:tc>
      </w:tr>
      <w:tr w:rsidR="00DD3EFA" w:rsidRPr="00EC2A1C" w14:paraId="5ED71A03" w14:textId="77777777" w:rsidTr="00B15ECB">
        <w:trPr>
          <w:trHeight w:val="1274"/>
        </w:trPr>
        <w:tc>
          <w:tcPr>
            <w:tcW w:w="249" w:type="dxa"/>
            <w:tcBorders>
              <w:top w:val="nil"/>
              <w:bottom w:val="nil"/>
            </w:tcBorders>
            <w:shd w:val="clear" w:color="auto" w:fill="66CCFF"/>
          </w:tcPr>
          <w:p w14:paraId="01773DED"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568F570E"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gridSpan w:val="2"/>
            <w:tcBorders>
              <w:bottom w:val="single" w:sz="4" w:space="0" w:color="auto"/>
            </w:tcBorders>
            <w:shd w:val="clear" w:color="auto" w:fill="FFFFFF" w:themeFill="background1"/>
          </w:tcPr>
          <w:p w14:paraId="540BA980" w14:textId="6FBE9985" w:rsidR="00DD3EFA" w:rsidRPr="00EC2A1C" w:rsidRDefault="00DD3EFA" w:rsidP="00B15ECB">
            <w:pPr>
              <w:spacing w:before="60" w:after="60"/>
              <w:rPr>
                <w:rFonts w:eastAsiaTheme="majorEastAsia"/>
              </w:rPr>
            </w:pPr>
            <w:r w:rsidRPr="00EC2A1C">
              <w:rPr>
                <w:rFonts w:eastAsiaTheme="majorEastAsia"/>
              </w:rPr>
              <w:t>Udržitelný rozvoj území, založený na vyváženém vztahu jeho pilířů (environmentálního, hospodářskéh</w:t>
            </w:r>
            <w:r w:rsidR="00F87180" w:rsidRPr="00EC2A1C">
              <w:rPr>
                <w:rFonts w:eastAsiaTheme="majorEastAsia"/>
              </w:rPr>
              <w:t xml:space="preserve">o a společenského), uspokojuje </w:t>
            </w:r>
            <w:r w:rsidRPr="00EC2A1C">
              <w:rPr>
                <w:rFonts w:eastAsiaTheme="majorEastAsia"/>
              </w:rPr>
              <w:t xml:space="preserve">potřeby současné generace, aniž by ohrožoval podmínky života generací budoucích. </w:t>
            </w:r>
          </w:p>
          <w:p w14:paraId="5E726AA4" w14:textId="78665DAE" w:rsidR="00DD3EFA" w:rsidRPr="00EC2A1C" w:rsidRDefault="00DD3EFA" w:rsidP="00B15ECB">
            <w:pPr>
              <w:spacing w:before="60" w:after="60"/>
              <w:rPr>
                <w:rFonts w:eastAsiaTheme="majorEastAsia"/>
              </w:rPr>
            </w:pPr>
            <w:r w:rsidRPr="00EC2A1C">
              <w:rPr>
                <w:rFonts w:eastAsiaTheme="majorEastAsia"/>
                <w:b/>
              </w:rPr>
              <w:t>Veřejná prostranství jsou součástí základní struktury měst a obcí a podílejí se na jejich celkové obytné kvalitě, která je prioritní funkcí veřejného prostoru.</w:t>
            </w:r>
            <w:r w:rsidRPr="00EC2A1C">
              <w:rPr>
                <w:rFonts w:eastAsiaTheme="majorEastAsia"/>
              </w:rPr>
              <w:t xml:space="preserve"> Veřejná prostranství mají přispívat k existenci kvalitního obytného prostředí, mezi jehož hlavní charakteristiky patří bezpečnost, dostupnost, zdravé životní prostředí a celková přitažlivost pro rezidenty i návštěvníky. Veřejná prostředí se při zohled</w:t>
            </w:r>
            <w:r w:rsidR="00F87180" w:rsidRPr="00EC2A1C">
              <w:rPr>
                <w:rFonts w:eastAsiaTheme="majorEastAsia"/>
              </w:rPr>
              <w:t xml:space="preserve">nění těchto zásad podílejí m.j. </w:t>
            </w:r>
            <w:r w:rsidRPr="00EC2A1C">
              <w:rPr>
                <w:rFonts w:eastAsiaTheme="majorEastAsia"/>
              </w:rPr>
              <w:t>na zvyšování atraktivity okolního prostředí a omezování negativních vlivů klimatické změny v městském a vesnickém prostředí. Také umožňují setkávání lidí, vzájemnou komunikaci a vytváří prostor pro společenské, kulturní, relaxační i ekonomické aktivity. Řešení veřejných prostranství ovlivňuje všechny tři pilíře udržitelného rozvoje území (environmentální, ekonomický i společenský).</w:t>
            </w:r>
          </w:p>
          <w:p w14:paraId="6671F8EE" w14:textId="77777777" w:rsidR="00DD3EFA" w:rsidRPr="00EC2A1C" w:rsidRDefault="00DD3EFA" w:rsidP="00B15ECB">
            <w:pPr>
              <w:spacing w:before="60" w:after="60"/>
              <w:rPr>
                <w:rFonts w:eastAsiaTheme="majorEastAsia"/>
              </w:rPr>
            </w:pPr>
          </w:p>
          <w:p w14:paraId="3D67BD1E" w14:textId="77777777" w:rsidR="00DD3EFA" w:rsidRPr="00EC2A1C" w:rsidRDefault="00DD3EFA" w:rsidP="00B15ECB">
            <w:pPr>
              <w:spacing w:before="60" w:after="60"/>
              <w:rPr>
                <w:rFonts w:eastAsiaTheme="majorEastAsia"/>
              </w:rPr>
            </w:pPr>
            <w:r w:rsidRPr="00EC2A1C">
              <w:rPr>
                <w:rFonts w:eastAsiaTheme="majorEastAsia"/>
                <w:b/>
              </w:rPr>
              <w:t>Zelená infrastruktura je chápána jako zastřešující nástroj v politice ochrany ekosystémových služeb a udržitelného rozvoje na úrovni EU.</w:t>
            </w:r>
            <w:r w:rsidRPr="00EC2A1C">
              <w:rPr>
                <w:rFonts w:eastAsiaTheme="majorEastAsia"/>
              </w:rPr>
              <w:t xml:space="preserve"> Rozvoj zelené infrastruktury je významným činitelem při ochraně přírodního kapitálu. Zelená infrastruktura rovněž posiluje schopnost území čelit extrémním meteorologickým jevům, jejichž četnost se s probíhající klimatickou změnou zvyšuje. Za plánování zelené infrastruktury je zodpovědné mj. územní plánování.</w:t>
            </w:r>
          </w:p>
          <w:p w14:paraId="4FCF0F00" w14:textId="77777777" w:rsidR="00DD3EFA" w:rsidRPr="00EC2A1C" w:rsidRDefault="00DD3EFA" w:rsidP="00B15ECB">
            <w:pPr>
              <w:spacing w:before="60" w:after="60"/>
              <w:rPr>
                <w:rFonts w:eastAsiaTheme="majorEastAsia"/>
              </w:rPr>
            </w:pPr>
            <w:r w:rsidRPr="00EC2A1C">
              <w:rPr>
                <w:rFonts w:eastAsiaTheme="majorEastAsia"/>
              </w:rPr>
              <w:t xml:space="preserve">Sdělení Komise COM(2013)249 uvádí následující definici zelené infrastruktury: </w:t>
            </w:r>
            <w:r w:rsidRPr="00EC2A1C">
              <w:rPr>
                <w:rFonts w:eastAsiaTheme="majorEastAsia"/>
                <w:i/>
              </w:rPr>
              <w:t>„Strategicky plánovaná síť přírodních a polopřírodních oblastí s rozdílnými environmentálními rysy, jež byla navržena a je řízena s cílem poskytovat širkou škálu ekosystémových služeb. Zahrnuje zelené plochy (nebo modré plochy, jde-li o vodní ekosystémy) a jiné fyzické prvky v pevniských (včetně pobřežních) a mořských oblastech. Na pevnině se zelená infrastruktura může nacházet ve venkovských oblastech i v městském prostředí.“</w:t>
            </w:r>
          </w:p>
          <w:p w14:paraId="557F4A71" w14:textId="77777777" w:rsidR="00DD3EFA" w:rsidRPr="00EC2A1C" w:rsidRDefault="00DD3EFA" w:rsidP="00B15ECB">
            <w:pPr>
              <w:spacing w:before="60" w:after="60"/>
              <w:rPr>
                <w:rFonts w:eastAsiaTheme="majorEastAsia"/>
              </w:rPr>
            </w:pPr>
            <w:r w:rsidRPr="00EC2A1C">
              <w:rPr>
                <w:rFonts w:eastAsiaTheme="majorEastAsia"/>
              </w:rPr>
              <w:t>Zelená infrastruktura poskytuje tzv. ekosystémové služby, např.:</w:t>
            </w:r>
          </w:p>
          <w:p w14:paraId="0F57A9EB"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Podpora koloběhu látek v přírodě včetně podpory správné funkce velkého a malého vodního cyklu, produkce kyslíku, redukce volného CO</w:t>
            </w:r>
            <w:r w:rsidRPr="00EC2A1C">
              <w:rPr>
                <w:rFonts w:eastAsiaTheme="majorEastAsia"/>
                <w:vertAlign w:val="subscript"/>
              </w:rPr>
              <w:t>2</w:t>
            </w:r>
          </w:p>
          <w:p w14:paraId="311E602F"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Retence vody, tlumení dopadů povodní a extrémních přívalových srážek, snižování náchylnosti území k vodní a větrné erozi, zachycování polutantů, posílení biodiverzity, regulace teploty okolního prostředí</w:t>
            </w:r>
          </w:p>
          <w:p w14:paraId="755CAD4F"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Produkce obnovitelných zdrojů (dřeva, biomasy atd.)</w:t>
            </w:r>
          </w:p>
          <w:p w14:paraId="7F719F6A"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 xml:space="preserve">Estetické, rekreační, vzdělávací a komunitní funkce     </w:t>
            </w:r>
          </w:p>
          <w:p w14:paraId="44FD9F1E" w14:textId="77777777" w:rsidR="00DD3EFA" w:rsidRPr="00EC2A1C" w:rsidRDefault="00DD3EFA" w:rsidP="00B15ECB">
            <w:pPr>
              <w:spacing w:before="60" w:after="60"/>
              <w:rPr>
                <w:rFonts w:eastAsiaTheme="majorEastAsia"/>
                <w:b/>
              </w:rPr>
            </w:pPr>
            <w:r w:rsidRPr="00EC2A1C">
              <w:rPr>
                <w:rFonts w:eastAsiaTheme="majorEastAsia"/>
                <w:b/>
              </w:rPr>
              <w:t>Zelená infrastruktura zahrnuje jak plochy v nezastavěném území (ve „volné krajině“), tak určité plochy a systémy uvnitř zástavby sídel.</w:t>
            </w:r>
          </w:p>
          <w:p w14:paraId="50CE143E" w14:textId="77777777" w:rsidR="00DD3EFA" w:rsidRPr="00EC2A1C" w:rsidRDefault="00DD3EFA" w:rsidP="00B15ECB">
            <w:pPr>
              <w:spacing w:before="60" w:after="60"/>
              <w:rPr>
                <w:rFonts w:eastAsiaTheme="majorEastAsia"/>
              </w:rPr>
            </w:pPr>
            <w:r w:rsidRPr="00EC2A1C">
              <w:rPr>
                <w:rFonts w:eastAsiaTheme="majorEastAsia"/>
              </w:rPr>
              <w:t xml:space="preserve">Vedle samotné existence zelené infrastruktury je důležitá také její správná lokalizace, konektivita a multifunkčnost, které umožňují multiplikovat dosažené efekty z poskytovaných ekosystémových služeb. </w:t>
            </w:r>
          </w:p>
          <w:p w14:paraId="0CEB8045" w14:textId="77777777" w:rsidR="00DD3EFA" w:rsidRPr="00EC2A1C" w:rsidRDefault="00DD3EFA" w:rsidP="00B15ECB">
            <w:pPr>
              <w:spacing w:before="60" w:after="60"/>
              <w:rPr>
                <w:rFonts w:eastAsiaTheme="majorEastAsia"/>
                <w:i/>
                <w:u w:val="single"/>
              </w:rPr>
            </w:pPr>
            <w:r w:rsidRPr="00EC2A1C">
              <w:rPr>
                <w:rFonts w:eastAsiaTheme="majorEastAsia"/>
              </w:rPr>
              <w:t>Předpokladem rozvoje zelené infrastruktury je územní plánování zahrnující vedle urbanistické koncepce také koncepci uspořádání krajiny, tj. plánování uspořádání volné krajiny a krajinných struktur uvnitř lidských sídel. Zelená infrastruktura rovněž podstatnou měrou spoluvytváří kvalitu veřejných prostranství.</w:t>
            </w:r>
            <w:r w:rsidRPr="00EC2A1C" w:rsidDel="001D113A">
              <w:rPr>
                <w:rFonts w:eastAsiaTheme="majorEastAsia"/>
                <w:u w:val="single"/>
              </w:rPr>
              <w:t xml:space="preserve"> </w:t>
            </w:r>
          </w:p>
        </w:tc>
        <w:tc>
          <w:tcPr>
            <w:tcW w:w="249" w:type="dxa"/>
            <w:gridSpan w:val="2"/>
            <w:tcBorders>
              <w:top w:val="nil"/>
              <w:bottom w:val="nil"/>
            </w:tcBorders>
            <w:shd w:val="clear" w:color="auto" w:fill="66CCFF"/>
          </w:tcPr>
          <w:p w14:paraId="41A48034" w14:textId="77777777" w:rsidR="00DD3EFA" w:rsidRPr="00EC2A1C" w:rsidRDefault="00DD3EFA" w:rsidP="00B15ECB">
            <w:pPr>
              <w:rPr>
                <w:b/>
              </w:rPr>
            </w:pPr>
          </w:p>
        </w:tc>
      </w:tr>
      <w:tr w:rsidR="00DD3EFA" w:rsidRPr="00EC2A1C" w14:paraId="019D840A" w14:textId="77777777" w:rsidTr="00B15ECB">
        <w:trPr>
          <w:trHeight w:val="1274"/>
        </w:trPr>
        <w:tc>
          <w:tcPr>
            <w:tcW w:w="249" w:type="dxa"/>
            <w:tcBorders>
              <w:top w:val="nil"/>
              <w:bottom w:val="nil"/>
            </w:tcBorders>
            <w:shd w:val="clear" w:color="auto" w:fill="66CCFF"/>
          </w:tcPr>
          <w:p w14:paraId="7D0DDE18"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180E4C56"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gridSpan w:val="2"/>
            <w:tcBorders>
              <w:bottom w:val="single" w:sz="4" w:space="0" w:color="auto"/>
            </w:tcBorders>
            <w:shd w:val="clear" w:color="auto" w:fill="FFFFFF" w:themeFill="background1"/>
          </w:tcPr>
          <w:p w14:paraId="77933E67" w14:textId="48DBA46A" w:rsidR="00DD3EFA" w:rsidRPr="00EC2A1C" w:rsidRDefault="00DD3EFA" w:rsidP="00B15ECB">
            <w:pPr>
              <w:spacing w:before="60" w:after="60"/>
              <w:rPr>
                <w:rFonts w:eastAsiaTheme="majorEastAsia"/>
                <w:b/>
              </w:rPr>
            </w:pPr>
            <w:r w:rsidRPr="00EC2A1C">
              <w:rPr>
                <w:rFonts w:eastAsiaTheme="majorEastAsia"/>
              </w:rPr>
              <w:t>Problémem veřejných prostranství je zejména jejich nedostatečná kvalita včetně úrovně vybavenosti</w:t>
            </w:r>
            <w:r w:rsidR="00F87180" w:rsidRPr="00EC2A1C">
              <w:rPr>
                <w:rFonts w:eastAsiaTheme="majorEastAsia"/>
              </w:rPr>
              <w:t xml:space="preserve">, </w:t>
            </w:r>
            <w:r w:rsidRPr="00EC2A1C">
              <w:rPr>
                <w:rFonts w:eastAsiaTheme="majorEastAsia"/>
              </w:rPr>
              <w:t>přístupnost a kvalita povrchů a také mobiliáře. Veřejná prostranství jsou přitom nezbytným předpokladem pro fungování městského a venkovského společenství. Kvalitou je míněno i použití vhodných zelených ploch a dalších environmentálních prvků tak, aby jejich údržba byla ekonomicky udržitelná</w:t>
            </w:r>
            <w:r w:rsidR="00F87180" w:rsidRPr="00EC2A1C">
              <w:rPr>
                <w:rFonts w:eastAsiaTheme="majorEastAsia"/>
              </w:rPr>
              <w:t xml:space="preserve"> a aby maximálně přispívaly ke </w:t>
            </w:r>
            <w:r w:rsidRPr="00EC2A1C">
              <w:rPr>
                <w:rFonts w:eastAsiaTheme="majorEastAsia"/>
              </w:rPr>
              <w:t xml:space="preserve">zmírňování dopadů klimatické změny, resp. vytvářely místní mikroklima (zejména v letních měsících) </w:t>
            </w:r>
            <w:r w:rsidRPr="00EC2A1C">
              <w:rPr>
                <w:rFonts w:eastAsiaTheme="majorEastAsia"/>
                <w:b/>
              </w:rPr>
              <w:t xml:space="preserve">Kvalitu veřejných prostranství ovlivňuje též jejich schopnost vytvářet genius loci – např. promyšlenou urbanistickou kompozicí, prací se zelení, kvalitním materiálovým řešením, přítomností uměleckých děl v prostoru. </w:t>
            </w:r>
          </w:p>
          <w:p w14:paraId="66CDFA57" w14:textId="22513C3E" w:rsidR="00DD3EFA" w:rsidRPr="00EC2A1C" w:rsidRDefault="00DD3EFA" w:rsidP="00B15ECB">
            <w:pPr>
              <w:spacing w:before="60" w:after="60"/>
              <w:rPr>
                <w:rFonts w:eastAsiaTheme="majorEastAsia"/>
              </w:rPr>
            </w:pPr>
            <w:r w:rsidRPr="00EC2A1C">
              <w:rPr>
                <w:rFonts w:eastAsiaTheme="majorEastAsia"/>
                <w:b/>
              </w:rPr>
              <w:t>Zelená infrastruktura zahrnuje jak plochy v nezastavěném území (ve „volné krajině“), tak určité plochy a systémy uvnitř zástavby sídel.</w:t>
            </w:r>
            <w:r w:rsidRPr="00EC2A1C">
              <w:rPr>
                <w:rFonts w:eastAsiaTheme="majorEastAsia"/>
              </w:rPr>
              <w:t xml:space="preserve"> Koncepční řešení zelené infrastruktury</w:t>
            </w:r>
            <w:r w:rsidR="00F87180" w:rsidRPr="00EC2A1C">
              <w:rPr>
                <w:rFonts w:eastAsiaTheme="majorEastAsia"/>
              </w:rPr>
              <w:t xml:space="preserve"> je důležité pro řešení zejména</w:t>
            </w:r>
            <w:r w:rsidRPr="00EC2A1C">
              <w:rPr>
                <w:rFonts w:eastAsiaTheme="majorEastAsia"/>
              </w:rPr>
              <w:t xml:space="preserve"> těchto problémů:</w:t>
            </w:r>
          </w:p>
          <w:p w14:paraId="0709BE71"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Úprava vodního režimu, posílení retenční schopnosti území, odolnost vůči dlouhodobému suchu a extrémním srážkám</w:t>
            </w:r>
          </w:p>
          <w:p w14:paraId="1BDB9892"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Vodní a větrná eroze</w:t>
            </w:r>
          </w:p>
          <w:p w14:paraId="5278D043"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Vlny veder, městské tepelné ostrovy</w:t>
            </w:r>
          </w:p>
          <w:p w14:paraId="7FDA6F28"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Posílení biodiverzity, náprava fragmentované krajiny, průchodnost území pro organismy i pro člověka</w:t>
            </w:r>
          </w:p>
          <w:p w14:paraId="79E7430B" w14:textId="77777777" w:rsidR="00DD3EFA" w:rsidRPr="00EC2A1C" w:rsidRDefault="00DD3EFA" w:rsidP="00391907">
            <w:pPr>
              <w:pStyle w:val="Odstavecseseznamem"/>
              <w:numPr>
                <w:ilvl w:val="0"/>
                <w:numId w:val="131"/>
              </w:numPr>
              <w:spacing w:before="60" w:after="60"/>
              <w:rPr>
                <w:i/>
              </w:rPr>
            </w:pPr>
            <w:r w:rsidRPr="00EC2A1C">
              <w:rPr>
                <w:rFonts w:eastAsiaTheme="majorEastAsia"/>
              </w:rPr>
              <w:t>Dlouhodobě udržitelné lesnické, vodohospodářské a zemědělské hospodaření</w:t>
            </w:r>
          </w:p>
          <w:p w14:paraId="38040464" w14:textId="77777777" w:rsidR="00DD3EFA" w:rsidRPr="00EC2A1C" w:rsidRDefault="00DD3EFA" w:rsidP="00391907">
            <w:pPr>
              <w:pStyle w:val="Odstavecseseznamem"/>
              <w:numPr>
                <w:ilvl w:val="0"/>
                <w:numId w:val="131"/>
              </w:numPr>
              <w:spacing w:before="60" w:after="60"/>
              <w:rPr>
                <w:i/>
              </w:rPr>
            </w:pPr>
            <w:r w:rsidRPr="00EC2A1C">
              <w:rPr>
                <w:rFonts w:eastAsiaTheme="majorEastAsia"/>
              </w:rPr>
              <w:t>Ochrana estetických hodnot krajiny, rozvoj využití krajiny pro rekreaci a udržitelný cestovní ruch</w:t>
            </w:r>
          </w:p>
          <w:p w14:paraId="0D2952DD" w14:textId="77777777" w:rsidR="00DD3EFA" w:rsidRPr="00EC2A1C" w:rsidRDefault="00DD3EFA" w:rsidP="00B15ECB">
            <w:pPr>
              <w:spacing w:before="60" w:after="60"/>
              <w:rPr>
                <w:i/>
              </w:rPr>
            </w:pPr>
            <w:r w:rsidRPr="00EC2A1C">
              <w:rPr>
                <w:rFonts w:eastAsiaTheme="majorEastAsia"/>
              </w:rPr>
              <w:t>Při návrhu veřejných prostranství (jako systému i jednotlivých prostorů) je třeba se zaměřit na důsledné rozvinutí možností ekosystémových služeb, které zelená infrastruktura poskytuje, tj. při koncepčním návrhu veřejných prostranství zohlednit též estetické, retenční, termoregulační, ekostabilizační a další funkce zelené infrastruktury.</w:t>
            </w:r>
            <w:r w:rsidRPr="00EC2A1C">
              <w:rPr>
                <w:i/>
              </w:rPr>
              <w:t xml:space="preserve"> </w:t>
            </w:r>
          </w:p>
          <w:p w14:paraId="055C964C" w14:textId="77777777" w:rsidR="00DD3EFA" w:rsidRPr="00EC2A1C" w:rsidRDefault="00DD3EFA" w:rsidP="00B15ECB">
            <w:pPr>
              <w:spacing w:before="60" w:after="60"/>
            </w:pPr>
          </w:p>
          <w:p w14:paraId="4BFE82F4" w14:textId="77777777" w:rsidR="00DD3EFA" w:rsidRPr="00EC2A1C" w:rsidRDefault="00DD3EFA" w:rsidP="00B15ECB">
            <w:pPr>
              <w:spacing w:before="60" w:after="60"/>
              <w:rPr>
                <w:rFonts w:eastAsiaTheme="majorEastAsia"/>
                <w:b/>
              </w:rPr>
            </w:pPr>
            <w:r w:rsidRPr="00EC2A1C">
              <w:rPr>
                <w:rFonts w:eastAsiaTheme="majorEastAsia"/>
                <w:b/>
              </w:rPr>
              <w:t xml:space="preserve">Řešení pro zlepšení kvality veřejných prostranství či pro nová veřejná prostranství navržené územními studiemi veřejného prostranství a územními studiemi sídelní zeleně mají význam mj. pro obce, správce veřejné zeleně či developery, pro něž slouží jako podklad při plánování a realizaci fyzických úprav veřejných prostranství ve stávající sídelní struktuře i v rámci rozvojových ploch. </w:t>
            </w:r>
          </w:p>
          <w:p w14:paraId="7DF29DF5" w14:textId="77777777" w:rsidR="00DD3EFA" w:rsidRPr="00EC2A1C" w:rsidRDefault="00DD3EFA" w:rsidP="00B15ECB">
            <w:pPr>
              <w:spacing w:before="60" w:after="60"/>
              <w:rPr>
                <w:i/>
              </w:rPr>
            </w:pPr>
            <w:r w:rsidRPr="00EC2A1C">
              <w:rPr>
                <w:rFonts w:eastAsiaTheme="majorEastAsia"/>
              </w:rPr>
              <w:t>Územní studie krajiny pak také přinášejí návrhy na nová opatření (opatření pro zlepšení retence vody v krajině, protipovodňová a protierozní opatření, cestní propojení, prvky územního systému ekologické stability, aj.), slouží jako podklad při plánování a realizaci opatření v krajině mj. prostřednictvím pozemkových úprav či prostřednictvím činnosti obcí a subjektů hospodařících v krajině. K fyzické realizaci navržených opatření lze využít dotační programy – zejména MŽP, MZe.</w:t>
            </w:r>
          </w:p>
        </w:tc>
        <w:tc>
          <w:tcPr>
            <w:tcW w:w="249" w:type="dxa"/>
            <w:gridSpan w:val="2"/>
            <w:tcBorders>
              <w:top w:val="nil"/>
              <w:bottom w:val="nil"/>
            </w:tcBorders>
            <w:shd w:val="clear" w:color="auto" w:fill="66CCFF"/>
          </w:tcPr>
          <w:p w14:paraId="5FA2BF9B" w14:textId="77777777" w:rsidR="00DD3EFA" w:rsidRPr="00EC2A1C" w:rsidRDefault="00DD3EFA" w:rsidP="00B15ECB">
            <w:pPr>
              <w:rPr>
                <w:b/>
              </w:rPr>
            </w:pPr>
          </w:p>
        </w:tc>
      </w:tr>
      <w:tr w:rsidR="00DD3EFA" w:rsidRPr="00EC2A1C" w14:paraId="53B58D85" w14:textId="77777777" w:rsidTr="00B15ECB">
        <w:trPr>
          <w:trHeight w:val="1274"/>
        </w:trPr>
        <w:tc>
          <w:tcPr>
            <w:tcW w:w="249" w:type="dxa"/>
            <w:tcBorders>
              <w:top w:val="nil"/>
              <w:bottom w:val="nil"/>
            </w:tcBorders>
            <w:shd w:val="clear" w:color="auto" w:fill="66CCFF"/>
          </w:tcPr>
          <w:p w14:paraId="12DF283C"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16174CE8" w14:textId="77777777" w:rsidR="00DD3EFA" w:rsidRPr="00EC2A1C" w:rsidRDefault="00DD3EFA" w:rsidP="00B15ECB">
            <w:pPr>
              <w:spacing w:before="60" w:after="60"/>
              <w:rPr>
                <w:rFonts w:eastAsiaTheme="majorEastAsia"/>
                <w:b/>
              </w:rPr>
            </w:pPr>
            <w:r w:rsidRPr="00EC2A1C">
              <w:rPr>
                <w:rFonts w:eastAsiaTheme="majorEastAsia"/>
                <w:b/>
              </w:rPr>
              <w:t>Definice cíle – změny, které chceme dosáhnout</w:t>
            </w:r>
          </w:p>
          <w:p w14:paraId="16EE2DB9"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4A5CCE56" w14:textId="77777777" w:rsidR="00DD3EFA" w:rsidRPr="00EC2A1C" w:rsidRDefault="00DD3EFA" w:rsidP="00B15ECB">
            <w:pPr>
              <w:spacing w:before="60" w:after="60"/>
              <w:rPr>
                <w:rFonts w:eastAsiaTheme="majorEastAsia"/>
                <w:b/>
              </w:rPr>
            </w:pPr>
            <w:r w:rsidRPr="00EC2A1C">
              <w:rPr>
                <w:rFonts w:eastAsiaTheme="majorEastAsia"/>
              </w:rPr>
              <w:t xml:space="preserve">Cíl/změna: </w:t>
            </w:r>
            <w:r w:rsidRPr="00EC2A1C">
              <w:rPr>
                <w:rFonts w:eastAsiaTheme="majorEastAsia"/>
                <w:b/>
              </w:rPr>
              <w:t>zkvalitnění veřejných prostranství v obcích včetně zelené infrastruktury, a tím zajištění vyšší kvality života obyvatelstva a vyšší biodiverzity.</w:t>
            </w:r>
          </w:p>
          <w:p w14:paraId="65649D4F" w14:textId="77777777" w:rsidR="00DD3EFA" w:rsidRPr="00EC2A1C" w:rsidRDefault="00DD3EFA" w:rsidP="00B15ECB">
            <w:pPr>
              <w:spacing w:before="60" w:after="60"/>
              <w:rPr>
                <w:rFonts w:eastAsiaTheme="majorEastAsia"/>
              </w:rPr>
            </w:pPr>
            <w:r w:rsidRPr="00EC2A1C">
              <w:rPr>
                <w:rFonts w:eastAsiaTheme="majorEastAsia"/>
              </w:rPr>
              <w:t>Cesta/nástroj k dosažení změny:</w:t>
            </w:r>
          </w:p>
          <w:p w14:paraId="5FF3BC9C" w14:textId="77777777" w:rsidR="00DD3EFA" w:rsidRPr="00EC2A1C" w:rsidRDefault="00DD3EFA" w:rsidP="00B15ECB">
            <w:pPr>
              <w:spacing w:before="60" w:after="60"/>
              <w:rPr>
                <w:rFonts w:eastAsiaTheme="majorEastAsia"/>
              </w:rPr>
            </w:pPr>
          </w:p>
          <w:p w14:paraId="24978F81" w14:textId="28A9330A"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b/>
              </w:rPr>
              <w:t>Cílem je proměna veřejného prostranství odpovídající potřebám a potenciálu dotčeného území.</w:t>
            </w:r>
            <w:r w:rsidRPr="00EC2A1C">
              <w:rPr>
                <w:rFonts w:eastAsiaTheme="majorEastAsia"/>
              </w:rPr>
              <w:t xml:space="preserve"> Fyzická proměna veřejných prostranství bude realizována kombinací opatření, mezi něž patří např. zajištění dostatečné vybavenosti území vhodnými veřejnými prostranstvími, jejich snadná dostupnost a vzájemné propojení a zajištění odpovídající kvality veřejných prostranství</w:t>
            </w:r>
            <w:r w:rsidR="00F87180" w:rsidRPr="00EC2A1C">
              <w:rPr>
                <w:rFonts w:eastAsiaTheme="majorEastAsia"/>
              </w:rPr>
              <w:t xml:space="preserve">, </w:t>
            </w:r>
            <w:r w:rsidRPr="00EC2A1C">
              <w:rPr>
                <w:rFonts w:eastAsiaTheme="majorEastAsia"/>
              </w:rPr>
              <w:t>včetně vytvoření podmínek pro optimální životní prostředí v sídlech s ohledem na potřebu adaptace na klimatickou změnu. Podpořit je nutné řešení, která vycházejí z potřeb území, zohledňují společenské, demografické, přírodní a klimatické podmínky.</w:t>
            </w:r>
          </w:p>
          <w:p w14:paraId="656911BE"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b/>
              </w:rPr>
              <w:t>Specifický cíl bude dále zajišťovat optimální podobu urbánní i venkovské krajiny</w:t>
            </w:r>
            <w:r w:rsidRPr="00EC2A1C">
              <w:rPr>
                <w:rFonts w:eastAsiaTheme="majorEastAsia"/>
              </w:rPr>
              <w:t xml:space="preserve">, která bude zabezpečovat své nezbytné funkce, jako je klimatická, sídelní, rekreační. Zkvalitňování veřejných prostranství v obcích a městech by mělo řešit také problémy specifické k danému území, mezi něž patří ztráta biodiverzity, ohrožení přírodního, krajinného a kulturního dědictví, a optimálně využívat potenciál dotčených lokalit ke zvýšení kvality života </w:t>
            </w:r>
            <w:r w:rsidRPr="00EC2A1C">
              <w:t>ve městech a obcích</w:t>
            </w:r>
            <w:r w:rsidRPr="00EC2A1C">
              <w:rPr>
                <w:rFonts w:eastAsiaTheme="majorEastAsia"/>
              </w:rPr>
              <w:t>.</w:t>
            </w:r>
          </w:p>
          <w:p w14:paraId="0ADA839D" w14:textId="677DE8B3"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b/>
              </w:rPr>
              <w:t>Obce budou používat územní studie veřejného prostranství jako pro koncepční podklad ke zlepšování veřejných prostranství (investiční činnosti)</w:t>
            </w:r>
            <w:r w:rsidRPr="00EC2A1C">
              <w:rPr>
                <w:rFonts w:eastAsiaTheme="majorEastAsia"/>
              </w:rPr>
              <w:t xml:space="preserve">; tyto studie se budou zabývat veřejnými prostranstvími v jejich komplexnosti, včetně řešení zelené a modré infrastruktury. </w:t>
            </w:r>
          </w:p>
          <w:p w14:paraId="7BF7CC7D" w14:textId="260289C9" w:rsidR="00DD3EFA" w:rsidRPr="00EC2A1C" w:rsidRDefault="00DD3EFA" w:rsidP="00391907">
            <w:pPr>
              <w:pStyle w:val="Odstavecseseznamem"/>
              <w:numPr>
                <w:ilvl w:val="0"/>
                <w:numId w:val="131"/>
              </w:numPr>
              <w:jc w:val="both"/>
            </w:pPr>
            <w:r w:rsidRPr="00EC2A1C">
              <w:rPr>
                <w:rFonts w:eastAsiaTheme="majorEastAsia"/>
              </w:rPr>
              <w:t>Zejména větší města budou mít zpracovánu rovněž územní studii sídelní zeleně. Orgány územního plánování i správci veřejné zeleně ji budou využívat jako koncepční podklad pro svoji činnost. Cílem je zkvalitnit plánování a péči o zelenou infrastrukturu ve městech a posílit její další koncepční rozvoj. Dále identifikovat a podpořit vyu</w:t>
            </w:r>
            <w:r w:rsidR="00F87180" w:rsidRPr="00EC2A1C">
              <w:rPr>
                <w:rFonts w:eastAsiaTheme="majorEastAsia"/>
              </w:rPr>
              <w:t>žití všech</w:t>
            </w:r>
            <w:r w:rsidRPr="00EC2A1C">
              <w:rPr>
                <w:rFonts w:eastAsiaTheme="majorEastAsia"/>
              </w:rPr>
              <w:t xml:space="preserve"> možností, které městské prostředí poskytuje pro zřizování nových ploch zeleně, vodních prvků, výsadbu uliční zeleně aj. </w:t>
            </w:r>
          </w:p>
          <w:p w14:paraId="6C6CC8ED" w14:textId="77777777" w:rsidR="00DD3EFA" w:rsidRPr="00EC2A1C" w:rsidRDefault="00DD3EFA" w:rsidP="00391907">
            <w:pPr>
              <w:pStyle w:val="Odstavecseseznamem"/>
              <w:numPr>
                <w:ilvl w:val="0"/>
                <w:numId w:val="131"/>
              </w:numPr>
              <w:spacing w:before="60" w:after="60"/>
              <w:rPr>
                <w:rFonts w:eastAsiaTheme="majorEastAsia"/>
                <w:i/>
                <w:u w:val="single"/>
              </w:rPr>
            </w:pPr>
            <w:r w:rsidRPr="00EC2A1C">
              <w:rPr>
                <w:rFonts w:eastAsiaTheme="majorEastAsia"/>
              </w:rPr>
              <w:t>Pro převážnou část území ČR budou zpracovány územní studie krajiny. Veřejná správa je bude využívat jako podklad pro plánování, správu a ochranu krajiny, mj. při pořizování nových územních plánů, při změnách stávajících územních plánů a při pořizování a realizaci pozemkových úprav. Budou využívány rovněž jako podklad při realizaci opatření na zlepšení stavu krajiny, iniciovaných municipalitami či subjekty hospodařícími v krajině. Cílem je posílit plánování krajiny v rámci územního plánování, a tím přispět k rozvoji zelené infrastruktury, posílení ekosystémových služeb a k adaptaci na změnu klimatu.</w:t>
            </w:r>
          </w:p>
        </w:tc>
        <w:tc>
          <w:tcPr>
            <w:tcW w:w="249" w:type="dxa"/>
            <w:gridSpan w:val="2"/>
            <w:tcBorders>
              <w:top w:val="nil"/>
              <w:bottom w:val="nil"/>
            </w:tcBorders>
            <w:shd w:val="clear" w:color="auto" w:fill="66CCFF"/>
          </w:tcPr>
          <w:p w14:paraId="24650D22" w14:textId="77777777" w:rsidR="00DD3EFA" w:rsidRPr="00EC2A1C" w:rsidRDefault="00DD3EFA" w:rsidP="00B15ECB">
            <w:pPr>
              <w:rPr>
                <w:b/>
              </w:rPr>
            </w:pPr>
          </w:p>
        </w:tc>
      </w:tr>
      <w:tr w:rsidR="00DD3EFA" w:rsidRPr="00EC2A1C" w14:paraId="238CB140" w14:textId="77777777" w:rsidTr="00B15ECB">
        <w:trPr>
          <w:trHeight w:val="1274"/>
        </w:trPr>
        <w:tc>
          <w:tcPr>
            <w:tcW w:w="249" w:type="dxa"/>
            <w:tcBorders>
              <w:top w:val="nil"/>
              <w:bottom w:val="nil"/>
            </w:tcBorders>
            <w:shd w:val="clear" w:color="auto" w:fill="66CCFF"/>
          </w:tcPr>
          <w:p w14:paraId="7702FBAF"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487E56A5" w14:textId="77777777" w:rsidR="00DD3EFA" w:rsidRPr="00EC2A1C" w:rsidRDefault="00DD3EFA" w:rsidP="00B15ECB">
            <w:pPr>
              <w:spacing w:before="60" w:after="60"/>
              <w:rPr>
                <w:rFonts w:eastAsiaTheme="majorEastAsia"/>
                <w:b/>
              </w:rPr>
            </w:pPr>
            <w:r w:rsidRPr="00EC2A1C">
              <w:rPr>
                <w:rFonts w:eastAsiaTheme="majorEastAsia"/>
                <w:b/>
              </w:rPr>
              <w:t>Definice předpokládaných výstupů/výsledků/dopadů</w:t>
            </w:r>
          </w:p>
        </w:tc>
        <w:tc>
          <w:tcPr>
            <w:tcW w:w="5978" w:type="dxa"/>
            <w:gridSpan w:val="2"/>
            <w:tcBorders>
              <w:bottom w:val="single" w:sz="4" w:space="0" w:color="auto"/>
            </w:tcBorders>
            <w:shd w:val="clear" w:color="auto" w:fill="FFFFFF" w:themeFill="background1"/>
          </w:tcPr>
          <w:p w14:paraId="31CECB56" w14:textId="3834EB73" w:rsidR="00DD3EFA" w:rsidRPr="00EC2A1C" w:rsidRDefault="00DD3EFA" w:rsidP="00B15ECB">
            <w:r w:rsidRPr="00EC2A1C">
              <w:t>Hlavními výstupy specifického cíle je počet podpořených revitalizací stávajících a realizace</w:t>
            </w:r>
            <w:r w:rsidR="00F87180" w:rsidRPr="00EC2A1C">
              <w:t xml:space="preserve"> nových veřejných prostranství </w:t>
            </w:r>
            <w:r w:rsidRPr="00EC2A1C">
              <w:t xml:space="preserve">a zároveň také množství zpracovaných územních studií adekvátně pokrývající </w:t>
            </w:r>
            <w:r w:rsidRPr="00EC2A1C">
              <w:rPr>
                <w:rFonts w:eastAsiaTheme="majorEastAsia"/>
              </w:rPr>
              <w:t>území dopadu.</w:t>
            </w:r>
          </w:p>
          <w:p w14:paraId="02A85850" w14:textId="7C2797E0" w:rsidR="00DD3EFA" w:rsidRPr="00EC2A1C" w:rsidRDefault="00DD3EFA">
            <w:pPr>
              <w:rPr>
                <w:rFonts w:eastAsiaTheme="majorEastAsia"/>
              </w:rPr>
            </w:pPr>
            <w:r w:rsidRPr="00EC2A1C">
              <w:t xml:space="preserve">Výsledkem je koordinované zlepšování stavu veřejných prostranství, díky zohlednění studií při úpravách, údržbě, a výstavbě ve veřejných prostranstvích a synergie investic směřujících ke zlepšování životního prostředí. </w:t>
            </w:r>
            <w:r w:rsidR="00F87180" w:rsidRPr="00EC2A1C">
              <w:rPr>
                <w:b/>
              </w:rPr>
              <w:t>Výsledek také přispěje k rozvoji a zlepšení stavu zelené infrastruktury a k adaptaci na klimatickou změnu.</w:t>
            </w:r>
            <w:r w:rsidR="00F87180" w:rsidRPr="00EC2A1C">
              <w:rPr>
                <w:b/>
                <w:bCs/>
              </w:rPr>
              <w:t xml:space="preserve"> </w:t>
            </w:r>
            <w:r w:rsidRPr="00EC2A1C">
              <w:t>Dopadem je adaptace území na klimatickou změnu, zlepšení kvality života ve městech a obcích a zapojení veřejnosti do rozhodování o veřejných prostranstvích.</w:t>
            </w:r>
          </w:p>
        </w:tc>
        <w:tc>
          <w:tcPr>
            <w:tcW w:w="249" w:type="dxa"/>
            <w:gridSpan w:val="2"/>
            <w:tcBorders>
              <w:top w:val="nil"/>
              <w:bottom w:val="nil"/>
            </w:tcBorders>
            <w:shd w:val="clear" w:color="auto" w:fill="66CCFF"/>
          </w:tcPr>
          <w:p w14:paraId="0F50A312" w14:textId="77777777" w:rsidR="00DD3EFA" w:rsidRPr="00EC2A1C" w:rsidRDefault="00DD3EFA" w:rsidP="00B15ECB">
            <w:pPr>
              <w:rPr>
                <w:b/>
              </w:rPr>
            </w:pPr>
          </w:p>
        </w:tc>
      </w:tr>
      <w:tr w:rsidR="00DD3EFA" w:rsidRPr="00EC2A1C" w14:paraId="76669BEC" w14:textId="77777777" w:rsidTr="00B15ECB">
        <w:trPr>
          <w:trHeight w:val="1274"/>
        </w:trPr>
        <w:tc>
          <w:tcPr>
            <w:tcW w:w="249" w:type="dxa"/>
            <w:tcBorders>
              <w:top w:val="nil"/>
              <w:bottom w:val="nil"/>
            </w:tcBorders>
            <w:shd w:val="clear" w:color="auto" w:fill="66CCFF"/>
          </w:tcPr>
          <w:p w14:paraId="6778A835"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1AD9EFCB" w14:textId="77777777" w:rsidR="00DD3EFA" w:rsidRPr="00EC2A1C" w:rsidRDefault="00DD3EFA"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5978" w:type="dxa"/>
            <w:gridSpan w:val="2"/>
            <w:tcBorders>
              <w:bottom w:val="single" w:sz="4" w:space="0" w:color="auto"/>
            </w:tcBorders>
            <w:shd w:val="clear" w:color="auto" w:fill="FFFFFF" w:themeFill="background1"/>
          </w:tcPr>
          <w:p w14:paraId="35D0FFDC" w14:textId="77777777" w:rsidR="00DD3EFA" w:rsidRPr="00EC2A1C" w:rsidRDefault="00DD3EFA" w:rsidP="00B15ECB">
            <w:pPr>
              <w:spacing w:before="60" w:after="60"/>
              <w:rPr>
                <w:rFonts w:eastAsiaTheme="majorEastAsia"/>
              </w:rPr>
            </w:pPr>
            <w:r w:rsidRPr="00EC2A1C">
              <w:rPr>
                <w:rFonts w:eastAsiaTheme="majorEastAsia"/>
              </w:rPr>
              <w:t xml:space="preserve">V případě fyzické obnovy stávajících nebo realizace nových veřejných prostranství se jedná o při využití prostředků z ESIF je předpoklad 60% - 70% podle kategorie sídla (v menších sídlech vyšší, ve větších menších), ale také podle počtu obyvatel žijících v dosahu veřejných prostranství. </w:t>
            </w:r>
          </w:p>
          <w:p w14:paraId="2DF46ED8" w14:textId="77777777" w:rsidR="00DD3EFA" w:rsidRPr="00EC2A1C" w:rsidRDefault="00DD3EFA" w:rsidP="00B15ECB">
            <w:pPr>
              <w:spacing w:before="60" w:after="60"/>
              <w:rPr>
                <w:rFonts w:eastAsiaTheme="majorEastAsia"/>
              </w:rPr>
            </w:pPr>
            <w:r w:rsidRPr="00EC2A1C">
              <w:rPr>
                <w:rFonts w:eastAsiaTheme="majorEastAsia"/>
              </w:rPr>
              <w:t xml:space="preserve">V případě pořízení územních studií je pro municipality fakultativní záležitostí, poměrně nákladnou a rovněž náročnou na administrativní kapacitu. Bez dotační podpory jsou územní studie pořizovány spíše pro menší rozvojová území v rámci jedné obce. </w:t>
            </w:r>
          </w:p>
          <w:p w14:paraId="154D18BB" w14:textId="77777777" w:rsidR="00DD3EFA" w:rsidRPr="00EC2A1C" w:rsidRDefault="00DD3EFA" w:rsidP="00B15ECB">
            <w:pPr>
              <w:spacing w:before="60" w:after="60"/>
              <w:rPr>
                <w:rFonts w:eastAsiaTheme="majorEastAsia"/>
              </w:rPr>
            </w:pPr>
            <w:r w:rsidRPr="00EC2A1C">
              <w:rPr>
                <w:rFonts w:eastAsiaTheme="majorEastAsia"/>
              </w:rPr>
              <w:t xml:space="preserve">Předpokládáme tedy, že další územní studie zaměřené na zelenou infrastrukturu se budou zatím pořizovat s podporou z ESIF. </w:t>
            </w:r>
          </w:p>
          <w:p w14:paraId="49BA839E" w14:textId="77777777" w:rsidR="00DD3EFA" w:rsidRPr="00EC2A1C" w:rsidRDefault="00DD3EFA" w:rsidP="00B15ECB">
            <w:pPr>
              <w:spacing w:before="60" w:after="60"/>
              <w:rPr>
                <w:rFonts w:eastAsiaTheme="majorEastAsia"/>
              </w:rPr>
            </w:pPr>
            <w:r w:rsidRPr="00EC2A1C">
              <w:rPr>
                <w:rFonts w:eastAsiaTheme="majorEastAsia"/>
              </w:rPr>
              <w:t>U územních studií veřejného prostranství předpokládáme podíl studií pořízených z ESIF min. 75 %, bez podpory z ESIF (tj. především z obecních rozpočtů) max. 25 %.</w:t>
            </w:r>
          </w:p>
          <w:p w14:paraId="13581B65" w14:textId="77777777" w:rsidR="00DD3EFA" w:rsidRPr="00EC2A1C" w:rsidRDefault="00DD3EFA" w:rsidP="00B15ECB">
            <w:pPr>
              <w:spacing w:before="60" w:after="60"/>
              <w:rPr>
                <w:rFonts w:eastAsiaTheme="majorEastAsia"/>
                <w:i/>
                <w:u w:val="single"/>
              </w:rPr>
            </w:pPr>
            <w:r w:rsidRPr="00EC2A1C">
              <w:rPr>
                <w:rFonts w:eastAsiaTheme="majorEastAsia"/>
              </w:rPr>
              <w:t xml:space="preserve">U územních studií sídelní zeleně a územních studií krajiny přepodkládáme podíl studií pořízených z ESIF min. 90 %, bez podpory z ESIF (tj. především z obecních rozpočtů) max. 10 %. </w:t>
            </w:r>
          </w:p>
        </w:tc>
        <w:tc>
          <w:tcPr>
            <w:tcW w:w="249" w:type="dxa"/>
            <w:gridSpan w:val="2"/>
            <w:tcBorders>
              <w:top w:val="nil"/>
              <w:bottom w:val="nil"/>
            </w:tcBorders>
            <w:shd w:val="clear" w:color="auto" w:fill="66CCFF"/>
          </w:tcPr>
          <w:p w14:paraId="361FA0BF" w14:textId="77777777" w:rsidR="00DD3EFA" w:rsidRPr="00EC2A1C" w:rsidRDefault="00DD3EFA" w:rsidP="00B15ECB">
            <w:pPr>
              <w:rPr>
                <w:b/>
              </w:rPr>
            </w:pPr>
          </w:p>
        </w:tc>
      </w:tr>
      <w:tr w:rsidR="00DD3EFA" w:rsidRPr="00EC2A1C" w14:paraId="22A3B11D" w14:textId="77777777" w:rsidTr="00B15ECB">
        <w:trPr>
          <w:trHeight w:val="1274"/>
        </w:trPr>
        <w:tc>
          <w:tcPr>
            <w:tcW w:w="249" w:type="dxa"/>
            <w:tcBorders>
              <w:top w:val="nil"/>
              <w:bottom w:val="nil"/>
            </w:tcBorders>
            <w:shd w:val="clear" w:color="auto" w:fill="66CCFF"/>
          </w:tcPr>
          <w:p w14:paraId="59789316"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01AF91A1" w14:textId="77777777" w:rsidR="00DD3EFA" w:rsidRPr="00EC2A1C" w:rsidRDefault="00DD3EFA" w:rsidP="00B15ECB">
            <w:pPr>
              <w:spacing w:before="60" w:after="60"/>
              <w:rPr>
                <w:rFonts w:eastAsiaTheme="majorEastAsia"/>
                <w:b/>
              </w:rPr>
            </w:pPr>
            <w:r w:rsidRPr="00EC2A1C">
              <w:rPr>
                <w:rFonts w:eastAsiaTheme="majorEastAsia"/>
                <w:b/>
              </w:rPr>
              <w:t>Posun intervencí oproti dosavadním obdobím</w:t>
            </w:r>
          </w:p>
        </w:tc>
        <w:tc>
          <w:tcPr>
            <w:tcW w:w="5978" w:type="dxa"/>
            <w:gridSpan w:val="2"/>
            <w:tcBorders>
              <w:bottom w:val="single" w:sz="4" w:space="0" w:color="auto"/>
            </w:tcBorders>
            <w:shd w:val="clear" w:color="auto" w:fill="FFFFFF" w:themeFill="background1"/>
          </w:tcPr>
          <w:p w14:paraId="477290C6"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b/>
              </w:rPr>
              <w:t>Realizace úprav veřejných prostranství</w:t>
            </w:r>
            <w:r w:rsidRPr="00EC2A1C">
              <w:rPr>
                <w:rFonts w:ascii="Times New Roman" w:hAnsi="Times New Roman"/>
              </w:rPr>
              <w:t xml:space="preserve"> je v tomto období podporována pouze druhotně jako výsledek rekonstrukcí silnic II. a III. třídy (IROP) v případě, že procházejí sídly. Nebo v případě realizace bezbariérových úprav a úprav vedoucích ke zvýšení dopravní bezpečnosti. Realizace územních systémů sídelní zeleně je pak podporována v rámci OP ŽP.</w:t>
            </w:r>
          </w:p>
          <w:p w14:paraId="1128DA1F"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Posun v případě realizace nových a obnovy stávajících veřejných prostranství je pouze oproti aktivitám, které byly realizovány v období 2007-2013 v tzv. ROP. Jednalo se zejména o revitalizace sídlištních celků a jejich veřejných prostranství. </w:t>
            </w:r>
          </w:p>
          <w:p w14:paraId="674487B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Revitalizace veřejných prostranství na problémových sídlištích u měst nad 20 tisíc obyvatel byla v období 2007-2013 hrazena z Integrovaného operačního programu v rámci Integrovaný plánů rozvoje měst (IPRM). V IOP bylo podpořeno 317 projektů měst na veřejná prostranství sídlišť za 3 mld. Kč z EFRR.</w:t>
            </w:r>
          </w:p>
          <w:p w14:paraId="4B184B81"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Pro příští období se však počítá se širším pojetím a to pro všechna města a obce, zároveň s využitím zapojení zelené infrastruktury a s řešením dopravy.</w:t>
            </w:r>
          </w:p>
          <w:p w14:paraId="7E1578A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b/>
              </w:rPr>
              <w:t>Pořízení územních studií</w:t>
            </w:r>
            <w:r w:rsidRPr="00EC2A1C">
              <w:rPr>
                <w:rFonts w:ascii="Times New Roman" w:hAnsi="Times New Roman"/>
              </w:rPr>
              <w:t xml:space="preserve"> veřejného prostranství a územních studií krajiny bylo již cílem intervencí IROP  v současném programovém období. </w:t>
            </w:r>
          </w:p>
          <w:p w14:paraId="18C2112F"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Pořízení územních studií sídelní zeleně bylo a je dosud podporováno z Operačního programu životní prostředí, nejprve pouze z dílčí části – jako součást projektové přípravy realizace sídelní zeleně vycházející z územní studie systému sídelní zeleně (6-10 %), od roku 2018 jsou již studie způsobilým výdajem s podporou 85 %, avšak pouze za podmínek současné realizace zeleně vycházející z dané studie. Samostatně nejsou územní studie sídelní zeleně podporovány.</w:t>
            </w:r>
          </w:p>
          <w:p w14:paraId="6819F73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Vedle funkce územních studií jako územně plánovacího podkladu bude věnována pozornost jejich vazbě na dokumenty v oblasti adaptace na klimatickou změnu. Podporované územní studie zohlední existující adaptační strategie včetně regionálních a místních a zároveň budou koncipovány tak, aby byly využitelné jako jeden z podkladů při tvorbě či aktualizaci regionálních a místních adaptačních strategií.   </w:t>
            </w:r>
          </w:p>
          <w:p w14:paraId="472EBDB8"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U územních studií veřejného prostranství bude oproti předchozímu období více akcentována potřeba řešení zelené infrastruktury.  (Územní studie krajiny a územní studie sídelní zeleně zahrnují řešení zelené infrastruktury z povahy věci již v současnosti).</w:t>
            </w:r>
          </w:p>
          <w:p w14:paraId="67311E86"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Územní studie krajiny budou podporovány na dvou úrovních – pro území kraje a pro území správního obvodu obce s rozšířenou působností.</w:t>
            </w:r>
          </w:p>
          <w:p w14:paraId="626CDCFC"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Územní studie veřejného prostranství budou moci být pořízeny i za účelem změny územního plánu, nově tedy nebude požadován jejich soulad s územním plánem. Důležité je umožnit jejich podpory ve všech typech obcí, včetně obcí malých.</w:t>
            </w:r>
          </w:p>
          <w:p w14:paraId="0566956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rPr>
              <w:t>Podpora pořízení územních studií nebude podmiňována zakotvením v nástrojích integrovaného plánování; tento systém byl ověřován v období 2014-2020 (výzva č. 45 IROP) a ukázal se jako příliš komplikovaný a obtížně využitelný.</w:t>
            </w:r>
          </w:p>
        </w:tc>
        <w:tc>
          <w:tcPr>
            <w:tcW w:w="249" w:type="dxa"/>
            <w:gridSpan w:val="2"/>
            <w:tcBorders>
              <w:top w:val="nil"/>
              <w:bottom w:val="nil"/>
            </w:tcBorders>
            <w:shd w:val="clear" w:color="auto" w:fill="66CCFF"/>
          </w:tcPr>
          <w:p w14:paraId="4B7D57F2" w14:textId="77777777" w:rsidR="00DD3EFA" w:rsidRPr="00EC2A1C" w:rsidRDefault="00DD3EFA" w:rsidP="00B15ECB">
            <w:pPr>
              <w:rPr>
                <w:b/>
              </w:rPr>
            </w:pPr>
          </w:p>
        </w:tc>
      </w:tr>
      <w:tr w:rsidR="00DD3EFA" w:rsidRPr="00EC2A1C" w14:paraId="54517D43" w14:textId="77777777" w:rsidTr="00B15ECB">
        <w:trPr>
          <w:trHeight w:val="272"/>
        </w:trPr>
        <w:tc>
          <w:tcPr>
            <w:tcW w:w="249" w:type="dxa"/>
            <w:tcBorders>
              <w:top w:val="nil"/>
              <w:bottom w:val="nil"/>
              <w:right w:val="nil"/>
            </w:tcBorders>
            <w:shd w:val="clear" w:color="auto" w:fill="66CCFF"/>
          </w:tcPr>
          <w:p w14:paraId="7CCE62F9" w14:textId="77777777" w:rsidR="00DD3EFA" w:rsidRPr="00EC2A1C" w:rsidRDefault="00DD3EFA" w:rsidP="00B15ECB">
            <w:pPr>
              <w:rPr>
                <w:b/>
              </w:rPr>
            </w:pPr>
          </w:p>
        </w:tc>
        <w:tc>
          <w:tcPr>
            <w:tcW w:w="2445" w:type="dxa"/>
            <w:tcBorders>
              <w:top w:val="single" w:sz="4" w:space="0" w:color="auto"/>
              <w:left w:val="nil"/>
              <w:bottom w:val="single" w:sz="4" w:space="0" w:color="auto"/>
              <w:right w:val="nil"/>
            </w:tcBorders>
            <w:shd w:val="clear" w:color="auto" w:fill="66CCFF"/>
          </w:tcPr>
          <w:p w14:paraId="14B7E890" w14:textId="77777777" w:rsidR="00DD3EFA" w:rsidRPr="00EC2A1C" w:rsidRDefault="00DD3EFA" w:rsidP="00B15ECB">
            <w:pPr>
              <w:spacing w:before="60" w:after="60"/>
              <w:rPr>
                <w:rFonts w:eastAsiaTheme="majorEastAsia"/>
                <w:b/>
              </w:rPr>
            </w:pPr>
          </w:p>
        </w:tc>
        <w:tc>
          <w:tcPr>
            <w:tcW w:w="5978" w:type="dxa"/>
            <w:gridSpan w:val="2"/>
            <w:tcBorders>
              <w:top w:val="single" w:sz="4" w:space="0" w:color="auto"/>
              <w:left w:val="nil"/>
              <w:bottom w:val="single" w:sz="4" w:space="0" w:color="auto"/>
              <w:right w:val="nil"/>
            </w:tcBorders>
            <w:shd w:val="clear" w:color="auto" w:fill="66CCFF"/>
          </w:tcPr>
          <w:p w14:paraId="6E61AAC3" w14:textId="77777777" w:rsidR="00DD3EFA" w:rsidRPr="00EC2A1C" w:rsidRDefault="00DD3EFA" w:rsidP="00B15ECB">
            <w:pPr>
              <w:spacing w:before="60" w:after="60"/>
              <w:rPr>
                <w:rFonts w:eastAsiaTheme="majorEastAsia"/>
                <w:i/>
                <w:u w:val="single"/>
              </w:rPr>
            </w:pPr>
          </w:p>
        </w:tc>
        <w:tc>
          <w:tcPr>
            <w:tcW w:w="249" w:type="dxa"/>
            <w:gridSpan w:val="2"/>
            <w:tcBorders>
              <w:top w:val="nil"/>
              <w:left w:val="nil"/>
              <w:bottom w:val="nil"/>
            </w:tcBorders>
            <w:shd w:val="clear" w:color="auto" w:fill="66CCFF"/>
          </w:tcPr>
          <w:p w14:paraId="33E0DB80" w14:textId="77777777" w:rsidR="00DD3EFA" w:rsidRPr="00EC2A1C" w:rsidRDefault="00DD3EFA" w:rsidP="00B15ECB">
            <w:pPr>
              <w:rPr>
                <w:b/>
              </w:rPr>
            </w:pPr>
          </w:p>
        </w:tc>
      </w:tr>
      <w:tr w:rsidR="00DD3EFA" w:rsidRPr="00EC2A1C" w14:paraId="5B2783F4" w14:textId="77777777" w:rsidTr="00B15ECB">
        <w:trPr>
          <w:trHeight w:val="835"/>
        </w:trPr>
        <w:tc>
          <w:tcPr>
            <w:tcW w:w="249" w:type="dxa"/>
            <w:tcBorders>
              <w:top w:val="nil"/>
              <w:bottom w:val="nil"/>
            </w:tcBorders>
            <w:shd w:val="clear" w:color="auto" w:fill="66CCFF"/>
          </w:tcPr>
          <w:p w14:paraId="553F6348" w14:textId="77777777" w:rsidR="00DD3EFA" w:rsidRPr="00EC2A1C" w:rsidRDefault="00DD3EFA" w:rsidP="00B15ECB">
            <w:pPr>
              <w:rPr>
                <w:b/>
              </w:rPr>
            </w:pPr>
          </w:p>
        </w:tc>
        <w:tc>
          <w:tcPr>
            <w:tcW w:w="2445" w:type="dxa"/>
            <w:tcBorders>
              <w:top w:val="single" w:sz="4" w:space="0" w:color="auto"/>
              <w:bottom w:val="single" w:sz="4" w:space="0" w:color="auto"/>
            </w:tcBorders>
            <w:shd w:val="clear" w:color="auto" w:fill="auto"/>
          </w:tcPr>
          <w:p w14:paraId="7BD0A93A"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0EF921BD" w14:textId="77777777" w:rsidR="00DD3EFA" w:rsidRPr="00EC2A1C" w:rsidRDefault="00DD3EFA" w:rsidP="00B15ECB">
            <w:pPr>
              <w:spacing w:before="60" w:after="60"/>
              <w:rPr>
                <w:rFonts w:eastAsiaTheme="majorEastAsia"/>
                <w:b/>
              </w:rPr>
            </w:pPr>
          </w:p>
        </w:tc>
        <w:tc>
          <w:tcPr>
            <w:tcW w:w="5978" w:type="dxa"/>
            <w:gridSpan w:val="2"/>
            <w:tcBorders>
              <w:top w:val="single" w:sz="4" w:space="0" w:color="auto"/>
              <w:bottom w:val="single" w:sz="4" w:space="0" w:color="auto"/>
            </w:tcBorders>
            <w:shd w:val="clear" w:color="auto" w:fill="auto"/>
          </w:tcPr>
          <w:p w14:paraId="06901952" w14:textId="77777777" w:rsidR="00DD3EFA" w:rsidRPr="00EC2A1C" w:rsidRDefault="00DD3EFA" w:rsidP="00B15ECB">
            <w:pPr>
              <w:pStyle w:val="Default"/>
              <w:rPr>
                <w:rFonts w:ascii="Times New Roman" w:hAnsi="Times New Roman" w:cs="Times New Roman"/>
                <w:b/>
                <w:sz w:val="20"/>
                <w:szCs w:val="20"/>
              </w:rPr>
            </w:pPr>
          </w:p>
          <w:p w14:paraId="6128011B" w14:textId="77777777" w:rsidR="00DD3EFA" w:rsidRPr="00EC2A1C" w:rsidRDefault="00DD3EFA" w:rsidP="00B15ECB">
            <w:pPr>
              <w:pStyle w:val="Default"/>
              <w:rPr>
                <w:rFonts w:ascii="Times New Roman" w:hAnsi="Times New Roman" w:cs="Times New Roman"/>
                <w:b/>
                <w:sz w:val="20"/>
                <w:szCs w:val="20"/>
              </w:rPr>
            </w:pPr>
            <w:r w:rsidRPr="00EC2A1C">
              <w:rPr>
                <w:rFonts w:ascii="Times New Roman" w:hAnsi="Times New Roman" w:cs="Times New Roman"/>
                <w:b/>
                <w:sz w:val="20"/>
                <w:szCs w:val="20"/>
              </w:rPr>
              <w:t xml:space="preserve">Revitalizace a realizace nových veřejných prostranství </w:t>
            </w:r>
          </w:p>
          <w:p w14:paraId="56BF49FD" w14:textId="77777777" w:rsidR="00DD3EFA" w:rsidRPr="00EC2A1C" w:rsidRDefault="00DD3EFA" w:rsidP="00B15ECB">
            <w:pPr>
              <w:pStyle w:val="Default"/>
              <w:rPr>
                <w:rFonts w:ascii="Times New Roman" w:hAnsi="Times New Roman" w:cs="Times New Roman"/>
                <w:b/>
                <w:sz w:val="20"/>
                <w:szCs w:val="20"/>
              </w:rPr>
            </w:pPr>
          </w:p>
          <w:p w14:paraId="03865F4E" w14:textId="77777777" w:rsidR="00DD3EFA" w:rsidRPr="00EC2A1C" w:rsidRDefault="00DD3EFA" w:rsidP="00391907">
            <w:pPr>
              <w:pStyle w:val="Default"/>
              <w:numPr>
                <w:ilvl w:val="0"/>
                <w:numId w:val="131"/>
              </w:numPr>
              <w:rPr>
                <w:rFonts w:ascii="Times New Roman" w:hAnsi="Times New Roman" w:cs="Times New Roman"/>
                <w:sz w:val="20"/>
                <w:szCs w:val="20"/>
              </w:rPr>
            </w:pPr>
            <w:r w:rsidRPr="00EC2A1C">
              <w:rPr>
                <w:rFonts w:ascii="Times New Roman" w:hAnsi="Times New Roman" w:cs="Times New Roman"/>
                <w:b/>
                <w:sz w:val="20"/>
                <w:szCs w:val="20"/>
              </w:rPr>
              <w:t>Komplexní revitalizace/obnova veřejných prostranství</w:t>
            </w:r>
            <w:r w:rsidRPr="00EC2A1C">
              <w:rPr>
                <w:rFonts w:ascii="Times New Roman" w:hAnsi="Times New Roman" w:cs="Times New Roman"/>
                <w:sz w:val="20"/>
                <w:szCs w:val="20"/>
              </w:rPr>
              <w:t>, vč. odstranění nefunkčních prvků</w:t>
            </w:r>
          </w:p>
          <w:p w14:paraId="5502F87E" w14:textId="77777777" w:rsidR="00DD3EFA" w:rsidRPr="00EC2A1C" w:rsidRDefault="00DD3EFA" w:rsidP="00391907">
            <w:pPr>
              <w:pStyle w:val="Default"/>
              <w:numPr>
                <w:ilvl w:val="0"/>
                <w:numId w:val="131"/>
              </w:numPr>
              <w:rPr>
                <w:rFonts w:ascii="Times New Roman" w:hAnsi="Times New Roman" w:cs="Times New Roman"/>
                <w:sz w:val="20"/>
                <w:szCs w:val="20"/>
              </w:rPr>
            </w:pPr>
            <w:r w:rsidRPr="00EC2A1C">
              <w:rPr>
                <w:rFonts w:ascii="Times New Roman" w:hAnsi="Times New Roman" w:cs="Times New Roman"/>
                <w:b/>
                <w:sz w:val="20"/>
                <w:szCs w:val="20"/>
              </w:rPr>
              <w:t>Dílčí úpravy zlepšující bezbariérový pohyb</w:t>
            </w:r>
            <w:r w:rsidRPr="00EC2A1C">
              <w:rPr>
                <w:rFonts w:ascii="Times New Roman" w:hAnsi="Times New Roman" w:cs="Times New Roman"/>
                <w:sz w:val="20"/>
                <w:szCs w:val="20"/>
              </w:rPr>
              <w:t xml:space="preserve"> na veřejných prostranstvích</w:t>
            </w:r>
          </w:p>
          <w:p w14:paraId="6E03ECB6" w14:textId="77777777" w:rsidR="00DD3EFA" w:rsidRPr="00EC2A1C" w:rsidRDefault="00DD3EFA" w:rsidP="00391907">
            <w:pPr>
              <w:pStyle w:val="Default"/>
              <w:numPr>
                <w:ilvl w:val="0"/>
                <w:numId w:val="131"/>
              </w:numPr>
              <w:rPr>
                <w:rFonts w:ascii="Times New Roman" w:hAnsi="Times New Roman" w:cs="Times New Roman"/>
                <w:sz w:val="20"/>
                <w:szCs w:val="20"/>
              </w:rPr>
            </w:pPr>
            <w:r w:rsidRPr="00EC2A1C">
              <w:rPr>
                <w:rFonts w:ascii="Times New Roman" w:hAnsi="Times New Roman" w:cs="Times New Roman"/>
                <w:b/>
                <w:sz w:val="20"/>
                <w:szCs w:val="20"/>
              </w:rPr>
              <w:t>Zlepšení mikroklimatu na veřejných prostranstvích</w:t>
            </w:r>
            <w:r w:rsidRPr="00EC2A1C">
              <w:rPr>
                <w:rFonts w:ascii="Times New Roman" w:hAnsi="Times New Roman" w:cs="Times New Roman"/>
                <w:sz w:val="20"/>
                <w:szCs w:val="20"/>
              </w:rPr>
              <w:t xml:space="preserve"> skrze zahrnutí prvků zelené infrastruktury</w:t>
            </w:r>
          </w:p>
          <w:p w14:paraId="279CF462" w14:textId="77777777" w:rsidR="00DD3EFA" w:rsidRPr="00EC2A1C" w:rsidRDefault="00DD3EFA" w:rsidP="00391907">
            <w:pPr>
              <w:pStyle w:val="Default"/>
              <w:numPr>
                <w:ilvl w:val="0"/>
                <w:numId w:val="131"/>
              </w:numPr>
              <w:rPr>
                <w:rFonts w:ascii="Times New Roman" w:hAnsi="Times New Roman" w:cs="Times New Roman"/>
                <w:sz w:val="20"/>
                <w:szCs w:val="20"/>
              </w:rPr>
            </w:pPr>
            <w:r w:rsidRPr="00EC2A1C">
              <w:rPr>
                <w:rFonts w:ascii="Times New Roman" w:hAnsi="Times New Roman" w:cs="Times New Roman"/>
                <w:b/>
                <w:sz w:val="20"/>
                <w:szCs w:val="20"/>
              </w:rPr>
              <w:t>Dílčí obnova cestní sítě a doprovodný mobiliář</w:t>
            </w:r>
            <w:r w:rsidRPr="00EC2A1C">
              <w:rPr>
                <w:rFonts w:ascii="Times New Roman" w:hAnsi="Times New Roman" w:cs="Times New Roman"/>
                <w:sz w:val="20"/>
                <w:szCs w:val="20"/>
              </w:rPr>
              <w:t xml:space="preserve"> veřejných prostranství (například. městské parky)</w:t>
            </w:r>
          </w:p>
          <w:p w14:paraId="4B582D97" w14:textId="77777777" w:rsidR="00DD3EFA" w:rsidRPr="00EC2A1C" w:rsidRDefault="00DD3EFA" w:rsidP="00391907">
            <w:pPr>
              <w:pStyle w:val="Default"/>
              <w:numPr>
                <w:ilvl w:val="0"/>
                <w:numId w:val="131"/>
              </w:numPr>
              <w:rPr>
                <w:rFonts w:ascii="Times New Roman" w:hAnsi="Times New Roman" w:cs="Times New Roman"/>
                <w:sz w:val="20"/>
                <w:szCs w:val="20"/>
              </w:rPr>
            </w:pPr>
            <w:r w:rsidRPr="00EC2A1C">
              <w:rPr>
                <w:rFonts w:ascii="Times New Roman" w:hAnsi="Times New Roman" w:cs="Times New Roman"/>
                <w:b/>
                <w:sz w:val="20"/>
                <w:szCs w:val="20"/>
              </w:rPr>
              <w:t>Realizace zcela nových veřejných prostranství</w:t>
            </w:r>
            <w:r w:rsidRPr="00EC2A1C">
              <w:rPr>
                <w:rFonts w:ascii="Times New Roman" w:hAnsi="Times New Roman" w:cs="Times New Roman"/>
                <w:sz w:val="20"/>
                <w:szCs w:val="20"/>
              </w:rPr>
              <w:t xml:space="preserve"> (např. plánovací smlouva města s developerem, využití brownfieldů)</w:t>
            </w:r>
          </w:p>
          <w:p w14:paraId="10D9D978" w14:textId="77777777" w:rsidR="00DD3EFA" w:rsidRPr="00EC2A1C" w:rsidRDefault="00DD3EFA" w:rsidP="00B15ECB">
            <w:pPr>
              <w:pStyle w:val="Default"/>
              <w:rPr>
                <w:rFonts w:ascii="Times New Roman" w:hAnsi="Times New Roman" w:cs="Times New Roman"/>
                <w:sz w:val="20"/>
                <w:szCs w:val="20"/>
              </w:rPr>
            </w:pPr>
          </w:p>
          <w:p w14:paraId="10787B62"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Je zapotřebí propojit realizaci s využitím územně plánovacími podklady, resp. územními studiemi zaměřenými na řešení veřejných prostranství, sídelní zeleně a krajiny (s využitím výstupů z tohoto programového období): Územní studie pořízené k realizaci obnovy veřejných prostranství, obnovy sídelní zeleně a dílčích opatření na zlepšení funkčních prvků krajiny v zázemí měst a obcí využitelných pro jejich obyvatele (ovlivňujících nebo přímo zasahujících do měst a obcí – např. obnova nebo realizace příměstského parku). A dále podpořit (ještě v tomto období neuspokojené žádosti pro možnost využití pro realizace v budoucím období.</w:t>
            </w:r>
          </w:p>
          <w:p w14:paraId="79220736" w14:textId="77777777" w:rsidR="00DD3EFA" w:rsidRPr="00EC2A1C" w:rsidRDefault="00DD3EFA" w:rsidP="00B15ECB">
            <w:pPr>
              <w:pStyle w:val="Default"/>
              <w:rPr>
                <w:rFonts w:ascii="Times New Roman" w:hAnsi="Times New Roman" w:cs="Times New Roman"/>
                <w:sz w:val="20"/>
                <w:szCs w:val="20"/>
              </w:rPr>
            </w:pPr>
          </w:p>
          <w:p w14:paraId="297B8DB1"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V příštím období pak pokračovat v podpoře pořízení (s menší alokací než dosud) různých typů územních studií (jako doposud):</w:t>
            </w:r>
          </w:p>
          <w:p w14:paraId="03F78882" w14:textId="77777777" w:rsidR="00DD3EFA" w:rsidRPr="00EC2A1C" w:rsidRDefault="00DD3EFA" w:rsidP="00B15ECB">
            <w:pPr>
              <w:pStyle w:val="Default"/>
              <w:rPr>
                <w:rFonts w:ascii="Times New Roman" w:hAnsi="Times New Roman" w:cs="Times New Roman"/>
                <w:b/>
                <w:sz w:val="20"/>
                <w:szCs w:val="20"/>
              </w:rPr>
            </w:pPr>
          </w:p>
          <w:p w14:paraId="4A3CA876" w14:textId="77777777" w:rsidR="00DD3EFA" w:rsidRPr="00EC2A1C" w:rsidRDefault="00DD3EFA" w:rsidP="00B15ECB">
            <w:pPr>
              <w:pStyle w:val="Default"/>
              <w:rPr>
                <w:rFonts w:ascii="Times New Roman" w:hAnsi="Times New Roman" w:cs="Times New Roman"/>
                <w:b/>
                <w:sz w:val="20"/>
                <w:szCs w:val="20"/>
              </w:rPr>
            </w:pPr>
            <w:r w:rsidRPr="00EC2A1C">
              <w:rPr>
                <w:rFonts w:ascii="Times New Roman" w:hAnsi="Times New Roman" w:cs="Times New Roman"/>
                <w:b/>
                <w:sz w:val="20"/>
                <w:szCs w:val="20"/>
              </w:rPr>
              <w:t>Územní studie – podpora pořízení</w:t>
            </w:r>
          </w:p>
          <w:p w14:paraId="14178A6A" w14:textId="77777777" w:rsidR="00DD3EFA" w:rsidRPr="00EC2A1C" w:rsidRDefault="00DD3EFA" w:rsidP="00B15ECB">
            <w:pPr>
              <w:pStyle w:val="Default"/>
              <w:rPr>
                <w:rFonts w:ascii="Times New Roman" w:hAnsi="Times New Roman" w:cs="Times New Roman"/>
                <w:b/>
                <w:sz w:val="20"/>
                <w:szCs w:val="20"/>
              </w:rPr>
            </w:pPr>
            <w:r w:rsidRPr="00EC2A1C">
              <w:rPr>
                <w:rFonts w:ascii="Times New Roman" w:hAnsi="Times New Roman" w:cs="Times New Roman"/>
                <w:b/>
                <w:sz w:val="20"/>
                <w:szCs w:val="20"/>
              </w:rPr>
              <w:t xml:space="preserve">1) Územní studie veřejného prostranství – </w:t>
            </w:r>
          </w:p>
          <w:p w14:paraId="6625CC4A" w14:textId="77777777" w:rsidR="00DD3EFA" w:rsidRPr="00EC2A1C" w:rsidRDefault="00DD3EFA" w:rsidP="00B15ECB">
            <w:pPr>
              <w:autoSpaceDE w:val="0"/>
              <w:autoSpaceDN w:val="0"/>
              <w:adjustRightInd w:val="0"/>
              <w:rPr>
                <w:color w:val="000000"/>
              </w:rPr>
            </w:pPr>
            <w:r w:rsidRPr="00EC2A1C">
              <w:rPr>
                <w:color w:val="000000"/>
              </w:rPr>
              <w:t xml:space="preserve">Obec může územní studií prověřit (i variantě) řešení veřejného prostranství ve svém správním obvodu, které upřesní jeho vymezení, posoudí možnost doplnění stavebních proluk, v přiměřené podrobnosti navrhne uspořádání veřejného prostranství s ohledem na jeho význam pro uspokojování funkce např. společenské, rekreační, dopravní pro různé mody dopravy včetně pěších a cyklistů, a navrhne řešení zelené infrastruktury např. ve formě ploch zeleně, uličních stromořadí, vodních prvků aj. Při návrhu zohlední rozličné ekosystémové služby, které může zelená infrastruktura poskytovat, např. retenční, termoregulační, ekostabilizační, rekreační, relaxační, estetickou, společenskou, aj. </w:t>
            </w:r>
          </w:p>
          <w:p w14:paraId="531B0D2C" w14:textId="77777777" w:rsidR="00DD3EFA" w:rsidRPr="00EC2A1C" w:rsidRDefault="00DD3EFA" w:rsidP="00B15ECB">
            <w:pPr>
              <w:autoSpaceDE w:val="0"/>
              <w:autoSpaceDN w:val="0"/>
              <w:adjustRightInd w:val="0"/>
              <w:rPr>
                <w:color w:val="000000"/>
              </w:rPr>
            </w:pPr>
            <w:r w:rsidRPr="00EC2A1C">
              <w:rPr>
                <w:color w:val="000000"/>
              </w:rPr>
              <w:t xml:space="preserve">Územní studie může řešit systém veřejných prostranství v sídle, včetně systému zelené infrastruktury, i jedno nebo několik veřejných prostranství s ohledem na potřeby místních obyvatel i sídla. </w:t>
            </w:r>
          </w:p>
          <w:p w14:paraId="4FD5261A" w14:textId="77777777" w:rsidR="00DD3EFA" w:rsidRPr="00EC2A1C" w:rsidRDefault="00DD3EFA" w:rsidP="00B15ECB">
            <w:pPr>
              <w:autoSpaceDE w:val="0"/>
              <w:autoSpaceDN w:val="0"/>
              <w:adjustRightInd w:val="0"/>
              <w:rPr>
                <w:color w:val="000000"/>
              </w:rPr>
            </w:pPr>
            <w:r w:rsidRPr="00EC2A1C">
              <w:rPr>
                <w:color w:val="000000"/>
              </w:rPr>
              <w:t xml:space="preserve">Územní studie slouží jako podklad pro územně plánovací činnost a </w:t>
            </w:r>
            <w:r w:rsidRPr="00EC2A1C">
              <w:t xml:space="preserve">pro projekční a realizační činnost obce.  </w:t>
            </w:r>
          </w:p>
          <w:p w14:paraId="3F239A79" w14:textId="77777777" w:rsidR="00DD3EFA" w:rsidRPr="00EC2A1C" w:rsidRDefault="00DD3EFA" w:rsidP="00B15ECB">
            <w:pPr>
              <w:autoSpaceDE w:val="0"/>
              <w:autoSpaceDN w:val="0"/>
              <w:adjustRightInd w:val="0"/>
            </w:pPr>
          </w:p>
          <w:p w14:paraId="53E9E46E" w14:textId="77777777" w:rsidR="00DD3EFA" w:rsidRPr="00EC2A1C" w:rsidRDefault="00DD3EFA" w:rsidP="00B15ECB">
            <w:pPr>
              <w:spacing w:before="60" w:after="60"/>
              <w:rPr>
                <w:b/>
              </w:rPr>
            </w:pPr>
            <w:r w:rsidRPr="00EC2A1C">
              <w:rPr>
                <w:b/>
              </w:rPr>
              <w:t>2) Územní studie sídelní zeleně –</w:t>
            </w:r>
          </w:p>
          <w:p w14:paraId="4EED2CF2" w14:textId="77777777" w:rsidR="00DD3EFA" w:rsidRPr="00EC2A1C" w:rsidRDefault="00DD3EFA" w:rsidP="00B15ECB">
            <w:pPr>
              <w:spacing w:before="60" w:after="60"/>
            </w:pPr>
            <w:r w:rsidRPr="00EC2A1C">
              <w:t xml:space="preserve">Územní studie sídelní zeleně řeší koncepčně veškeré plochy zeleně v sídle, které eviduje, hodnotí a navrhuje jejich obnovu a rozvoj s cílem posílení ekosystémových funkcí zelené infrastruktury a tím zlepšení kvality prostředí v sídlech. Navrhuje zeleň v sídle jako funkčně a zpravidla i prostorově spojitý systém ploch zeleně, vodních prvků, uliční zeleně a dalších prvků, včetně návazností na krajinu vně sídla. Pro jednotlivé prvky systému sídelní zeleně navrhuje rámcově zásady jejich rozvoje a údržby, etapizaci realizace, revitalizace a dalších úprav.  </w:t>
            </w:r>
          </w:p>
          <w:p w14:paraId="7BE229B6" w14:textId="77777777" w:rsidR="00DD3EFA" w:rsidRPr="00EC2A1C" w:rsidRDefault="00DD3EFA" w:rsidP="00B15ECB">
            <w:pPr>
              <w:autoSpaceDE w:val="0"/>
              <w:autoSpaceDN w:val="0"/>
              <w:adjustRightInd w:val="0"/>
            </w:pPr>
            <w:r w:rsidRPr="00EC2A1C">
              <w:rPr>
                <w:color w:val="000000"/>
              </w:rPr>
              <w:t xml:space="preserve">Slouží jako podklad pro územně plánovací činnost, </w:t>
            </w:r>
            <w:r w:rsidRPr="00EC2A1C">
              <w:t xml:space="preserve">pro projekční a realizační činnost obce a pro ochranu, správu a péči o zeleň.  </w:t>
            </w:r>
          </w:p>
          <w:p w14:paraId="2E67173D" w14:textId="77777777" w:rsidR="00DD3EFA" w:rsidRPr="00EC2A1C" w:rsidRDefault="00DD3EFA" w:rsidP="00B15ECB">
            <w:pPr>
              <w:spacing w:before="60" w:after="60"/>
            </w:pPr>
          </w:p>
          <w:p w14:paraId="43F35D32" w14:textId="77777777" w:rsidR="00DD3EFA" w:rsidRPr="00EC2A1C" w:rsidRDefault="00DD3EFA" w:rsidP="00B15ECB">
            <w:pPr>
              <w:spacing w:before="60" w:after="60"/>
              <w:rPr>
                <w:b/>
              </w:rPr>
            </w:pPr>
            <w:r w:rsidRPr="00EC2A1C">
              <w:rPr>
                <w:b/>
              </w:rPr>
              <w:t>3) Územní studie krajiny -</w:t>
            </w:r>
          </w:p>
          <w:p w14:paraId="6A4B1F6D" w14:textId="77777777" w:rsidR="00DD3EFA" w:rsidRPr="00EC2A1C" w:rsidRDefault="00DD3EFA" w:rsidP="00B15ECB">
            <w:pPr>
              <w:pStyle w:val="Default"/>
              <w:rPr>
                <w:rFonts w:ascii="Times New Roman" w:eastAsiaTheme="majorEastAsia" w:hAnsi="Times New Roman" w:cs="Times New Roman"/>
                <w:i/>
                <w:sz w:val="20"/>
                <w:szCs w:val="20"/>
              </w:rPr>
            </w:pPr>
            <w:r w:rsidRPr="00EC2A1C">
              <w:rPr>
                <w:rFonts w:ascii="Times New Roman" w:hAnsi="Times New Roman" w:cs="Times New Roman"/>
                <w:sz w:val="20"/>
                <w:szCs w:val="20"/>
              </w:rPr>
              <w:t xml:space="preserve">Územní studie na území kraje nebo na území správního obvodu obce s rozšířenou působností řeší koncepční problémy krajiny, např. cílové kvality krajin a návrh opatření pro dosažení nebo zachování těchto kvalit, systémové podmínky pro řešení specifických problémů krajiny, jako jsou např. ekologicky málo stabilní území, retence vody v krajině, protierozní a protipovodňová opatření, podmínky pro zachování biodiverzity, ochranu území Natura 2000, prostupnost krajiny, koordinace využití území s ohledem na hospodářské využití, rekreaci, umisťování veřejné dopravní a technické infrastruktury, na přírodní a civilizační hodnoty apod. Studie slouží jako podklad pro územně plánovací činnost, zejména pro pořízení územních plánů a jejich změn, a pro konkrétní navazující realizační opatření vedoucí k naplňování principu udržitelného rozvoje, Evropské úmluvy o krajině, ke koncepčnímu rozvoji zelené infrastruktury a pro adaptaci na změnu klimatu. </w:t>
            </w:r>
          </w:p>
        </w:tc>
        <w:tc>
          <w:tcPr>
            <w:tcW w:w="249" w:type="dxa"/>
            <w:gridSpan w:val="2"/>
            <w:tcBorders>
              <w:top w:val="nil"/>
              <w:bottom w:val="nil"/>
            </w:tcBorders>
            <w:shd w:val="clear" w:color="auto" w:fill="66CCFF"/>
          </w:tcPr>
          <w:p w14:paraId="5F0197C0" w14:textId="77777777" w:rsidR="00DD3EFA" w:rsidRPr="00EC2A1C" w:rsidRDefault="00DD3EFA" w:rsidP="00B15ECB">
            <w:pPr>
              <w:rPr>
                <w:b/>
              </w:rPr>
            </w:pPr>
          </w:p>
        </w:tc>
      </w:tr>
      <w:tr w:rsidR="00DD3EFA" w:rsidRPr="00EC2A1C" w14:paraId="4280021A" w14:textId="77777777" w:rsidTr="00B15ECB">
        <w:trPr>
          <w:trHeight w:val="377"/>
        </w:trPr>
        <w:tc>
          <w:tcPr>
            <w:tcW w:w="249" w:type="dxa"/>
            <w:tcBorders>
              <w:top w:val="nil"/>
              <w:bottom w:val="nil"/>
              <w:right w:val="nil"/>
            </w:tcBorders>
            <w:shd w:val="clear" w:color="auto" w:fill="66CCFF"/>
          </w:tcPr>
          <w:p w14:paraId="15FE145D" w14:textId="77777777" w:rsidR="00DD3EFA" w:rsidRPr="00EC2A1C" w:rsidRDefault="00DD3EFA" w:rsidP="00B15ECB">
            <w:pPr>
              <w:rPr>
                <w:b/>
              </w:rPr>
            </w:pPr>
          </w:p>
        </w:tc>
        <w:tc>
          <w:tcPr>
            <w:tcW w:w="2445" w:type="dxa"/>
            <w:tcBorders>
              <w:top w:val="single" w:sz="4" w:space="0" w:color="auto"/>
              <w:left w:val="nil"/>
              <w:bottom w:val="single" w:sz="4" w:space="0" w:color="auto"/>
              <w:right w:val="nil"/>
            </w:tcBorders>
            <w:shd w:val="clear" w:color="auto" w:fill="66CCFF"/>
          </w:tcPr>
          <w:p w14:paraId="4F5FFCC4" w14:textId="77777777" w:rsidR="00DD3EFA" w:rsidRPr="00EC2A1C" w:rsidRDefault="00DD3EFA" w:rsidP="00B15ECB">
            <w:pPr>
              <w:spacing w:before="60" w:after="60"/>
              <w:rPr>
                <w:rFonts w:eastAsiaTheme="majorEastAsia"/>
                <w:b/>
              </w:rPr>
            </w:pPr>
          </w:p>
        </w:tc>
        <w:tc>
          <w:tcPr>
            <w:tcW w:w="5978" w:type="dxa"/>
            <w:gridSpan w:val="2"/>
            <w:tcBorders>
              <w:top w:val="single" w:sz="4" w:space="0" w:color="auto"/>
              <w:left w:val="nil"/>
              <w:bottom w:val="single" w:sz="4" w:space="0" w:color="auto"/>
              <w:right w:val="nil"/>
            </w:tcBorders>
            <w:shd w:val="clear" w:color="auto" w:fill="66CCFF"/>
          </w:tcPr>
          <w:p w14:paraId="3070C1E5" w14:textId="77777777" w:rsidR="00DD3EFA" w:rsidRPr="00EC2A1C" w:rsidRDefault="00DD3EFA" w:rsidP="00B15ECB">
            <w:pPr>
              <w:spacing w:before="60" w:after="60"/>
              <w:rPr>
                <w:rFonts w:eastAsiaTheme="majorEastAsia"/>
                <w:i/>
              </w:rPr>
            </w:pPr>
          </w:p>
        </w:tc>
        <w:tc>
          <w:tcPr>
            <w:tcW w:w="249" w:type="dxa"/>
            <w:gridSpan w:val="2"/>
            <w:tcBorders>
              <w:top w:val="nil"/>
              <w:left w:val="nil"/>
              <w:bottom w:val="nil"/>
            </w:tcBorders>
            <w:shd w:val="clear" w:color="auto" w:fill="66CCFF"/>
          </w:tcPr>
          <w:p w14:paraId="70CB4E19" w14:textId="77777777" w:rsidR="00DD3EFA" w:rsidRPr="00EC2A1C" w:rsidRDefault="00DD3EFA" w:rsidP="00B15ECB">
            <w:pPr>
              <w:rPr>
                <w:b/>
              </w:rPr>
            </w:pPr>
          </w:p>
        </w:tc>
      </w:tr>
      <w:tr w:rsidR="00DD3EFA" w:rsidRPr="00EC2A1C" w14:paraId="7B8B0008" w14:textId="77777777" w:rsidTr="00B15ECB">
        <w:trPr>
          <w:gridAfter w:val="1"/>
          <w:wAfter w:w="36" w:type="dxa"/>
          <w:trHeight w:val="1202"/>
        </w:trPr>
        <w:tc>
          <w:tcPr>
            <w:tcW w:w="249" w:type="dxa"/>
            <w:tcBorders>
              <w:top w:val="nil"/>
              <w:bottom w:val="nil"/>
            </w:tcBorders>
            <w:shd w:val="clear" w:color="auto" w:fill="66CCFF"/>
          </w:tcPr>
          <w:p w14:paraId="43DD8460" w14:textId="77777777" w:rsidR="00DD3EFA" w:rsidRPr="00EC2A1C" w:rsidRDefault="00DD3EFA" w:rsidP="00B15ECB">
            <w:pPr>
              <w:rPr>
                <w:b/>
              </w:rPr>
            </w:pPr>
          </w:p>
        </w:tc>
        <w:tc>
          <w:tcPr>
            <w:tcW w:w="8387" w:type="dxa"/>
            <w:gridSpan w:val="2"/>
            <w:tcBorders>
              <w:top w:val="single" w:sz="4" w:space="0" w:color="auto"/>
              <w:bottom w:val="single" w:sz="4" w:space="0" w:color="auto"/>
            </w:tcBorders>
            <w:shd w:val="clear" w:color="auto" w:fill="FFFFFF" w:themeFill="background1"/>
          </w:tcPr>
          <w:p w14:paraId="242C240E" w14:textId="77777777" w:rsidR="00DD3EFA" w:rsidRPr="00EC2A1C" w:rsidRDefault="00DD3EFA" w:rsidP="00B15ECB">
            <w:pPr>
              <w:spacing w:before="60" w:after="60"/>
              <w:rPr>
                <w:rFonts w:eastAsiaTheme="majorEastAsia"/>
                <w:i/>
                <w:u w:val="single"/>
              </w:rPr>
            </w:pPr>
            <w:r w:rsidRPr="00EC2A1C">
              <w:rPr>
                <w:rFonts w:eastAsiaTheme="majorEastAsia"/>
                <w:b/>
              </w:rPr>
              <w:t>Průřezová témata a souvislosti:</w:t>
            </w:r>
          </w:p>
        </w:tc>
        <w:tc>
          <w:tcPr>
            <w:tcW w:w="249" w:type="dxa"/>
            <w:gridSpan w:val="2"/>
            <w:tcBorders>
              <w:top w:val="nil"/>
              <w:bottom w:val="nil"/>
            </w:tcBorders>
            <w:shd w:val="clear" w:color="auto" w:fill="66CCFF"/>
          </w:tcPr>
          <w:p w14:paraId="4C6FE402" w14:textId="77777777" w:rsidR="00DD3EFA" w:rsidRPr="00EC2A1C" w:rsidRDefault="00DD3EFA" w:rsidP="00B15ECB">
            <w:pPr>
              <w:rPr>
                <w:b/>
              </w:rPr>
            </w:pPr>
          </w:p>
        </w:tc>
      </w:tr>
      <w:tr w:rsidR="00DD3EFA" w:rsidRPr="00EC2A1C" w14:paraId="17FC1A89" w14:textId="77777777" w:rsidTr="00B15ECB">
        <w:trPr>
          <w:trHeight w:val="1202"/>
        </w:trPr>
        <w:tc>
          <w:tcPr>
            <w:tcW w:w="249" w:type="dxa"/>
            <w:tcBorders>
              <w:top w:val="nil"/>
              <w:bottom w:val="nil"/>
            </w:tcBorders>
            <w:shd w:val="clear" w:color="auto" w:fill="66CCFF"/>
          </w:tcPr>
          <w:p w14:paraId="1E8D34E9"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2A3387D1"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15EE271C"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6C5F09E7" w14:textId="77777777" w:rsidR="00DD3EFA" w:rsidRPr="00EC2A1C" w:rsidRDefault="00DD3EFA" w:rsidP="00B15ECB">
            <w:pPr>
              <w:spacing w:before="60" w:after="60"/>
              <w:rPr>
                <w:rFonts w:eastAsiaTheme="majorEastAsia"/>
              </w:rPr>
            </w:pPr>
            <w:r w:rsidRPr="00EC2A1C">
              <w:rPr>
                <w:rFonts w:eastAsiaTheme="majorEastAsia"/>
              </w:rPr>
              <w:t xml:space="preserve">Specifickým problémem sídel je potřeba řešit kvalitu veřejných prostranství, kde se uplatňuje jednak potřeba řešit environmentální problémy (tepelný ostrov města, posílení retenčních schopností atd., viz výše), jednak potřeba zvýšit kvalitu veřejných prostranství pro uspokojení společenských, estetických, dopravních aj. potřeb obyvatel těchto sídel. </w:t>
            </w:r>
          </w:p>
          <w:p w14:paraId="150BCD9E" w14:textId="77777777" w:rsidR="00DD3EFA" w:rsidRPr="00EC2A1C" w:rsidRDefault="00DD3EFA" w:rsidP="00B15ECB">
            <w:pPr>
              <w:spacing w:before="60" w:after="60"/>
              <w:rPr>
                <w:rFonts w:eastAsiaTheme="majorEastAsia"/>
              </w:rPr>
            </w:pPr>
            <w:r w:rsidRPr="00EC2A1C">
              <w:rPr>
                <w:rFonts w:eastAsiaTheme="majorEastAsia"/>
              </w:rPr>
              <w:t>Tyto záležitosti jsou rozdílné co do rozsahu využití veřejných prostranství a jeho charakteru (historická sídla, části měst 19. století, moderní města se sídlištními celky). Přístup ke kvalitě by však měl být stejný, ať se jedná o malou obec nebo město typu metropole. Zvláštní pozornost by však měla být věnována při obnově veřejných prostranství zejména historickým sídlům a to těm, která jsou památkovými zónami a rezervacemi, ať městskými nebo venkovskými. Pro tento účel lze efektivně využít (a také k integrovaným investicím a nástrojům – CLLD a ITI doporučit) tzv. Programy regenerací městských/venkovských památkových zón a rezervací. Tyto programy lze využít zejména s ohledem na jejich dlouhodobou aplikovanost v obcích (již od roku 1992).</w:t>
            </w:r>
          </w:p>
          <w:p w14:paraId="00DBF30E" w14:textId="77777777" w:rsidR="00DD3EFA" w:rsidRPr="00EC2A1C" w:rsidRDefault="00DD3EFA" w:rsidP="00B15ECB">
            <w:pPr>
              <w:spacing w:before="60" w:after="60"/>
              <w:rPr>
                <w:rFonts w:eastAsiaTheme="majorEastAsia"/>
              </w:rPr>
            </w:pPr>
          </w:p>
          <w:p w14:paraId="11080C99" w14:textId="77777777" w:rsidR="00DD3EFA" w:rsidRPr="00EC2A1C" w:rsidRDefault="00DD3EFA" w:rsidP="00B15ECB">
            <w:pPr>
              <w:spacing w:before="60" w:after="60"/>
              <w:rPr>
                <w:rFonts w:eastAsiaTheme="majorEastAsia"/>
              </w:rPr>
            </w:pPr>
            <w:r w:rsidRPr="00EC2A1C">
              <w:rPr>
                <w:rFonts w:eastAsiaTheme="majorEastAsia"/>
              </w:rPr>
              <w:t xml:space="preserve">Územní plánování má z definice územní dimenzi, tj. řeší každé území diferencovaně s ohledem na jeho specifika. </w:t>
            </w:r>
          </w:p>
          <w:p w14:paraId="7CD7F902" w14:textId="77777777" w:rsidR="00DD3EFA" w:rsidRPr="00EC2A1C" w:rsidRDefault="00DD3EFA" w:rsidP="00B15ECB">
            <w:pPr>
              <w:spacing w:before="60" w:after="60"/>
              <w:rPr>
                <w:rFonts w:eastAsiaTheme="majorEastAsia"/>
              </w:rPr>
            </w:pPr>
            <w:r w:rsidRPr="00EC2A1C">
              <w:rPr>
                <w:rFonts w:eastAsiaTheme="majorEastAsia"/>
              </w:rPr>
              <w:t xml:space="preserve">V tradičních zemědělských oblastech (jižní Morava, dolní Poohří) vzrůstají problémy s dlouhodobým suchem. Problémem převážně zemědělských oblastí vůbec je rovněž nedostatečná mozaikovost krajiny (příliš velké půdní bloky), což oslabuje druhovou pestrost a přispívá k ohroženosti půd erozí a ke zhoršení vodního režimu.  </w:t>
            </w:r>
          </w:p>
          <w:p w14:paraId="0478CC9C" w14:textId="77777777" w:rsidR="00DD3EFA" w:rsidRPr="00EC2A1C" w:rsidRDefault="00DD3EFA" w:rsidP="00B15ECB">
            <w:pPr>
              <w:spacing w:before="60" w:after="60"/>
              <w:rPr>
                <w:rFonts w:eastAsiaTheme="majorEastAsia"/>
              </w:rPr>
            </w:pPr>
            <w:r w:rsidRPr="00EC2A1C">
              <w:rPr>
                <w:rFonts w:eastAsiaTheme="majorEastAsia"/>
              </w:rPr>
              <w:t xml:space="preserve">Území podél toků, nejvíce při soutocích velkých řek, jsou ohrožována povodněmi (po dlouhotrvajících deštích nebo prudkém tání sněhu na rozsáhlých územích). </w:t>
            </w:r>
          </w:p>
          <w:p w14:paraId="294E36BE" w14:textId="77777777" w:rsidR="00DD3EFA" w:rsidRPr="00EC2A1C" w:rsidRDefault="00DD3EFA" w:rsidP="00B15ECB">
            <w:pPr>
              <w:spacing w:before="60" w:after="60"/>
              <w:rPr>
                <w:rFonts w:eastAsiaTheme="majorEastAsia"/>
              </w:rPr>
            </w:pPr>
            <w:r w:rsidRPr="00EC2A1C">
              <w:rPr>
                <w:rFonts w:eastAsiaTheme="majorEastAsia"/>
              </w:rPr>
              <w:t xml:space="preserve">Napříč celým územím státu se pak při kumulaci nevhodných faktorů jako je soustředění odtokových linií do jednoho bodu a neexistence odpovídajících retenčních ploch vyskytují místa ohrožená bleskovými přívalovými povodněmi. </w:t>
            </w:r>
          </w:p>
          <w:p w14:paraId="3896E819" w14:textId="77777777" w:rsidR="00DD3EFA" w:rsidRPr="00EC2A1C" w:rsidRDefault="00DD3EFA" w:rsidP="00B15ECB">
            <w:pPr>
              <w:spacing w:before="60" w:after="60"/>
              <w:rPr>
                <w:rFonts w:eastAsiaTheme="majorEastAsia"/>
              </w:rPr>
            </w:pPr>
            <w:r w:rsidRPr="00EC2A1C">
              <w:rPr>
                <w:rFonts w:eastAsiaTheme="majorEastAsia"/>
              </w:rPr>
              <w:t>V zalesněných oblastech přetrvává problém s nevhodnou druhovou a věkovou skladbou lesů (např. převaha smrkových monokultur), která je činí zranitelnějšími vůči extrémním projevům klimatu a vůči škůdcům. S oteplováním klimatu se zranitelnost lesních porostů zvyšuje.</w:t>
            </w:r>
          </w:p>
          <w:p w14:paraId="1052CF17" w14:textId="77777777" w:rsidR="00DD3EFA" w:rsidRPr="00EC2A1C" w:rsidRDefault="00DD3EFA" w:rsidP="00B15ECB">
            <w:pPr>
              <w:spacing w:before="60" w:after="60"/>
              <w:rPr>
                <w:rFonts w:eastAsiaTheme="majorEastAsia"/>
              </w:rPr>
            </w:pPr>
            <w:r w:rsidRPr="00EC2A1C">
              <w:rPr>
                <w:rFonts w:eastAsiaTheme="majorEastAsia"/>
              </w:rPr>
              <w:t>V průmyslových a těžebních oblastech je problémem intenzivní soustředění liniových staveb a výskyt velkých těžebních a průmyslových areálů, často se zásadními dopady na krajinnou kompozici, což oslabuje rekreační, odpočinkové a turistické funkce krajiny a snižuje celkovou kvalitu života v těchto oblastech.</w:t>
            </w:r>
          </w:p>
          <w:p w14:paraId="53DF6E2F" w14:textId="77777777" w:rsidR="00DD3EFA" w:rsidRPr="00EC2A1C" w:rsidRDefault="00DD3EFA" w:rsidP="00B15ECB">
            <w:pPr>
              <w:spacing w:before="60" w:after="60"/>
              <w:rPr>
                <w:rFonts w:eastAsiaTheme="majorEastAsia"/>
              </w:rPr>
            </w:pPr>
            <w:r w:rsidRPr="00EC2A1C">
              <w:rPr>
                <w:rFonts w:eastAsiaTheme="majorEastAsia"/>
              </w:rPr>
              <w:t>V hustě osídlených oblastech a v okolí velkých měst je rovněž problémem fragmentace krajiny liniovými stavbami dopravní a technické infrastruktury a srůstání původně samostatných sídel s neblahým vlivem na prostupnost krajiny a biodiverzitu.</w:t>
            </w:r>
          </w:p>
          <w:p w14:paraId="3D92F031" w14:textId="77777777" w:rsidR="00DD3EFA" w:rsidRPr="00EC2A1C" w:rsidRDefault="00DD3EFA" w:rsidP="00B15ECB">
            <w:pPr>
              <w:spacing w:before="60" w:after="60"/>
              <w:rPr>
                <w:rFonts w:eastAsiaTheme="majorEastAsia"/>
              </w:rPr>
            </w:pPr>
            <w:r w:rsidRPr="00EC2A1C">
              <w:rPr>
                <w:rFonts w:eastAsiaTheme="majorEastAsia"/>
              </w:rPr>
              <w:t>Ve městech vzrůstají problémy s městskými tepelnými ostrovy, které mají za následek vyšší počet tropických dnů a nocí ve městech a přispívají ke zdravotním problémům (dýchacím, kardiovaskulárnám) zejména u ohrožených částí populace (děti, senioři, dlouhodobě nemocní). Specifikem českých měst je poměrně malé zastoupení uliční zeleně, způsobené  zanedbáváním obnovy a výsadby uliční zeleně zhruba od poloviny minulého století do současnosti.</w:t>
            </w:r>
          </w:p>
          <w:p w14:paraId="49156FF3" w14:textId="77777777" w:rsidR="00DD3EFA" w:rsidRPr="00EC2A1C" w:rsidRDefault="00DD3EFA" w:rsidP="00B15ECB">
            <w:pPr>
              <w:spacing w:before="60" w:after="60"/>
              <w:rPr>
                <w:rFonts w:eastAsiaTheme="majorEastAsia"/>
              </w:rPr>
            </w:pPr>
            <w:r w:rsidRPr="00EC2A1C">
              <w:rPr>
                <w:rFonts w:eastAsiaTheme="majorEastAsia"/>
              </w:rPr>
              <w:t>V sídlech rovněž způsobují problémy přívalové deště vlivem snížené retenční schopnosti zastavěného území.</w:t>
            </w:r>
          </w:p>
          <w:p w14:paraId="5674A98C" w14:textId="77777777" w:rsidR="00DD3EFA" w:rsidRPr="00EC2A1C" w:rsidRDefault="00DD3EFA" w:rsidP="00B15ECB">
            <w:pPr>
              <w:spacing w:before="60" w:after="60"/>
              <w:rPr>
                <w:rFonts w:eastAsiaTheme="majorEastAsia"/>
              </w:rPr>
            </w:pPr>
            <w:r w:rsidRPr="00EC2A1C">
              <w:rPr>
                <w:rFonts w:eastAsiaTheme="majorEastAsia"/>
              </w:rPr>
              <w:t xml:space="preserve">Dopady uvedených problémů lze dle místních podmínek více či méně tlumit územním plánováním řešícím s dostatečnou pozorností volnou krajinu a krajinné systémy v sídlech. Zároveň tak lze předcházet prohlubování a eskalaci uvedených problémů.  </w:t>
            </w:r>
          </w:p>
        </w:tc>
        <w:tc>
          <w:tcPr>
            <w:tcW w:w="249" w:type="dxa"/>
            <w:gridSpan w:val="2"/>
            <w:tcBorders>
              <w:top w:val="nil"/>
              <w:bottom w:val="nil"/>
            </w:tcBorders>
            <w:shd w:val="clear" w:color="auto" w:fill="66CCFF"/>
          </w:tcPr>
          <w:p w14:paraId="54994BC1" w14:textId="77777777" w:rsidR="00DD3EFA" w:rsidRPr="00EC2A1C" w:rsidRDefault="00DD3EFA" w:rsidP="00B15ECB">
            <w:pPr>
              <w:rPr>
                <w:b/>
              </w:rPr>
            </w:pPr>
          </w:p>
        </w:tc>
      </w:tr>
      <w:tr w:rsidR="00DD3EFA" w:rsidRPr="00EC2A1C" w14:paraId="2680801B" w14:textId="77777777" w:rsidTr="00B15ECB">
        <w:trPr>
          <w:trHeight w:val="1202"/>
        </w:trPr>
        <w:tc>
          <w:tcPr>
            <w:tcW w:w="249" w:type="dxa"/>
            <w:tcBorders>
              <w:top w:val="nil"/>
              <w:bottom w:val="nil"/>
            </w:tcBorders>
            <w:shd w:val="clear" w:color="auto" w:fill="66CCFF"/>
          </w:tcPr>
          <w:p w14:paraId="3D92B111"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3F9FB4F7"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klimatickou změnu</w:t>
            </w:r>
          </w:p>
          <w:p w14:paraId="6CEE2EC3"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0884D02D" w14:textId="77777777" w:rsidR="00DD3EFA" w:rsidRPr="00EC2A1C" w:rsidRDefault="00DD3EFA" w:rsidP="00B15ECB">
            <w:pPr>
              <w:spacing w:before="60" w:after="60"/>
              <w:rPr>
                <w:rFonts w:eastAsiaTheme="majorEastAsia"/>
              </w:rPr>
            </w:pPr>
            <w:r w:rsidRPr="00EC2A1C">
              <w:rPr>
                <w:rFonts w:eastAsiaTheme="majorEastAsia"/>
              </w:rPr>
              <w:t xml:space="preserve">Schopnost pomoci při mírnění dopadů klimatické změny je jednou z nejvlastnějších charakteristik zelené infrastruktury. Zelená infrastruktura je systémem, který posiluje resilienci a rezistenci území vůči projevům klimatické změny. Správným naplánováním se funkčnost zelené infrastruktury zvyšuje. Tím mj. dochází ke zlepšení vodního režimu v území, zlepšení mikroklimatu či obnově procesů probíhajících v půdě. </w:t>
            </w:r>
          </w:p>
          <w:p w14:paraId="6A330006" w14:textId="77777777" w:rsidR="00DD3EFA" w:rsidRPr="00EC2A1C" w:rsidRDefault="00DD3EFA" w:rsidP="00B15ECB">
            <w:pPr>
              <w:spacing w:before="60" w:after="60"/>
              <w:rPr>
                <w:rFonts w:eastAsiaTheme="majorEastAsia"/>
              </w:rPr>
            </w:pPr>
            <w:r w:rsidRPr="00EC2A1C">
              <w:rPr>
                <w:rFonts w:eastAsiaTheme="majorEastAsia"/>
              </w:rPr>
              <w:t>Většina problémů uvedených v kapitole „Územní dimenze“, konkrétně extrémní meteorologické jevy, nedostatek zeleně v sídlech, nevhodné způsoby hospodaření, nedostečná pestrost a prostupnost krajiny, budou bez odpovídající reakce s pokračující klimatickou změnou prohlubovat své negativní dopady na krajinu i sídla a na schopnost zelené infrastruktury poskytovat ekosystémové služby pro člověka alespoň ve stejném rozsahu jako doposud.</w:t>
            </w:r>
          </w:p>
          <w:p w14:paraId="4194D06E" w14:textId="77777777" w:rsidR="00DD3EFA" w:rsidRPr="00EC2A1C" w:rsidRDefault="00DD3EFA" w:rsidP="00B15ECB">
            <w:pPr>
              <w:spacing w:before="60" w:after="60"/>
              <w:rPr>
                <w:rFonts w:eastAsiaTheme="majorEastAsia"/>
              </w:rPr>
            </w:pPr>
            <w:r w:rsidRPr="00EC2A1C">
              <w:rPr>
                <w:rFonts w:eastAsiaTheme="majorEastAsia"/>
              </w:rPr>
              <w:t>Návrh odpovídajících opatření proti suchu, povodním, erozi, pro posílení funkčnosti zeleně v sídlech, pro posílení biodiverzity atd. je tedy nutným úkolem pro územní plánování.</w:t>
            </w:r>
          </w:p>
          <w:p w14:paraId="050CD52B" w14:textId="77777777" w:rsidR="00DD3EFA" w:rsidRPr="00EC2A1C" w:rsidRDefault="00DD3EFA" w:rsidP="00B15ECB">
            <w:pPr>
              <w:spacing w:before="60" w:after="60"/>
              <w:rPr>
                <w:rFonts w:eastAsiaTheme="majorEastAsia"/>
              </w:rPr>
            </w:pPr>
          </w:p>
        </w:tc>
        <w:tc>
          <w:tcPr>
            <w:tcW w:w="249" w:type="dxa"/>
            <w:gridSpan w:val="2"/>
            <w:tcBorders>
              <w:top w:val="nil"/>
              <w:bottom w:val="nil"/>
            </w:tcBorders>
            <w:shd w:val="clear" w:color="auto" w:fill="66CCFF"/>
          </w:tcPr>
          <w:p w14:paraId="585A97DB" w14:textId="77777777" w:rsidR="00DD3EFA" w:rsidRPr="00EC2A1C" w:rsidRDefault="00DD3EFA" w:rsidP="00B15ECB">
            <w:pPr>
              <w:rPr>
                <w:b/>
              </w:rPr>
            </w:pPr>
          </w:p>
        </w:tc>
      </w:tr>
      <w:tr w:rsidR="00DD3EFA" w:rsidRPr="00EC2A1C" w14:paraId="1C8B22D7" w14:textId="77777777" w:rsidTr="00B15ECB">
        <w:trPr>
          <w:trHeight w:val="1202"/>
        </w:trPr>
        <w:tc>
          <w:tcPr>
            <w:tcW w:w="249" w:type="dxa"/>
            <w:tcBorders>
              <w:top w:val="nil"/>
              <w:bottom w:val="nil"/>
            </w:tcBorders>
            <w:shd w:val="clear" w:color="auto" w:fill="66CCFF"/>
          </w:tcPr>
          <w:p w14:paraId="2ABF5397"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08F6A226"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p w14:paraId="78B73A8F"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284E66FA" w14:textId="77777777" w:rsidR="00DD3EFA" w:rsidRPr="00EC2A1C" w:rsidRDefault="00DD3EFA" w:rsidP="00B15ECB">
            <w:pPr>
              <w:spacing w:before="60" w:after="60"/>
              <w:rPr>
                <w:rFonts w:eastAsiaTheme="majorEastAsia"/>
              </w:rPr>
            </w:pPr>
            <w:r w:rsidRPr="00EC2A1C">
              <w:rPr>
                <w:rFonts w:eastAsiaTheme="majorEastAsia"/>
              </w:rPr>
              <w:t>S rostoucí digitalizací a virtualizací světa dochází k většímu úpadku v potřebě užívat veřejná prostranství, zároveň ale lidé unavení digitálním světem hledají útočistě pro dostupná prostranství nabízející jiné než digitální trávení volného času, zejména s dostupnou zelení a občanskou vybaveností.</w:t>
            </w:r>
          </w:p>
          <w:p w14:paraId="62D1555E" w14:textId="77777777" w:rsidR="00DD3EFA" w:rsidRPr="00EC2A1C" w:rsidRDefault="00DD3EFA" w:rsidP="00B15ECB">
            <w:pPr>
              <w:spacing w:before="60" w:after="60"/>
              <w:rPr>
                <w:rFonts w:eastAsiaTheme="majorEastAsia"/>
              </w:rPr>
            </w:pPr>
          </w:p>
          <w:p w14:paraId="13C4DB1B" w14:textId="77777777" w:rsidR="00DD3EFA" w:rsidRPr="00EC2A1C" w:rsidRDefault="00DD3EFA" w:rsidP="00B15ECB">
            <w:pPr>
              <w:spacing w:before="60" w:after="60"/>
              <w:rPr>
                <w:rFonts w:eastAsiaTheme="majorEastAsia"/>
              </w:rPr>
            </w:pPr>
            <w:r w:rsidRPr="00EC2A1C">
              <w:rPr>
                <w:rFonts w:eastAsiaTheme="majorEastAsia"/>
              </w:rPr>
              <w:t>Zároveň samotná realizace obnovy a zřízení nových veřejných prostranství může vyvolat nutnost zapojit i chytrá řešení ve smyslu údržby veřejných prostranství včetně zeleně.</w:t>
            </w:r>
          </w:p>
          <w:p w14:paraId="02165A21" w14:textId="77777777" w:rsidR="00DD3EFA" w:rsidRPr="00EC2A1C" w:rsidRDefault="00DD3EFA" w:rsidP="00B15ECB">
            <w:pPr>
              <w:spacing w:before="60" w:after="60"/>
              <w:rPr>
                <w:rFonts w:eastAsiaTheme="majorEastAsia"/>
              </w:rPr>
            </w:pPr>
          </w:p>
          <w:p w14:paraId="2E8C43C2" w14:textId="77777777" w:rsidR="00DD3EFA" w:rsidRPr="00EC2A1C" w:rsidRDefault="00DD3EFA" w:rsidP="00B15ECB">
            <w:r w:rsidRPr="00EC2A1C">
              <w:t xml:space="preserve">Co se týče charakteru podkladů  územního plánování je jejich dlouhodobý dosah, zatímco řada technických řešení v oblasti „smart city“ je založena na informacích platných v aktuálním okamžiku (data o aktuální teplotě, momentální dopravní situaci apod.) Nicméně i tak je zelená infrastruktura přirozenou součástí konceptu „smart cities“ hned v několika ohledech. </w:t>
            </w:r>
          </w:p>
          <w:p w14:paraId="561043EB" w14:textId="77777777" w:rsidR="00DD3EFA" w:rsidRPr="00EC2A1C" w:rsidRDefault="00DD3EFA" w:rsidP="00B15ECB">
            <w:r w:rsidRPr="00EC2A1C">
              <w:t>V prvé řadě „chytré“ město plánuje svůj rozvoj, včetně rozvoje zelené infrastruktury.</w:t>
            </w:r>
          </w:p>
          <w:p w14:paraId="490A6211" w14:textId="77777777" w:rsidR="00DD3EFA" w:rsidRPr="00EC2A1C" w:rsidRDefault="00DD3EFA" w:rsidP="00B15ECB">
            <w:r w:rsidRPr="00EC2A1C">
              <w:t xml:space="preserve">Za druhé, zelená infrastruktura je komplementárním nástrojem k technickým řešením („šedé infrastruktuře“), přičemž v konkrétních aplikacích je schopna poskytovat výhodnější řešení. Např. stromy v létě (krom toho, že poskytují stín) v procesu evapotranspirace fungují jako přirozená klimatizační jednotka. „Výkon“ konkrétního stromu závisí na velikosti koruny, resp. na ploše jeho listů, a tedy na druhu stromu, jeho stáří a zdraví; dále závisí na teplotě okolí, relativní vlhkosti atd. Odborná literatura </w:t>
            </w:r>
            <w:r w:rsidRPr="00EC2A1C">
              <w:rPr>
                <w:lang w:val="en-US"/>
              </w:rPr>
              <w:t xml:space="preserve">[1], [2] </w:t>
            </w:r>
            <w:r w:rsidRPr="00EC2A1C">
              <w:t>udává povrch koruny vzrostlého stromu  80 resp. 100 m</w:t>
            </w:r>
            <w:r w:rsidRPr="00EC2A1C">
              <w:rPr>
                <w:vertAlign w:val="superscript"/>
              </w:rPr>
              <w:t>2</w:t>
            </w:r>
            <w:r w:rsidRPr="00EC2A1C">
              <w:t xml:space="preserve">, výpar vody v letním období 100 resp. 200 l vody za den, a tomu odpovídající spotřebu 70 resp. 140 kWh sluneční energie. V popsaném příkladu [1] strom dosahuje momentálního výkonu až 25 kW, zatímco běžná klimatizační jednotka má výkon v jednotkách kW. Strom přitom ke své činnosti nepotřebuje elektrickou energii. </w:t>
            </w:r>
          </w:p>
          <w:p w14:paraId="2E60FBE5" w14:textId="77777777" w:rsidR="00DD3EFA" w:rsidRPr="00EC2A1C" w:rsidRDefault="00DD3EFA" w:rsidP="00B15ECB">
            <w:r w:rsidRPr="00EC2A1C">
              <w:t>Z uvedených důvodů roste význam uliční zeleně při prevenci tzv. tepelného ostrova města. Obdobně má zelená infrastruktura své výhody oproti šedé infrastruktuře např. při řešení retence vody ve městech.</w:t>
            </w:r>
          </w:p>
          <w:p w14:paraId="59AC523D" w14:textId="77777777" w:rsidR="00DD3EFA" w:rsidRPr="00EC2A1C" w:rsidRDefault="00DD3EFA" w:rsidP="00B15ECB">
            <w:pPr>
              <w:spacing w:before="60" w:after="60"/>
            </w:pPr>
            <w:r w:rsidRPr="00EC2A1C">
              <w:t xml:space="preserve">Za třetí, moderní informační systémy umožňují vést podrobné databáze s rozličnými údaji a mapovými podklady. Existující data lze při zpracování územních studií nejen využít, ale rovněž doplnit. Kupř. na základě zpracovaných územních studií krajiny budou rovněž doplněna data v databázi územně analytických podkladů.  </w:t>
            </w:r>
          </w:p>
          <w:p w14:paraId="42DBC407" w14:textId="77777777" w:rsidR="00DD3EFA" w:rsidRPr="00EC2A1C" w:rsidRDefault="00DD3EFA" w:rsidP="00B15ECB">
            <w:pPr>
              <w:spacing w:before="60" w:after="60"/>
            </w:pPr>
          </w:p>
          <w:p w14:paraId="03FC2088" w14:textId="77777777" w:rsidR="00DD3EFA" w:rsidRPr="00EC2A1C" w:rsidRDefault="00DD3EFA" w:rsidP="00B15ECB">
            <w:pPr>
              <w:spacing w:before="60" w:after="60"/>
            </w:pPr>
            <w:r w:rsidRPr="00EC2A1C">
              <w:t>Literatura:</w:t>
            </w:r>
          </w:p>
          <w:p w14:paraId="7A78A8AA" w14:textId="77777777" w:rsidR="00DD3EFA" w:rsidRPr="00EC2A1C" w:rsidRDefault="00DD3EFA" w:rsidP="00B15ECB">
            <w:pPr>
              <w:spacing w:before="60" w:after="60"/>
            </w:pPr>
            <w:r w:rsidRPr="00EC2A1C">
              <w:rPr>
                <w:lang w:val="en-US"/>
              </w:rPr>
              <w:t xml:space="preserve">[1] </w:t>
            </w:r>
            <w:r w:rsidRPr="00EC2A1C">
              <w:t xml:space="preserve">Hesslerová, P., Jirka, V., Huryna, H., Seják, J.: Význam zeleně pro klima města a možnosti využití termálních dat v městském prostředí – In: Urbanismus a územní rozvoj, ročník XXI., číslo 1/2018; dostupné též elektronicky na http://www.uur.cz/images/5-publikacni-cinnost-a-knihovna/casopis/2018/2018-01/04-vyznam-zelene.pdf </w:t>
            </w:r>
          </w:p>
          <w:p w14:paraId="01EB88DC" w14:textId="77777777" w:rsidR="00DD3EFA" w:rsidRPr="00EC2A1C" w:rsidRDefault="00DD3EFA" w:rsidP="00B15ECB">
            <w:pPr>
              <w:spacing w:before="60" w:after="60"/>
            </w:pPr>
            <w:r w:rsidRPr="00EC2A1C">
              <w:t xml:space="preserve">[2] Slavík, J.: Zelená infrastruktura pro smart city a tušení souvislostí aneb učme se od dětí – elektronicky na </w:t>
            </w:r>
            <w:hyperlink r:id="rId46" w:history="1">
              <w:r w:rsidRPr="00EC2A1C">
                <w:rPr>
                  <w:rStyle w:val="Hypertextovodkaz"/>
                </w:rPr>
                <w:t>http://proelektrotechniky.cz/rozhovory-komentare/7.php</w:t>
              </w:r>
            </w:hyperlink>
          </w:p>
        </w:tc>
        <w:tc>
          <w:tcPr>
            <w:tcW w:w="249" w:type="dxa"/>
            <w:gridSpan w:val="2"/>
            <w:tcBorders>
              <w:top w:val="nil"/>
              <w:bottom w:val="nil"/>
            </w:tcBorders>
            <w:shd w:val="clear" w:color="auto" w:fill="66CCFF"/>
          </w:tcPr>
          <w:p w14:paraId="43EE0037" w14:textId="77777777" w:rsidR="00DD3EFA" w:rsidRPr="00EC2A1C" w:rsidRDefault="00DD3EFA" w:rsidP="00B15ECB">
            <w:pPr>
              <w:rPr>
                <w:b/>
              </w:rPr>
            </w:pPr>
          </w:p>
        </w:tc>
      </w:tr>
      <w:tr w:rsidR="00DD3EFA" w:rsidRPr="00EC2A1C" w14:paraId="5952A077" w14:textId="77777777" w:rsidTr="00B15ECB">
        <w:trPr>
          <w:trHeight w:val="1202"/>
        </w:trPr>
        <w:tc>
          <w:tcPr>
            <w:tcW w:w="249" w:type="dxa"/>
            <w:tcBorders>
              <w:top w:val="nil"/>
              <w:bottom w:val="nil"/>
            </w:tcBorders>
            <w:shd w:val="clear" w:color="auto" w:fill="66CCFF"/>
          </w:tcPr>
          <w:p w14:paraId="20C448F5"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252F90FC"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2CD9CCF2"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3A9818A3" w14:textId="77777777" w:rsidR="00DD3EFA" w:rsidRPr="00EC2A1C" w:rsidRDefault="00DD3EFA" w:rsidP="00B15ECB">
            <w:pPr>
              <w:spacing w:before="60" w:after="60"/>
              <w:rPr>
                <w:rFonts w:eastAsiaTheme="majorEastAsia"/>
              </w:rPr>
            </w:pPr>
            <w:r w:rsidRPr="00EC2A1C">
              <w:rPr>
                <w:rFonts w:eastAsiaTheme="majorEastAsia"/>
                <w:u w:val="single"/>
              </w:rPr>
              <w:t>Urbanizace</w:t>
            </w:r>
            <w:r w:rsidRPr="00EC2A1C">
              <w:rPr>
                <w:rFonts w:eastAsiaTheme="majorEastAsia"/>
              </w:rPr>
              <w:t xml:space="preserve"> – zejména v souvislosti s rozvojem suburbanizace, které se projevuje v zázemí velkých a středních měst ČR a měnící se funkce veřejných prostranství v suburbanizovaných venkovských sídlech.</w:t>
            </w:r>
          </w:p>
          <w:p w14:paraId="77F5EBF2" w14:textId="77777777" w:rsidR="00DD3EFA" w:rsidRPr="00EC2A1C" w:rsidRDefault="00DD3EFA" w:rsidP="00B15ECB">
            <w:pPr>
              <w:spacing w:before="60" w:after="60"/>
            </w:pPr>
            <w:r w:rsidRPr="00EC2A1C">
              <w:rPr>
                <w:u w:val="single"/>
              </w:rPr>
              <w:t>Změna klimatu a její dopady</w:t>
            </w:r>
            <w:r w:rsidRPr="00EC2A1C">
              <w:t xml:space="preserve"> je pro toto téma zásadní. Důsledky klimatické změny se projevují jak v zastavěném území (tepelný ostrov města, povodně a přívalové povodně, problematika odpovídající druhové skladby zeleně aj.), tak ve volné krajině (problématika retenčních schopností krajiny, zemědělské sucho, vodní a větrná eroze aj.)</w:t>
            </w:r>
          </w:p>
          <w:p w14:paraId="30698EBD" w14:textId="77777777" w:rsidR="00DD3EFA" w:rsidRPr="00EC2A1C" w:rsidRDefault="00DD3EFA" w:rsidP="00B15ECB">
            <w:pPr>
              <w:spacing w:before="60" w:after="60"/>
              <w:rPr>
                <w:rFonts w:eastAsiaTheme="majorEastAsia"/>
              </w:rPr>
            </w:pPr>
            <w:r w:rsidRPr="00EC2A1C">
              <w:rPr>
                <w:rFonts w:eastAsiaTheme="majorEastAsia"/>
                <w:u w:val="single"/>
              </w:rPr>
              <w:t>Demokratizace společnosti</w:t>
            </w:r>
            <w:r w:rsidRPr="00EC2A1C">
              <w:rPr>
                <w:rFonts w:eastAsiaTheme="majorEastAsia"/>
              </w:rPr>
              <w:t xml:space="preserve"> – koncepční řešení veřejných prostranství je třeba plánovat společně s veřejností; rovněž Evropská úmluva o krajině zdůrazňuje potřebuje odrážet v cílových kvalitách krajiny přání lidí na charakter prostředí, v němž žijí.</w:t>
            </w:r>
          </w:p>
          <w:p w14:paraId="5C95AAD2" w14:textId="77777777" w:rsidR="00DD3EFA" w:rsidRPr="00EC2A1C" w:rsidRDefault="00DD3EFA" w:rsidP="00B15ECB">
            <w:pPr>
              <w:spacing w:before="60" w:after="60"/>
              <w:rPr>
                <w:rFonts w:eastAsiaTheme="majorEastAsia"/>
              </w:rPr>
            </w:pPr>
            <w:r w:rsidRPr="00EC2A1C">
              <w:rPr>
                <w:rFonts w:eastAsiaTheme="majorEastAsia"/>
                <w:u w:val="single"/>
              </w:rPr>
              <w:t>Zvyšující se dostupnost technologií</w:t>
            </w:r>
            <w:r w:rsidRPr="00EC2A1C">
              <w:rPr>
                <w:rFonts w:eastAsiaTheme="majorEastAsia"/>
              </w:rPr>
              <w:t xml:space="preserve"> mění funkce veřejných prostranství, například jako wifi hot spoty.</w:t>
            </w:r>
          </w:p>
          <w:p w14:paraId="74C72309" w14:textId="77777777" w:rsidR="00DD3EFA" w:rsidRPr="00EC2A1C" w:rsidRDefault="00DD3EFA" w:rsidP="00B15ECB">
            <w:pPr>
              <w:spacing w:before="60" w:after="60"/>
              <w:rPr>
                <w:rFonts w:eastAsiaTheme="majorEastAsia"/>
              </w:rPr>
            </w:pPr>
            <w:r w:rsidRPr="00EC2A1C">
              <w:rPr>
                <w:rFonts w:eastAsiaTheme="majorEastAsia"/>
                <w:u w:val="single"/>
              </w:rPr>
              <w:t>Rostoucí mobilita</w:t>
            </w:r>
            <w:r w:rsidRPr="00EC2A1C">
              <w:rPr>
                <w:rFonts w:eastAsiaTheme="majorEastAsia"/>
              </w:rPr>
              <w:t xml:space="preserve"> má za následek upřednostňování využívání veřejných prostranství pro automobilovou dopravu a parkování vozidel před ostatními  komunitními funkcemi. Potřeba využití veřejných prostranství pro dopravu je kontradiktorní k potřebě posilování zelené infrastruktury v sídlech, optimální vztah těchto i dalších funkcí je optimální prověřit nástroji územního plánování. </w:t>
            </w:r>
          </w:p>
          <w:p w14:paraId="16980DED" w14:textId="77777777" w:rsidR="00DD3EFA" w:rsidRPr="00EC2A1C" w:rsidRDefault="00DD3EFA" w:rsidP="00B15ECB">
            <w:pPr>
              <w:spacing w:before="60" w:after="60"/>
              <w:rPr>
                <w:rFonts w:eastAsiaTheme="majorEastAsia"/>
              </w:rPr>
            </w:pPr>
            <w:r w:rsidRPr="00EC2A1C">
              <w:rPr>
                <w:rFonts w:eastAsiaTheme="majorEastAsia"/>
                <w:u w:val="single"/>
              </w:rPr>
              <w:t>Globální stárnutí</w:t>
            </w:r>
            <w:r w:rsidRPr="00EC2A1C">
              <w:rPr>
                <w:rFonts w:eastAsiaTheme="majorEastAsia"/>
              </w:rPr>
              <w:t xml:space="preserve"> mění složení populace a tím může přinášet nové požadavky na veřejná prostranství. </w:t>
            </w:r>
          </w:p>
        </w:tc>
        <w:tc>
          <w:tcPr>
            <w:tcW w:w="249" w:type="dxa"/>
            <w:gridSpan w:val="2"/>
            <w:tcBorders>
              <w:top w:val="nil"/>
              <w:bottom w:val="nil"/>
            </w:tcBorders>
            <w:shd w:val="clear" w:color="auto" w:fill="66CCFF"/>
          </w:tcPr>
          <w:p w14:paraId="625B0819" w14:textId="77777777" w:rsidR="00DD3EFA" w:rsidRPr="00EC2A1C" w:rsidRDefault="00DD3EFA" w:rsidP="00B15ECB">
            <w:pPr>
              <w:rPr>
                <w:b/>
              </w:rPr>
            </w:pPr>
          </w:p>
        </w:tc>
      </w:tr>
      <w:tr w:rsidR="00DD3EFA" w:rsidRPr="00EC2A1C" w14:paraId="0672E4D6" w14:textId="77777777" w:rsidTr="00B15ECB">
        <w:trPr>
          <w:trHeight w:val="1202"/>
        </w:trPr>
        <w:tc>
          <w:tcPr>
            <w:tcW w:w="249" w:type="dxa"/>
            <w:tcBorders>
              <w:top w:val="nil"/>
              <w:bottom w:val="nil"/>
            </w:tcBorders>
            <w:shd w:val="clear" w:color="auto" w:fill="66CCFF"/>
          </w:tcPr>
          <w:p w14:paraId="51E2D8F6"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06AA2625"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gridSpan w:val="2"/>
            <w:tcBorders>
              <w:bottom w:val="single" w:sz="4" w:space="0" w:color="auto"/>
            </w:tcBorders>
            <w:shd w:val="clear" w:color="auto" w:fill="FFFFFF" w:themeFill="background1"/>
          </w:tcPr>
          <w:p w14:paraId="48860593" w14:textId="77777777" w:rsidR="00DD3EFA" w:rsidRPr="00EC2A1C" w:rsidRDefault="00DD3EFA" w:rsidP="00B15ECB">
            <w:pPr>
              <w:spacing w:before="60" w:after="60"/>
              <w:rPr>
                <w:rFonts w:eastAsiaTheme="majorEastAsia"/>
              </w:rPr>
            </w:pPr>
            <w:r w:rsidRPr="00EC2A1C">
              <w:rPr>
                <w:rFonts w:eastAsiaTheme="majorEastAsia"/>
              </w:rPr>
              <w:t>Navržené aktivity jsou v souladu cíli politik EU a přispějí zejména k naplňování těchto specifických cílů EFRR a FS:</w:t>
            </w:r>
          </w:p>
          <w:p w14:paraId="5890B1B7" w14:textId="77777777" w:rsidR="00DD3EFA" w:rsidRPr="00EC2A1C" w:rsidRDefault="00DD3EFA" w:rsidP="00B15ECB">
            <w:pPr>
              <w:spacing w:before="60" w:after="60"/>
              <w:rPr>
                <w:rFonts w:eastAsiaTheme="majorEastAsia"/>
              </w:rPr>
            </w:pPr>
            <w:r w:rsidRPr="00EC2A1C">
              <w:rPr>
                <w:rFonts w:eastAsiaTheme="majorEastAsia"/>
              </w:rPr>
              <w:t xml:space="preserve">V rámci CP2 – Zelenější, nízkouhlíková Evropa: </w:t>
            </w:r>
          </w:p>
          <w:p w14:paraId="41FEA71A"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 xml:space="preserve">SC Podpora přizpůsobení se změně klimatu, prevence rizik a odolnosti vůči katastrofám, </w:t>
            </w:r>
          </w:p>
          <w:p w14:paraId="615D6051"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 xml:space="preserve">SC Podpora udržitelného hospodaření s vodou, </w:t>
            </w:r>
          </w:p>
          <w:p w14:paraId="5644F564"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Posílení biologické rozmanitosti, zelené infrastruktury v městském prostředí a snížení znečištění</w:t>
            </w:r>
          </w:p>
          <w:p w14:paraId="2E86E1BC" w14:textId="77777777" w:rsidR="00DD3EFA" w:rsidRPr="00EC2A1C" w:rsidRDefault="00DD3EFA" w:rsidP="00B15ECB">
            <w:pPr>
              <w:spacing w:before="60" w:after="60"/>
              <w:rPr>
                <w:rFonts w:eastAsiaTheme="majorEastAsia"/>
              </w:rPr>
            </w:pPr>
            <w:r w:rsidRPr="00EC2A1C">
              <w:rPr>
                <w:rFonts w:eastAsiaTheme="majorEastAsia"/>
              </w:rPr>
              <w:t xml:space="preserve">V rámci CP5 – Evropa bližší občanům: </w:t>
            </w:r>
          </w:p>
          <w:p w14:paraId="078EAC10"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podpora integrovaného sociálního, hospodářského a environmentálního místního rozvoje, kulturního dědictví a bezpečnosti v městských oblastech,</w:t>
            </w:r>
          </w:p>
          <w:p w14:paraId="076B8F39"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podpora integrovaného sociálního, hospodářského a environmentálního místního rozvoje, kulturního dědictví a bezpečnosti a v případě venkovských a pobřežních oblastí také prostřednictvím komunitně vedeného místního rozvoje</w:t>
            </w:r>
          </w:p>
        </w:tc>
        <w:tc>
          <w:tcPr>
            <w:tcW w:w="249" w:type="dxa"/>
            <w:gridSpan w:val="2"/>
            <w:tcBorders>
              <w:top w:val="nil"/>
              <w:bottom w:val="nil"/>
            </w:tcBorders>
            <w:shd w:val="clear" w:color="auto" w:fill="66CCFF"/>
          </w:tcPr>
          <w:p w14:paraId="44623408" w14:textId="77777777" w:rsidR="00DD3EFA" w:rsidRPr="00EC2A1C" w:rsidRDefault="00DD3EFA" w:rsidP="00B15ECB">
            <w:pPr>
              <w:rPr>
                <w:b/>
              </w:rPr>
            </w:pPr>
          </w:p>
        </w:tc>
      </w:tr>
      <w:tr w:rsidR="00DD3EFA" w:rsidRPr="00EC2A1C" w14:paraId="6998C7DA" w14:textId="77777777" w:rsidTr="00B15ECB">
        <w:trPr>
          <w:trHeight w:val="1202"/>
        </w:trPr>
        <w:tc>
          <w:tcPr>
            <w:tcW w:w="249" w:type="dxa"/>
            <w:tcBorders>
              <w:top w:val="nil"/>
              <w:bottom w:val="nil"/>
            </w:tcBorders>
            <w:shd w:val="clear" w:color="auto" w:fill="66CCFF"/>
          </w:tcPr>
          <w:p w14:paraId="00C195A0"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1D95D13A"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gridSpan w:val="2"/>
            <w:tcBorders>
              <w:bottom w:val="single" w:sz="4" w:space="0" w:color="auto"/>
            </w:tcBorders>
            <w:shd w:val="clear" w:color="auto" w:fill="FFFFFF" w:themeFill="background1"/>
          </w:tcPr>
          <w:p w14:paraId="17885718" w14:textId="77777777" w:rsidR="00DD3EFA" w:rsidRPr="00EC2A1C" w:rsidRDefault="00DD3EFA" w:rsidP="00B15ECB">
            <w:pPr>
              <w:spacing w:before="60" w:after="60"/>
              <w:rPr>
                <w:rFonts w:eastAsiaTheme="majorEastAsia"/>
              </w:rPr>
            </w:pPr>
            <w:r w:rsidRPr="00EC2A1C">
              <w:rPr>
                <w:rFonts w:eastAsiaTheme="majorEastAsia"/>
              </w:rPr>
              <w:t>Zkvalitňování veřejného prostoru, investice do veřejných prostranství s cílem zvýšení kvality života obyvatel měst a obcí. Doporučení skrze „Country report“ je ve smyslu různých území zejména investice skrze integrované nástroje. Z pohledu adaptace na změnu klimatu je to pak zejména mikroklima ve vysoce urbanizovaných městech a hospodaření se srážkovou vodou v zastavěném území v návaznosti na volnou krajinu. Doporučení zahrnují využití tzv. zelených kriterií při zadávání veřejných zakázek a bonifikaci projektů s přidanou „zelenou“ hodnotou.</w:t>
            </w:r>
          </w:p>
        </w:tc>
        <w:tc>
          <w:tcPr>
            <w:tcW w:w="249" w:type="dxa"/>
            <w:gridSpan w:val="2"/>
            <w:tcBorders>
              <w:top w:val="nil"/>
              <w:bottom w:val="nil"/>
            </w:tcBorders>
            <w:shd w:val="clear" w:color="auto" w:fill="66CCFF"/>
          </w:tcPr>
          <w:p w14:paraId="6481FB76" w14:textId="77777777" w:rsidR="00DD3EFA" w:rsidRPr="00EC2A1C" w:rsidRDefault="00DD3EFA" w:rsidP="00B15ECB">
            <w:pPr>
              <w:rPr>
                <w:b/>
              </w:rPr>
            </w:pPr>
          </w:p>
        </w:tc>
      </w:tr>
      <w:tr w:rsidR="00DD3EFA" w:rsidRPr="00EC2A1C" w14:paraId="0E187157" w14:textId="77777777" w:rsidTr="00B15ECB">
        <w:trPr>
          <w:trHeight w:val="180"/>
        </w:trPr>
        <w:tc>
          <w:tcPr>
            <w:tcW w:w="249" w:type="dxa"/>
            <w:tcBorders>
              <w:top w:val="nil"/>
              <w:bottom w:val="nil"/>
              <w:right w:val="nil"/>
            </w:tcBorders>
            <w:shd w:val="clear" w:color="auto" w:fill="66CCFF"/>
          </w:tcPr>
          <w:p w14:paraId="2537E098" w14:textId="77777777" w:rsidR="00DD3EFA" w:rsidRPr="00EC2A1C" w:rsidRDefault="00DD3EFA" w:rsidP="00B15ECB">
            <w:pPr>
              <w:rPr>
                <w:b/>
              </w:rPr>
            </w:pPr>
          </w:p>
        </w:tc>
        <w:tc>
          <w:tcPr>
            <w:tcW w:w="2445" w:type="dxa"/>
            <w:tcBorders>
              <w:left w:val="nil"/>
              <w:right w:val="nil"/>
            </w:tcBorders>
            <w:shd w:val="clear" w:color="auto" w:fill="66CCFF"/>
          </w:tcPr>
          <w:p w14:paraId="6BAFFE5C" w14:textId="77777777" w:rsidR="00DD3EFA" w:rsidRPr="00EC2A1C" w:rsidRDefault="00DD3EFA" w:rsidP="00B15ECB">
            <w:pPr>
              <w:rPr>
                <w:b/>
              </w:rPr>
            </w:pPr>
          </w:p>
        </w:tc>
        <w:tc>
          <w:tcPr>
            <w:tcW w:w="5978" w:type="dxa"/>
            <w:gridSpan w:val="2"/>
            <w:tcBorders>
              <w:left w:val="nil"/>
              <w:right w:val="nil"/>
            </w:tcBorders>
            <w:shd w:val="clear" w:color="auto" w:fill="66CCFF"/>
          </w:tcPr>
          <w:p w14:paraId="59BDF2C7" w14:textId="77777777" w:rsidR="00DD3EFA" w:rsidRPr="00EC2A1C" w:rsidRDefault="00DD3EFA" w:rsidP="00B15ECB">
            <w:pPr>
              <w:rPr>
                <w:b/>
              </w:rPr>
            </w:pPr>
          </w:p>
        </w:tc>
        <w:tc>
          <w:tcPr>
            <w:tcW w:w="249" w:type="dxa"/>
            <w:gridSpan w:val="2"/>
            <w:tcBorders>
              <w:top w:val="nil"/>
              <w:left w:val="nil"/>
              <w:bottom w:val="nil"/>
            </w:tcBorders>
            <w:shd w:val="clear" w:color="auto" w:fill="66CCFF"/>
          </w:tcPr>
          <w:p w14:paraId="671790BC" w14:textId="77777777" w:rsidR="00DD3EFA" w:rsidRPr="00EC2A1C" w:rsidRDefault="00DD3EFA" w:rsidP="00B15ECB">
            <w:pPr>
              <w:rPr>
                <w:b/>
              </w:rPr>
            </w:pPr>
          </w:p>
        </w:tc>
      </w:tr>
      <w:tr w:rsidR="00DD3EFA" w:rsidRPr="00EC2A1C" w14:paraId="5E1E711C" w14:textId="77777777" w:rsidTr="00B15ECB">
        <w:trPr>
          <w:trHeight w:val="938"/>
        </w:trPr>
        <w:tc>
          <w:tcPr>
            <w:tcW w:w="249" w:type="dxa"/>
            <w:tcBorders>
              <w:top w:val="nil"/>
              <w:bottom w:val="nil"/>
            </w:tcBorders>
            <w:shd w:val="clear" w:color="auto" w:fill="66CCFF"/>
          </w:tcPr>
          <w:p w14:paraId="5AC0BF71"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2F7D2BAB"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7000FBE3" w14:textId="77777777" w:rsidR="00DD3EFA" w:rsidRPr="00EC2A1C" w:rsidRDefault="00DD3EFA" w:rsidP="00B15ECB">
            <w:pPr>
              <w:pStyle w:val="Odstavecseseznamem"/>
              <w:spacing w:before="60" w:after="60"/>
              <w:ind w:left="360"/>
              <w:rPr>
                <w:rFonts w:eastAsiaTheme="majorEastAsia"/>
                <w:b/>
              </w:rPr>
            </w:pPr>
          </w:p>
        </w:tc>
        <w:tc>
          <w:tcPr>
            <w:tcW w:w="5978" w:type="dxa"/>
            <w:gridSpan w:val="2"/>
            <w:tcBorders>
              <w:bottom w:val="single" w:sz="4" w:space="0" w:color="auto"/>
            </w:tcBorders>
            <w:shd w:val="clear" w:color="auto" w:fill="FFFFFF" w:themeFill="background1"/>
          </w:tcPr>
          <w:p w14:paraId="70CC1937"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b/>
              </w:rPr>
            </w:pPr>
            <w:r w:rsidRPr="00EC2A1C">
              <w:rPr>
                <w:rFonts w:ascii="Times New Roman" w:hAnsi="Times New Roman"/>
                <w:b/>
              </w:rPr>
              <w:t>Hlavní strategický dokument:</w:t>
            </w:r>
          </w:p>
          <w:p w14:paraId="60F04698"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Politika architektury a stavební kultury ČR, schválená UV č. 22/2015 – pro období po roce 2020 bude aktualizována</w:t>
            </w:r>
          </w:p>
          <w:p w14:paraId="7CD1198B"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Strategie přizpůsobení se změně klimatu v podmínkách ČR, schválená UV č. 861/2015 – pro období po roce 2020 bude aktualizována</w:t>
            </w:r>
          </w:p>
          <w:p w14:paraId="7CCDF203"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b/>
              </w:rPr>
            </w:pPr>
            <w:r w:rsidRPr="00EC2A1C">
              <w:rPr>
                <w:rFonts w:ascii="Times New Roman" w:hAnsi="Times New Roman"/>
                <w:b/>
              </w:rPr>
              <w:t>Související strategické a koncepční dokumenty:</w:t>
            </w:r>
          </w:p>
          <w:p w14:paraId="03CA5B7F"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Strategie regionálního rozvoje ČR 2021+</w:t>
            </w:r>
          </w:p>
          <w:p w14:paraId="0524DB1A"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Politika územního rozvoje ČR, ve znění Aktualizace č. 1, schválené UV č. 276/2015 – v dubnu 2019 vláda projedná Zprávu o uplatňování, na jejím základě rozhodne o zpracování řádné aktualizace Politiky územního rozvoje</w:t>
            </w:r>
          </w:p>
          <w:p w14:paraId="71F61E4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Zásady urbánní politiky, Aktualizace 2017, schválená UV č. 549/2017, platnost do roku 2023</w:t>
            </w:r>
          </w:p>
          <w:p w14:paraId="09F38B1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i/>
              </w:rPr>
              <w:t xml:space="preserve">Manuály a strategie veřejných prostranství jednotlivých měst (např. Praha,  </w:t>
            </w:r>
            <w:hyperlink r:id="rId47" w:history="1">
              <w:r w:rsidRPr="00EC2A1C">
                <w:rPr>
                  <w:rStyle w:val="Hypertextovodkaz"/>
                  <w:rFonts w:ascii="Times New Roman" w:hAnsi="Times New Roman"/>
                  <w:i/>
                </w:rPr>
                <w:t>http://manual.iprpraha.cz/uploads/assets/manual_tvorby_verejnych_prostranstvi/pdf/IPR-SDM-KVP_Manual-tvorby-verejnych-prostranstvi.pdf</w:t>
              </w:r>
            </w:hyperlink>
            <w:r w:rsidRPr="00EC2A1C">
              <w:rPr>
                <w:rFonts w:ascii="Times New Roman" w:hAnsi="Times New Roman"/>
                <w:i/>
              </w:rPr>
              <w:t>)</w:t>
            </w:r>
          </w:p>
          <w:p w14:paraId="5F2BC559" w14:textId="77777777" w:rsidR="00DD3EFA" w:rsidRPr="00EC2A1C" w:rsidRDefault="00DD3EFA" w:rsidP="00B15ECB">
            <w:pPr>
              <w:pStyle w:val="slovanodstavec"/>
              <w:tabs>
                <w:tab w:val="clear" w:pos="567"/>
                <w:tab w:val="left" w:pos="284"/>
              </w:tabs>
              <w:suppressAutoHyphens/>
              <w:spacing w:line="240" w:lineRule="auto"/>
              <w:jc w:val="left"/>
              <w:rPr>
                <w:rStyle w:val="Hypertextovodkaz"/>
                <w:rFonts w:ascii="Times New Roman" w:hAnsi="Times New Roman"/>
                <w:i/>
              </w:rPr>
            </w:pPr>
            <w:r w:rsidRPr="00EC2A1C">
              <w:rPr>
                <w:rFonts w:ascii="Times New Roman" w:hAnsi="Times New Roman"/>
                <w:i/>
              </w:rPr>
              <w:t xml:space="preserve">MMR, Doporučení k péči o vesnické stavby a veřejný prostor, ISBN 978-80-7538-202-3, online verze na </w:t>
            </w:r>
            <w:hyperlink r:id="rId48" w:history="1">
              <w:r w:rsidRPr="00EC2A1C">
                <w:rPr>
                  <w:rStyle w:val="Hypertextovodkaz"/>
                  <w:rFonts w:ascii="Times New Roman" w:hAnsi="Times New Roman"/>
                  <w:i/>
                </w:rPr>
                <w:t>http://www.obcepro.cz/data/doporuceni_k_peci_o_vesnicke_stavbya_a_verejny_prostor.pdf</w:t>
              </w:r>
            </w:hyperlink>
          </w:p>
          <w:p w14:paraId="2D3ED8ED" w14:textId="77777777" w:rsidR="00DD3EFA" w:rsidRPr="00EC2A1C" w:rsidRDefault="00DD3EFA" w:rsidP="00B15ECB">
            <w:pPr>
              <w:pStyle w:val="slovanodstavec"/>
              <w:tabs>
                <w:tab w:val="clear" w:pos="567"/>
                <w:tab w:val="left" w:pos="284"/>
              </w:tabs>
              <w:suppressAutoHyphens/>
              <w:spacing w:after="120" w:line="240" w:lineRule="auto"/>
              <w:jc w:val="left"/>
              <w:rPr>
                <w:rStyle w:val="Hypertextovodkaz"/>
                <w:rFonts w:ascii="Times New Roman" w:hAnsi="Times New Roman"/>
                <w:i/>
              </w:rPr>
            </w:pPr>
            <w:r w:rsidRPr="00EC2A1C">
              <w:rPr>
                <w:rStyle w:val="Hypertextovodkaz"/>
                <w:rFonts w:ascii="Times New Roman" w:hAnsi="Times New Roman"/>
                <w:i/>
              </w:rPr>
              <w:t xml:space="preserve">MMR a Ústav územního rozvoje, Principy a zásady urbanistické kompozice v příkladech, 2016, ISBN 978-80-7538-0579, online verze na </w:t>
            </w:r>
            <w:hyperlink r:id="rId49" w:history="1">
              <w:r w:rsidRPr="00EC2A1C">
                <w:rPr>
                  <w:rStyle w:val="Hypertextovodkaz"/>
                  <w:rFonts w:ascii="Times New Roman" w:hAnsi="Times New Roman"/>
                  <w:i/>
                </w:rPr>
                <w:t>https://www.mmr.cz/cs/Ministerstvo/Stavebni-pravo/Publikace-a-odborne-texty/Principy-a-zasady-urbanisticke-kompozice-v-prikladech</w:t>
              </w:r>
            </w:hyperlink>
          </w:p>
          <w:p w14:paraId="5F14BDA9"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Unijní materiály:</w:t>
            </w:r>
          </w:p>
          <w:p w14:paraId="39BCD3C3"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 xml:space="preserve">Evropská úmluva o krajině (opravený český překlad), č. 12/2017 Sb. m. s. </w:t>
            </w:r>
          </w:p>
          <w:p w14:paraId="1C14B1BD"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Sdělení Komise EP, Radě, EHSV a VR COM(2013)249 Zelená infrastruktura – zlepšování přírodního kapitálu Evropy</w:t>
            </w:r>
          </w:p>
          <w:p w14:paraId="60F36797"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Pracovní dokument útvarů Komise SDW(2013)155 Technické informace o zelené infrastruktuře</w:t>
            </w:r>
          </w:p>
          <w:p w14:paraId="74D9F414"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Ostatní právní předpisy: Zákon č. 183/2006 Sb., o územním plánování a stavebním řádu (stavební zákon), ve znění pozdějších předpisů</w:t>
            </w:r>
          </w:p>
          <w:p w14:paraId="68759681"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Vyhláška č. 500/2006 Sb., o územně analytických podkladech, územně plánovací dokumentaci a způsobu evidence územně plánovací činnosti, ve znění pozdějších předpisů</w:t>
            </w:r>
          </w:p>
          <w:p w14:paraId="021BBACB"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p>
          <w:p w14:paraId="7CD9AEBF" w14:textId="77777777" w:rsidR="00DD3EFA" w:rsidRPr="00EC2A1C" w:rsidRDefault="00DD3EFA"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 xml:space="preserve">Sdělení Komise EP, Radě, EHSV a VR COM(2013)0216 Strategie EU pro přizpůsobení se změně klimatu </w:t>
            </w:r>
          </w:p>
          <w:p w14:paraId="4611CDA6"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Národní akční plán adaptace na změnu klimatu, schválený UV č. 34/2017 – pro období po roce 2020 bude aktualizován</w:t>
            </w:r>
          </w:p>
          <w:p w14:paraId="340B383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Koncepce ochrany před následky sucha pro území České republiky, schválená UV č. 528/2017</w:t>
            </w:r>
          </w:p>
          <w:p w14:paraId="2D795B52"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i/>
              </w:rPr>
            </w:pPr>
          </w:p>
        </w:tc>
        <w:tc>
          <w:tcPr>
            <w:tcW w:w="249" w:type="dxa"/>
            <w:gridSpan w:val="2"/>
            <w:tcBorders>
              <w:top w:val="nil"/>
              <w:bottom w:val="nil"/>
            </w:tcBorders>
            <w:shd w:val="clear" w:color="auto" w:fill="66CCFF"/>
          </w:tcPr>
          <w:p w14:paraId="23B1267E" w14:textId="77777777" w:rsidR="00DD3EFA" w:rsidRPr="00EC2A1C" w:rsidRDefault="00DD3EFA" w:rsidP="00B15ECB">
            <w:pPr>
              <w:rPr>
                <w:b/>
              </w:rPr>
            </w:pPr>
          </w:p>
        </w:tc>
      </w:tr>
      <w:tr w:rsidR="00DD3EFA" w:rsidRPr="00EC2A1C" w14:paraId="0CDD15DC" w14:textId="77777777" w:rsidTr="00B15ECB">
        <w:trPr>
          <w:trHeight w:val="938"/>
        </w:trPr>
        <w:tc>
          <w:tcPr>
            <w:tcW w:w="249" w:type="dxa"/>
            <w:tcBorders>
              <w:top w:val="nil"/>
              <w:bottom w:val="nil"/>
            </w:tcBorders>
            <w:shd w:val="clear" w:color="auto" w:fill="66CCFF"/>
          </w:tcPr>
          <w:p w14:paraId="50E627FF"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28993FE6"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1A35215D"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034DB93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Z analýzy potřeb měst a obcí ČR: vyhodnocení dotazníkového šetření (Sýkora a kol. 2017) zpracované pro SMO ČR s podporou MMR plyne, že ze 45 definovaných problémových oblastí zařadily obce a města mezi 10 nejdůležitějších problémů právě ty, které souvisejí s formováním a užíváním veřejných prostranství: stav silnic, stav chodníků, dopravní přetíženost, parkování, brownfieldy a bezbariérovost. Současně analýza identifikovala téma veřejných prostranství jako téma, ve kterém obce dosahují často úspěchu a také téma, při kterém se nejčastěji uplatňuje spolupráce. V tomto závěru byla nejjednoznačnější hodnocení malých obcí do 3 000 obyvatel.</w:t>
            </w:r>
          </w:p>
          <w:p w14:paraId="57C730F2" w14:textId="77777777" w:rsidR="00DD3EFA" w:rsidRPr="00EC2A1C" w:rsidRDefault="00DD3EFA" w:rsidP="00B15ECB">
            <w:r w:rsidRPr="00EC2A1C">
              <w:t xml:space="preserve">Zásady urbánní politiky; Aktualizace 2017: je tato problematika součástí </w:t>
            </w:r>
            <w:r w:rsidRPr="00EC2A1C">
              <w:rPr>
                <w:b/>
              </w:rPr>
              <w:t>zásady č. 3 Podpora rozvoje měst jako pólů rozvoje v území</w:t>
            </w:r>
            <w:r w:rsidRPr="00EC2A1C">
              <w:t xml:space="preserve"> (str. 24). </w:t>
            </w:r>
          </w:p>
          <w:p w14:paraId="0FAD9613"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b/>
                <w:bCs/>
                <w:i/>
                <w:iCs/>
                <w:sz w:val="20"/>
                <w:szCs w:val="20"/>
              </w:rPr>
              <w:t xml:space="preserve">3. Veřejný prostor </w:t>
            </w:r>
          </w:p>
          <w:p w14:paraId="11631F70"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 xml:space="preserve">- ve vazbě na strategii Politiky architektury a stavební kultury České republiky11 zvyšovat atraktivitu měst a kvalitu veřejných prostranství, upřednostňovat výstavbu směřující ke kompaktnímu městu a podporovat smíšené funkce využití území; podporovat udržování kulturního dědictví v oblasti urbanismu a architektury, </w:t>
            </w:r>
          </w:p>
          <w:p w14:paraId="22B9B892"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 xml:space="preserve">- zlepšovat využití a uspořádání území, zvyšovat kvalitu veřejných prostor v územích ohrožených rezidenční segregací, </w:t>
            </w:r>
          </w:p>
          <w:p w14:paraId="49EA8B4F"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 xml:space="preserve">- efektivně využívat staré průmyslové areály a upadající plochy, provádět jejich asanaci a smysluplnou, udržitelnou regeneraci, </w:t>
            </w:r>
          </w:p>
          <w:p w14:paraId="45EF4079"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 xml:space="preserve">- efektivně využívat veřejný prostor pro sportovní a podobné aktivity pomáhající v prevenci vzniku nemocí a ochraně zdraví, </w:t>
            </w:r>
          </w:p>
          <w:p w14:paraId="06893595"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 xml:space="preserve">- dbát na vytváření bezbariérového prostředí. </w:t>
            </w:r>
          </w:p>
          <w:p w14:paraId="58D93D8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p>
          <w:p w14:paraId="2119C71F" w14:textId="77777777" w:rsidR="00DD3EFA" w:rsidRPr="00EC2A1C" w:rsidRDefault="00DD3EFA" w:rsidP="00B15ECB">
            <w:pPr>
              <w:pStyle w:val="slovanodstavec"/>
              <w:tabs>
                <w:tab w:val="clear" w:pos="567"/>
                <w:tab w:val="left" w:pos="284"/>
              </w:tabs>
              <w:suppressAutoHyphens/>
              <w:spacing w:after="0" w:line="240" w:lineRule="auto"/>
              <w:rPr>
                <w:rFonts w:ascii="Times New Roman" w:hAnsi="Times New Roman"/>
              </w:rPr>
            </w:pPr>
            <w:r w:rsidRPr="00EC2A1C">
              <w:rPr>
                <w:rFonts w:ascii="Times New Roman" w:hAnsi="Times New Roman"/>
              </w:rPr>
              <w:t>Problémy k řešení, kterým čelí současná krajina, jsou uvedeny výše v kapitolách „Problémy, které specifický cíl řeší“, „Územní dimenze“ a „Adaptace na klimatickou změnu“, přehledně a v souvislostech je pak vysvětlují např. tyto materiály:</w:t>
            </w:r>
          </w:p>
          <w:p w14:paraId="74F8C5C1" w14:textId="77777777" w:rsidR="00DD3EFA" w:rsidRPr="00EC2A1C" w:rsidRDefault="00DD3EFA" w:rsidP="00391907">
            <w:pPr>
              <w:pStyle w:val="slovanodstavec"/>
              <w:numPr>
                <w:ilvl w:val="0"/>
                <w:numId w:val="131"/>
              </w:numPr>
              <w:tabs>
                <w:tab w:val="clear" w:pos="567"/>
                <w:tab w:val="left" w:pos="284"/>
              </w:tabs>
              <w:suppressAutoHyphens/>
              <w:spacing w:after="0" w:line="240" w:lineRule="auto"/>
              <w:rPr>
                <w:rFonts w:ascii="Times New Roman" w:hAnsi="Times New Roman"/>
              </w:rPr>
            </w:pPr>
            <w:r w:rsidRPr="00EC2A1C">
              <w:rPr>
                <w:rFonts w:ascii="Times New Roman" w:hAnsi="Times New Roman"/>
                <w:lang w:val="en-US"/>
              </w:rPr>
              <w:t xml:space="preserve">[1] </w:t>
            </w:r>
            <w:r w:rsidRPr="00EC2A1C">
              <w:rPr>
                <w:rFonts w:ascii="Times New Roman" w:hAnsi="Times New Roman"/>
              </w:rPr>
              <w:t xml:space="preserve">Strategie přizpůsobení se změně klimatu v podmínkách ČR, vydaná UV č. 861/2015 </w:t>
            </w:r>
          </w:p>
          <w:p w14:paraId="06C7609F" w14:textId="77777777" w:rsidR="00DD3EFA" w:rsidRPr="00EC2A1C" w:rsidRDefault="00DD3EFA" w:rsidP="00391907">
            <w:pPr>
              <w:pStyle w:val="slovanodstavec"/>
              <w:numPr>
                <w:ilvl w:val="0"/>
                <w:numId w:val="131"/>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[2] Národní akční plán adaptace na změnu klimatu, vydaný UV č. 34/2017 </w:t>
            </w:r>
          </w:p>
          <w:p w14:paraId="29D26FA2"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 xml:space="preserve">[3] Fanta, J., Petřík, P. </w:t>
            </w:r>
            <w:r w:rsidRPr="00EC2A1C">
              <w:rPr>
                <w:rFonts w:ascii="Times New Roman" w:hAnsi="Times New Roman"/>
                <w:lang w:val="en-US"/>
              </w:rPr>
              <w:t>[eds.]</w:t>
            </w:r>
            <w:r w:rsidRPr="00EC2A1C">
              <w:rPr>
                <w:rFonts w:ascii="Times New Roman" w:hAnsi="Times New Roman"/>
              </w:rPr>
              <w:t>: Povodně a sucho – krajina jako základ řešení, vydal Botanický ústav AV ČR, 2014, ISBN 978-80-86188-44-7</w:t>
            </w:r>
          </w:p>
          <w:p w14:paraId="0911525A"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Stručně lze říci, že se v současnosti protínají negativní dopady nevhodného využití území a způsobů hospodaření (lokálních) a (globální) klimatické změny, což vytváří potřebu řady opatření, např. ekonomických, agrotechnických, až po změny ve využití území, přičemž posledně jmenované jsou předmětem územního plánování.  </w:t>
            </w:r>
          </w:p>
          <w:p w14:paraId="7890F885"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Koncept zelené infrastruktury a ekosystémových služeb přehledně vysvětluje:</w:t>
            </w:r>
          </w:p>
          <w:p w14:paraId="6C9AFE80"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[4] Sdělení Komise EP, Radě, EHSV a VR COM(2013)249 Zelená infrastruktura – zlepšování přírodního kapitálu Evropy</w:t>
            </w:r>
          </w:p>
          <w:p w14:paraId="11225BD4" w14:textId="77777777" w:rsidR="00DD3EFA" w:rsidRPr="00EC2A1C" w:rsidRDefault="00DD3EFA" w:rsidP="00B15ECB">
            <w:pPr>
              <w:spacing w:before="120" w:after="120"/>
              <w:rPr>
                <w:i/>
              </w:rPr>
            </w:pPr>
            <w:r w:rsidRPr="00EC2A1C">
              <w:t xml:space="preserve">Potřebu využití územního plánování zmiňuje např. [2] takto: </w:t>
            </w:r>
            <w:r w:rsidRPr="00EC2A1C">
              <w:rPr>
                <w:i/>
              </w:rPr>
              <w:t>„K realizaci integrovaného přístupu k adaptacím lze přistoupit například prostřednictvím ekosystémových, resp. krajinných opatření, či v rámci formálních, či neformálních postupů v plánování (</w:t>
            </w:r>
            <w:r w:rsidRPr="00EC2A1C">
              <w:rPr>
                <w:i/>
                <w:u w:val="single"/>
              </w:rPr>
              <w:t>územní plány, územní studie krajiny</w:t>
            </w:r>
            <w:r w:rsidRPr="00EC2A1C">
              <w:rPr>
                <w:i/>
              </w:rPr>
              <w:t>, pozemkové úpravy, regionální plány rozvoje, apod.), sdílené odpovědnosti za fungování a udržitelné řízení vodních ekosystémů, pochopení a zajištění udržitelného managementu vodního režimu krajiny apod.“</w:t>
            </w:r>
          </w:p>
          <w:p w14:paraId="6E299A12" w14:textId="77777777" w:rsidR="00DD3EFA" w:rsidRPr="00EC2A1C" w:rsidRDefault="00DD3EFA" w:rsidP="00B15ECB">
            <w:pPr>
              <w:spacing w:before="120" w:after="120"/>
              <w:rPr>
                <w:i/>
              </w:rPr>
            </w:pPr>
            <w:r w:rsidRPr="00EC2A1C">
              <w:rPr>
                <w:lang w:val="en-US"/>
              </w:rPr>
              <w:t>[1] mj. uvádí, že</w:t>
            </w:r>
            <w:r w:rsidRPr="00EC2A1C">
              <w:rPr>
                <w:i/>
                <w:lang w:val="en-US"/>
              </w:rPr>
              <w:t xml:space="preserve"> </w:t>
            </w:r>
            <w:r w:rsidRPr="00EC2A1C">
              <w:rPr>
                <w:i/>
              </w:rPr>
              <w:t xml:space="preserve">„by měly být principy hospodaření se srážkovými vodami promítnuty do </w:t>
            </w:r>
            <w:r w:rsidRPr="00EC2A1C">
              <w:rPr>
                <w:i/>
                <w:u w:val="single"/>
              </w:rPr>
              <w:t>územního plánování</w:t>
            </w:r>
            <w:r w:rsidRPr="00EC2A1C">
              <w:rPr>
                <w:i/>
              </w:rPr>
              <w:t xml:space="preserve">,“ </w:t>
            </w:r>
            <w:r w:rsidRPr="00EC2A1C">
              <w:t>nebo že</w:t>
            </w:r>
            <w:r w:rsidRPr="00EC2A1C">
              <w:rPr>
                <w:i/>
              </w:rPr>
              <w:t xml:space="preserve"> „</w:t>
            </w:r>
            <w:r w:rsidRPr="00EC2A1C">
              <w:rPr>
                <w:i/>
                <w:lang w:val="en-US"/>
              </w:rPr>
              <w:t>[c]</w:t>
            </w:r>
            <w:r w:rsidRPr="00EC2A1C">
              <w:rPr>
                <w:i/>
              </w:rPr>
              <w:t xml:space="preserve">elkově je třeba se zaměřit na plánování a rozvoj systémů sídelní zeleně (…) prostřednictvím </w:t>
            </w:r>
            <w:r w:rsidRPr="00EC2A1C">
              <w:rPr>
                <w:i/>
                <w:u w:val="single"/>
              </w:rPr>
              <w:t>územního plánování</w:t>
            </w:r>
            <w:r w:rsidRPr="00EC2A1C">
              <w:rPr>
                <w:i/>
              </w:rPr>
              <w:t xml:space="preserve"> urbanizovaného území.</w:t>
            </w:r>
          </w:p>
          <w:p w14:paraId="4D089E5F" w14:textId="77777777" w:rsidR="00DD3EFA" w:rsidRPr="00EC2A1C" w:rsidRDefault="00DD3EFA" w:rsidP="00B15ECB">
            <w:pPr>
              <w:spacing w:before="120" w:after="120"/>
              <w:rPr>
                <w:i/>
              </w:rPr>
            </w:pPr>
            <w:r w:rsidRPr="00EC2A1C">
              <w:t xml:space="preserve">Dále </w:t>
            </w:r>
            <w:r w:rsidRPr="00EC2A1C">
              <w:rPr>
                <w:lang w:val="en-US"/>
              </w:rPr>
              <w:t xml:space="preserve">[1] </w:t>
            </w:r>
            <w:r w:rsidRPr="00EC2A1C">
              <w:t>požaduje</w:t>
            </w:r>
            <w:r w:rsidRPr="00EC2A1C">
              <w:rPr>
                <w:i/>
              </w:rPr>
              <w:t xml:space="preserve"> „Zajistit důkladné a provázané plánování využití území s dlouhodobým výhledem (</w:t>
            </w:r>
            <w:r w:rsidRPr="00EC2A1C">
              <w:rPr>
                <w:i/>
                <w:u w:val="single"/>
              </w:rPr>
              <w:t>územní plánování</w:t>
            </w:r>
            <w:r w:rsidRPr="00EC2A1C">
              <w:rPr>
                <w:i/>
              </w:rPr>
              <w:t xml:space="preserve">, komplexní pozemkové úpravy, krajinné plánování, lesní hospodářské plány a osnovy apod.) beroucí ohledy na ochranu biodiverzity a zajištění klíčových ekosystémových služeb vč. zadržování vody v krajině.“ </w:t>
            </w:r>
            <w:r w:rsidRPr="00EC2A1C">
              <w:rPr>
                <w:lang w:val="en-US"/>
              </w:rPr>
              <w:t>[1] r</w:t>
            </w:r>
            <w:r w:rsidRPr="00EC2A1C">
              <w:t xml:space="preserve">ovněž uvádí, že </w:t>
            </w:r>
            <w:r w:rsidRPr="00EC2A1C">
              <w:rPr>
                <w:i/>
              </w:rPr>
              <w:t xml:space="preserve">„Vhodnou strukturou krajiny a vhodným </w:t>
            </w:r>
            <w:r w:rsidRPr="00EC2A1C">
              <w:rPr>
                <w:i/>
                <w:u w:val="single"/>
              </w:rPr>
              <w:t>územním plánováním</w:t>
            </w:r>
            <w:r w:rsidRPr="00EC2A1C">
              <w:rPr>
                <w:i/>
              </w:rPr>
              <w:t>, kdy budou zohledňovány mitigační schopnosti funkčních ekosystémů pro adaptaci na změnu klimatu, tak bude možné předejít výrazným ekonomickým ztrátám.“</w:t>
            </w:r>
          </w:p>
          <w:p w14:paraId="5EB089D6"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lang w:val="en-US"/>
              </w:rPr>
              <w:t xml:space="preserve">[4] navrhuje, že </w:t>
            </w:r>
            <w:r w:rsidRPr="00EC2A1C">
              <w:rPr>
                <w:rFonts w:ascii="Times New Roman" w:hAnsi="Times New Roman"/>
                <w:i/>
              </w:rPr>
              <w:t>„</w:t>
            </w:r>
            <w:r w:rsidRPr="00EC2A1C">
              <w:rPr>
                <w:rFonts w:ascii="Times New Roman" w:hAnsi="Times New Roman"/>
                <w:i/>
                <w:lang w:val="en-US"/>
              </w:rPr>
              <w:t>{n]</w:t>
            </w:r>
            <w:r w:rsidRPr="00EC2A1C">
              <w:rPr>
                <w:rFonts w:ascii="Times New Roman" w:hAnsi="Times New Roman"/>
                <w:i/>
              </w:rPr>
              <w:t xml:space="preserve">yní je zapotřebí, aby se </w:t>
            </w:r>
            <w:r w:rsidRPr="00EC2A1C">
              <w:rPr>
                <w:rFonts w:ascii="Times New Roman" w:hAnsi="Times New Roman"/>
                <w:i/>
                <w:lang w:val="en-US"/>
              </w:rPr>
              <w:t xml:space="preserve">[zelená infrastruktura] </w:t>
            </w:r>
            <w:r w:rsidRPr="00EC2A1C">
              <w:rPr>
                <w:rFonts w:ascii="Times New Roman" w:hAnsi="Times New Roman"/>
                <w:i/>
              </w:rPr>
              <w:t xml:space="preserve">stala pevnou součástí </w:t>
            </w:r>
            <w:r w:rsidRPr="00EC2A1C">
              <w:rPr>
                <w:rFonts w:ascii="Times New Roman" w:hAnsi="Times New Roman"/>
                <w:i/>
                <w:u w:val="single"/>
              </w:rPr>
              <w:t>územního plánování</w:t>
            </w:r>
            <w:r w:rsidRPr="00EC2A1C">
              <w:rPr>
                <w:rFonts w:ascii="Times New Roman" w:hAnsi="Times New Roman"/>
                <w:i/>
              </w:rPr>
              <w:t xml:space="preserve"> a rozvoje a aby byla plně začleněna do provádění opatření v těchto oblastech,“ </w:t>
            </w:r>
            <w:r w:rsidRPr="00EC2A1C">
              <w:rPr>
                <w:rFonts w:ascii="Times New Roman" w:hAnsi="Times New Roman"/>
              </w:rPr>
              <w:t xml:space="preserve">a že </w:t>
            </w:r>
            <w:r w:rsidRPr="00EC2A1C">
              <w:rPr>
                <w:rFonts w:ascii="Times New Roman" w:hAnsi="Times New Roman"/>
                <w:i/>
              </w:rPr>
              <w:t xml:space="preserve">„[z]ačleněním ekologických aspektů a aspektů udržitelnosti do </w:t>
            </w:r>
            <w:r w:rsidRPr="00EC2A1C">
              <w:rPr>
                <w:rFonts w:ascii="Times New Roman" w:hAnsi="Times New Roman"/>
                <w:i/>
                <w:u w:val="single"/>
              </w:rPr>
              <w:t>územního plánování</w:t>
            </w:r>
            <w:r w:rsidRPr="00EC2A1C">
              <w:rPr>
                <w:rFonts w:ascii="Times New Roman" w:hAnsi="Times New Roman"/>
                <w:i/>
              </w:rPr>
              <w:t xml:space="preserve"> venkovského a městského prostředí podporují zelené infrastruktury zároveň soudržnější přístup v rozhodovacím procesu.“</w:t>
            </w:r>
          </w:p>
        </w:tc>
        <w:tc>
          <w:tcPr>
            <w:tcW w:w="249" w:type="dxa"/>
            <w:gridSpan w:val="2"/>
            <w:tcBorders>
              <w:top w:val="nil"/>
              <w:bottom w:val="nil"/>
            </w:tcBorders>
            <w:shd w:val="clear" w:color="auto" w:fill="66CCFF"/>
          </w:tcPr>
          <w:p w14:paraId="35A4C317" w14:textId="77777777" w:rsidR="00DD3EFA" w:rsidRPr="00EC2A1C" w:rsidRDefault="00DD3EFA" w:rsidP="00B15ECB">
            <w:pPr>
              <w:rPr>
                <w:b/>
              </w:rPr>
            </w:pPr>
          </w:p>
        </w:tc>
      </w:tr>
      <w:tr w:rsidR="00DD3EFA" w:rsidRPr="00EC2A1C" w14:paraId="1202A1AB" w14:textId="77777777" w:rsidTr="00B15ECB">
        <w:trPr>
          <w:trHeight w:val="938"/>
        </w:trPr>
        <w:tc>
          <w:tcPr>
            <w:tcW w:w="249" w:type="dxa"/>
            <w:tcBorders>
              <w:top w:val="nil"/>
              <w:bottom w:val="nil"/>
            </w:tcBorders>
            <w:shd w:val="clear" w:color="auto" w:fill="66CCFF"/>
          </w:tcPr>
          <w:p w14:paraId="189C5DDC"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41C97898"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6924377B"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2D7168D7"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b/>
              </w:rPr>
              <w:t>Politika architektury a stavební kultury ČR</w:t>
            </w:r>
            <w:r w:rsidRPr="00EC2A1C">
              <w:rPr>
                <w:rFonts w:ascii="Times New Roman" w:hAnsi="Times New Roman"/>
              </w:rPr>
              <w:t xml:space="preserve"> – zejména cíle:</w:t>
            </w:r>
          </w:p>
          <w:p w14:paraId="72CFBCF2"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rPr>
              <w:t>1.1 Pozitivně ovlivňovat vývoj sídelní struktury;</w:t>
            </w:r>
          </w:p>
          <w:p w14:paraId="26907CA3"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rPr>
              <w:t xml:space="preserve">1.2 Stanovit, chránit a rozvíjet dlouhodobou urbanistickou koncepci sídel zahrnující mj. jejich, funkční, plošné i prostorové uspořádání; </w:t>
            </w:r>
          </w:p>
          <w:p w14:paraId="100A4246"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rPr>
              <w:t>1.3 Minimalizovat nepřiměřené a nevhodné rozrůstání sídel do okolní krajiny. (…);</w:t>
            </w:r>
          </w:p>
          <w:p w14:paraId="749D2EB9"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rPr>
              <w:t>1.5 Při obnově a tvorbě krajiny posílit plánování, zejména důsledně využívat územně plánovací dokumentace a podklady, i pozemkové úpravy;</w:t>
            </w:r>
          </w:p>
          <w:p w14:paraId="4D16715B"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b/>
                <w:u w:val="single"/>
              </w:rPr>
            </w:pPr>
            <w:r w:rsidRPr="00EC2A1C">
              <w:rPr>
                <w:rFonts w:ascii="Times New Roman" w:hAnsi="Times New Roman"/>
                <w:b/>
                <w:u w:val="single"/>
              </w:rPr>
              <w:t>2.1 Zajistit dostatečnou vybavenost území vhodnými veřejnými prostranstvími, jejich snadnou dostupnost a vzájemné propojení;</w:t>
            </w:r>
          </w:p>
          <w:p w14:paraId="71079D87"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b/>
                <w:u w:val="single"/>
              </w:rPr>
            </w:pPr>
            <w:r w:rsidRPr="00EC2A1C">
              <w:rPr>
                <w:rFonts w:ascii="Times New Roman" w:hAnsi="Times New Roman"/>
                <w:b/>
                <w:u w:val="single"/>
              </w:rPr>
              <w:t>2.2 Zajistit kvalitu veřejných prostranství za pomoci integrovaných a komplexních řešení;</w:t>
            </w:r>
          </w:p>
          <w:p w14:paraId="4C332C58"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rPr>
              <w:t>3.2 Chránit a posilovat charakter prvků tvořících lokální, celoměstskou či regionální identitu a podporovat ráz prostředí a jedinečnost daného místa;</w:t>
            </w:r>
          </w:p>
          <w:p w14:paraId="6238FFD0"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7.3 Mezi odbornou a laickou veřejností zvyšovat povědomí o potřebě komplexního přístupu k prostředí vytvářenému výstavbou a dalšími činnostmi člověka, zahrnující problematiku staveb, urbanistických celků a krajiny, včetně jejich vlivu na prostředí a člověka. Podporovat utváření vztahu uživatelů k prostředí, ve kterém žijí.</w:t>
            </w:r>
          </w:p>
          <w:p w14:paraId="3FBAB23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b/>
              </w:rPr>
              <w:t>Politika územního rozvoje ČR, ve znění Aktualizace č. 1 –</w:t>
            </w:r>
            <w:r w:rsidRPr="00EC2A1C">
              <w:rPr>
                <w:rFonts w:ascii="Times New Roman" w:hAnsi="Times New Roman"/>
              </w:rPr>
              <w:t xml:space="preserve"> republikové priority územního plánování pro zajištění udržitelného rozvoje území, zejména republikové priority č. 14, 14a, 16, 16a, 19, 20, 20a, 21, 22, 23, 25, 26, 31.  </w:t>
            </w:r>
          </w:p>
          <w:p w14:paraId="7853D825"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b/>
              </w:rPr>
              <w:t xml:space="preserve">Strategický rámec Česká republika 2030 </w:t>
            </w:r>
            <w:r w:rsidRPr="00EC2A1C">
              <w:rPr>
                <w:rFonts w:ascii="Times New Roman" w:hAnsi="Times New Roman"/>
              </w:rPr>
              <w:t xml:space="preserve">a </w:t>
            </w:r>
            <w:r w:rsidRPr="00EC2A1C">
              <w:rPr>
                <w:rFonts w:ascii="Times New Roman" w:hAnsi="Times New Roman"/>
                <w:b/>
              </w:rPr>
              <w:t xml:space="preserve">Implementační plán Strategického rámce Česká republika 2030 </w:t>
            </w:r>
            <w:r w:rsidRPr="00EC2A1C">
              <w:rPr>
                <w:rFonts w:ascii="Times New Roman" w:hAnsi="Times New Roman"/>
              </w:rPr>
              <w:t>zejména níže uvedené specifické cíle definované strategickým rámcem a opatření a doporučení formulovaná implementačním plánem:</w:t>
            </w:r>
          </w:p>
          <w:p w14:paraId="4398006C"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p>
          <w:p w14:paraId="3955082D"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13.1 Rozmanitost a stabilita biotopů i populací jednotlivých původních druhů a rostlin se zvyšuje;</w:t>
            </w:r>
          </w:p>
          <w:p w14:paraId="0E277121" w14:textId="77777777" w:rsidR="00DD3EFA" w:rsidRPr="00EC2A1C" w:rsidRDefault="00DD3EFA" w:rsidP="00B15ECB">
            <w:pPr>
              <w:pStyle w:val="slovanodstavec"/>
              <w:tabs>
                <w:tab w:val="clear" w:pos="567"/>
                <w:tab w:val="left" w:pos="211"/>
              </w:tabs>
              <w:suppressAutoHyphens/>
              <w:spacing w:after="120" w:line="240" w:lineRule="auto"/>
              <w:ind w:left="353"/>
              <w:jc w:val="left"/>
              <w:rPr>
                <w:rFonts w:ascii="Times New Roman" w:hAnsi="Times New Roman"/>
              </w:rPr>
            </w:pPr>
            <w:r w:rsidRPr="00EC2A1C">
              <w:rPr>
                <w:rFonts w:ascii="Times New Roman" w:hAnsi="Times New Roman"/>
              </w:rPr>
              <w:t>opatření 13.1 a) Zaměřit se více na běžnou krajinu a obecnou ochranu přírody a mj. tak dosáhnout propojení zvláště chráněných území do funkčních sítí. (gestor MŽP)</w:t>
            </w:r>
          </w:p>
          <w:p w14:paraId="1A2BBD1B"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18.2 Města jsou přátelská ke všem věkovým a uživatelským skupinám;</w:t>
            </w:r>
          </w:p>
          <w:p w14:paraId="1B027E8A" w14:textId="77777777" w:rsidR="00DD3EFA" w:rsidRPr="00EC2A1C" w:rsidRDefault="00DD3EFA" w:rsidP="00B15ECB">
            <w:pPr>
              <w:pStyle w:val="slovanodstavec"/>
              <w:tabs>
                <w:tab w:val="clear" w:pos="567"/>
                <w:tab w:val="left" w:pos="284"/>
              </w:tabs>
              <w:suppressAutoHyphens/>
              <w:spacing w:after="120" w:line="240" w:lineRule="auto"/>
              <w:ind w:left="353"/>
              <w:jc w:val="left"/>
              <w:rPr>
                <w:rFonts w:ascii="Times New Roman" w:hAnsi="Times New Roman"/>
              </w:rPr>
            </w:pPr>
            <w:r w:rsidRPr="00EC2A1C">
              <w:rPr>
                <w:rFonts w:ascii="Times New Roman" w:hAnsi="Times New Roman"/>
              </w:rPr>
              <w:t>opatření 18.2 a) Pokračovat v podpoře pořizování územních studií i v programovém období 2021-2027. (gestor MMR)</w:t>
            </w:r>
          </w:p>
          <w:p w14:paraId="49BD43C8" w14:textId="77777777" w:rsidR="00DD3EFA" w:rsidRPr="00EC2A1C" w:rsidRDefault="00DD3EFA" w:rsidP="00B15ECB">
            <w:pPr>
              <w:pStyle w:val="Default"/>
              <w:spacing w:after="120"/>
              <w:ind w:left="353"/>
              <w:rPr>
                <w:rFonts w:ascii="Times New Roman" w:hAnsi="Times New Roman" w:cs="Times New Roman"/>
                <w:sz w:val="20"/>
                <w:szCs w:val="20"/>
              </w:rPr>
            </w:pPr>
            <w:r w:rsidRPr="00EC2A1C">
              <w:rPr>
                <w:rFonts w:ascii="Times New Roman" w:hAnsi="Times New Roman" w:cs="Times New Roman"/>
                <w:sz w:val="20"/>
                <w:szCs w:val="20"/>
              </w:rPr>
              <w:t xml:space="preserve">doporučení 18.2.-ix. Zajistit v rámci územního plánování rozpracování obecnějších dokumentů (zásady územního rozvoje, územní plán) konkrétnějšími, které se více zabývají urbanistickým detailem (územní studie, regulační plány). Těmito nástroji lze podrobněji řešit např. podobu veřejných prostranství, včetně uličního parteru atd. (gestor </w:t>
            </w:r>
            <w:r w:rsidRPr="00EC2A1C">
              <w:rPr>
                <w:rFonts w:ascii="Times New Roman" w:hAnsi="Times New Roman" w:cs="Times New Roman"/>
                <w:iCs/>
                <w:sz w:val="20"/>
                <w:szCs w:val="20"/>
              </w:rPr>
              <w:t>obce</w:t>
            </w:r>
            <w:r w:rsidRPr="00EC2A1C">
              <w:rPr>
                <w:rFonts w:ascii="Times New Roman" w:hAnsi="Times New Roman" w:cs="Times New Roman"/>
                <w:sz w:val="20"/>
                <w:szCs w:val="20"/>
              </w:rPr>
              <w:t xml:space="preserve">) </w:t>
            </w:r>
          </w:p>
          <w:p w14:paraId="7CDE2CB7"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19.1 Obce III. stupně předcházejí dopadům změny klimatu a jsou schopny se jim přizpůsobit;</w:t>
            </w:r>
          </w:p>
          <w:p w14:paraId="7266593F" w14:textId="77777777" w:rsidR="00DD3EFA" w:rsidRPr="00EC2A1C" w:rsidRDefault="00DD3EFA" w:rsidP="00B15ECB">
            <w:pPr>
              <w:pStyle w:val="slovanodstavec"/>
              <w:tabs>
                <w:tab w:val="clear" w:pos="567"/>
                <w:tab w:val="left" w:pos="284"/>
              </w:tabs>
              <w:suppressAutoHyphens/>
              <w:spacing w:after="120" w:line="240" w:lineRule="auto"/>
              <w:ind w:left="353"/>
              <w:jc w:val="left"/>
              <w:rPr>
                <w:rFonts w:ascii="Times New Roman" w:hAnsi="Times New Roman"/>
              </w:rPr>
            </w:pPr>
            <w:r w:rsidRPr="00EC2A1C">
              <w:rPr>
                <w:rFonts w:ascii="Times New Roman" w:hAnsi="Times New Roman"/>
              </w:rPr>
              <w:t>doporučení 19.1.-i. Podporovat pořizování, případně aktualizace územních studií krajiny i v programovém období 2021-2027. (gestor MMR a obce s rozšířenou působností)</w:t>
            </w:r>
          </w:p>
          <w:p w14:paraId="5B7AADF6"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19.2 Snižuje se počet a intenzita městských tepelných ostrovů;</w:t>
            </w:r>
          </w:p>
          <w:p w14:paraId="0C709BC0" w14:textId="77777777" w:rsidR="00DD3EFA" w:rsidRPr="00EC2A1C" w:rsidRDefault="00DD3EFA" w:rsidP="00B15ECB">
            <w:pPr>
              <w:pStyle w:val="slovanodstavec"/>
              <w:tabs>
                <w:tab w:val="clear" w:pos="567"/>
                <w:tab w:val="left" w:pos="284"/>
              </w:tabs>
              <w:suppressAutoHyphens/>
              <w:spacing w:after="120" w:line="240" w:lineRule="auto"/>
              <w:ind w:left="353"/>
              <w:jc w:val="left"/>
              <w:rPr>
                <w:rFonts w:ascii="Times New Roman" w:hAnsi="Times New Roman"/>
              </w:rPr>
            </w:pPr>
            <w:r w:rsidRPr="00EC2A1C">
              <w:rPr>
                <w:rFonts w:ascii="Times New Roman" w:hAnsi="Times New Roman"/>
              </w:rPr>
              <w:t xml:space="preserve">doporučení 19.2.-iv. V územním plánování zohlednit změnu klimatu a mírnit její dopady v urbanizovaných oblastech, zejména zvyšovat ekologickou stabilitu, regulovat zahušťování zástavby a upravovat podmínky nové výstavby. (gestor obce) </w:t>
            </w:r>
          </w:p>
          <w:p w14:paraId="5713BF02"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 xml:space="preserve">Smysl podporovaných územních studií je dále v souladu se specifickým cílem </w:t>
            </w:r>
            <w:r w:rsidRPr="00EC2A1C">
              <w:rPr>
                <w:rFonts w:ascii="Times New Roman" w:hAnsi="Times New Roman"/>
                <w:i/>
              </w:rPr>
              <w:t>12.1 Je zpracována politika krajiny a pravidla jejího naplňování,</w:t>
            </w:r>
            <w:r w:rsidRPr="00EC2A1C">
              <w:rPr>
                <w:rFonts w:ascii="Times New Roman" w:hAnsi="Times New Roman"/>
              </w:rPr>
              <w:t xml:space="preserve"> </w:t>
            </w:r>
            <w:r w:rsidRPr="00EC2A1C">
              <w:rPr>
                <w:rFonts w:ascii="Times New Roman" w:hAnsi="Times New Roman"/>
                <w:i/>
              </w:rPr>
              <w:t>které různé úrovně veřejné správy využívají pro své rozhodování.</w:t>
            </w:r>
            <w:r w:rsidRPr="00EC2A1C">
              <w:rPr>
                <w:rFonts w:ascii="Times New Roman" w:hAnsi="Times New Roman"/>
              </w:rPr>
              <w:t xml:space="preserve"> (Specifický cíl 12.1 se týká národní politiky krajiny, územní studie krajiny a územní studie sídelní zeleně budou odborným podkladem, který přispěje k formulaci krajinné politiky na regionální a místní úrovni).</w:t>
            </w:r>
          </w:p>
          <w:p w14:paraId="2B939AA7" w14:textId="77777777" w:rsidR="00DD3EFA" w:rsidRPr="00EC2A1C" w:rsidRDefault="00DD3EFA"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b/>
              </w:rPr>
              <w:t>Národní akční plán adaptace na změnu klimatu</w:t>
            </w:r>
            <w:r w:rsidRPr="00EC2A1C">
              <w:rPr>
                <w:rFonts w:ascii="Times New Roman" w:hAnsi="Times New Roman"/>
              </w:rPr>
              <w:t xml:space="preserve"> – zejména opatření:</w:t>
            </w:r>
          </w:p>
          <w:p w14:paraId="58A0B3D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17_2.1 Podporovat pořizování územních studií krajiny (gestor MMR, spolugestor MŽP, termín: průběžně)</w:t>
            </w:r>
          </w:p>
        </w:tc>
        <w:tc>
          <w:tcPr>
            <w:tcW w:w="249" w:type="dxa"/>
            <w:gridSpan w:val="2"/>
            <w:tcBorders>
              <w:top w:val="nil"/>
              <w:bottom w:val="nil"/>
            </w:tcBorders>
            <w:shd w:val="clear" w:color="auto" w:fill="66CCFF"/>
          </w:tcPr>
          <w:p w14:paraId="2820EBCB" w14:textId="77777777" w:rsidR="00DD3EFA" w:rsidRPr="00EC2A1C" w:rsidRDefault="00DD3EFA" w:rsidP="00B15ECB">
            <w:pPr>
              <w:rPr>
                <w:b/>
              </w:rPr>
            </w:pPr>
          </w:p>
        </w:tc>
      </w:tr>
      <w:tr w:rsidR="00DD3EFA" w:rsidRPr="00EC2A1C" w14:paraId="3C309F1F" w14:textId="77777777" w:rsidTr="00B15ECB">
        <w:trPr>
          <w:trHeight w:val="938"/>
        </w:trPr>
        <w:tc>
          <w:tcPr>
            <w:tcW w:w="249" w:type="dxa"/>
            <w:tcBorders>
              <w:top w:val="nil"/>
              <w:bottom w:val="nil"/>
            </w:tcBorders>
            <w:shd w:val="clear" w:color="auto" w:fill="66CCFF"/>
          </w:tcPr>
          <w:p w14:paraId="0A00C536"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5A9A62E9"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6FD16A9F" w14:textId="77777777" w:rsidR="00DD3EFA" w:rsidRPr="00EC2A1C" w:rsidRDefault="00DD3EFA" w:rsidP="00B15ECB">
            <w:pPr>
              <w:spacing w:before="60" w:after="60"/>
              <w:rPr>
                <w:rFonts w:eastAsiaTheme="majorEastAsia"/>
                <w:b/>
              </w:rPr>
            </w:pPr>
          </w:p>
        </w:tc>
        <w:tc>
          <w:tcPr>
            <w:tcW w:w="5978" w:type="dxa"/>
            <w:gridSpan w:val="2"/>
            <w:tcBorders>
              <w:bottom w:val="single" w:sz="4" w:space="0" w:color="auto"/>
            </w:tcBorders>
            <w:shd w:val="clear" w:color="auto" w:fill="FFFFFF" w:themeFill="background1"/>
          </w:tcPr>
          <w:p w14:paraId="4FF437C4"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Realizace opatření bude provedena skrze podporu individuálních projektů, případně podporu integrovaných řešení.</w:t>
            </w:r>
          </w:p>
          <w:p w14:paraId="670C4A85"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Implementace strategie „</w:t>
            </w:r>
            <w:r w:rsidRPr="00EC2A1C">
              <w:rPr>
                <w:rFonts w:ascii="Times New Roman" w:hAnsi="Times New Roman"/>
                <w:b/>
              </w:rPr>
              <w:t xml:space="preserve">Politika architektury a stavební kultury ČR“ </w:t>
            </w:r>
            <w:r w:rsidRPr="00EC2A1C">
              <w:rPr>
                <w:rFonts w:ascii="Times New Roman" w:hAnsi="Times New Roman"/>
              </w:rPr>
              <w:t>má navržen vlastní implementační principy, které jsou ale širšího rázu, nejedná se o strategii primárně pro čerpání prostředků z fondů EU.</w:t>
            </w:r>
          </w:p>
          <w:p w14:paraId="5D93B4DE"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Počítá se však s využitím strategie pro budoucí IROP, jakožto hlavní program realizující CP 5 „Evropa bližší občanům“ dle návrhu Obecného nařízení.</w:t>
            </w:r>
          </w:p>
          <w:p w14:paraId="068E9FB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Podporované územní studie budou naopak sloužit jako podklad pro pořizování územně plánovacích dokumentací (zejména nových územních plánů a změny územních plánů), pro aktualizaci územně analytických podkladů, rozhodování v území a pro další činnosti veřejné správy, a to nejen na úseku územního plánování, ale i v jiných oblastech, např. na úseku ochrany přírody nebo jako podklad při pořizování pozemkových úprav.</w:t>
            </w:r>
          </w:p>
          <w:p w14:paraId="2891D4A6"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Návrhy konkrétních opatření z územních studií budou postupně rozpracovány a realizovány v rámci pozemkových úprav, záměrů municipalit či subjektů hospodařících v krajině.</w:t>
            </w:r>
          </w:p>
        </w:tc>
        <w:tc>
          <w:tcPr>
            <w:tcW w:w="249" w:type="dxa"/>
            <w:gridSpan w:val="2"/>
            <w:tcBorders>
              <w:top w:val="nil"/>
              <w:bottom w:val="nil"/>
            </w:tcBorders>
            <w:shd w:val="clear" w:color="auto" w:fill="66CCFF"/>
          </w:tcPr>
          <w:p w14:paraId="7D979B60" w14:textId="77777777" w:rsidR="00DD3EFA" w:rsidRPr="00EC2A1C" w:rsidRDefault="00DD3EFA" w:rsidP="00B15ECB">
            <w:pPr>
              <w:rPr>
                <w:b/>
              </w:rPr>
            </w:pPr>
          </w:p>
        </w:tc>
      </w:tr>
      <w:tr w:rsidR="00DD3EFA" w:rsidRPr="00EC2A1C" w14:paraId="12B825F5" w14:textId="77777777" w:rsidTr="00B15ECB">
        <w:trPr>
          <w:trHeight w:val="938"/>
        </w:trPr>
        <w:tc>
          <w:tcPr>
            <w:tcW w:w="249" w:type="dxa"/>
            <w:tcBorders>
              <w:top w:val="nil"/>
              <w:bottom w:val="nil"/>
            </w:tcBorders>
            <w:shd w:val="clear" w:color="auto" w:fill="66CCFF"/>
          </w:tcPr>
          <w:p w14:paraId="30553BCF"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50E43BFB"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gridSpan w:val="2"/>
            <w:tcBorders>
              <w:bottom w:val="single" w:sz="4" w:space="0" w:color="auto"/>
            </w:tcBorders>
            <w:shd w:val="clear" w:color="auto" w:fill="FFFFFF" w:themeFill="background1"/>
          </w:tcPr>
          <w:p w14:paraId="770110ED" w14:textId="2AD1AEAC" w:rsidR="00DD3EFA" w:rsidRPr="00EC2A1C" w:rsidRDefault="003419A7"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iCs/>
              </w:rPr>
              <w:t xml:space="preserve">Implementace hlavního strategického dokumentu </w:t>
            </w:r>
            <w:r w:rsidRPr="00EC2A1C">
              <w:rPr>
                <w:rFonts w:ascii="Times New Roman" w:hAnsi="Times New Roman"/>
                <w:b/>
                <w:iCs/>
              </w:rPr>
              <w:t>„Politika architektury a stavební kultury ČR“</w:t>
            </w:r>
            <w:r w:rsidRPr="00EC2A1C">
              <w:rPr>
                <w:rFonts w:ascii="Times New Roman" w:hAnsi="Times New Roman"/>
                <w:iCs/>
              </w:rPr>
              <w:t xml:space="preserve"> je sledována a vyhodnocována prostřednictvím zpráv o jeho plnění. </w:t>
            </w:r>
            <w:r w:rsidR="00DD3EFA" w:rsidRPr="00EC2A1C">
              <w:rPr>
                <w:rFonts w:ascii="Times New Roman" w:hAnsi="Times New Roman"/>
              </w:rPr>
              <w:t xml:space="preserve">V případě pořizování územních studií se data o schválených územních studiích evidují v evidenci územně plánovací činnosti (viz zejména § 30 odst. 5 a § 162 stavebního zákona). Dle § 30 odst. 6 stavebního zákona pořizovatel nejpozději do 8 let od posledního vložení dat o územní studii do evidence územně plánovací činnosti prověří aktuálnost jejího řešení a v případě možnosti dalšího využití územní studie zajistí o této skutečnosti vložení dat do evidence. </w:t>
            </w:r>
            <w:r w:rsidR="00DD3EFA" w:rsidRPr="00EC2A1C">
              <w:rPr>
                <w:rFonts w:ascii="Times New Roman" w:hAnsi="Times New Roman"/>
                <w:lang w:val="en-US"/>
              </w:rPr>
              <w:t xml:space="preserve"> </w:t>
            </w:r>
            <w:r w:rsidR="00DD3EFA" w:rsidRPr="00EC2A1C">
              <w:rPr>
                <w:rFonts w:ascii="Times New Roman" w:hAnsi="Times New Roman"/>
              </w:rPr>
              <w:t xml:space="preserve"> </w:t>
            </w:r>
          </w:p>
          <w:p w14:paraId="7EF34AEF"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Podporované územní studie dále budou sloužit mj. jako podklad pro územní plány a jejich změny a pro aktualizaci územně analytických podkladů. Územní plány se vyhodnocují ve čtyřleté periodě, územně analytické podklady se dílčím způsobem aktualizují průběžně a ve čtyřleté periodě se provede jejich úplná aktualizace.</w:t>
            </w:r>
          </w:p>
          <w:p w14:paraId="568EA6E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Podpořené projekty zaměřené na zpracování územních studií jsou pak rovněž předmětem monitoringu a evaluace ze strany řídícího orgánu příslušného operačního programu.</w:t>
            </w:r>
          </w:p>
        </w:tc>
        <w:tc>
          <w:tcPr>
            <w:tcW w:w="249" w:type="dxa"/>
            <w:gridSpan w:val="2"/>
            <w:tcBorders>
              <w:top w:val="nil"/>
              <w:bottom w:val="nil"/>
            </w:tcBorders>
            <w:shd w:val="clear" w:color="auto" w:fill="66CCFF"/>
          </w:tcPr>
          <w:p w14:paraId="39A53A3E" w14:textId="77777777" w:rsidR="00DD3EFA" w:rsidRPr="00EC2A1C" w:rsidRDefault="00DD3EFA" w:rsidP="00B15ECB">
            <w:pPr>
              <w:rPr>
                <w:b/>
              </w:rPr>
            </w:pPr>
          </w:p>
        </w:tc>
      </w:tr>
      <w:tr w:rsidR="00DD3EFA" w:rsidRPr="00EC2A1C" w14:paraId="1A8D5898" w14:textId="77777777" w:rsidTr="00B15ECB">
        <w:trPr>
          <w:trHeight w:val="130"/>
        </w:trPr>
        <w:tc>
          <w:tcPr>
            <w:tcW w:w="249" w:type="dxa"/>
            <w:tcBorders>
              <w:top w:val="nil"/>
              <w:bottom w:val="nil"/>
              <w:right w:val="nil"/>
            </w:tcBorders>
            <w:shd w:val="clear" w:color="auto" w:fill="66CCFF"/>
          </w:tcPr>
          <w:p w14:paraId="3D94DBC8" w14:textId="77777777" w:rsidR="00DD3EFA" w:rsidRPr="00EC2A1C" w:rsidRDefault="00DD3EFA" w:rsidP="00B15ECB">
            <w:pPr>
              <w:rPr>
                <w:b/>
              </w:rPr>
            </w:pPr>
          </w:p>
        </w:tc>
        <w:tc>
          <w:tcPr>
            <w:tcW w:w="2445" w:type="dxa"/>
            <w:tcBorders>
              <w:left w:val="nil"/>
              <w:right w:val="nil"/>
            </w:tcBorders>
            <w:shd w:val="clear" w:color="auto" w:fill="66CCFF"/>
          </w:tcPr>
          <w:p w14:paraId="12C04ED7" w14:textId="77777777" w:rsidR="00DD3EFA" w:rsidRPr="00EC2A1C" w:rsidRDefault="00DD3EFA" w:rsidP="00B15ECB">
            <w:pPr>
              <w:rPr>
                <w:b/>
              </w:rPr>
            </w:pPr>
          </w:p>
        </w:tc>
        <w:tc>
          <w:tcPr>
            <w:tcW w:w="5978" w:type="dxa"/>
            <w:gridSpan w:val="2"/>
            <w:tcBorders>
              <w:left w:val="nil"/>
              <w:right w:val="nil"/>
            </w:tcBorders>
            <w:shd w:val="clear" w:color="auto" w:fill="66CCFF"/>
          </w:tcPr>
          <w:p w14:paraId="769D5702"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gridSpan w:val="2"/>
            <w:tcBorders>
              <w:top w:val="nil"/>
              <w:left w:val="nil"/>
              <w:bottom w:val="nil"/>
            </w:tcBorders>
            <w:shd w:val="clear" w:color="auto" w:fill="66CCFF"/>
          </w:tcPr>
          <w:p w14:paraId="0D1FDDD1" w14:textId="77777777" w:rsidR="00DD3EFA" w:rsidRPr="00EC2A1C" w:rsidRDefault="00DD3EFA" w:rsidP="00B15ECB">
            <w:pPr>
              <w:rPr>
                <w:b/>
              </w:rPr>
            </w:pPr>
          </w:p>
        </w:tc>
      </w:tr>
      <w:tr w:rsidR="00DD3EFA" w:rsidRPr="00EC2A1C" w14:paraId="1F16B9B7" w14:textId="77777777" w:rsidTr="00B15ECB">
        <w:trPr>
          <w:gridAfter w:val="1"/>
          <w:wAfter w:w="36" w:type="dxa"/>
          <w:trHeight w:val="1258"/>
        </w:trPr>
        <w:tc>
          <w:tcPr>
            <w:tcW w:w="249" w:type="dxa"/>
            <w:tcBorders>
              <w:top w:val="nil"/>
              <w:bottom w:val="nil"/>
              <w:right w:val="nil"/>
            </w:tcBorders>
            <w:shd w:val="clear" w:color="auto" w:fill="66CCFF"/>
          </w:tcPr>
          <w:p w14:paraId="3B8C8581" w14:textId="77777777" w:rsidR="00DD3EFA" w:rsidRPr="00EC2A1C" w:rsidRDefault="00DD3EFA" w:rsidP="00B15ECB">
            <w:pPr>
              <w:rPr>
                <w:b/>
              </w:rPr>
            </w:pPr>
          </w:p>
        </w:tc>
        <w:tc>
          <w:tcPr>
            <w:tcW w:w="8387" w:type="dxa"/>
            <w:gridSpan w:val="2"/>
            <w:shd w:val="clear" w:color="auto" w:fill="FFFFFF" w:themeFill="background1"/>
          </w:tcPr>
          <w:p w14:paraId="18EA67E1" w14:textId="77777777" w:rsidR="00DD3EFA" w:rsidRPr="00EC2A1C" w:rsidRDefault="00DD3EFA"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739FD72F"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p>
        </w:tc>
        <w:tc>
          <w:tcPr>
            <w:tcW w:w="249" w:type="dxa"/>
            <w:gridSpan w:val="2"/>
            <w:tcBorders>
              <w:top w:val="nil"/>
              <w:left w:val="nil"/>
              <w:bottom w:val="nil"/>
            </w:tcBorders>
            <w:shd w:val="clear" w:color="auto" w:fill="66CCFF"/>
          </w:tcPr>
          <w:p w14:paraId="560F2BF8" w14:textId="77777777" w:rsidR="00DD3EFA" w:rsidRPr="00EC2A1C" w:rsidRDefault="00DD3EFA" w:rsidP="00B15ECB">
            <w:pPr>
              <w:rPr>
                <w:b/>
              </w:rPr>
            </w:pPr>
          </w:p>
        </w:tc>
      </w:tr>
      <w:tr w:rsidR="00DD3EFA" w:rsidRPr="00EC2A1C" w14:paraId="317B262C" w14:textId="77777777" w:rsidTr="00B15ECB">
        <w:trPr>
          <w:trHeight w:val="1258"/>
        </w:trPr>
        <w:tc>
          <w:tcPr>
            <w:tcW w:w="249" w:type="dxa"/>
            <w:tcBorders>
              <w:top w:val="nil"/>
              <w:bottom w:val="nil"/>
              <w:right w:val="nil"/>
            </w:tcBorders>
            <w:shd w:val="clear" w:color="auto" w:fill="66CCFF"/>
          </w:tcPr>
          <w:p w14:paraId="45DF552E" w14:textId="77777777" w:rsidR="00DD3EFA" w:rsidRPr="00EC2A1C" w:rsidRDefault="00DD3EFA" w:rsidP="00B15ECB">
            <w:pPr>
              <w:rPr>
                <w:b/>
              </w:rPr>
            </w:pPr>
          </w:p>
        </w:tc>
        <w:tc>
          <w:tcPr>
            <w:tcW w:w="2445" w:type="dxa"/>
            <w:shd w:val="clear" w:color="auto" w:fill="FFFFFF" w:themeFill="background1"/>
          </w:tcPr>
          <w:p w14:paraId="23D3AC4A" w14:textId="77777777" w:rsidR="00DD3EFA" w:rsidRPr="00EC2A1C" w:rsidRDefault="00DD3EFA" w:rsidP="00B15ECB">
            <w:pPr>
              <w:rPr>
                <w:rFonts w:eastAsiaTheme="majorEastAsia"/>
                <w:b/>
              </w:rPr>
            </w:pPr>
            <w:r w:rsidRPr="00EC2A1C">
              <w:rPr>
                <w:rFonts w:eastAsiaTheme="majorEastAsia"/>
                <w:b/>
              </w:rPr>
              <w:t>Věcný posun oblasti</w:t>
            </w:r>
          </w:p>
          <w:p w14:paraId="0A855FEA"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gridSpan w:val="2"/>
            <w:shd w:val="clear" w:color="auto" w:fill="FFFFFF" w:themeFill="background1"/>
          </w:tcPr>
          <w:p w14:paraId="39BD3CFF"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Co se týče podpory při realizaci obnovy veřejných prostranství, byly v období 2007-2013 (ve stávajícím období ne) realizovány projekty v rámci tzv. ROP.</w:t>
            </w:r>
          </w:p>
          <w:p w14:paraId="2BD9C3D3"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Tyto projekty však byly zaměřeny zejména na sídlištní celky v návaznosti na tzv. integrované plány rozvoje měst. V současném období podpora tímto směrem nebyla realizována.</w:t>
            </w:r>
          </w:p>
          <w:p w14:paraId="5C3A508A"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budoucím období je možné zaměřit se právě na kvalitu veřejných prostranství v širším pojetí.</w:t>
            </w:r>
          </w:p>
          <w:p w14:paraId="4430A4A3"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programovém období 2014-2020 bylo v rámci SC 3.3 IROP podporováno pořízení několika typů územních studií, a to:</w:t>
            </w:r>
          </w:p>
          <w:p w14:paraId="1928C747"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územní studie zaměřené na veřejnou technickou infrastrukturu ve vazbě na TEN-E nebo na záměry vyplývající z politiky územního rozvoje na území správního obvodu ORP</w:t>
            </w:r>
          </w:p>
          <w:p w14:paraId="4C719BE6"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územní studie zaměřené na veřejnou dopravní infrastrukturu ve vazbě na TEN-T nebo na záměry vyplývající z politiky územního rozvoje na území správního obvodu ORP</w:t>
            </w:r>
          </w:p>
          <w:p w14:paraId="3D76ADBB"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územní studie zaměřené na veřejná prostranství v souladu s územními plány pro vybrané území správního obvodu ORP</w:t>
            </w:r>
          </w:p>
          <w:p w14:paraId="0CF3BD59"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územní studie zaměřené na řešení krajiny na území správního obvodu ORP</w:t>
            </w:r>
          </w:p>
          <w:p w14:paraId="7DB3ADB6"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rámci SC 3.3 IROP byla na podporu územních studií určena výzva č. 9 IROP. Z alokované částky 150 mil. Kč bylo podpořeno celkem 136 projektů, zahrnujících zpracování více než 300  územních studií, z toho 47 územních studií krajiny. Mezi podpořenými územními studiemi na veřejnou infrastrukturu převažovaly územní studie veřejného prostranství.</w:t>
            </w:r>
          </w:p>
          <w:p w14:paraId="711C09AA"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Podpořené územní studie krajiny svým řešeným územím pokryjí cca 23 % rozlohy státu. Zesmluvněná cena podpořených územních studií krajiny činí 93,5 mil. Kč vč. DPH, z toho příspěvek z EFRD činí 79,5 mil. Kč. </w:t>
            </w:r>
          </w:p>
          <w:p w14:paraId="5BABA3FC"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Zbylých cca 70, 5 mil. Kč bylo poskytnuto na pořízení územních studií veřejné infrastruktury (dopravní technické a na veřejná prostranství), přičemž územní studie veřejného prostranství převažovaly.</w:t>
            </w:r>
          </w:p>
          <w:p w14:paraId="62BEE3AB"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Další žadatelé o pořízení územních studií byli odmítnuti z důvodu vyčerpání alokovaných prostředků v SC 3.3 IROP.  </w:t>
            </w:r>
          </w:p>
          <w:p w14:paraId="50311141"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 souladu s pravidly výzvy č. 9 IROP budou všechny podpořené územní studie dokončeny do konce roku 2019, přičemž část z nich  byla dokončena již v roce 2018. Např. co se týče územních studií krajiny, bylo v polovině ledna 2019 v Evidenci územně plánovací činnosti na stránkách Ústavu územního rozvoje evidováno čtrnáct dokončených územních studií krajiny, a to pro správní obvody obcí s rozšířenou působností Kladno, Kralupy nad Vltavou, Vodňany, Blovice, Přeštice, Tachov, Roudnice nad Labem, Hořice, Nové Město nad Metují, Humpolec, Znojmo, Prostějov, Šternberk a Opava.  </w:t>
            </w:r>
          </w:p>
          <w:p w14:paraId="056FC74E"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Na územní studie krajiny podpořené z SC 3.3 IROP lze rovněž čerpat příspěvek z Národního programu životní prostředí, takže žadatelé mohou v součtu obdržet dotaci ve výši až 100 % uznatelných nákladů.</w:t>
            </w:r>
          </w:p>
          <w:p w14:paraId="2C3DA2E6"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Územní studie krajiny slouží jako podklad pro pořizování územně plánovacích dokumentací (nové územní plány a změny územních plánů, aktualizace zásad územního rozvoje), pro aktualizaci územně analytických podkladů, rozhodování v území a pro další činnosti veřejné správy, a to nejen na úseku územního plánování, ale i v jiných oblastech, např. na úseku ochrany přírody nebo jako podklad při pořizování pozemkových úprav. </w:t>
            </w:r>
          </w:p>
          <w:p w14:paraId="539F27CC"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Územní studie krajiny formulují požadavky, které se promítnou do územně plánovací dokumentace a dalších koncepčních dokumentů. Územní studie krajiny mají tedy za prvé význam regulační - umožní veřejné správě ovlivňovat žádoucím směrem další vývoj a využití krajiny. Za druhé, návrh konkrétních opatření z územních studí krajiny lze dále rozpracovat a realizovat v rámci pozemkových úprav, záměrů municipalit či subjektů hospodařících v krajině.</w:t>
            </w:r>
          </w:p>
          <w:p w14:paraId="1BC69993"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Územní studie veřejného prostranství řeší koncepčně buď celý systém veřejných prostranství v dané obci, nebo vybrané veřejné prostranství ve větší podrobnosti. Upřesňují podmínky využití území nastavené územním nebo regulačním plánem, např. vymezují rozsah pro veřejná prostranství v rámci zastavitelných ploch, navrhují uspořádání veřejného prostranství s ohledem na rozličné funkce, které má plnit, mohou stanovit i požadavky na materiálové řešení povrchů, veřejnou zeleň apod.</w:t>
            </w:r>
          </w:p>
          <w:p w14:paraId="2CFE556D"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Územní studie veřejného prostranství slouží jako podklad při rozhodování v území a pro projekční a realizační činnost obcí. </w:t>
            </w:r>
          </w:p>
          <w:p w14:paraId="341FF2D7"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Věcný posun - shrnutí:</w:t>
            </w:r>
          </w:p>
          <w:p w14:paraId="48B3FD71"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Bylo podpořeno přes 300 územních studií, sloužících jako koncepční podklad pro územní plánování a pro další činnosti veřejné správy včetně realizací konkrétních opatření v území</w:t>
            </w:r>
          </w:p>
          <w:p w14:paraId="3C0EC200"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Z toho bylo 47 územních studií krajiny, jejichž řešené území zahrnuje cca 23 % rozlohy státu</w:t>
            </w:r>
          </w:p>
          <w:p w14:paraId="1D354DB3"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rPr>
            </w:pPr>
            <w:r w:rsidRPr="00EC2A1C">
              <w:rPr>
                <w:rFonts w:ascii="Times New Roman" w:hAnsi="Times New Roman"/>
              </w:rPr>
              <w:t>Nejčastějším typem pořízených studií byly územní studie veřejného prostranství, které koncepčně řeší veřejná prostranství v obcích</w:t>
            </w:r>
          </w:p>
          <w:p w14:paraId="20F27B62" w14:textId="77777777" w:rsidR="00DD3EFA" w:rsidRPr="00EC2A1C" w:rsidRDefault="00DD3EFA" w:rsidP="00391907">
            <w:pPr>
              <w:pStyle w:val="slovanodstavec"/>
              <w:numPr>
                <w:ilvl w:val="0"/>
                <w:numId w:val="131"/>
              </w:numPr>
              <w:tabs>
                <w:tab w:val="clear" w:pos="567"/>
                <w:tab w:val="left" w:pos="284"/>
              </w:tabs>
              <w:suppressAutoHyphens/>
              <w:spacing w:line="240" w:lineRule="auto"/>
              <w:rPr>
                <w:rFonts w:ascii="Times New Roman" w:hAnsi="Times New Roman"/>
                <w:i/>
              </w:rPr>
            </w:pPr>
            <w:r w:rsidRPr="00EC2A1C">
              <w:rPr>
                <w:rFonts w:ascii="Times New Roman" w:hAnsi="Times New Roman"/>
              </w:rPr>
              <w:t>Pořízení uvedených studií povede k lepší koordinaci území prostřednictvím územního plánování, k rozvoji veřejných prostranství a zelené infrastruktury.</w:t>
            </w:r>
          </w:p>
        </w:tc>
        <w:tc>
          <w:tcPr>
            <w:tcW w:w="249" w:type="dxa"/>
            <w:gridSpan w:val="2"/>
            <w:tcBorders>
              <w:top w:val="nil"/>
              <w:left w:val="nil"/>
              <w:bottom w:val="nil"/>
            </w:tcBorders>
            <w:shd w:val="clear" w:color="auto" w:fill="66CCFF"/>
          </w:tcPr>
          <w:p w14:paraId="117430A7" w14:textId="77777777" w:rsidR="00DD3EFA" w:rsidRPr="00EC2A1C" w:rsidRDefault="00DD3EFA" w:rsidP="00B15ECB">
            <w:pPr>
              <w:rPr>
                <w:b/>
              </w:rPr>
            </w:pPr>
          </w:p>
        </w:tc>
      </w:tr>
      <w:tr w:rsidR="00DD3EFA" w:rsidRPr="00EC2A1C" w14:paraId="31E9C2AB" w14:textId="77777777" w:rsidTr="00B15ECB">
        <w:trPr>
          <w:trHeight w:val="1258"/>
        </w:trPr>
        <w:tc>
          <w:tcPr>
            <w:tcW w:w="249" w:type="dxa"/>
            <w:tcBorders>
              <w:top w:val="nil"/>
              <w:bottom w:val="nil"/>
              <w:right w:val="nil"/>
            </w:tcBorders>
            <w:shd w:val="clear" w:color="auto" w:fill="66CCFF"/>
          </w:tcPr>
          <w:p w14:paraId="5C7445F7" w14:textId="77777777" w:rsidR="00DD3EFA" w:rsidRPr="00EC2A1C" w:rsidRDefault="00DD3EFA" w:rsidP="00B15ECB">
            <w:pPr>
              <w:rPr>
                <w:b/>
              </w:rPr>
            </w:pPr>
          </w:p>
        </w:tc>
        <w:tc>
          <w:tcPr>
            <w:tcW w:w="2445" w:type="dxa"/>
            <w:shd w:val="clear" w:color="auto" w:fill="FFFFFF" w:themeFill="background1"/>
          </w:tcPr>
          <w:p w14:paraId="73AD08B7" w14:textId="77777777" w:rsidR="00DD3EFA" w:rsidRPr="00EC2A1C" w:rsidRDefault="00DD3EFA" w:rsidP="00B15ECB">
            <w:pPr>
              <w:rPr>
                <w:rFonts w:eastAsiaTheme="majorEastAsia"/>
                <w:b/>
              </w:rPr>
            </w:pPr>
            <w:r w:rsidRPr="00EC2A1C">
              <w:rPr>
                <w:rFonts w:eastAsiaTheme="majorEastAsia"/>
                <w:b/>
              </w:rPr>
              <w:t>Synergické a multiplikační efekty</w:t>
            </w:r>
          </w:p>
          <w:p w14:paraId="50345B93"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gridSpan w:val="2"/>
            <w:shd w:val="clear" w:color="auto" w:fill="FFFFFF" w:themeFill="background1"/>
          </w:tcPr>
          <w:p w14:paraId="03AA036D" w14:textId="77777777" w:rsidR="00DD3EFA" w:rsidRPr="00EC2A1C" w:rsidRDefault="00DD3EFA" w:rsidP="00B15ECB">
            <w:pPr>
              <w:spacing w:before="60" w:after="60"/>
              <w:rPr>
                <w:rFonts w:eastAsiaTheme="majorEastAsia"/>
              </w:rPr>
            </w:pPr>
            <w:r w:rsidRPr="00EC2A1C">
              <w:rPr>
                <w:rFonts w:eastAsiaTheme="majorEastAsia"/>
              </w:rPr>
              <w:t>Navržené aktivity na podporu územních studií jsou v souladu cíli politik EU a přispějí zejména k naplňování těchto specifických cílů:</w:t>
            </w:r>
          </w:p>
          <w:p w14:paraId="2C522B17" w14:textId="77777777" w:rsidR="00DD3EFA" w:rsidRPr="00EC2A1C" w:rsidRDefault="00DD3EFA" w:rsidP="00B15ECB">
            <w:pPr>
              <w:spacing w:before="60" w:after="60"/>
              <w:rPr>
                <w:rFonts w:eastAsiaTheme="majorEastAsia"/>
              </w:rPr>
            </w:pPr>
            <w:r w:rsidRPr="00EC2A1C">
              <w:rPr>
                <w:rFonts w:eastAsiaTheme="majorEastAsia"/>
              </w:rPr>
              <w:t xml:space="preserve">V rámci CP2 – Zelenější, nízkouhlíková Evropa: </w:t>
            </w:r>
          </w:p>
          <w:p w14:paraId="674BD790"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 xml:space="preserve">SC Podpora přizpůsobení se změně klimatu, prevence rizik a odolnosti vůči katastrofám, </w:t>
            </w:r>
          </w:p>
          <w:p w14:paraId="639990B8"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 xml:space="preserve">SC Podpora udržitelného hospodaření s vodou, </w:t>
            </w:r>
          </w:p>
          <w:p w14:paraId="1551C1C8"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Posílení biologické rozmanitosti, zelené infrastruktury v městském prostředí a snížení znečištění</w:t>
            </w:r>
          </w:p>
          <w:p w14:paraId="7C83CE73" w14:textId="77777777" w:rsidR="00DD3EFA" w:rsidRPr="00EC2A1C" w:rsidRDefault="00DD3EFA" w:rsidP="00B15ECB">
            <w:pPr>
              <w:spacing w:before="60" w:after="60"/>
              <w:rPr>
                <w:rFonts w:eastAsiaTheme="majorEastAsia"/>
              </w:rPr>
            </w:pPr>
            <w:r w:rsidRPr="00EC2A1C">
              <w:rPr>
                <w:rFonts w:eastAsiaTheme="majorEastAsia"/>
              </w:rPr>
              <w:t xml:space="preserve">V rámci CP5 – Evropa bližší občanům: </w:t>
            </w:r>
          </w:p>
          <w:p w14:paraId="679405D7"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podpora integrovaného sociálního, hospodářského a environmentálního místního rozvoje, kulturního dědictví a bezpečnosti v městských oblastech,</w:t>
            </w:r>
          </w:p>
          <w:p w14:paraId="34B0F0E2"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podpora integrovaného sociálního, hospodářského a environmentálního místního rozvoje, kulturního dědictví a bezpečnosti a v případě venkovských a pobřežních oblastí také prostřednictvím komunitně vedeného místního rozvoje</w:t>
            </w:r>
          </w:p>
          <w:p w14:paraId="0315D789" w14:textId="77777777" w:rsidR="00DD3EFA" w:rsidRPr="00EC2A1C" w:rsidRDefault="00DD3EFA" w:rsidP="00B15ECB">
            <w:pPr>
              <w:pStyle w:val="Odstavecseseznamem"/>
              <w:spacing w:before="60" w:after="60"/>
              <w:rPr>
                <w:rFonts w:eastAsiaTheme="majorEastAsia"/>
              </w:rPr>
            </w:pPr>
          </w:p>
          <w:p w14:paraId="77FA568B" w14:textId="77777777" w:rsidR="00DD3EFA" w:rsidRPr="00EC2A1C" w:rsidRDefault="00DD3EFA" w:rsidP="00B15ECB">
            <w:pPr>
              <w:pStyle w:val="slovanodstavec"/>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Zejména v souvislosti s podporou územních studií krajiny dále pozorujeme následující vedlejší pozitivní efekty:</w:t>
            </w:r>
          </w:p>
          <w:p w14:paraId="59D7000B" w14:textId="77777777" w:rsidR="00DD3EFA" w:rsidRPr="00EC2A1C" w:rsidRDefault="00DD3EFA" w:rsidP="00391907">
            <w:pPr>
              <w:pStyle w:val="slovanodstavec"/>
              <w:numPr>
                <w:ilvl w:val="0"/>
                <w:numId w:val="131"/>
              </w:numPr>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zintenzivnění a zlepšení komunikace mezi jednotlivými složkami veřejné správy na horizontální i vertikální úrovni (orgány územního plánování, orgány na úseku ochrany životního prostředí, Státní pozemkový úřad a další);</w:t>
            </w:r>
          </w:p>
          <w:p w14:paraId="282985FB" w14:textId="77777777" w:rsidR="00DD3EFA" w:rsidRPr="00EC2A1C" w:rsidRDefault="00DD3EFA" w:rsidP="00391907">
            <w:pPr>
              <w:pStyle w:val="slovanodstavec"/>
              <w:numPr>
                <w:ilvl w:val="0"/>
                <w:numId w:val="131"/>
              </w:numPr>
              <w:tabs>
                <w:tab w:val="clear" w:pos="567"/>
                <w:tab w:val="left" w:pos="284"/>
              </w:tabs>
              <w:suppressAutoHyphens/>
              <w:spacing w:after="120" w:line="240" w:lineRule="auto"/>
              <w:jc w:val="left"/>
              <w:rPr>
                <w:rFonts w:ascii="Times New Roman" w:hAnsi="Times New Roman"/>
              </w:rPr>
            </w:pPr>
            <w:r w:rsidRPr="00EC2A1C">
              <w:rPr>
                <w:rFonts w:ascii="Times New Roman" w:hAnsi="Times New Roman"/>
              </w:rPr>
              <w:t>zvyšování povědomí mezi jednotlivými složkami veřejné správy o vzájemných aktivitách v oblastech plánování, správy a ochrany krajiny, lepší vzájemná koordinace, překonávání tzv. resortismu;</w:t>
            </w:r>
          </w:p>
          <w:p w14:paraId="5C05BBCF" w14:textId="77777777" w:rsidR="00DD3EFA" w:rsidRPr="00EC2A1C" w:rsidRDefault="00DD3EFA" w:rsidP="00391907">
            <w:pPr>
              <w:pStyle w:val="slovanodstavec"/>
              <w:numPr>
                <w:ilvl w:val="0"/>
                <w:numId w:val="131"/>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zvyšování povědomí o významu plánování krajiny především u odborné veřejnosti, tj. zpracovatelů a pořizovatelů dokumentů na úseku územního plánování, o významu plánování krajiny;</w:t>
            </w:r>
          </w:p>
          <w:p w14:paraId="6302D4EE" w14:textId="77777777" w:rsidR="00DD3EFA" w:rsidRPr="00EC2A1C" w:rsidRDefault="00DD3EFA" w:rsidP="00391907">
            <w:pPr>
              <w:pStyle w:val="slovanodstavec"/>
              <w:numPr>
                <w:ilvl w:val="0"/>
                <w:numId w:val="131"/>
              </w:numPr>
              <w:tabs>
                <w:tab w:val="clear" w:pos="567"/>
                <w:tab w:val="left" w:pos="284"/>
              </w:tabs>
              <w:suppressAutoHyphens/>
              <w:spacing w:line="240" w:lineRule="auto"/>
              <w:jc w:val="left"/>
              <w:rPr>
                <w:rFonts w:ascii="Times New Roman" w:hAnsi="Times New Roman"/>
              </w:rPr>
            </w:pPr>
            <w:r w:rsidRPr="00EC2A1C">
              <w:rPr>
                <w:rFonts w:ascii="Times New Roman" w:hAnsi="Times New Roman"/>
              </w:rPr>
              <w:t>zavedení holistického přístupu k rozvoji, ochraně i řešení problémů v krajině, který vychází ze znalosti principu fungování krajiny a životního prostředí jako takového</w:t>
            </w:r>
          </w:p>
        </w:tc>
        <w:tc>
          <w:tcPr>
            <w:tcW w:w="249" w:type="dxa"/>
            <w:gridSpan w:val="2"/>
            <w:tcBorders>
              <w:top w:val="nil"/>
              <w:left w:val="nil"/>
              <w:bottom w:val="nil"/>
            </w:tcBorders>
            <w:shd w:val="clear" w:color="auto" w:fill="66CCFF"/>
          </w:tcPr>
          <w:p w14:paraId="7EAF9B67" w14:textId="77777777" w:rsidR="00DD3EFA" w:rsidRPr="00EC2A1C" w:rsidRDefault="00DD3EFA" w:rsidP="00B15ECB">
            <w:pPr>
              <w:rPr>
                <w:b/>
              </w:rPr>
            </w:pPr>
          </w:p>
        </w:tc>
      </w:tr>
      <w:tr w:rsidR="00DD3EFA" w:rsidRPr="00EC2A1C" w14:paraId="76032685" w14:textId="77777777" w:rsidTr="00B15ECB">
        <w:trPr>
          <w:trHeight w:val="180"/>
        </w:trPr>
        <w:tc>
          <w:tcPr>
            <w:tcW w:w="249" w:type="dxa"/>
            <w:tcBorders>
              <w:top w:val="nil"/>
              <w:bottom w:val="nil"/>
              <w:right w:val="nil"/>
            </w:tcBorders>
            <w:shd w:val="clear" w:color="auto" w:fill="66CCFF"/>
          </w:tcPr>
          <w:p w14:paraId="6FDDE486" w14:textId="77777777" w:rsidR="00DD3EFA" w:rsidRPr="00EC2A1C" w:rsidRDefault="00DD3EFA" w:rsidP="00B15ECB">
            <w:pPr>
              <w:rPr>
                <w:b/>
              </w:rPr>
            </w:pPr>
          </w:p>
        </w:tc>
        <w:tc>
          <w:tcPr>
            <w:tcW w:w="2445" w:type="dxa"/>
            <w:tcBorders>
              <w:left w:val="nil"/>
              <w:bottom w:val="single" w:sz="4" w:space="0" w:color="auto"/>
              <w:right w:val="nil"/>
            </w:tcBorders>
            <w:shd w:val="clear" w:color="auto" w:fill="66CCFF"/>
          </w:tcPr>
          <w:p w14:paraId="2E94D0AE" w14:textId="77777777" w:rsidR="00DD3EFA" w:rsidRPr="00EC2A1C" w:rsidRDefault="00DD3EFA" w:rsidP="00B15ECB">
            <w:pPr>
              <w:rPr>
                <w:b/>
              </w:rPr>
            </w:pPr>
          </w:p>
        </w:tc>
        <w:tc>
          <w:tcPr>
            <w:tcW w:w="5978" w:type="dxa"/>
            <w:gridSpan w:val="2"/>
            <w:tcBorders>
              <w:left w:val="nil"/>
              <w:bottom w:val="single" w:sz="4" w:space="0" w:color="auto"/>
              <w:right w:val="nil"/>
            </w:tcBorders>
            <w:shd w:val="clear" w:color="auto" w:fill="66CCFF"/>
          </w:tcPr>
          <w:p w14:paraId="1E16818C" w14:textId="77777777" w:rsidR="00DD3EFA" w:rsidRPr="00EC2A1C" w:rsidRDefault="00DD3EFA" w:rsidP="00B15ECB">
            <w:pPr>
              <w:rPr>
                <w:b/>
              </w:rPr>
            </w:pPr>
          </w:p>
        </w:tc>
        <w:tc>
          <w:tcPr>
            <w:tcW w:w="249" w:type="dxa"/>
            <w:gridSpan w:val="2"/>
            <w:tcBorders>
              <w:top w:val="nil"/>
              <w:left w:val="nil"/>
              <w:bottom w:val="nil"/>
            </w:tcBorders>
            <w:shd w:val="clear" w:color="auto" w:fill="66CCFF"/>
          </w:tcPr>
          <w:p w14:paraId="6074A5A2" w14:textId="77777777" w:rsidR="00DD3EFA" w:rsidRPr="00EC2A1C" w:rsidRDefault="00DD3EFA" w:rsidP="00B15ECB">
            <w:pPr>
              <w:rPr>
                <w:b/>
              </w:rPr>
            </w:pPr>
          </w:p>
        </w:tc>
      </w:tr>
      <w:tr w:rsidR="00DD3EFA" w:rsidRPr="00EC2A1C" w14:paraId="63D263E6" w14:textId="77777777" w:rsidTr="00B15ECB">
        <w:trPr>
          <w:gridAfter w:val="1"/>
          <w:wAfter w:w="36" w:type="dxa"/>
          <w:trHeight w:val="990"/>
        </w:trPr>
        <w:tc>
          <w:tcPr>
            <w:tcW w:w="249" w:type="dxa"/>
            <w:tcBorders>
              <w:top w:val="nil"/>
              <w:bottom w:val="nil"/>
            </w:tcBorders>
            <w:shd w:val="clear" w:color="auto" w:fill="66CCFF"/>
          </w:tcPr>
          <w:p w14:paraId="71E9A104" w14:textId="77777777" w:rsidR="00DD3EFA" w:rsidRPr="00EC2A1C" w:rsidRDefault="00DD3EFA" w:rsidP="00B15ECB">
            <w:pPr>
              <w:rPr>
                <w:b/>
              </w:rPr>
            </w:pPr>
          </w:p>
        </w:tc>
        <w:tc>
          <w:tcPr>
            <w:tcW w:w="8387" w:type="dxa"/>
            <w:gridSpan w:val="2"/>
            <w:tcBorders>
              <w:bottom w:val="single" w:sz="4" w:space="0" w:color="auto"/>
            </w:tcBorders>
            <w:shd w:val="clear" w:color="auto" w:fill="FFFFFF" w:themeFill="background1"/>
          </w:tcPr>
          <w:p w14:paraId="2AD31B74" w14:textId="77777777" w:rsidR="00DD3EFA" w:rsidRPr="00EC2A1C" w:rsidRDefault="00DD3EFA"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7FD0F47F" w14:textId="77777777" w:rsidR="00DD3EFA" w:rsidRPr="00EC2A1C" w:rsidRDefault="00DD3EFA">
            <w:pPr>
              <w:spacing w:before="60" w:after="60"/>
              <w:rPr>
                <w:rFonts w:eastAsiaTheme="majorEastAsia"/>
              </w:rPr>
            </w:pPr>
          </w:p>
        </w:tc>
        <w:tc>
          <w:tcPr>
            <w:tcW w:w="249" w:type="dxa"/>
            <w:gridSpan w:val="2"/>
            <w:tcBorders>
              <w:top w:val="nil"/>
              <w:bottom w:val="nil"/>
            </w:tcBorders>
            <w:shd w:val="clear" w:color="auto" w:fill="66CCFF"/>
          </w:tcPr>
          <w:p w14:paraId="0E40B7A8" w14:textId="77777777" w:rsidR="00DD3EFA" w:rsidRPr="00EC2A1C" w:rsidRDefault="00DD3EFA" w:rsidP="00B15ECB">
            <w:pPr>
              <w:rPr>
                <w:b/>
              </w:rPr>
            </w:pPr>
          </w:p>
        </w:tc>
      </w:tr>
      <w:tr w:rsidR="00DD3EFA" w:rsidRPr="00EC2A1C" w14:paraId="0469A867" w14:textId="77777777" w:rsidTr="00B15ECB">
        <w:trPr>
          <w:trHeight w:val="1260"/>
        </w:trPr>
        <w:tc>
          <w:tcPr>
            <w:tcW w:w="249" w:type="dxa"/>
            <w:tcBorders>
              <w:top w:val="nil"/>
              <w:bottom w:val="nil"/>
            </w:tcBorders>
            <w:shd w:val="clear" w:color="auto" w:fill="66CCFF"/>
          </w:tcPr>
          <w:p w14:paraId="194F4D6B"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1259B3B4"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978" w:type="dxa"/>
            <w:gridSpan w:val="2"/>
            <w:tcBorders>
              <w:bottom w:val="single" w:sz="4" w:space="0" w:color="auto"/>
            </w:tcBorders>
            <w:shd w:val="clear" w:color="auto" w:fill="FFFFFF" w:themeFill="background1"/>
          </w:tcPr>
          <w:p w14:paraId="164FABDA" w14:textId="77777777" w:rsidR="00DD3EFA" w:rsidRPr="00EC2A1C" w:rsidRDefault="00DD3EFA" w:rsidP="00B15ECB">
            <w:pPr>
              <w:spacing w:before="60" w:after="60"/>
              <w:rPr>
                <w:rFonts w:eastAsiaTheme="majorEastAsia"/>
              </w:rPr>
            </w:pPr>
            <w:r w:rsidRPr="00EC2A1C">
              <w:t xml:space="preserve">Revitalizace veřejných prostranství na problémových sídlištích u měst nad 20 tisíc obyvatel byla v období 2007-2013 hrazena z Integrovaného operačního programu v rámci Integrovaný plánů rozvoje měst (IPRM). V IOP bylo podpořeno 317 projektů měst na veřejná prostranství sídlišť za 3 mld. Kč z EFRR. </w:t>
            </w:r>
          </w:p>
          <w:p w14:paraId="09808B29" w14:textId="77777777" w:rsidR="00DD3EFA" w:rsidRPr="00EC2A1C" w:rsidRDefault="00DD3EFA" w:rsidP="00B15ECB">
            <w:pPr>
              <w:spacing w:before="60" w:after="60"/>
              <w:rPr>
                <w:rFonts w:eastAsiaTheme="majorEastAsia"/>
              </w:rPr>
            </w:pPr>
          </w:p>
          <w:p w14:paraId="236769E1" w14:textId="77777777" w:rsidR="00DD3EFA" w:rsidRPr="00EC2A1C" w:rsidRDefault="00DD3EFA" w:rsidP="00B15ECB">
            <w:pPr>
              <w:spacing w:before="60" w:after="60"/>
              <w:rPr>
                <w:rFonts w:eastAsiaTheme="majorEastAsia"/>
              </w:rPr>
            </w:pPr>
            <w:r w:rsidRPr="00EC2A1C">
              <w:rPr>
                <w:rFonts w:eastAsiaTheme="majorEastAsia"/>
              </w:rPr>
              <w:t xml:space="preserve">V programovém období 2014-2020 byl SC 3.3 IROP původně konstruován na širší spektrum aktivit, než jaké byly nakonec podporovány. Původním záměrům odpovídala alokovaná částka více než 1,1 mld. Kč, z toho 382 mil. Kč na pořizování územních studií. Výzva č. 9 IROP byla vyhlášena v říjnu 2015. Z důvodu pomalého čerpání z SC 3.3 IROP přistoupil řídící orgán IROP při změně Programového dokumentu IROP počátkem roku 2017 k převedení většiny prostředků z SC 3.3 IROP na jiné aktivity. V březnu 2017 došlo ke změně výzvy č. 9 IROP, kterou byla výzva prodloužena do října 2017 a zároveň byla snížena alokovaná částka na územní studie na 150 mil. Kč. Avšak již v květnu 2017 tato alokovaná částka nestačila pokrýt všechny podané žádosti, takže muselo být přijímání žádostí o podporu z výzvy č. 9 IROP ke dni 4. 7. 2017 předčasně ukončeno. Při ukončení příjmu žádostí činil převis podaných žádostí o podporu nad alokovanou částkou necelých 30 mil. Kč, tj. téměř 20 %.  </w:t>
            </w:r>
          </w:p>
          <w:p w14:paraId="5155A93D" w14:textId="77777777" w:rsidR="00DD3EFA" w:rsidRPr="00EC2A1C" w:rsidRDefault="00DD3EFA" w:rsidP="00B15ECB">
            <w:pPr>
              <w:spacing w:before="60" w:after="60"/>
              <w:rPr>
                <w:rFonts w:eastAsiaTheme="majorEastAsia"/>
              </w:rPr>
            </w:pPr>
            <w:r w:rsidRPr="00EC2A1C">
              <w:rPr>
                <w:rFonts w:eastAsiaTheme="majorEastAsia"/>
              </w:rPr>
              <w:t xml:space="preserve">Z alokovaných 150 mil. Kč byly částkou 79,5 mil. Kč podpořeny územní studie krajiny, ze zbylých prostředků bylo podpořeno pořízení jiných druhů územních studií, především územních studií veřejného prostranství. </w:t>
            </w:r>
          </w:p>
          <w:p w14:paraId="5E4A7475" w14:textId="77777777" w:rsidR="00DD3EFA" w:rsidRPr="00EC2A1C" w:rsidRDefault="00DD3EFA" w:rsidP="00B15ECB">
            <w:pPr>
              <w:spacing w:before="60" w:after="60"/>
              <w:rPr>
                <w:rFonts w:eastAsiaTheme="majorEastAsia"/>
                <w:i/>
              </w:rPr>
            </w:pPr>
            <w:r w:rsidRPr="00EC2A1C">
              <w:rPr>
                <w:rFonts w:eastAsiaTheme="majorEastAsia"/>
              </w:rPr>
              <w:t xml:space="preserve">V rámci SC 4.1 IROP lze až do konce roku 2019 žádat o podporu územních studií z výzvy č. 45 IROP. Nicméně pro územní studie krajiny jsou pravidla této výzvy příliš komplikovaná (řešené území by muselo pokrýt celý správní obvod ORP a současně by muselo celé patřit do jedné Místní akční skupiny (MAS) a tato MAS by musela mít podporu územních studií krajiny zakotvenou ve své strategii CLLD), proto žádosti o jejich podpoření z této výzvy spíše neočekáváme. Určitou možnost tak představuje výzva č. 45 IROP spíše pro územní studie veřejného prostranství. I zde je však limitujícím faktorem nutnost mít podporu těchto studií zakotvenou ve strategii CLLD, což většina MAS neučinila, a i ty MAS, jejichž strategie podporu územních studií veřejného prostranství umožňuje, zatím většinou upřednostňují jiné typy projektů. </w:t>
            </w:r>
          </w:p>
        </w:tc>
        <w:tc>
          <w:tcPr>
            <w:tcW w:w="249" w:type="dxa"/>
            <w:gridSpan w:val="2"/>
            <w:tcBorders>
              <w:top w:val="nil"/>
              <w:bottom w:val="nil"/>
            </w:tcBorders>
            <w:shd w:val="clear" w:color="auto" w:fill="66CCFF"/>
          </w:tcPr>
          <w:p w14:paraId="69628A89" w14:textId="77777777" w:rsidR="00DD3EFA" w:rsidRPr="00EC2A1C" w:rsidRDefault="00DD3EFA" w:rsidP="00B15ECB">
            <w:pPr>
              <w:rPr>
                <w:b/>
              </w:rPr>
            </w:pPr>
          </w:p>
        </w:tc>
      </w:tr>
      <w:tr w:rsidR="00DD3EFA" w:rsidRPr="00EC2A1C" w14:paraId="5BDE8F6F" w14:textId="77777777" w:rsidTr="00B15ECB">
        <w:trPr>
          <w:trHeight w:val="850"/>
        </w:trPr>
        <w:tc>
          <w:tcPr>
            <w:tcW w:w="249" w:type="dxa"/>
            <w:tcBorders>
              <w:top w:val="nil"/>
              <w:bottom w:val="nil"/>
            </w:tcBorders>
            <w:shd w:val="clear" w:color="auto" w:fill="66CCFF"/>
          </w:tcPr>
          <w:p w14:paraId="646E29D8"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714826AC"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978" w:type="dxa"/>
            <w:gridSpan w:val="2"/>
            <w:tcBorders>
              <w:bottom w:val="single" w:sz="4" w:space="0" w:color="auto"/>
            </w:tcBorders>
            <w:shd w:val="clear" w:color="auto" w:fill="FFFFFF" w:themeFill="background1"/>
          </w:tcPr>
          <w:p w14:paraId="78008134" w14:textId="77777777" w:rsidR="00DD3EFA" w:rsidRPr="00EC2A1C" w:rsidRDefault="00DD3EFA" w:rsidP="00B15ECB">
            <w:pPr>
              <w:spacing w:before="60" w:after="60"/>
              <w:rPr>
                <w:rFonts w:eastAsiaTheme="majorEastAsia"/>
                <w:i/>
              </w:rPr>
            </w:pPr>
            <w:r w:rsidRPr="00EC2A1C">
              <w:rPr>
                <w:rFonts w:eastAsiaTheme="majorEastAsia"/>
              </w:rPr>
              <w:t>Od října 2015 až do předčasného ukončení výzvy č. 9 IROP v červenci 2017 obdrželo MMR žádosti o podporu 167 projektů, z toho 136 projektů bylo úspěšných. Z těchto projektů již bylo pořízeno nebo je pořizováno přes 300 územních studií, z toho 47 územních studií krajiny. Ke dni ukončení příjmu žádostí dne 4. 7. 2017 došly žádosti o podporu ve výši necelých 180 mil. Kč. Alokace výzvy č. 9 IROP byla 150 milionů Kč, zůstaly tedy neuspokojeny žádosti ve výši téměř 30 milionů Kč. Z akcelerace počtu podaných žádostí v roce 2017 a z toho, že výzva č. 9 IROP byla ukončena předčasně, lze předpokládat, že v případě vyšší alokace ve výzvě č. 9 IROP by objem podaných žádostí rovněž ještě narostl.</w:t>
            </w:r>
          </w:p>
        </w:tc>
        <w:tc>
          <w:tcPr>
            <w:tcW w:w="249" w:type="dxa"/>
            <w:gridSpan w:val="2"/>
            <w:tcBorders>
              <w:top w:val="nil"/>
              <w:bottom w:val="nil"/>
            </w:tcBorders>
            <w:shd w:val="clear" w:color="auto" w:fill="66CCFF"/>
          </w:tcPr>
          <w:p w14:paraId="4669974F" w14:textId="77777777" w:rsidR="00DD3EFA" w:rsidRPr="00EC2A1C" w:rsidRDefault="00DD3EFA" w:rsidP="00B15ECB">
            <w:pPr>
              <w:rPr>
                <w:b/>
              </w:rPr>
            </w:pPr>
          </w:p>
        </w:tc>
      </w:tr>
      <w:tr w:rsidR="00DD3EFA" w:rsidRPr="00EC2A1C" w14:paraId="2E7055CE" w14:textId="77777777" w:rsidTr="00B15ECB">
        <w:trPr>
          <w:trHeight w:val="925"/>
        </w:trPr>
        <w:tc>
          <w:tcPr>
            <w:tcW w:w="249" w:type="dxa"/>
            <w:tcBorders>
              <w:top w:val="nil"/>
              <w:bottom w:val="nil"/>
            </w:tcBorders>
            <w:shd w:val="clear" w:color="auto" w:fill="66CCFF"/>
          </w:tcPr>
          <w:p w14:paraId="04317815"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78D88089"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978" w:type="dxa"/>
            <w:gridSpan w:val="2"/>
            <w:tcBorders>
              <w:bottom w:val="single" w:sz="4" w:space="0" w:color="auto"/>
            </w:tcBorders>
            <w:shd w:val="clear" w:color="auto" w:fill="FFFFFF" w:themeFill="background1"/>
          </w:tcPr>
          <w:p w14:paraId="24C80FD7" w14:textId="77777777" w:rsidR="00DD3EFA" w:rsidRPr="00EC2A1C" w:rsidRDefault="00DD3EFA" w:rsidP="00B15ECB">
            <w:pPr>
              <w:spacing w:before="60" w:after="60"/>
              <w:rPr>
                <w:rFonts w:eastAsiaTheme="majorEastAsia"/>
              </w:rPr>
            </w:pPr>
            <w:r w:rsidRPr="00EC2A1C">
              <w:rPr>
                <w:rFonts w:eastAsiaTheme="majorEastAsia"/>
              </w:rPr>
              <w:t xml:space="preserve">Příprava projektových záměrů ze strany žadatelů reagovala na existenci vhodného dotačního titulu - výzvy č. 9 IROP, a kulminovala v roce 2017 před předčasným ukončením této výzvy z důvodu vyčerpání alokace výzvy. </w:t>
            </w:r>
          </w:p>
          <w:p w14:paraId="2A147F8D" w14:textId="77777777" w:rsidR="00DD3EFA" w:rsidRPr="00EC2A1C" w:rsidRDefault="00DD3EFA" w:rsidP="00B15ECB">
            <w:pPr>
              <w:spacing w:before="60" w:after="60"/>
              <w:rPr>
                <w:rFonts w:eastAsiaTheme="majorEastAsia"/>
              </w:rPr>
            </w:pPr>
            <w:r w:rsidRPr="00EC2A1C">
              <w:rPr>
                <w:rFonts w:eastAsiaTheme="majorEastAsia"/>
              </w:rPr>
              <w:t xml:space="preserve">Analogicky i v příštím programovém období lze čekat, že příprava projektových záměrů naváže na vyhlášení vhodné výzvy.   </w:t>
            </w:r>
          </w:p>
          <w:p w14:paraId="6F6E12E5" w14:textId="77777777" w:rsidR="00DD3EFA" w:rsidRPr="00EC2A1C" w:rsidRDefault="00DD3EFA" w:rsidP="00B15ECB">
            <w:pPr>
              <w:spacing w:before="60" w:after="60"/>
              <w:rPr>
                <w:rFonts w:eastAsiaTheme="majorEastAsia"/>
              </w:rPr>
            </w:pPr>
            <w:r w:rsidRPr="00EC2A1C">
              <w:rPr>
                <w:rFonts w:eastAsiaTheme="majorEastAsia"/>
              </w:rPr>
              <w:t>Z akcelerace počtu podaných žádostí o podporu z výzvy č. 9 IROP v roce 2017, kdy ještě v březnu 2017 IROP prodloužil příjem žádostí v této výzvě do října 2017, ale již ke 4. 7. 2017 musela být výzva předčasně ukončena pro překročení alokace podanými žádosti o téměř 20 %,  predikujeme zájem o podporu pořízení územních studií i v příštím období.</w:t>
            </w:r>
          </w:p>
        </w:tc>
        <w:tc>
          <w:tcPr>
            <w:tcW w:w="249" w:type="dxa"/>
            <w:gridSpan w:val="2"/>
            <w:tcBorders>
              <w:top w:val="nil"/>
              <w:bottom w:val="nil"/>
            </w:tcBorders>
            <w:shd w:val="clear" w:color="auto" w:fill="66CCFF"/>
          </w:tcPr>
          <w:p w14:paraId="6CD7D0C0" w14:textId="77777777" w:rsidR="00DD3EFA" w:rsidRPr="00EC2A1C" w:rsidRDefault="00DD3EFA" w:rsidP="00B15ECB">
            <w:pPr>
              <w:rPr>
                <w:b/>
              </w:rPr>
            </w:pPr>
          </w:p>
        </w:tc>
      </w:tr>
      <w:tr w:rsidR="00DD3EFA" w:rsidRPr="00EC2A1C" w14:paraId="64A26FAB" w14:textId="77777777" w:rsidTr="00B15ECB">
        <w:trPr>
          <w:trHeight w:val="1001"/>
        </w:trPr>
        <w:tc>
          <w:tcPr>
            <w:tcW w:w="249" w:type="dxa"/>
            <w:tcBorders>
              <w:top w:val="nil"/>
              <w:bottom w:val="nil"/>
            </w:tcBorders>
            <w:shd w:val="clear" w:color="auto" w:fill="66CCFF"/>
          </w:tcPr>
          <w:p w14:paraId="269883A6" w14:textId="77777777" w:rsidR="00DD3EFA" w:rsidRPr="00EC2A1C" w:rsidRDefault="00DD3EFA" w:rsidP="00B15ECB">
            <w:pPr>
              <w:rPr>
                <w:b/>
              </w:rPr>
            </w:pPr>
          </w:p>
        </w:tc>
        <w:tc>
          <w:tcPr>
            <w:tcW w:w="2445" w:type="dxa"/>
            <w:tcBorders>
              <w:bottom w:val="single" w:sz="4" w:space="0" w:color="auto"/>
            </w:tcBorders>
            <w:shd w:val="clear" w:color="auto" w:fill="FFFFFF" w:themeFill="background1"/>
          </w:tcPr>
          <w:p w14:paraId="43FF398B"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gridSpan w:val="2"/>
            <w:tcBorders>
              <w:bottom w:val="single" w:sz="4" w:space="0" w:color="auto"/>
            </w:tcBorders>
            <w:shd w:val="clear" w:color="auto" w:fill="FFFFFF" w:themeFill="background1"/>
          </w:tcPr>
          <w:p w14:paraId="314F52DA" w14:textId="77777777" w:rsidR="00DD3EFA" w:rsidRPr="00EC2A1C" w:rsidRDefault="00DD3EFA" w:rsidP="00B15ECB">
            <w:pPr>
              <w:spacing w:before="60" w:after="60"/>
              <w:rPr>
                <w:rFonts w:eastAsiaTheme="majorEastAsia"/>
              </w:rPr>
            </w:pPr>
            <w:r w:rsidRPr="00EC2A1C">
              <w:rPr>
                <w:rFonts w:eastAsiaTheme="majorEastAsia"/>
              </w:rPr>
              <w:t>Nedostatečná personální kapacita – vlivem různých okolností (nízké platové ohodnocení pracovníků na úřadech územního plánování ve srovnání s jinými možnostmi pro vysokoškoláky na trhu práce, nedostatečný zájem některých samospráv o územní plánování) je řada úřadů územního plánování personálně poddimenzována. Přednostně pak vyřizují již existující úkoly a nemají zájem o vznik „práce navíc“ – proto  nepořizují územní studie.</w:t>
            </w:r>
          </w:p>
          <w:p w14:paraId="4B2A485E" w14:textId="77777777" w:rsidR="00DD3EFA" w:rsidRPr="00EC2A1C" w:rsidRDefault="00DD3EFA" w:rsidP="00B15ECB">
            <w:pPr>
              <w:spacing w:before="60" w:after="60"/>
              <w:rPr>
                <w:rFonts w:eastAsiaTheme="majorEastAsia"/>
                <w:i/>
              </w:rPr>
            </w:pPr>
            <w:r w:rsidRPr="00EC2A1C">
              <w:rPr>
                <w:rFonts w:eastAsiaTheme="majorEastAsia"/>
              </w:rPr>
              <w:t>Smíšený model veřejné správy – územní studii pořizuje orgán územního plánování (na prvoinstanční úrovni úřad obce s rozšířenou působností) v přenesené působnosti. Pořizovatel je tedy (sic při výkonu státní správy) vázán rozpočtem příslušného úřadu a bez dohody se samosprávou nemá na pořízení územní studie finanční prostředky.</w:t>
            </w:r>
          </w:p>
        </w:tc>
        <w:tc>
          <w:tcPr>
            <w:tcW w:w="249" w:type="dxa"/>
            <w:gridSpan w:val="2"/>
            <w:tcBorders>
              <w:top w:val="nil"/>
              <w:bottom w:val="nil"/>
            </w:tcBorders>
            <w:shd w:val="clear" w:color="auto" w:fill="66CCFF"/>
          </w:tcPr>
          <w:p w14:paraId="30270974" w14:textId="77777777" w:rsidR="00DD3EFA" w:rsidRPr="00EC2A1C" w:rsidRDefault="00DD3EFA" w:rsidP="00B15ECB">
            <w:pPr>
              <w:rPr>
                <w:b/>
              </w:rPr>
            </w:pPr>
          </w:p>
        </w:tc>
      </w:tr>
      <w:tr w:rsidR="00DD3EFA" w:rsidRPr="00EC2A1C" w14:paraId="6FDC31DB"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46A2ECBB" w14:textId="77777777" w:rsidR="00DD3EFA" w:rsidRPr="00EC2A1C" w:rsidRDefault="00DD3EFA" w:rsidP="00B15ECB">
            <w:pPr>
              <w:rPr>
                <w:b/>
              </w:rPr>
            </w:pPr>
          </w:p>
        </w:tc>
        <w:tc>
          <w:tcPr>
            <w:tcW w:w="2445" w:type="dxa"/>
            <w:tcBorders>
              <w:top w:val="single" w:sz="4" w:space="0" w:color="auto"/>
              <w:left w:val="nil"/>
              <w:bottom w:val="single" w:sz="4" w:space="0" w:color="auto"/>
              <w:right w:val="nil"/>
            </w:tcBorders>
            <w:shd w:val="clear" w:color="auto" w:fill="66CCFF"/>
          </w:tcPr>
          <w:p w14:paraId="73609434" w14:textId="77777777" w:rsidR="00DD3EFA" w:rsidRPr="00EC2A1C" w:rsidRDefault="00DD3EFA" w:rsidP="00B15ECB">
            <w:pPr>
              <w:spacing w:before="60" w:after="60"/>
              <w:rPr>
                <w:rFonts w:eastAsiaTheme="majorEastAsia"/>
                <w:b/>
              </w:rPr>
            </w:pPr>
          </w:p>
        </w:tc>
        <w:tc>
          <w:tcPr>
            <w:tcW w:w="5978" w:type="dxa"/>
            <w:gridSpan w:val="2"/>
            <w:tcBorders>
              <w:top w:val="single" w:sz="4" w:space="0" w:color="auto"/>
              <w:left w:val="nil"/>
              <w:bottom w:val="single" w:sz="4" w:space="0" w:color="auto"/>
              <w:right w:val="nil"/>
            </w:tcBorders>
            <w:shd w:val="clear" w:color="auto" w:fill="66CCFF"/>
          </w:tcPr>
          <w:p w14:paraId="5B2279AA" w14:textId="77777777" w:rsidR="00DD3EFA" w:rsidRPr="00EC2A1C" w:rsidRDefault="00DD3EFA" w:rsidP="00B15ECB">
            <w:pPr>
              <w:spacing w:before="60" w:after="60"/>
              <w:rPr>
                <w:rFonts w:eastAsiaTheme="majorEastAsia"/>
                <w:i/>
              </w:rPr>
            </w:pPr>
          </w:p>
        </w:tc>
        <w:tc>
          <w:tcPr>
            <w:tcW w:w="249" w:type="dxa"/>
            <w:gridSpan w:val="2"/>
            <w:tcBorders>
              <w:top w:val="nil"/>
              <w:left w:val="nil"/>
              <w:bottom w:val="single" w:sz="4" w:space="0" w:color="auto"/>
              <w:right w:val="single" w:sz="4" w:space="0" w:color="auto"/>
            </w:tcBorders>
            <w:shd w:val="clear" w:color="auto" w:fill="66CCFF"/>
          </w:tcPr>
          <w:p w14:paraId="54A24274" w14:textId="77777777" w:rsidR="00DD3EFA" w:rsidRPr="00EC2A1C" w:rsidRDefault="00DD3EFA" w:rsidP="00B15ECB">
            <w:pPr>
              <w:rPr>
                <w:b/>
              </w:rPr>
            </w:pPr>
          </w:p>
        </w:tc>
      </w:tr>
      <w:tr w:rsidR="00DD3EFA" w:rsidRPr="00EC2A1C" w14:paraId="73129C9D" w14:textId="77777777" w:rsidTr="00B15ECB">
        <w:trPr>
          <w:gridAfter w:val="1"/>
          <w:wAfter w:w="38" w:type="dxa"/>
          <w:trHeight w:val="1559"/>
        </w:trPr>
        <w:tc>
          <w:tcPr>
            <w:tcW w:w="249" w:type="dxa"/>
            <w:tcBorders>
              <w:top w:val="single" w:sz="4" w:space="0" w:color="auto"/>
              <w:bottom w:val="nil"/>
            </w:tcBorders>
            <w:shd w:val="clear" w:color="auto" w:fill="66CCFF"/>
          </w:tcPr>
          <w:p w14:paraId="6D7196F7" w14:textId="77777777" w:rsidR="00DD3EFA" w:rsidRPr="00EC2A1C" w:rsidRDefault="00DD3EFA" w:rsidP="00B15ECB">
            <w:pPr>
              <w:rPr>
                <w:b/>
              </w:rPr>
            </w:pPr>
          </w:p>
        </w:tc>
        <w:tc>
          <w:tcPr>
            <w:tcW w:w="2445" w:type="dxa"/>
            <w:tcBorders>
              <w:top w:val="single" w:sz="4" w:space="0" w:color="auto"/>
              <w:right w:val="nil"/>
            </w:tcBorders>
            <w:shd w:val="clear" w:color="auto" w:fill="FFFFFF" w:themeFill="background1"/>
          </w:tcPr>
          <w:p w14:paraId="39B97E0A" w14:textId="77777777" w:rsidR="00DD3EFA" w:rsidRPr="00EC2A1C" w:rsidRDefault="00DD3EFA" w:rsidP="00B15ECB">
            <w:pPr>
              <w:spacing w:before="60" w:after="60"/>
              <w:rPr>
                <w:rFonts w:eastAsiaTheme="majorEastAsia"/>
                <w:b/>
              </w:rPr>
            </w:pPr>
            <w:r w:rsidRPr="00EC2A1C">
              <w:rPr>
                <w:rFonts w:eastAsiaTheme="majorEastAsia"/>
                <w:b/>
              </w:rPr>
              <w:t>Alternativní zdroje</w:t>
            </w:r>
          </w:p>
        </w:tc>
        <w:tc>
          <w:tcPr>
            <w:tcW w:w="5940" w:type="dxa"/>
            <w:tcBorders>
              <w:top w:val="single" w:sz="4" w:space="0" w:color="auto"/>
              <w:right w:val="nil"/>
            </w:tcBorders>
            <w:shd w:val="clear" w:color="auto" w:fill="FFFFFF" w:themeFill="background1"/>
          </w:tcPr>
          <w:p w14:paraId="1C25064C" w14:textId="77777777" w:rsidR="00DD3EFA" w:rsidRPr="00EC2A1C" w:rsidRDefault="00DD3EFA" w:rsidP="00B15ECB">
            <w:pPr>
              <w:spacing w:before="60" w:after="60"/>
              <w:rPr>
                <w:rFonts w:eastAsiaTheme="majorEastAsia"/>
              </w:rPr>
            </w:pPr>
            <w:r w:rsidRPr="00EC2A1C">
              <w:rPr>
                <w:rFonts w:eastAsiaTheme="majorEastAsia"/>
              </w:rPr>
              <w:t>Alternativní zdroje nejsou pro obě části (fyzická obnova a pořízení územních studií) známy. Mimo výjimečných úvěrů měst od EIB v minulosti.</w:t>
            </w:r>
          </w:p>
        </w:tc>
        <w:tc>
          <w:tcPr>
            <w:tcW w:w="249" w:type="dxa"/>
            <w:gridSpan w:val="2"/>
            <w:tcBorders>
              <w:top w:val="single" w:sz="4" w:space="0" w:color="auto"/>
              <w:left w:val="nil"/>
              <w:bottom w:val="nil"/>
            </w:tcBorders>
            <w:shd w:val="clear" w:color="auto" w:fill="66CCFF"/>
          </w:tcPr>
          <w:p w14:paraId="536F6215" w14:textId="77777777" w:rsidR="00DD3EFA" w:rsidRPr="00EC2A1C" w:rsidRDefault="00DD3EFA" w:rsidP="00B15ECB">
            <w:pPr>
              <w:rPr>
                <w:b/>
              </w:rPr>
            </w:pPr>
          </w:p>
        </w:tc>
      </w:tr>
      <w:tr w:rsidR="00DD3EFA" w:rsidRPr="00EC2A1C" w14:paraId="17E69861" w14:textId="77777777" w:rsidTr="00B15ECB">
        <w:trPr>
          <w:trHeight w:val="1968"/>
        </w:trPr>
        <w:tc>
          <w:tcPr>
            <w:tcW w:w="249" w:type="dxa"/>
            <w:tcBorders>
              <w:top w:val="nil"/>
              <w:bottom w:val="nil"/>
            </w:tcBorders>
            <w:shd w:val="clear" w:color="auto" w:fill="66CCFF"/>
          </w:tcPr>
          <w:p w14:paraId="2C0F1CD6" w14:textId="77777777" w:rsidR="00DD3EFA" w:rsidRPr="00EC2A1C" w:rsidRDefault="00DD3EFA" w:rsidP="00B15ECB">
            <w:pPr>
              <w:rPr>
                <w:b/>
              </w:rPr>
            </w:pPr>
          </w:p>
        </w:tc>
        <w:tc>
          <w:tcPr>
            <w:tcW w:w="2445" w:type="dxa"/>
            <w:tcBorders>
              <w:top w:val="nil"/>
            </w:tcBorders>
            <w:shd w:val="clear" w:color="auto" w:fill="FFFFFF" w:themeFill="background1"/>
          </w:tcPr>
          <w:p w14:paraId="5AD20380" w14:textId="77777777" w:rsidR="00DD3EFA" w:rsidRPr="00EC2A1C" w:rsidRDefault="00DD3EFA" w:rsidP="00B15ECB">
            <w:pPr>
              <w:spacing w:before="60" w:after="60"/>
              <w:rPr>
                <w:rFonts w:eastAsiaTheme="majorEastAsia"/>
                <w:b/>
              </w:rPr>
            </w:pPr>
            <w:r w:rsidRPr="00EC2A1C">
              <w:rPr>
                <w:rFonts w:eastAsiaTheme="majorEastAsia"/>
                <w:b/>
              </w:rPr>
              <w:t>Unijní programy</w:t>
            </w:r>
          </w:p>
        </w:tc>
        <w:tc>
          <w:tcPr>
            <w:tcW w:w="5978" w:type="dxa"/>
            <w:gridSpan w:val="2"/>
            <w:tcBorders>
              <w:top w:val="nil"/>
            </w:tcBorders>
            <w:shd w:val="clear" w:color="auto" w:fill="FFFFFF" w:themeFill="background1"/>
          </w:tcPr>
          <w:p w14:paraId="45DD2376" w14:textId="77777777" w:rsidR="00DD3EFA" w:rsidRPr="00EC2A1C" w:rsidRDefault="00DD3EFA" w:rsidP="00B15ECB">
            <w:pPr>
              <w:spacing w:before="60" w:after="60"/>
              <w:rPr>
                <w:rFonts w:eastAsiaTheme="majorEastAsia"/>
              </w:rPr>
            </w:pPr>
            <w:r w:rsidRPr="00EC2A1C">
              <w:rPr>
                <w:rFonts w:eastAsiaTheme="majorEastAsia"/>
              </w:rPr>
              <w:t>Navržené aktivity na podporu územních studií jsou v souladu cíli politik EU a přispějí zejména k naplňování těchto specifických cílů:</w:t>
            </w:r>
          </w:p>
          <w:p w14:paraId="4FA6372A" w14:textId="77777777" w:rsidR="00DD3EFA" w:rsidRPr="00EC2A1C" w:rsidRDefault="00DD3EFA" w:rsidP="00B15ECB">
            <w:pPr>
              <w:spacing w:before="60" w:after="60"/>
              <w:rPr>
                <w:rFonts w:eastAsiaTheme="majorEastAsia"/>
              </w:rPr>
            </w:pPr>
            <w:r w:rsidRPr="00EC2A1C">
              <w:rPr>
                <w:rFonts w:eastAsiaTheme="majorEastAsia"/>
              </w:rPr>
              <w:t xml:space="preserve">V rámci CP2 – Zelenější, nízkouhlíková Evropa: </w:t>
            </w:r>
          </w:p>
          <w:p w14:paraId="369F232B"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 xml:space="preserve">SC Podpora přizpůsobení se změně klimatu, prevence rizik a odolnosti vůči katastrofám, </w:t>
            </w:r>
          </w:p>
          <w:p w14:paraId="12150B74"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 xml:space="preserve">SC Podpora udržitelného hospodaření s vodou, </w:t>
            </w:r>
          </w:p>
          <w:p w14:paraId="4C652B05"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Posílení biologické rozmanitosti, zelené infrastruktury v městském prostředí a snížení znečištění</w:t>
            </w:r>
          </w:p>
          <w:p w14:paraId="60303C66" w14:textId="77777777" w:rsidR="00DD3EFA" w:rsidRPr="00EC2A1C" w:rsidRDefault="00DD3EFA" w:rsidP="00B15ECB">
            <w:pPr>
              <w:spacing w:before="60" w:after="60"/>
              <w:rPr>
                <w:rFonts w:eastAsiaTheme="majorEastAsia"/>
              </w:rPr>
            </w:pPr>
            <w:r w:rsidRPr="00EC2A1C">
              <w:rPr>
                <w:rFonts w:eastAsiaTheme="majorEastAsia"/>
              </w:rPr>
              <w:t xml:space="preserve">V rámci CP5 – Evropa bližší občanům: </w:t>
            </w:r>
          </w:p>
          <w:p w14:paraId="358A103D"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podpora integrovaného sociálního, hospodářského a environmentálního místního rozvoje, kulturního dědictví a bezpečnosti v městských oblastech,</w:t>
            </w:r>
          </w:p>
          <w:p w14:paraId="0C9DBF51" w14:textId="77777777" w:rsidR="00DD3EFA" w:rsidRPr="00EC2A1C" w:rsidRDefault="00DD3EFA" w:rsidP="00391907">
            <w:pPr>
              <w:pStyle w:val="Odstavecseseznamem"/>
              <w:numPr>
                <w:ilvl w:val="0"/>
                <w:numId w:val="131"/>
              </w:numPr>
              <w:spacing w:before="60" w:after="60"/>
              <w:rPr>
                <w:rFonts w:eastAsiaTheme="majorEastAsia"/>
              </w:rPr>
            </w:pPr>
            <w:r w:rsidRPr="00EC2A1C">
              <w:rPr>
                <w:rFonts w:eastAsiaTheme="majorEastAsia"/>
              </w:rPr>
              <w:t>SC podpora integrovaného sociálního, hospodářského a environmentálního místního rozvoje, kulturního dědictví a bezpečnosti a v případě venkovských a pobřežních oblastí také prostřednictvím komunitně vedeného místního rozvoje</w:t>
            </w:r>
          </w:p>
          <w:p w14:paraId="1AC14106" w14:textId="77777777" w:rsidR="00DD3EFA" w:rsidRPr="00EC2A1C" w:rsidRDefault="00DD3EFA" w:rsidP="00B15ECB">
            <w:pPr>
              <w:spacing w:before="60" w:after="60"/>
              <w:rPr>
                <w:rFonts w:eastAsiaTheme="majorEastAsia"/>
              </w:rPr>
            </w:pPr>
            <w:r w:rsidRPr="00EC2A1C">
              <w:rPr>
                <w:rFonts w:eastAsiaTheme="majorEastAsia"/>
              </w:rPr>
              <w:t>V úvahu připadá financování z programu vedeného Ministerstvem pro místní rozvoj nebo Ministerstvem životního prostředí. Obě tyto možnosti dávají smysl – územní studie jsou jedním z nástrojů územního plánování, plánování veřejných prostranství a zelené infrastrastruktury je předmětem územního plánování, MMR je ústředním správním orgánem na úseku územního plánování. Zároveň rozvoj a posilování kvality veřejných prostranství a zelené infrastruktury přinese posílení ekosystémových služeb a tím přispěje ke kvalitě životního prostředí.</w:t>
            </w:r>
          </w:p>
          <w:p w14:paraId="02E8384F" w14:textId="77777777" w:rsidR="00DD3EFA" w:rsidRPr="00EC2A1C" w:rsidRDefault="00DD3EFA" w:rsidP="00B15ECB">
            <w:pPr>
              <w:spacing w:before="60" w:after="60"/>
              <w:rPr>
                <w:rFonts w:eastAsiaTheme="majorEastAsia"/>
              </w:rPr>
            </w:pPr>
            <w:r w:rsidRPr="00EC2A1C">
              <w:rPr>
                <w:rFonts w:eastAsiaTheme="majorEastAsia"/>
              </w:rPr>
              <w:t xml:space="preserve">Je tedy důležité, aby došlo k dohodě mezi řídícími orgány IROP a OPŽP, ze kterého operačního programu budou navržené aktivity podporovány v příštím období.      </w:t>
            </w:r>
          </w:p>
        </w:tc>
        <w:tc>
          <w:tcPr>
            <w:tcW w:w="249" w:type="dxa"/>
            <w:gridSpan w:val="2"/>
            <w:tcBorders>
              <w:top w:val="nil"/>
              <w:bottom w:val="nil"/>
            </w:tcBorders>
            <w:shd w:val="clear" w:color="auto" w:fill="66CCFF"/>
          </w:tcPr>
          <w:p w14:paraId="21C4D9DC" w14:textId="77777777" w:rsidR="00DD3EFA" w:rsidRPr="00EC2A1C" w:rsidRDefault="00DD3EFA" w:rsidP="00B15ECB">
            <w:pPr>
              <w:rPr>
                <w:b/>
              </w:rPr>
            </w:pPr>
            <w:r w:rsidRPr="00EC2A1C">
              <w:rPr>
                <w:b/>
              </w:rPr>
              <w:t>-</w:t>
            </w:r>
          </w:p>
        </w:tc>
      </w:tr>
      <w:tr w:rsidR="00DD3EFA" w:rsidRPr="00EC2A1C" w14:paraId="15EFA5EF" w14:textId="77777777" w:rsidTr="00B15ECB">
        <w:trPr>
          <w:trHeight w:val="1968"/>
        </w:trPr>
        <w:tc>
          <w:tcPr>
            <w:tcW w:w="249" w:type="dxa"/>
            <w:tcBorders>
              <w:top w:val="nil"/>
              <w:bottom w:val="nil"/>
            </w:tcBorders>
            <w:shd w:val="clear" w:color="auto" w:fill="66CCFF"/>
          </w:tcPr>
          <w:p w14:paraId="04708859" w14:textId="77777777" w:rsidR="00DD3EFA" w:rsidRPr="00EC2A1C" w:rsidRDefault="00DD3EFA" w:rsidP="00B15ECB">
            <w:pPr>
              <w:rPr>
                <w:b/>
              </w:rPr>
            </w:pPr>
          </w:p>
        </w:tc>
        <w:tc>
          <w:tcPr>
            <w:tcW w:w="2445" w:type="dxa"/>
            <w:tcBorders>
              <w:top w:val="nil"/>
            </w:tcBorders>
            <w:shd w:val="clear" w:color="auto" w:fill="FFFFFF" w:themeFill="background1"/>
          </w:tcPr>
          <w:p w14:paraId="6C2B8044" w14:textId="77777777" w:rsidR="00DD3EFA" w:rsidRPr="00EC2A1C" w:rsidRDefault="00DD3EFA" w:rsidP="00B15ECB">
            <w:pPr>
              <w:spacing w:before="60" w:after="60"/>
              <w:rPr>
                <w:rFonts w:eastAsiaTheme="majorEastAsia"/>
                <w:b/>
              </w:rPr>
            </w:pPr>
            <w:r w:rsidRPr="00EC2A1C">
              <w:rPr>
                <w:rFonts w:eastAsiaTheme="majorEastAsia"/>
                <w:b/>
              </w:rPr>
              <w:t>Státní rozpočet a další národní zdroje</w:t>
            </w:r>
          </w:p>
        </w:tc>
        <w:tc>
          <w:tcPr>
            <w:tcW w:w="5978" w:type="dxa"/>
            <w:gridSpan w:val="2"/>
            <w:tcBorders>
              <w:top w:val="nil"/>
            </w:tcBorders>
            <w:shd w:val="clear" w:color="auto" w:fill="FFFFFF" w:themeFill="background1"/>
          </w:tcPr>
          <w:p w14:paraId="5BE4AAE9" w14:textId="77777777" w:rsidR="00DD3EFA" w:rsidRPr="00EC2A1C" w:rsidRDefault="00DD3EFA" w:rsidP="00B15ECB">
            <w:pPr>
              <w:spacing w:before="60" w:after="60"/>
              <w:rPr>
                <w:rFonts w:eastAsiaTheme="majorEastAsia"/>
              </w:rPr>
            </w:pPr>
            <w:r w:rsidRPr="00EC2A1C">
              <w:rPr>
                <w:rFonts w:eastAsiaTheme="majorEastAsia"/>
              </w:rPr>
              <w:t>V případě realizace veřejných prostranství neexistuje žádný národní dotační titul na podporu obnovy veřejných prostranství.</w:t>
            </w:r>
          </w:p>
          <w:p w14:paraId="6E7D905F" w14:textId="77777777" w:rsidR="00DD3EFA" w:rsidRPr="00EC2A1C" w:rsidRDefault="00DD3EFA" w:rsidP="00B15ECB">
            <w:pPr>
              <w:spacing w:before="60" w:after="60"/>
              <w:rPr>
                <w:rFonts w:eastAsiaTheme="majorEastAsia"/>
              </w:rPr>
            </w:pPr>
            <w:r w:rsidRPr="00EC2A1C">
              <w:rPr>
                <w:rFonts w:eastAsiaTheme="majorEastAsia"/>
              </w:rPr>
              <w:t>Většinu obnovy veřejných prostranství (pokud vůbec) realizují obce z vlastních investičních prostředků, případně jako osvícenější a promyšlenější vedlejší produkt rekonstrukce dopravní infrastruktury.</w:t>
            </w:r>
          </w:p>
          <w:p w14:paraId="621883A5" w14:textId="77777777" w:rsidR="00DD3EFA" w:rsidRPr="00EC2A1C" w:rsidRDefault="00DD3EFA" w:rsidP="00B15ECB">
            <w:pPr>
              <w:spacing w:before="60" w:after="60"/>
              <w:rPr>
                <w:rFonts w:eastAsiaTheme="majorEastAsia"/>
              </w:rPr>
            </w:pPr>
          </w:p>
          <w:p w14:paraId="617F49F3" w14:textId="77777777" w:rsidR="00DD3EFA" w:rsidRPr="00EC2A1C" w:rsidRDefault="00DD3EFA" w:rsidP="00B15ECB">
            <w:pPr>
              <w:spacing w:before="60" w:after="60"/>
              <w:rPr>
                <w:rFonts w:eastAsiaTheme="majorEastAsia"/>
              </w:rPr>
            </w:pPr>
            <w:r w:rsidRPr="00EC2A1C">
              <w:rPr>
                <w:rFonts w:eastAsiaTheme="majorEastAsia"/>
              </w:rPr>
              <w:t xml:space="preserve">V současné době nejsou uvedené druhy územních studií podporovány z národních programů. </w:t>
            </w:r>
          </w:p>
          <w:p w14:paraId="6B44D687" w14:textId="77777777" w:rsidR="00DD3EFA" w:rsidRPr="00EC2A1C" w:rsidRDefault="00DD3EFA" w:rsidP="00B15ECB">
            <w:pPr>
              <w:spacing w:before="60" w:after="60"/>
              <w:rPr>
                <w:rFonts w:eastAsiaTheme="majorEastAsia"/>
                <w:i/>
              </w:rPr>
            </w:pPr>
            <w:r w:rsidRPr="00EC2A1C">
              <w:rPr>
                <w:rFonts w:eastAsiaTheme="majorEastAsia"/>
              </w:rPr>
              <w:t>Vzhledem k souladu navržených aktivit s cíli politik EU  pokládáme za vhodné podporovat uvedené územní studie z Evropských prostředků.</w:t>
            </w:r>
            <w:r w:rsidRPr="00EC2A1C">
              <w:rPr>
                <w:rFonts w:eastAsiaTheme="majorEastAsia"/>
                <w:i/>
              </w:rPr>
              <w:t xml:space="preserve"> </w:t>
            </w:r>
          </w:p>
        </w:tc>
        <w:tc>
          <w:tcPr>
            <w:tcW w:w="249" w:type="dxa"/>
            <w:gridSpan w:val="2"/>
            <w:tcBorders>
              <w:top w:val="nil"/>
              <w:bottom w:val="nil"/>
            </w:tcBorders>
            <w:shd w:val="clear" w:color="auto" w:fill="66CCFF"/>
          </w:tcPr>
          <w:p w14:paraId="4AE6DE6C" w14:textId="77777777" w:rsidR="00DD3EFA" w:rsidRPr="00EC2A1C" w:rsidRDefault="00DD3EFA" w:rsidP="00B15ECB">
            <w:pPr>
              <w:rPr>
                <w:b/>
              </w:rPr>
            </w:pPr>
          </w:p>
        </w:tc>
      </w:tr>
      <w:tr w:rsidR="00DD3EFA" w:rsidRPr="00EC2A1C" w14:paraId="5C02D20A" w14:textId="77777777" w:rsidTr="00B15ECB">
        <w:trPr>
          <w:trHeight w:val="1968"/>
        </w:trPr>
        <w:tc>
          <w:tcPr>
            <w:tcW w:w="249" w:type="dxa"/>
            <w:tcBorders>
              <w:top w:val="nil"/>
              <w:bottom w:val="nil"/>
            </w:tcBorders>
            <w:shd w:val="clear" w:color="auto" w:fill="66CCFF"/>
          </w:tcPr>
          <w:p w14:paraId="25BD8D5B" w14:textId="77777777" w:rsidR="00DD3EFA" w:rsidRPr="00EC2A1C" w:rsidRDefault="00DD3EFA" w:rsidP="00B15ECB">
            <w:pPr>
              <w:rPr>
                <w:b/>
              </w:rPr>
            </w:pPr>
          </w:p>
        </w:tc>
        <w:tc>
          <w:tcPr>
            <w:tcW w:w="2445" w:type="dxa"/>
            <w:tcBorders>
              <w:top w:val="nil"/>
            </w:tcBorders>
            <w:shd w:val="clear" w:color="auto" w:fill="FFFFFF" w:themeFill="background1"/>
          </w:tcPr>
          <w:p w14:paraId="73E49321" w14:textId="77777777" w:rsidR="00DD3EFA" w:rsidRPr="00EC2A1C" w:rsidRDefault="00DD3EFA" w:rsidP="00B15ECB">
            <w:pPr>
              <w:spacing w:before="60" w:after="60"/>
              <w:rPr>
                <w:rFonts w:eastAsiaTheme="majorEastAsia"/>
                <w:b/>
              </w:rPr>
            </w:pPr>
            <w:r w:rsidRPr="00EC2A1C">
              <w:rPr>
                <w:rFonts w:eastAsiaTheme="majorEastAsia"/>
                <w:b/>
              </w:rPr>
              <w:t>Další zdroje mimo veřejné rozpočty</w:t>
            </w:r>
          </w:p>
        </w:tc>
        <w:tc>
          <w:tcPr>
            <w:tcW w:w="5978" w:type="dxa"/>
            <w:gridSpan w:val="2"/>
            <w:tcBorders>
              <w:top w:val="nil"/>
            </w:tcBorders>
            <w:shd w:val="clear" w:color="auto" w:fill="FFFFFF" w:themeFill="background1"/>
          </w:tcPr>
          <w:p w14:paraId="22ED463C" w14:textId="77777777" w:rsidR="00DD3EFA" w:rsidRPr="00EC2A1C" w:rsidRDefault="00DD3EFA" w:rsidP="00B15ECB">
            <w:pPr>
              <w:spacing w:before="60" w:after="60"/>
              <w:rPr>
                <w:rFonts w:eastAsiaTheme="majorEastAsia"/>
              </w:rPr>
            </w:pPr>
            <w:r w:rsidRPr="00EC2A1C">
              <w:rPr>
                <w:rFonts w:eastAsiaTheme="majorEastAsia"/>
              </w:rPr>
              <w:t>V případě investic do realizace obnovy veřejných prostranství:</w:t>
            </w:r>
          </w:p>
          <w:p w14:paraId="03AC3F59" w14:textId="77777777" w:rsidR="00DD3EFA" w:rsidRPr="00EC2A1C" w:rsidRDefault="00DD3EFA" w:rsidP="00B15ECB">
            <w:pPr>
              <w:spacing w:before="60" w:after="60"/>
              <w:rPr>
                <w:rFonts w:eastAsiaTheme="majorEastAsia"/>
                <w:i/>
              </w:rPr>
            </w:pPr>
            <w:r w:rsidRPr="00EC2A1C">
              <w:rPr>
                <w:rFonts w:eastAsiaTheme="majorEastAsia"/>
              </w:rPr>
              <w:t>Zejména rozpočty obcí.</w:t>
            </w:r>
            <w:r w:rsidRPr="00EC2A1C">
              <w:rPr>
                <w:rFonts w:eastAsiaTheme="majorEastAsia"/>
              </w:rPr>
              <w:br/>
              <w:t>V případě územních studií: Nepředpokládá se, jedná se o výstupy činnosti veřejné správy.</w:t>
            </w:r>
          </w:p>
        </w:tc>
        <w:tc>
          <w:tcPr>
            <w:tcW w:w="249" w:type="dxa"/>
            <w:gridSpan w:val="2"/>
            <w:tcBorders>
              <w:top w:val="nil"/>
              <w:bottom w:val="nil"/>
            </w:tcBorders>
            <w:shd w:val="clear" w:color="auto" w:fill="66CCFF"/>
          </w:tcPr>
          <w:p w14:paraId="0206DAC1" w14:textId="77777777" w:rsidR="00DD3EFA" w:rsidRPr="00EC2A1C" w:rsidRDefault="00DD3EFA" w:rsidP="00B15ECB">
            <w:pPr>
              <w:rPr>
                <w:b/>
              </w:rPr>
            </w:pPr>
          </w:p>
        </w:tc>
      </w:tr>
      <w:tr w:rsidR="00DD3EFA" w:rsidRPr="00EC2A1C" w14:paraId="7E4C9E2A" w14:textId="77777777" w:rsidTr="00B15ECB">
        <w:trPr>
          <w:trHeight w:val="1968"/>
        </w:trPr>
        <w:tc>
          <w:tcPr>
            <w:tcW w:w="249" w:type="dxa"/>
            <w:tcBorders>
              <w:top w:val="nil"/>
              <w:bottom w:val="nil"/>
            </w:tcBorders>
            <w:shd w:val="clear" w:color="auto" w:fill="66CCFF"/>
          </w:tcPr>
          <w:p w14:paraId="73409EC0" w14:textId="77777777" w:rsidR="00DD3EFA" w:rsidRPr="00EC2A1C" w:rsidRDefault="00DD3EFA" w:rsidP="00B15ECB">
            <w:pPr>
              <w:rPr>
                <w:b/>
              </w:rPr>
            </w:pPr>
          </w:p>
        </w:tc>
        <w:tc>
          <w:tcPr>
            <w:tcW w:w="2445" w:type="dxa"/>
            <w:tcBorders>
              <w:top w:val="nil"/>
            </w:tcBorders>
            <w:shd w:val="clear" w:color="auto" w:fill="FFFFFF" w:themeFill="background1"/>
          </w:tcPr>
          <w:p w14:paraId="111729C8" w14:textId="77777777" w:rsidR="00DD3EFA" w:rsidRPr="00EC2A1C" w:rsidRDefault="00DD3EFA" w:rsidP="00B15ECB">
            <w:pPr>
              <w:spacing w:before="60" w:after="60"/>
              <w:rPr>
                <w:rFonts w:eastAsiaTheme="majorEastAsia"/>
                <w:b/>
              </w:rPr>
            </w:pPr>
            <w:r w:rsidRPr="00EC2A1C">
              <w:rPr>
                <w:rFonts w:eastAsiaTheme="majorEastAsia"/>
                <w:b/>
              </w:rPr>
              <w:t>Možnost využití FN.</w:t>
            </w:r>
          </w:p>
        </w:tc>
        <w:tc>
          <w:tcPr>
            <w:tcW w:w="5978" w:type="dxa"/>
            <w:gridSpan w:val="2"/>
            <w:tcBorders>
              <w:top w:val="nil"/>
            </w:tcBorders>
            <w:shd w:val="clear" w:color="auto" w:fill="FFFFFF" w:themeFill="background1"/>
          </w:tcPr>
          <w:p w14:paraId="40AAA537" w14:textId="77777777" w:rsidR="00DD3EFA" w:rsidRPr="00EC2A1C" w:rsidRDefault="00DD3EFA" w:rsidP="00B15ECB">
            <w:pPr>
              <w:spacing w:before="60" w:after="60"/>
              <w:rPr>
                <w:rFonts w:eastAsiaTheme="majorEastAsia"/>
              </w:rPr>
            </w:pPr>
            <w:r w:rsidRPr="00EC2A1C">
              <w:rPr>
                <w:rFonts w:eastAsiaTheme="majorEastAsia"/>
              </w:rPr>
              <w:t>V případě investic do realizace obnovy veřejných prostranství:</w:t>
            </w:r>
          </w:p>
          <w:p w14:paraId="6D90F45D" w14:textId="77777777" w:rsidR="00DD3EFA" w:rsidRPr="00EC2A1C" w:rsidRDefault="00DD3EFA" w:rsidP="00B15ECB">
            <w:pPr>
              <w:spacing w:before="60" w:after="60"/>
              <w:rPr>
                <w:rFonts w:eastAsiaTheme="majorEastAsia"/>
              </w:rPr>
            </w:pPr>
            <w:r w:rsidRPr="00EC2A1C">
              <w:rPr>
                <w:rFonts w:eastAsiaTheme="majorEastAsia"/>
              </w:rPr>
              <w:t>Využití FN pro obce je pro tento SC nevhodné, jelikož veřejná prostranství jsou veřejným statkem, které negeneruje žádný přímý zisk, tudíž návratnost investice je těžko vyhodnotitelná</w:t>
            </w:r>
          </w:p>
          <w:p w14:paraId="6CFB7544" w14:textId="77777777" w:rsidR="00DD3EFA" w:rsidRPr="00EC2A1C" w:rsidRDefault="00DD3EFA" w:rsidP="00B15ECB">
            <w:pPr>
              <w:spacing w:before="60" w:after="60"/>
              <w:rPr>
                <w:rFonts w:eastAsiaTheme="majorEastAsia"/>
              </w:rPr>
            </w:pPr>
            <w:r w:rsidRPr="00EC2A1C">
              <w:rPr>
                <w:rFonts w:eastAsiaTheme="majorEastAsia"/>
              </w:rPr>
              <w:t xml:space="preserve">V případě V případě pořizování územních studií: </w:t>
            </w:r>
          </w:p>
          <w:p w14:paraId="05CE97AF" w14:textId="77777777" w:rsidR="00DD3EFA" w:rsidRPr="00EC2A1C" w:rsidRDefault="00DD3EFA" w:rsidP="00B15ECB">
            <w:pPr>
              <w:spacing w:before="60" w:after="60"/>
              <w:rPr>
                <w:rFonts w:eastAsiaTheme="majorEastAsia"/>
                <w:i/>
              </w:rPr>
            </w:pPr>
            <w:r w:rsidRPr="00EC2A1C">
              <w:rPr>
                <w:rFonts w:eastAsiaTheme="majorEastAsia"/>
              </w:rPr>
              <w:t>Není relevantní – jde o činnost veřejné správy na úseku územního plánování.</w:t>
            </w:r>
          </w:p>
        </w:tc>
        <w:tc>
          <w:tcPr>
            <w:tcW w:w="249" w:type="dxa"/>
            <w:gridSpan w:val="2"/>
            <w:tcBorders>
              <w:top w:val="nil"/>
              <w:bottom w:val="nil"/>
            </w:tcBorders>
            <w:shd w:val="clear" w:color="auto" w:fill="66CCFF"/>
          </w:tcPr>
          <w:p w14:paraId="619DD04A" w14:textId="77777777" w:rsidR="00DD3EFA" w:rsidRPr="00EC2A1C" w:rsidRDefault="00DD3EFA" w:rsidP="00B15ECB">
            <w:pPr>
              <w:rPr>
                <w:b/>
              </w:rPr>
            </w:pPr>
          </w:p>
        </w:tc>
      </w:tr>
      <w:tr w:rsidR="00DD3EFA" w:rsidRPr="00EC2A1C" w14:paraId="17C3C274" w14:textId="77777777" w:rsidTr="00B15ECB">
        <w:trPr>
          <w:trHeight w:val="150"/>
        </w:trPr>
        <w:tc>
          <w:tcPr>
            <w:tcW w:w="249" w:type="dxa"/>
            <w:tcBorders>
              <w:top w:val="nil"/>
              <w:right w:val="nil"/>
            </w:tcBorders>
            <w:shd w:val="clear" w:color="auto" w:fill="66CCFF"/>
          </w:tcPr>
          <w:p w14:paraId="5C5CB80D" w14:textId="77777777" w:rsidR="00DD3EFA" w:rsidRPr="00EC2A1C" w:rsidRDefault="00DD3EFA" w:rsidP="00B15ECB">
            <w:pPr>
              <w:rPr>
                <w:b/>
              </w:rPr>
            </w:pPr>
          </w:p>
        </w:tc>
        <w:tc>
          <w:tcPr>
            <w:tcW w:w="2445" w:type="dxa"/>
            <w:tcBorders>
              <w:left w:val="nil"/>
              <w:right w:val="nil"/>
            </w:tcBorders>
            <w:shd w:val="clear" w:color="auto" w:fill="66CCFF"/>
          </w:tcPr>
          <w:p w14:paraId="6C0DC23B" w14:textId="77777777" w:rsidR="00DD3EFA" w:rsidRPr="00EC2A1C" w:rsidRDefault="00DD3EFA" w:rsidP="00B15ECB">
            <w:pPr>
              <w:rPr>
                <w:b/>
              </w:rPr>
            </w:pPr>
          </w:p>
        </w:tc>
        <w:tc>
          <w:tcPr>
            <w:tcW w:w="5978" w:type="dxa"/>
            <w:gridSpan w:val="2"/>
            <w:tcBorders>
              <w:left w:val="nil"/>
              <w:right w:val="nil"/>
            </w:tcBorders>
            <w:shd w:val="clear" w:color="auto" w:fill="66CCFF"/>
          </w:tcPr>
          <w:p w14:paraId="66E146C5" w14:textId="77777777" w:rsidR="00DD3EFA" w:rsidRPr="00EC2A1C" w:rsidRDefault="00DD3EFA" w:rsidP="00B15ECB">
            <w:pPr>
              <w:rPr>
                <w:b/>
              </w:rPr>
            </w:pPr>
          </w:p>
        </w:tc>
        <w:tc>
          <w:tcPr>
            <w:tcW w:w="249" w:type="dxa"/>
            <w:gridSpan w:val="2"/>
            <w:tcBorders>
              <w:top w:val="nil"/>
              <w:left w:val="nil"/>
            </w:tcBorders>
            <w:shd w:val="clear" w:color="auto" w:fill="66CCFF"/>
          </w:tcPr>
          <w:p w14:paraId="6B64DEC9" w14:textId="77777777" w:rsidR="00DD3EFA" w:rsidRPr="00EC2A1C" w:rsidRDefault="00DD3EFA" w:rsidP="00B15ECB">
            <w:pPr>
              <w:rPr>
                <w:b/>
              </w:rPr>
            </w:pPr>
          </w:p>
        </w:tc>
      </w:tr>
    </w:tbl>
    <w:p w14:paraId="5B94D9FE" w14:textId="77777777" w:rsidR="00DD3EFA" w:rsidRPr="002D2123" w:rsidRDefault="00DD3EFA">
      <w:pPr>
        <w:rPr>
          <w:rFonts w:ascii="Times New Roman" w:hAnsi="Times New Roman" w:cs="Times New Roman"/>
        </w:rPr>
      </w:pPr>
      <w:r w:rsidRPr="002D2123">
        <w:rPr>
          <w:rFonts w:ascii="Times New Roman" w:hAnsi="Times New Roman" w:cs="Times New Roman"/>
        </w:rPr>
        <w:br w:type="page"/>
      </w:r>
    </w:p>
    <w:p w14:paraId="787BC0FC" w14:textId="102343F3" w:rsidR="00D762E9" w:rsidRPr="002D2123" w:rsidRDefault="00D762E9" w:rsidP="00F24899">
      <w:pPr>
        <w:pStyle w:val="Nadpis1"/>
        <w:numPr>
          <w:ilvl w:val="0"/>
          <w:numId w:val="1"/>
        </w:numPr>
        <w:ind w:left="527" w:hanging="357"/>
        <w:rPr>
          <w:rFonts w:ascii="Times New Roman" w:hAnsi="Times New Roman" w:cs="Times New Roman"/>
        </w:rPr>
      </w:pPr>
      <w:bookmarkStart w:id="47" w:name="_Toc9511890"/>
      <w:r w:rsidRPr="002D2123">
        <w:rPr>
          <w:rFonts w:ascii="Times New Roman" w:hAnsi="Times New Roman" w:cs="Times New Roman"/>
        </w:rPr>
        <w:t>Kultura</w:t>
      </w:r>
      <w:bookmarkEnd w:id="47"/>
    </w:p>
    <w:tbl>
      <w:tblPr>
        <w:tblStyle w:val="Mkatabulky"/>
        <w:tblW w:w="0" w:type="auto"/>
        <w:tblInd w:w="-5" w:type="dxa"/>
        <w:shd w:val="clear" w:color="auto" w:fill="C7ECF1"/>
        <w:tblLayout w:type="fixed"/>
        <w:tblLook w:val="04A0" w:firstRow="1" w:lastRow="0" w:firstColumn="1" w:lastColumn="0" w:noHBand="0" w:noVBand="1"/>
      </w:tblPr>
      <w:tblGrid>
        <w:gridCol w:w="249"/>
        <w:gridCol w:w="2548"/>
        <w:gridCol w:w="5978"/>
        <w:gridCol w:w="249"/>
      </w:tblGrid>
      <w:tr w:rsidR="00DD3EFA" w:rsidRPr="00EC2A1C" w14:paraId="204407B8" w14:textId="77777777" w:rsidTr="00B15ECB">
        <w:trPr>
          <w:trHeight w:val="180"/>
        </w:trPr>
        <w:tc>
          <w:tcPr>
            <w:tcW w:w="249" w:type="dxa"/>
            <w:tcBorders>
              <w:bottom w:val="nil"/>
              <w:right w:val="nil"/>
            </w:tcBorders>
            <w:shd w:val="clear" w:color="auto" w:fill="66CCFF"/>
          </w:tcPr>
          <w:p w14:paraId="3EA769F9" w14:textId="77777777" w:rsidR="00DD3EFA" w:rsidRPr="00EC2A1C" w:rsidRDefault="00DD3EFA" w:rsidP="00B15ECB">
            <w:pPr>
              <w:rPr>
                <w:b/>
              </w:rPr>
            </w:pPr>
          </w:p>
        </w:tc>
        <w:tc>
          <w:tcPr>
            <w:tcW w:w="2548" w:type="dxa"/>
            <w:tcBorders>
              <w:left w:val="nil"/>
              <w:right w:val="nil"/>
            </w:tcBorders>
            <w:shd w:val="clear" w:color="auto" w:fill="66CCFF"/>
          </w:tcPr>
          <w:p w14:paraId="37995AFC" w14:textId="77777777" w:rsidR="00DD3EFA" w:rsidRPr="00EC2A1C" w:rsidRDefault="00DD3EFA" w:rsidP="00B15ECB">
            <w:pPr>
              <w:rPr>
                <w:b/>
              </w:rPr>
            </w:pPr>
          </w:p>
        </w:tc>
        <w:tc>
          <w:tcPr>
            <w:tcW w:w="5978" w:type="dxa"/>
            <w:tcBorders>
              <w:left w:val="nil"/>
              <w:right w:val="nil"/>
            </w:tcBorders>
            <w:shd w:val="clear" w:color="auto" w:fill="66CCFF"/>
          </w:tcPr>
          <w:p w14:paraId="1144541C" w14:textId="77777777" w:rsidR="00DD3EFA" w:rsidRPr="00EC2A1C" w:rsidRDefault="00DD3EFA" w:rsidP="00B15ECB">
            <w:pPr>
              <w:rPr>
                <w:b/>
              </w:rPr>
            </w:pPr>
          </w:p>
        </w:tc>
        <w:tc>
          <w:tcPr>
            <w:tcW w:w="249" w:type="dxa"/>
            <w:tcBorders>
              <w:left w:val="nil"/>
              <w:bottom w:val="nil"/>
            </w:tcBorders>
            <w:shd w:val="clear" w:color="auto" w:fill="66CCFF"/>
          </w:tcPr>
          <w:p w14:paraId="055B727E" w14:textId="77777777" w:rsidR="00DD3EFA" w:rsidRPr="00EC2A1C" w:rsidRDefault="00DD3EFA" w:rsidP="00B15ECB">
            <w:pPr>
              <w:rPr>
                <w:b/>
              </w:rPr>
            </w:pPr>
          </w:p>
        </w:tc>
      </w:tr>
      <w:tr w:rsidR="00DD3EFA" w:rsidRPr="00EC2A1C" w14:paraId="6DD2E10B" w14:textId="77777777" w:rsidTr="00B15ECB">
        <w:trPr>
          <w:trHeight w:val="561"/>
        </w:trPr>
        <w:tc>
          <w:tcPr>
            <w:tcW w:w="249" w:type="dxa"/>
            <w:tcBorders>
              <w:top w:val="nil"/>
              <w:bottom w:val="nil"/>
            </w:tcBorders>
            <w:shd w:val="clear" w:color="auto" w:fill="66CCFF"/>
          </w:tcPr>
          <w:p w14:paraId="6CE8DD4E" w14:textId="77777777" w:rsidR="00DD3EFA" w:rsidRPr="00EC2A1C" w:rsidRDefault="00DD3EFA" w:rsidP="00B15ECB">
            <w:pPr>
              <w:rPr>
                <w:b/>
              </w:rPr>
            </w:pPr>
          </w:p>
        </w:tc>
        <w:tc>
          <w:tcPr>
            <w:tcW w:w="2548" w:type="dxa"/>
            <w:shd w:val="clear" w:color="auto" w:fill="0070C0"/>
          </w:tcPr>
          <w:p w14:paraId="3C7EF3C5" w14:textId="77777777" w:rsidR="00DD3EFA" w:rsidRPr="00EC2A1C" w:rsidRDefault="00DD3EFA" w:rsidP="00B15ECB">
            <w:pPr>
              <w:spacing w:before="60" w:after="60"/>
              <w:rPr>
                <w:rFonts w:eastAsiaTheme="majorEastAsia"/>
                <w:b/>
                <w:color w:val="FFFFFF" w:themeColor="background1"/>
              </w:rPr>
            </w:pPr>
            <w:r w:rsidRPr="00EC2A1C">
              <w:rPr>
                <w:rFonts w:eastAsiaTheme="majorEastAsia"/>
                <w:b/>
                <w:color w:val="FFFFFF" w:themeColor="background1"/>
                <w:u w:val="single"/>
              </w:rPr>
              <w:t>Strategický cíl NKR:</w:t>
            </w:r>
            <w:r w:rsidRPr="00EC2A1C">
              <w:rPr>
                <w:rFonts w:eastAsiaTheme="majorEastAsia"/>
                <w:b/>
                <w:color w:val="FFFFFF" w:themeColor="background1"/>
              </w:rPr>
              <w:t xml:space="preserve"> </w:t>
            </w:r>
            <w:r w:rsidRPr="00EC2A1C">
              <w:rPr>
                <w:b/>
                <w:color w:val="FFFFFF" w:themeColor="background1"/>
              </w:rPr>
              <w:t>Udržitelný a integrovaný rozvoj MĚSTSKÝCH A VENKOVSKÝCH OBLASTÍ</w:t>
            </w:r>
          </w:p>
        </w:tc>
        <w:tc>
          <w:tcPr>
            <w:tcW w:w="5978" w:type="dxa"/>
            <w:shd w:val="clear" w:color="auto" w:fill="0070C0"/>
          </w:tcPr>
          <w:p w14:paraId="6D5A9EE9" w14:textId="77777777" w:rsidR="00DD3EFA" w:rsidRPr="00EC2A1C" w:rsidRDefault="00DD3EFA"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b/>
                <w:color w:val="FFFFFF" w:themeColor="background1"/>
                <w:u w:val="single"/>
              </w:rPr>
              <w:footnoteReference w:id="58"/>
            </w:r>
            <w:r w:rsidRPr="00EC2A1C">
              <w:rPr>
                <w:rFonts w:eastAsiaTheme="majorEastAsia"/>
                <w:b/>
                <w:color w:val="FFFFFF" w:themeColor="background1"/>
                <w:u w:val="single"/>
              </w:rPr>
              <w:t xml:space="preserve">: </w:t>
            </w:r>
          </w:p>
          <w:p w14:paraId="3AF29F9D" w14:textId="77777777" w:rsidR="00DD3EFA" w:rsidRPr="00EC2A1C" w:rsidRDefault="00DD3EFA" w:rsidP="00B15ECB">
            <w:pPr>
              <w:spacing w:after="60"/>
              <w:rPr>
                <w:b/>
                <w:color w:val="FFFFFF" w:themeColor="background1"/>
              </w:rPr>
            </w:pPr>
            <w:r w:rsidRPr="00EC2A1C">
              <w:rPr>
                <w:b/>
                <w:color w:val="FFFFFF" w:themeColor="background1"/>
              </w:rPr>
              <w:t>OCHRANA, ROZVOJ A PODPORA KULTURNÍHO DĚDICTVÍ</w:t>
            </w:r>
          </w:p>
          <w:p w14:paraId="08E2271A" w14:textId="77777777" w:rsidR="00DD3EFA" w:rsidRPr="00EC2A1C" w:rsidRDefault="00DD3EFA" w:rsidP="00B15ECB">
            <w:pPr>
              <w:spacing w:before="60" w:after="60"/>
              <w:rPr>
                <w:rFonts w:eastAsiaTheme="majorEastAsia"/>
                <w:b/>
                <w:color w:val="FFFFFF" w:themeColor="background1"/>
              </w:rPr>
            </w:pPr>
          </w:p>
        </w:tc>
        <w:tc>
          <w:tcPr>
            <w:tcW w:w="249" w:type="dxa"/>
            <w:tcBorders>
              <w:top w:val="nil"/>
              <w:bottom w:val="nil"/>
            </w:tcBorders>
            <w:shd w:val="clear" w:color="auto" w:fill="66CCFF"/>
          </w:tcPr>
          <w:p w14:paraId="6702B47C" w14:textId="77777777" w:rsidR="00DD3EFA" w:rsidRPr="00EC2A1C" w:rsidRDefault="00DD3EFA" w:rsidP="00B15ECB">
            <w:pPr>
              <w:rPr>
                <w:b/>
              </w:rPr>
            </w:pPr>
          </w:p>
        </w:tc>
      </w:tr>
      <w:tr w:rsidR="00DD3EFA" w:rsidRPr="00EC2A1C" w14:paraId="4C7D9AAD" w14:textId="77777777" w:rsidTr="00B15ECB">
        <w:trPr>
          <w:trHeight w:val="180"/>
        </w:trPr>
        <w:tc>
          <w:tcPr>
            <w:tcW w:w="249" w:type="dxa"/>
            <w:tcBorders>
              <w:top w:val="nil"/>
              <w:bottom w:val="nil"/>
              <w:right w:val="nil"/>
            </w:tcBorders>
            <w:shd w:val="clear" w:color="auto" w:fill="66CCFF"/>
          </w:tcPr>
          <w:p w14:paraId="4E1067B2" w14:textId="77777777" w:rsidR="00DD3EFA" w:rsidRPr="00EC2A1C" w:rsidRDefault="00DD3EFA" w:rsidP="00B15ECB">
            <w:pPr>
              <w:rPr>
                <w:b/>
              </w:rPr>
            </w:pPr>
          </w:p>
        </w:tc>
        <w:tc>
          <w:tcPr>
            <w:tcW w:w="2548" w:type="dxa"/>
            <w:tcBorders>
              <w:left w:val="nil"/>
              <w:right w:val="nil"/>
            </w:tcBorders>
            <w:shd w:val="clear" w:color="auto" w:fill="66CCFF"/>
          </w:tcPr>
          <w:p w14:paraId="6666E583" w14:textId="77777777" w:rsidR="00DD3EFA" w:rsidRPr="00EC2A1C" w:rsidRDefault="00DD3EFA" w:rsidP="00B15ECB">
            <w:pPr>
              <w:rPr>
                <w:b/>
              </w:rPr>
            </w:pPr>
          </w:p>
        </w:tc>
        <w:tc>
          <w:tcPr>
            <w:tcW w:w="5978" w:type="dxa"/>
            <w:tcBorders>
              <w:left w:val="nil"/>
              <w:right w:val="nil"/>
            </w:tcBorders>
            <w:shd w:val="clear" w:color="auto" w:fill="66CCFF"/>
          </w:tcPr>
          <w:p w14:paraId="147FC83B" w14:textId="77777777" w:rsidR="00DD3EFA" w:rsidRPr="00EC2A1C" w:rsidRDefault="00DD3EFA" w:rsidP="00B15ECB">
            <w:pPr>
              <w:rPr>
                <w:b/>
              </w:rPr>
            </w:pPr>
          </w:p>
        </w:tc>
        <w:tc>
          <w:tcPr>
            <w:tcW w:w="249" w:type="dxa"/>
            <w:tcBorders>
              <w:top w:val="nil"/>
              <w:left w:val="nil"/>
              <w:bottom w:val="nil"/>
            </w:tcBorders>
            <w:shd w:val="clear" w:color="auto" w:fill="66CCFF"/>
          </w:tcPr>
          <w:p w14:paraId="053139A8" w14:textId="77777777" w:rsidR="00DD3EFA" w:rsidRPr="00EC2A1C" w:rsidRDefault="00DD3EFA" w:rsidP="00B15ECB">
            <w:pPr>
              <w:rPr>
                <w:b/>
              </w:rPr>
            </w:pPr>
          </w:p>
        </w:tc>
      </w:tr>
      <w:tr w:rsidR="00DD3EFA" w:rsidRPr="00EC2A1C" w14:paraId="6E41DFE4" w14:textId="77777777" w:rsidTr="00B15ECB">
        <w:trPr>
          <w:trHeight w:val="892"/>
        </w:trPr>
        <w:tc>
          <w:tcPr>
            <w:tcW w:w="249" w:type="dxa"/>
            <w:tcBorders>
              <w:top w:val="nil"/>
              <w:bottom w:val="nil"/>
            </w:tcBorders>
            <w:shd w:val="clear" w:color="auto" w:fill="66CCFF"/>
          </w:tcPr>
          <w:p w14:paraId="09A3C4FB" w14:textId="77777777" w:rsidR="00DD3EFA" w:rsidRPr="00EC2A1C" w:rsidRDefault="00DD3EFA" w:rsidP="00B15ECB">
            <w:pPr>
              <w:rPr>
                <w:b/>
              </w:rPr>
            </w:pPr>
          </w:p>
        </w:tc>
        <w:tc>
          <w:tcPr>
            <w:tcW w:w="2548" w:type="dxa"/>
            <w:shd w:val="clear" w:color="auto" w:fill="FFFFFF" w:themeFill="background1"/>
          </w:tcPr>
          <w:p w14:paraId="6AC87466" w14:textId="77777777" w:rsidR="00DD3EFA" w:rsidRPr="00EC2A1C" w:rsidRDefault="00DD3EFA" w:rsidP="00B15ECB">
            <w:pPr>
              <w:spacing w:before="60" w:after="60"/>
              <w:rPr>
                <w:rFonts w:eastAsiaTheme="majorEastAsia"/>
                <w:b/>
              </w:rPr>
            </w:pPr>
            <w:r w:rsidRPr="00EC2A1C">
              <w:rPr>
                <w:rFonts w:eastAsiaTheme="majorEastAsia"/>
                <w:b/>
              </w:rPr>
              <w:t>Věcné vymezení specifického cíle NKR</w:t>
            </w:r>
          </w:p>
        </w:tc>
        <w:tc>
          <w:tcPr>
            <w:tcW w:w="5978" w:type="dxa"/>
            <w:shd w:val="clear" w:color="auto" w:fill="FFFFFF" w:themeFill="background1"/>
          </w:tcPr>
          <w:p w14:paraId="27265522" w14:textId="77777777" w:rsidR="00DD3EFA" w:rsidRPr="00EC2A1C" w:rsidRDefault="00DD3EFA" w:rsidP="00B15ECB">
            <w:pPr>
              <w:spacing w:before="60" w:after="60"/>
            </w:pPr>
            <w:r w:rsidRPr="00EC2A1C">
              <w:t>Kultura je nositelkou kompetencí, které jsou neautomatizovatelné, netechnologické a tudíž nenahraditelné. Tyto kompetence využívá zejména znalostní ekonomika, postavená na vědomostech a kompetencích, které kultura po staletí rozvíjí. Zásadním způsobem přispívá k celoživotnímu vzdělávání a tedy i schopnosti lidí lépe se adaptovat na společenské změny. Přináší nová, inovativní řešení a současně udržitelná řešení založená na tradici. Z těchto důvodů je klíčová ochrana a další využívání kulturního dědictví.</w:t>
            </w:r>
          </w:p>
          <w:p w14:paraId="049CB85F" w14:textId="6ECFB4BB" w:rsidR="00DD3EFA" w:rsidRPr="00EC2A1C" w:rsidRDefault="00DD3EFA" w:rsidP="00B15ECB">
            <w:pPr>
              <w:spacing w:before="60" w:after="60"/>
            </w:pPr>
            <w:r w:rsidRPr="00EC2A1C">
              <w:t xml:space="preserve"> Kulturní dědictví může současně sloužit jako významný a vysoce efektivní nástroj přispívající k </w:t>
            </w:r>
            <w:r w:rsidR="00747AAD" w:rsidRPr="00EC2A1C">
              <w:t>bezpečnosti</w:t>
            </w:r>
            <w:r w:rsidRPr="00EC2A1C">
              <w:t xml:space="preserve"> obyvatelstva – ochrana před dezinformacemi a novými formami agrese, především typu </w:t>
            </w:r>
            <w:r w:rsidR="00747AAD" w:rsidRPr="00EC2A1C">
              <w:t>dezinformačních</w:t>
            </w:r>
            <w:r w:rsidRPr="00EC2A1C">
              <w:t xml:space="preserve"> nástrojů a jako nástroj pro ochranu evropských hodnot. </w:t>
            </w:r>
          </w:p>
          <w:p w14:paraId="0B59BEC6" w14:textId="3418E386" w:rsidR="00DD3EFA" w:rsidRPr="00EC2A1C" w:rsidRDefault="00DD3EFA" w:rsidP="00B15ECB">
            <w:pPr>
              <w:spacing w:before="60" w:after="60"/>
            </w:pPr>
            <w:r w:rsidRPr="00EC2A1C">
              <w:t xml:space="preserve">Podpora kulturního dědictví vede k posílení a podpoře vazeb na lokální úrovni díky možnosti sdílet radost z participace na místních kulturních tradicích, hodnotách a  </w:t>
            </w:r>
            <w:r w:rsidR="00747AAD" w:rsidRPr="00EC2A1C">
              <w:t>kulturním</w:t>
            </w:r>
            <w:r w:rsidRPr="00EC2A1C">
              <w:t xml:space="preserve"> dědictví.  Participace a vytvoření nových nástrojů zapojení veřejnosti do kulturního dění posilují wellbeeing a zvyšují míru identifikace, lokálního patri</w:t>
            </w:r>
            <w:r w:rsidR="00747AAD" w:rsidRPr="00EC2A1C">
              <w:t xml:space="preserve">otismu a míru ochoty předávání </w:t>
            </w:r>
            <w:r w:rsidRPr="00EC2A1C">
              <w:t xml:space="preserve">a uchovávání kulturních hodnot.  </w:t>
            </w:r>
          </w:p>
          <w:p w14:paraId="0CF8767E" w14:textId="77777777" w:rsidR="00DD3EFA" w:rsidRPr="00EC2A1C" w:rsidRDefault="00DD3EFA" w:rsidP="00B15ECB">
            <w:pPr>
              <w:spacing w:before="60" w:after="60" w:line="100" w:lineRule="atLeast"/>
            </w:pPr>
            <w:r w:rsidRPr="00EC2A1C">
              <w:t>Nemovité kulturní dědictví je nutno vnímat také v kontextu svého okolí. Kulturní památky a stavební kultura s ním vytvářejí genius loci, jehož význam podtrhuje nejen péče o vlastní podstatu památek, ale i péče o jeho okolí včetně zajištění smysluplného oživení celých územních komplexů, v ČR legislativně podchycených zejména ve vyhlášených městských a venkovských památkových rezervacích a zónách. V malých venkovských městech se problémy soustředí do jejich historických jader</w:t>
            </w:r>
            <w:r w:rsidRPr="00EC2A1C">
              <w:rPr>
                <w:strike/>
                <w:color w:val="FF0000"/>
              </w:rPr>
              <w:t xml:space="preserve"> </w:t>
            </w:r>
            <w:r w:rsidRPr="00EC2A1C">
              <w:t>a strhávají sebou atraktivitu celého města. K tomu přistupují i další problémy těchto měst  – nedostatek pracovních míst, migrace do větších měst a sociální degradace. Pro efektivní řešení je nutno podporovat celistvou obnovu (nejen jednotlivých kulturních památek) včetně např. podpory dostupného bydlení, obchodních, sociálních a technických (vč. řešení dopravy a parkování) funkcí na základě komunitně (za účasti občanů) připravených strategií.</w:t>
            </w:r>
          </w:p>
          <w:p w14:paraId="32E67AF8" w14:textId="77777777" w:rsidR="00DD3EFA" w:rsidRPr="00EC2A1C" w:rsidRDefault="00DD3EFA" w:rsidP="00B15ECB">
            <w:pPr>
              <w:spacing w:before="60" w:after="60"/>
            </w:pPr>
          </w:p>
          <w:p w14:paraId="4F08429A" w14:textId="77777777" w:rsidR="00DD3EFA" w:rsidRPr="00EC2A1C" w:rsidRDefault="00DD3EFA" w:rsidP="00B15ECB">
            <w:r w:rsidRPr="00EC2A1C">
              <w:t>Jedná se o následující prvky ochrany a rozvoje kulturního dědictví:</w:t>
            </w:r>
          </w:p>
          <w:p w14:paraId="0AEFE4DE" w14:textId="77777777" w:rsidR="00DD3EFA" w:rsidRPr="00EC2A1C" w:rsidRDefault="00DD3EFA" w:rsidP="00B15ECB">
            <w:r w:rsidRPr="00EC2A1C">
              <w:t xml:space="preserve">- Ochrana, rozvoj a podpora kulturního dědictví (movitého i nemovitého a nemateriálního) </w:t>
            </w:r>
            <w:r w:rsidRPr="00EC2A1C">
              <w:rPr>
                <w:color w:val="7030A0"/>
                <w:u w:val="single"/>
              </w:rPr>
              <w:t>včetně celkového řešení</w:t>
            </w:r>
            <w:r w:rsidRPr="00EC2A1C">
              <w:rPr>
                <w:color w:val="7030A0"/>
              </w:rPr>
              <w:t xml:space="preserve"> </w:t>
            </w:r>
            <w:r w:rsidRPr="00EC2A1C">
              <w:t>historicky cenných územních komplexů s důrazem na historická jádra malých venkovských měst</w:t>
            </w:r>
          </w:p>
          <w:p w14:paraId="302BC0BD" w14:textId="77777777" w:rsidR="00DD3EFA" w:rsidRPr="00EC2A1C" w:rsidRDefault="00DD3EFA" w:rsidP="00B15ECB">
            <w:r w:rsidRPr="00EC2A1C">
              <w:t>- Ochrana a rozvoj kulturních institucí pečujících o kulturní dědictví muzea, galerie, knihovny a  ústavy</w:t>
            </w:r>
          </w:p>
          <w:p w14:paraId="198DCCF5" w14:textId="0CF59FB4" w:rsidR="00DD3EFA" w:rsidRPr="00EC2A1C" w:rsidRDefault="00DD3EFA" w:rsidP="00B15ECB">
            <w:r w:rsidRPr="00EC2A1C">
              <w:t xml:space="preserve">- Ochrana a rozvoj </w:t>
            </w:r>
            <w:r w:rsidR="00747AAD" w:rsidRPr="00EC2A1C">
              <w:t>nehmotného</w:t>
            </w:r>
            <w:r w:rsidRPr="00EC2A1C">
              <w:t xml:space="preserve"> kulturního dědictví – kreativní a umělecká centra, nositelé nehmotného  kulturního dědictví </w:t>
            </w:r>
          </w:p>
          <w:p w14:paraId="6FFC929E" w14:textId="77777777" w:rsidR="00DD3EFA" w:rsidRPr="00EC2A1C" w:rsidRDefault="00DD3EFA" w:rsidP="00B15ECB">
            <w:r w:rsidRPr="00EC2A1C">
              <w:t>- Podpora rozvoje zázemí pro kulturní a kreativní odvětví/průmysly</w:t>
            </w:r>
          </w:p>
          <w:p w14:paraId="47919968" w14:textId="77777777" w:rsidR="00DD3EFA" w:rsidRPr="00EC2A1C" w:rsidRDefault="00DD3EFA" w:rsidP="00B15ECB">
            <w:r w:rsidRPr="00EC2A1C">
              <w:t>- Zvyšování kompetencí  a nově vznikajících kompetencí v souvislosti s rozvojem nových technologií</w:t>
            </w:r>
          </w:p>
          <w:p w14:paraId="37B6F4BC" w14:textId="77777777" w:rsidR="00DD3EFA" w:rsidRPr="00EC2A1C" w:rsidRDefault="00DD3EFA" w:rsidP="00B15ECB">
            <w:r w:rsidRPr="00EC2A1C">
              <w:t>- Zavedení pravidelné nezávislé evaluace kulturních institucí</w:t>
            </w:r>
          </w:p>
        </w:tc>
        <w:tc>
          <w:tcPr>
            <w:tcW w:w="249" w:type="dxa"/>
            <w:tcBorders>
              <w:top w:val="nil"/>
              <w:bottom w:val="nil"/>
            </w:tcBorders>
            <w:shd w:val="clear" w:color="auto" w:fill="66CCFF"/>
          </w:tcPr>
          <w:p w14:paraId="00D7B4DB" w14:textId="77777777" w:rsidR="00DD3EFA" w:rsidRPr="00EC2A1C" w:rsidRDefault="00DD3EFA" w:rsidP="00B15ECB">
            <w:pPr>
              <w:rPr>
                <w:b/>
              </w:rPr>
            </w:pPr>
          </w:p>
        </w:tc>
      </w:tr>
      <w:tr w:rsidR="00DD3EFA" w:rsidRPr="00EC2A1C" w14:paraId="6E1414DD" w14:textId="77777777" w:rsidTr="00B15ECB">
        <w:trPr>
          <w:trHeight w:val="46"/>
        </w:trPr>
        <w:tc>
          <w:tcPr>
            <w:tcW w:w="249" w:type="dxa"/>
            <w:tcBorders>
              <w:top w:val="nil"/>
              <w:bottom w:val="nil"/>
              <w:right w:val="nil"/>
            </w:tcBorders>
            <w:shd w:val="clear" w:color="auto" w:fill="66CCFF"/>
          </w:tcPr>
          <w:p w14:paraId="70371FB8"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0DC8BED2"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694D4432" w14:textId="77777777" w:rsidR="00DD3EFA" w:rsidRPr="00EC2A1C" w:rsidRDefault="00DD3EFA" w:rsidP="00B15ECB">
            <w:pPr>
              <w:rPr>
                <w:b/>
              </w:rPr>
            </w:pPr>
          </w:p>
        </w:tc>
        <w:tc>
          <w:tcPr>
            <w:tcW w:w="249" w:type="dxa"/>
            <w:tcBorders>
              <w:top w:val="nil"/>
              <w:left w:val="nil"/>
              <w:bottom w:val="nil"/>
            </w:tcBorders>
            <w:shd w:val="clear" w:color="auto" w:fill="66CCFF"/>
          </w:tcPr>
          <w:p w14:paraId="543E1E0F" w14:textId="77777777" w:rsidR="00DD3EFA" w:rsidRPr="00EC2A1C" w:rsidRDefault="00DD3EFA" w:rsidP="00B15ECB">
            <w:pPr>
              <w:rPr>
                <w:b/>
              </w:rPr>
            </w:pPr>
          </w:p>
        </w:tc>
      </w:tr>
      <w:tr w:rsidR="00DD3EFA" w:rsidRPr="00EC2A1C" w14:paraId="2898DE02" w14:textId="77777777" w:rsidTr="00B15ECB">
        <w:trPr>
          <w:trHeight w:val="1274"/>
        </w:trPr>
        <w:tc>
          <w:tcPr>
            <w:tcW w:w="249" w:type="dxa"/>
            <w:tcBorders>
              <w:top w:val="nil"/>
              <w:bottom w:val="nil"/>
            </w:tcBorders>
            <w:shd w:val="clear" w:color="auto" w:fill="66CCFF"/>
          </w:tcPr>
          <w:p w14:paraId="13716650"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06EC0A4" w14:textId="77777777" w:rsidR="00DD3EFA" w:rsidRPr="00EC2A1C" w:rsidRDefault="00DD3EFA" w:rsidP="00B15ECB">
            <w:pPr>
              <w:spacing w:before="60" w:after="60"/>
              <w:rPr>
                <w:rFonts w:eastAsiaTheme="majorEastAsia"/>
                <w:b/>
              </w:rPr>
            </w:pPr>
            <w:r w:rsidRPr="00EC2A1C">
              <w:rPr>
                <w:rFonts w:eastAsiaTheme="majorEastAsia"/>
                <w:b/>
              </w:rPr>
              <w:t>Proč je daný cíl důležitý (v kontextu oblasti i v kontextu celku)</w:t>
            </w:r>
          </w:p>
        </w:tc>
        <w:tc>
          <w:tcPr>
            <w:tcW w:w="5978" w:type="dxa"/>
            <w:tcBorders>
              <w:bottom w:val="single" w:sz="4" w:space="0" w:color="auto"/>
            </w:tcBorders>
            <w:shd w:val="clear" w:color="auto" w:fill="FFFFFF" w:themeFill="background1"/>
          </w:tcPr>
          <w:p w14:paraId="33E1022F" w14:textId="77777777" w:rsidR="00DD3EFA" w:rsidRPr="00EC2A1C" w:rsidRDefault="00DD3EFA" w:rsidP="00B15ECB">
            <w:r w:rsidRPr="00EC2A1C">
              <w:t>Česká republika prochází z důvodu rychlého technologického vývoje zásadními změnami. Digitalizace, automatizace, robotizace a smart řešení jsou novými agendami měnícího se světa. Přinášejí pozitivní i negativní dopady, nároky i nové možnosti pro celou společnost. Kultura umožňuje překlenovat problémy vznikající mezi člověkem a technologiemi. Staví na první místo člověka. Personalizovaná a na míru jednotlivce uzpůsobená řešení jsou udržitelná, mohou vést ke změně diskurzu a umožnit vnímat svět jako dobré místo pro život. Svými přístupy a stimulací kreativity vytváří nová řešení - inovace a celé nové formy ekonomiky. Kultura je základem tvorby naší identity, fundamentálním pojítkem, spojovatelkou společnosti, i měřítkem a svorníkem společenské koheze. Umožňuje zachovávat a potvrzovat identitu v rámci regionu, etnika, či civilizačního okruhu. A tím nad to všechno i vytvářet pozitivní image celé České republiky.</w:t>
            </w:r>
          </w:p>
          <w:p w14:paraId="5A1D9E2A" w14:textId="77777777" w:rsidR="00DD3EFA" w:rsidRPr="00EC2A1C" w:rsidRDefault="00DD3EFA" w:rsidP="00B15ECB">
            <w:r w:rsidRPr="00EC2A1C">
              <w:t xml:space="preserve">Česká republika je z historických, společenských a kulturních důvodů mimořádně bohatá na kulturní dědictví. A to navzdory tomu, že v posledních 100 letech bylo vystaveno řadě destruktivních zásahů. Mimo doby obou totalit, které poznamenaly jak movité, tak nemovité kulturní dědictví, zaznamenalo těžké ztráty i v 90. letech 20. století, kdy byla řada památek (často sakrálních) odcizena a vyvezena za hranice republiky. Jeho význam je přitom pro společnost dlouhodobě zcela zásadní. Díky této historické zkušenosti je tak ochrana kulturního dědictví a institucí, které o něj pečují, pro Českou republiku mimořádně významný problém. </w:t>
            </w:r>
          </w:p>
          <w:p w14:paraId="3D49957A" w14:textId="77777777" w:rsidR="00DD3EFA" w:rsidRPr="00EC2A1C" w:rsidRDefault="00DD3EFA" w:rsidP="00B15ECB"/>
          <w:p w14:paraId="4AF82DCE" w14:textId="77777777" w:rsidR="00DD3EFA" w:rsidRPr="00EC2A1C" w:rsidRDefault="00DD3EFA" w:rsidP="00B15ECB">
            <w:r w:rsidRPr="00EC2A1C">
              <w:t xml:space="preserve">Díky zmíněnému historickému vývoji a dvěma totalitním režimům má Česká republika rovněž nižší počet možností, jak kulturní dědictví a příslušné instituce rozvíjet a podporovat. Zřetelně identifikovataelným důsledkem toho historického  vývoje je také relativizování nezbytné úrovně a kompetencí, zejména v oblasti muzeologie a monumentiky. </w:t>
            </w:r>
          </w:p>
          <w:p w14:paraId="2E02126D" w14:textId="77777777" w:rsidR="00DD3EFA" w:rsidRPr="00EC2A1C" w:rsidRDefault="00DD3EFA" w:rsidP="00B15ECB"/>
          <w:p w14:paraId="2089AA3A" w14:textId="77777777" w:rsidR="00DD3EFA" w:rsidRPr="00EC2A1C" w:rsidRDefault="00DD3EFA" w:rsidP="00B15ECB">
            <w:r w:rsidRPr="00EC2A1C">
              <w:t xml:space="preserve">Celkový objem finančních prostředků, které jsou v rámci finanční podpory na tyto aktivity vydávány, sice v posledních letech stoupá, nicméně stále nedostačuje, což podvazuje kulturní potenciál ČR. Procentuální podíl výdajů na kulturu v rámci státního rozpočtu vzrostl z 0,76 % v roce 2013 na 0,96 % pro rok 2017 a přibližuje se tak žádoucímu 1 % na kulturu. Součástí státního rozpočtu v posledních letech však byly i náklady na majetkové vyrovnání státu s církvemi a náboženskými společnostmi. V rámci schváleného státního rozpočtu na rok 2018 byl rozpočet Ministerstva kultury navýšen o 0,3 miliardy Kč. </w:t>
            </w:r>
          </w:p>
        </w:tc>
        <w:tc>
          <w:tcPr>
            <w:tcW w:w="249" w:type="dxa"/>
            <w:tcBorders>
              <w:top w:val="nil"/>
              <w:bottom w:val="nil"/>
            </w:tcBorders>
            <w:shd w:val="clear" w:color="auto" w:fill="66CCFF"/>
          </w:tcPr>
          <w:p w14:paraId="5C54499C" w14:textId="77777777" w:rsidR="00DD3EFA" w:rsidRPr="00EC2A1C" w:rsidRDefault="00DD3EFA" w:rsidP="00B15ECB">
            <w:pPr>
              <w:rPr>
                <w:b/>
              </w:rPr>
            </w:pPr>
          </w:p>
        </w:tc>
      </w:tr>
      <w:tr w:rsidR="00DD3EFA" w:rsidRPr="00EC2A1C" w14:paraId="29B41FB5" w14:textId="77777777" w:rsidTr="00B15ECB">
        <w:trPr>
          <w:trHeight w:val="1274"/>
        </w:trPr>
        <w:tc>
          <w:tcPr>
            <w:tcW w:w="249" w:type="dxa"/>
            <w:tcBorders>
              <w:top w:val="nil"/>
              <w:bottom w:val="nil"/>
            </w:tcBorders>
            <w:shd w:val="clear" w:color="auto" w:fill="66CCFF"/>
          </w:tcPr>
          <w:p w14:paraId="0B89C1A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ED5FB3B" w14:textId="77777777" w:rsidR="00DD3EFA" w:rsidRPr="00EC2A1C" w:rsidRDefault="00DD3EFA" w:rsidP="00B15ECB">
            <w:pPr>
              <w:spacing w:before="60" w:after="60"/>
              <w:rPr>
                <w:rFonts w:eastAsiaTheme="majorEastAsia"/>
                <w:b/>
              </w:rPr>
            </w:pPr>
            <w:r w:rsidRPr="00EC2A1C">
              <w:rPr>
                <w:rFonts w:eastAsiaTheme="majorEastAsia"/>
                <w:b/>
              </w:rPr>
              <w:t xml:space="preserve">Problémy, které specifický cíl řeší </w:t>
            </w:r>
          </w:p>
        </w:tc>
        <w:tc>
          <w:tcPr>
            <w:tcW w:w="5978" w:type="dxa"/>
            <w:tcBorders>
              <w:bottom w:val="single" w:sz="4" w:space="0" w:color="auto"/>
            </w:tcBorders>
            <w:shd w:val="clear" w:color="auto" w:fill="FFFFFF" w:themeFill="background1"/>
          </w:tcPr>
          <w:p w14:paraId="3213D3B0" w14:textId="77777777" w:rsidR="00DD3EFA" w:rsidRPr="00EC2A1C" w:rsidRDefault="00DD3EFA" w:rsidP="00B15ECB">
            <w:r w:rsidRPr="00EC2A1C">
              <w:t xml:space="preserve">Tematický okruh - </w:t>
            </w:r>
            <w:r w:rsidRPr="00EC2A1C">
              <w:rPr>
                <w:b/>
                <w:u w:val="single"/>
              </w:rPr>
              <w:t>Ochrana, rozvoj a podpora kulturního dědictví (movitého i nemovitého a nemateriálního):</w:t>
            </w:r>
          </w:p>
          <w:p w14:paraId="3DACC4D4" w14:textId="77777777" w:rsidR="00DD3EFA" w:rsidRPr="00EC2A1C" w:rsidRDefault="00DD3EFA" w:rsidP="00B15ECB"/>
          <w:p w14:paraId="2807D435" w14:textId="77777777" w:rsidR="00DD3EFA" w:rsidRPr="00EC2A1C" w:rsidRDefault="00DD3EFA" w:rsidP="00B15ECB">
            <w:pPr>
              <w:rPr>
                <w:b/>
              </w:rPr>
            </w:pPr>
            <w:r w:rsidRPr="00EC2A1C">
              <w:rPr>
                <w:b/>
              </w:rPr>
              <w:t>Ochrana a obnova,  resp. záchrana nemovitého kulturního dědictví</w:t>
            </w:r>
          </w:p>
          <w:p w14:paraId="4F64AAE7" w14:textId="55A304C5" w:rsidR="00DD3EFA" w:rsidRPr="00EC2A1C" w:rsidRDefault="00DD3EFA" w:rsidP="00B15ECB">
            <w:r w:rsidRPr="00EC2A1C">
              <w:t xml:space="preserve">Česká republika disponuje velmi rozsáhlým fondem (více než 42 tis.) nemovitých </w:t>
            </w:r>
            <w:r w:rsidR="00747AAD" w:rsidRPr="00EC2A1C">
              <w:t>kulturních</w:t>
            </w:r>
            <w:r w:rsidRPr="00EC2A1C">
              <w:t xml:space="preserve"> památek, z nichž značná část není v technicky dobrém stavu, v případě cca 5 % památek je stav možno označit za havarijní. Součástí řady významných stavebních památek je rovněž vysoce kvalitní umělecká výzdoba a mnohdy i dochovaný historický mobiliář. </w:t>
            </w:r>
          </w:p>
          <w:p w14:paraId="63FD3BDA" w14:textId="6C86FD5B" w:rsidR="00DD3EFA" w:rsidRPr="00EC2A1C" w:rsidRDefault="00DD3EFA" w:rsidP="00B15ECB">
            <w:r w:rsidRPr="00EC2A1C">
              <w:t xml:space="preserve">Zejména v případě </w:t>
            </w:r>
            <w:r w:rsidR="00747AAD" w:rsidRPr="00EC2A1C">
              <w:t>těchto</w:t>
            </w:r>
            <w:r w:rsidRPr="00EC2A1C">
              <w:t xml:space="preserve"> významných památek je jejich zachování pro budoucnost nezpochybnitelným veřejným zájmem a jejich násl</w:t>
            </w:r>
            <w:r w:rsidR="00747AAD" w:rsidRPr="00EC2A1C">
              <w:t>edné využití pro kulturní účely</w:t>
            </w:r>
            <w:r w:rsidRPr="00EC2A1C">
              <w:t xml:space="preserve"> či cestovní ruch představuje významný celospolečenský přínos. Náklady na ochranu, uchování či obnovu těchto významných památek jsou velmi vysoké a současné národní zdroje neumožňují jejich systematickou obnovu a včetně vytvoření podmínek pro rozvoj jejich využití a vhodnou prezentaci, tedy i využití pro využití kulturních a kreativních odvětví/průmyslů . </w:t>
            </w:r>
          </w:p>
          <w:p w14:paraId="04EE1588" w14:textId="77777777" w:rsidR="00DD3EFA" w:rsidRPr="00EC2A1C" w:rsidRDefault="00DD3EFA" w:rsidP="00B15ECB">
            <w:pPr>
              <w:spacing w:line="100" w:lineRule="atLeast"/>
              <w:rPr>
                <w:b/>
              </w:rPr>
            </w:pPr>
          </w:p>
          <w:p w14:paraId="3CBCB522" w14:textId="77777777" w:rsidR="00DD3EFA" w:rsidRPr="00EC2A1C" w:rsidRDefault="00DD3EFA" w:rsidP="00B15ECB">
            <w:pPr>
              <w:spacing w:line="100" w:lineRule="atLeast"/>
            </w:pPr>
            <w:r w:rsidRPr="00EC2A1C">
              <w:rPr>
                <w:b/>
              </w:rPr>
              <w:t>Komplexní řešení historicky cenných územních komplexů s důrazem na historická jádra malých venkovských měst</w:t>
            </w:r>
          </w:p>
          <w:p w14:paraId="2E7DB211" w14:textId="56B3C3EF" w:rsidR="00DD3EFA" w:rsidRPr="00EC2A1C" w:rsidRDefault="00DD3EFA" w:rsidP="00B15ECB">
            <w:pPr>
              <w:spacing w:line="100" w:lineRule="atLeast"/>
            </w:pPr>
            <w:r w:rsidRPr="00EC2A1C">
              <w:t xml:space="preserve">Vláda ČR usnesením číslo 209 ze dne 25. března </w:t>
            </w:r>
            <w:r w:rsidRPr="00EC2A1C">
              <w:rPr>
                <w:rFonts w:eastAsia="Calibri"/>
              </w:rPr>
              <w:t xml:space="preserve">1992 schválila </w:t>
            </w:r>
            <w:r w:rsidRPr="00EC2A1C">
              <w:t xml:space="preserve">Program regenerace městských </w:t>
            </w:r>
            <w:r w:rsidRPr="00EC2A1C">
              <w:rPr>
                <w:spacing w:val="-4"/>
              </w:rPr>
              <w:t xml:space="preserve">památkových rezervací a městských památkových zón, na jehož základě mají města </w:t>
            </w:r>
            <w:r w:rsidRPr="00EC2A1C">
              <w:t>připraveny vlastní programy, pracují s komunitami, ale na potřebné investice jim nedostačují prostředky. V ř</w:t>
            </w:r>
            <w:r w:rsidR="00747AAD" w:rsidRPr="00EC2A1C">
              <w:t>adě měst přetrvává tristní stav</w:t>
            </w:r>
            <w:r w:rsidRPr="00EC2A1C">
              <w:t xml:space="preserve"> z roku 1989: nedostatečná a zanedbaná technická infrastruktura, špatný stavební stav objektů, špatná kvalita bydlení, nevyhovující sociální skladba obyvatelstva, chybějící síť obchodů a služeb i narušené vlastnické vztahy. Na druhé straně ale existují již 26 leté zkušenosti z realizace programu a spolupráce s hlavní partnerskou organizací – Sdružením historických sídel Čech, Moravy a Slezska s Ministerstvem kultury ČR a tehdejším Ministerstvem pro hospodářskou politiku a rozvoj ČR - nyní Ministerstvem pro místní rozvoj ČR. Integrovaný charakter regenerace i jeho náročnost a přímý vztah k občanům by odpovídal Komunitně vedenému rozvoji (CLLD) – dnešní politický cíl 5.</w:t>
            </w:r>
          </w:p>
          <w:p w14:paraId="2725126A" w14:textId="77777777" w:rsidR="00DD3EFA" w:rsidRPr="00EC2A1C" w:rsidRDefault="00DD3EFA" w:rsidP="00B15ECB">
            <w:pPr>
              <w:rPr>
                <w:highlight w:val="yellow"/>
              </w:rPr>
            </w:pPr>
          </w:p>
          <w:p w14:paraId="544036FC" w14:textId="77777777" w:rsidR="00DD3EFA" w:rsidRPr="00EC2A1C" w:rsidRDefault="00DD3EFA" w:rsidP="00B15ECB">
            <w:pPr>
              <w:rPr>
                <w:b/>
              </w:rPr>
            </w:pPr>
            <w:r w:rsidRPr="00EC2A1C">
              <w:rPr>
                <w:b/>
              </w:rPr>
              <w:t>Ochrana movitých památek vč. jejich restaurování, digitalizace a zkvalitnění systému evidence</w:t>
            </w:r>
          </w:p>
          <w:p w14:paraId="3E8A5084" w14:textId="77777777" w:rsidR="00DD3EFA" w:rsidRPr="00EC2A1C" w:rsidRDefault="00DD3EFA" w:rsidP="00B15ECB">
            <w:r w:rsidRPr="00EC2A1C">
              <w:t>Značným problémem je nutnost takové péče o kulturní dědictví, která zajistí jejich existenci i pro další generace. Možnost jejich dlouhodobého zachování je pro kulturu a společnost mimořádně přínosná. Je tedy třeba jak jejich fyzické ochrany, jejíž nedílnou součástí je i kvalitní systém evidence, ale také případné citlivé restaurování. V České republice je to problém o to palčivější, že má nadprůměrné množství kulturních statků a jen odhad sbírkových předmětů je 61-65 milionů. K ochraně takového množství movitých památek je třeba značného úsilí a finančních prostředků. Mimo to je rovněž třeba modernizovat péči o zmíněné předměty, a to včetně umožnění jejich virtuální prohlídky a dalšího využití pomocí současných technologií, vzdělávání a tvorbu ekonomické hodnoty, např. pro kulturní a kreativní odvětví/průmysly.</w:t>
            </w:r>
          </w:p>
          <w:p w14:paraId="5B3FB22A" w14:textId="77777777" w:rsidR="00DD3EFA" w:rsidRPr="00EC2A1C" w:rsidRDefault="00DD3EFA" w:rsidP="00B15ECB"/>
          <w:p w14:paraId="35A2E9C6" w14:textId="77777777" w:rsidR="00DD3EFA" w:rsidRPr="00EC2A1C" w:rsidRDefault="00DD3EFA" w:rsidP="00B15ECB">
            <w:pPr>
              <w:rPr>
                <w:b/>
              </w:rPr>
            </w:pPr>
            <w:r w:rsidRPr="00EC2A1C">
              <w:rPr>
                <w:b/>
              </w:rPr>
              <w:t>Ochrana a podpora nemateriálního kulturního dědictví</w:t>
            </w:r>
          </w:p>
          <w:p w14:paraId="45EF15B7" w14:textId="77777777" w:rsidR="00DD3EFA" w:rsidRPr="00EC2A1C" w:rsidRDefault="00DD3EFA" w:rsidP="00B15ECB">
            <w:r w:rsidRPr="00EC2A1C">
              <w:t xml:space="preserve">Značným problémem další existence některých projevů nemateriálního kulturního dědictví v oblasti tradiční lidové kultury ČR je nutnost financování péče, která zajistí jejich existenci i pro další generace, využití pro vzdělávání a tvorbu ekonomické přidané hodnoty. Možnost jejich dlouhodobé existence je pro lokální komunity, ale též kulturu a společnost celé země mimořádně přínosná. Je ovšem třeba zajistit jak jejich fyzickou ochranu, jejíž nedílnou součástí je i kvalitní systém identifikace, evidence a dokumentace, ale také citlivá podpora. V České republice je to problém o to palčivější, že má nadprůměrné množství statků nemateriálního kulturního dědictví, které jsou rovnoměrně zastoupeny na území celé ČR. K ochraně takového množství kulturních statků je třeba značného úsilí a finančních prostředků. Mimo to je rovněž třeba modernizovat péči o zmíněné statky, a to včetně umožnění jejich virtuální prohlídky a dalšího využití pomocí současných technologií. </w:t>
            </w:r>
          </w:p>
          <w:p w14:paraId="0020DD95" w14:textId="77777777" w:rsidR="00DD3EFA" w:rsidRPr="00EC2A1C" w:rsidRDefault="00DD3EFA" w:rsidP="00B15ECB">
            <w:pPr>
              <w:rPr>
                <w:b/>
              </w:rPr>
            </w:pPr>
          </w:p>
          <w:p w14:paraId="07E15747" w14:textId="77777777" w:rsidR="00DD3EFA" w:rsidRPr="00EC2A1C" w:rsidRDefault="00DD3EFA" w:rsidP="00B15ECB">
            <w:pPr>
              <w:rPr>
                <w:b/>
              </w:rPr>
            </w:pPr>
            <w:r w:rsidRPr="00EC2A1C">
              <w:rPr>
                <w:b/>
              </w:rPr>
              <w:t>Zabezpečení památkových objektů a areálů paměťových institucí a jejich mobiliárních fondů a sbírek</w:t>
            </w:r>
          </w:p>
          <w:p w14:paraId="6ADDF078" w14:textId="77777777" w:rsidR="00DD3EFA" w:rsidRPr="00EC2A1C" w:rsidRDefault="00DD3EFA" w:rsidP="00B15ECB">
            <w:r w:rsidRPr="00EC2A1C">
              <w:t>V rámci adekvátní péče o mimořádné bohaté kulturní dědictví je třeba zajistit jak fyzickou bezpečnost předmětů samotných, tak institucí, které je spravují. Jde o ochranu před krádežemi či poškozením, zvyšující se význam má rovněž bezpečnost. Některé instituce jsou potenciálně ohroženy útoky ze strany extremistů a je tedy nezbytné zvýšit intenzitu jejich ochrany. V takových případech již není ohroženo jen kulturní dědictví, ale také lidské životy.</w:t>
            </w:r>
          </w:p>
          <w:p w14:paraId="5F5F2438" w14:textId="77777777" w:rsidR="00DD3EFA" w:rsidRPr="00EC2A1C" w:rsidRDefault="00DD3EFA" w:rsidP="00B15ECB">
            <w:pPr>
              <w:rPr>
                <w:b/>
              </w:rPr>
            </w:pPr>
          </w:p>
          <w:p w14:paraId="5FFD53FB" w14:textId="77777777" w:rsidR="00DD3EFA" w:rsidRPr="00EC2A1C" w:rsidRDefault="00DD3EFA" w:rsidP="00B15ECB">
            <w:pPr>
              <w:rPr>
                <w:b/>
              </w:rPr>
            </w:pPr>
            <w:r w:rsidRPr="00EC2A1C">
              <w:rPr>
                <w:b/>
              </w:rPr>
              <w:t>Podpora vzniku a rekonstrukce lokálních depozitářů</w:t>
            </w:r>
          </w:p>
          <w:p w14:paraId="148BA3A5" w14:textId="77777777" w:rsidR="00DD3EFA" w:rsidRPr="00EC2A1C" w:rsidRDefault="00DD3EFA" w:rsidP="00B15ECB">
            <w:r w:rsidRPr="00EC2A1C">
              <w:t>Výstavba depozitářů je pro péči o kulturní dědictví zcela zásadní, neboť v současné době jejich nedostatek brzdí rozvoj institucí a omezuje péči o samotné předměty. V případě jejich vzniku bude možné realizovat zásadní zlepšení podmínek pro uchování kulturního dědictví v péči kulturních institucí. Jejich vznik je rovněž významný v důsledku stálé změny klimatu a s tím spojených extrémních výkyvů počasí. Zároveň to bude příspěvek k žádoucímu rozvoji regionů a lokální kulturní infrastruktury.</w:t>
            </w:r>
          </w:p>
          <w:p w14:paraId="4C11B427" w14:textId="77777777" w:rsidR="00DD3EFA" w:rsidRPr="00EC2A1C" w:rsidRDefault="00DD3EFA" w:rsidP="00B15ECB">
            <w:pPr>
              <w:rPr>
                <w:b/>
              </w:rPr>
            </w:pPr>
          </w:p>
          <w:p w14:paraId="5E391362" w14:textId="77777777" w:rsidR="00DD3EFA" w:rsidRPr="00EC2A1C" w:rsidRDefault="00DD3EFA" w:rsidP="00B15ECB">
            <w:pPr>
              <w:rPr>
                <w:b/>
              </w:rPr>
            </w:pPr>
            <w:r w:rsidRPr="00EC2A1C">
              <w:rPr>
                <w:b/>
              </w:rPr>
              <w:t>Podpora vzniku a rekonstrukce návštěvnických center a zázemí pro návštěvníky objektů kulturního dědictví</w:t>
            </w:r>
          </w:p>
          <w:p w14:paraId="4EA980ED" w14:textId="121AB0CB" w:rsidR="00DD3EFA" w:rsidRPr="00EC2A1C" w:rsidRDefault="00DD3EFA" w:rsidP="00B15ECB">
            <w:r w:rsidRPr="00EC2A1C">
              <w:t>Tento bod je zásadní pro zvýšení zájmu veřejnosti o kulturní dědictví a uživatelského komfortu s tím spojeným. Významný je především pro rodiny s dětmi, které jsou jednou z </w:t>
            </w:r>
            <w:r w:rsidR="00747AAD" w:rsidRPr="00EC2A1C">
              <w:t>nejvýznamnějších</w:t>
            </w:r>
            <w:r w:rsidRPr="00EC2A1C">
              <w:t xml:space="preserve"> návštěvnických skupin, případně dá rovnou příležitost handicapovaným skupinám obyvatelstva k přístupu ke kulturnímu dědictví. Mimo zvýšení návštěvnosti příslušných kulturních institucí je přínosem rovněž vyšší prestiž organizací a možnost opakovaných návštěv. </w:t>
            </w:r>
          </w:p>
          <w:p w14:paraId="57C3D445" w14:textId="77777777" w:rsidR="00DD3EFA" w:rsidRPr="00EC2A1C" w:rsidRDefault="00DD3EFA" w:rsidP="00B15ECB">
            <w:pPr>
              <w:rPr>
                <w:b/>
              </w:rPr>
            </w:pPr>
          </w:p>
          <w:p w14:paraId="0EB3428C" w14:textId="77777777" w:rsidR="00DD3EFA" w:rsidRPr="00EC2A1C" w:rsidRDefault="00DD3EFA" w:rsidP="00B15ECB">
            <w:pPr>
              <w:rPr>
                <w:b/>
              </w:rPr>
            </w:pPr>
            <w:r w:rsidRPr="00EC2A1C">
              <w:rPr>
                <w:b/>
              </w:rPr>
              <w:t>Podpora vzniku edukačních center kulturního dědictví a zázemí pro žáky a studenty všech úrovní školského systému (včetně celoživotního vzdělávání)</w:t>
            </w:r>
          </w:p>
          <w:p w14:paraId="0E0CA26B" w14:textId="77777777" w:rsidR="00DD3EFA" w:rsidRPr="00EC2A1C" w:rsidRDefault="00DD3EFA" w:rsidP="00B15ECB">
            <w:r w:rsidRPr="00EC2A1C">
              <w:t xml:space="preserve">Podpora vzniku edukačních center zaměřených na kulturní dědictví a jejich materiálně – technického vybavení, je žádoucí především z toho důvodu, že jsou v současnosti nejlepším příkladem existence rozvinutých forem kvalitního vzdělávání v českém mimoškolním prostředí. Edukace v rámci kulturního dědictví přináší stále kvalitnější a diferenciovanější formy vzdělávání návštěvníků a rovněž pro žáky a studenty všech úrovní školského systému. Patří k nejoblíbenějším a zároveň – díky potenciálu sbírkových fondů a autentického prostředí památkových objektů – z edukačního hlediska k nejefektnějším. Významná je v tomto směru rovněž úloha studijních depozitářů. V rámci aktuální diskuze o budoucnosti českého vzdělávání, kulturní identitě a smyslu kulturních institucí, se edukační aktivity v památkových objektech a paměťových institucích staly velkým fenoménem. Jejich hlavním přínosem je nejen možnost vzdělávání, ale také oživování kulturního dědictví a jeho přiblížení lidem. </w:t>
            </w:r>
          </w:p>
          <w:p w14:paraId="15BFA722" w14:textId="77777777" w:rsidR="00DD3EFA" w:rsidRPr="00EC2A1C" w:rsidRDefault="00DD3EFA" w:rsidP="00B15ECB">
            <w:pPr>
              <w:pStyle w:val="Odstavecseseznamem"/>
              <w:rPr>
                <w:b/>
                <w:color w:val="538135" w:themeColor="accent6" w:themeShade="BF"/>
              </w:rPr>
            </w:pPr>
          </w:p>
          <w:p w14:paraId="747B8908" w14:textId="77777777" w:rsidR="00DD3EFA" w:rsidRPr="00EC2A1C" w:rsidRDefault="00DD3EFA" w:rsidP="00B15ECB">
            <w:r w:rsidRPr="00EC2A1C">
              <w:t xml:space="preserve">Tematický okruh - </w:t>
            </w:r>
            <w:r w:rsidRPr="00EC2A1C">
              <w:rPr>
                <w:b/>
                <w:u w:val="single"/>
              </w:rPr>
              <w:t>Ochrana a rozvoj kulturních institucí pečujících o kulturní dědictví – muzea, galerie, knihovny, ústavy, archivy:</w:t>
            </w:r>
          </w:p>
          <w:p w14:paraId="4244F543" w14:textId="77777777" w:rsidR="00DD3EFA" w:rsidRPr="00EC2A1C" w:rsidRDefault="00DD3EFA" w:rsidP="00B15ECB"/>
          <w:p w14:paraId="6A81E0D5" w14:textId="77777777" w:rsidR="00DD3EFA" w:rsidRPr="00EC2A1C" w:rsidRDefault="00DD3EFA" w:rsidP="00B15ECB">
            <w:pPr>
              <w:rPr>
                <w:b/>
              </w:rPr>
            </w:pPr>
            <w:r w:rsidRPr="00EC2A1C">
              <w:rPr>
                <w:b/>
              </w:rPr>
              <w:t>Podpora vzniku a rekonstrukcí objektů muzeí, knihoven, galerií, ústavů a archivů</w:t>
            </w:r>
          </w:p>
          <w:p w14:paraId="139B2EE3" w14:textId="77777777" w:rsidR="00DD3EFA" w:rsidRPr="00EC2A1C" w:rsidRDefault="00DD3EFA" w:rsidP="00B15ECB">
            <w:r w:rsidRPr="00EC2A1C">
              <w:t>V tomto směru je důležitým úkolem modernizace zastaralého a technicky i kapacitně nedostatečného systému ochrany objektů institucí, pečujících o kulturní dědictví, vč. např. požární ochrany. Právě za oblast paměťových institucí je podpora této oblasti jedinečnou příležitostí k zajištění vybudování nových expozic, zpřístupnění nepřístupných částí objektů muzeí, rekonstrukce stávajících objektů ve správě těchto institucí aj.</w:t>
            </w:r>
          </w:p>
          <w:p w14:paraId="43627655" w14:textId="77777777" w:rsidR="00DD3EFA" w:rsidRPr="00EC2A1C" w:rsidRDefault="00DD3EFA" w:rsidP="00B15ECB"/>
          <w:p w14:paraId="336279BD" w14:textId="77777777" w:rsidR="00DD3EFA" w:rsidRPr="00EC2A1C" w:rsidRDefault="00DD3EFA" w:rsidP="00B15ECB">
            <w:pPr>
              <w:rPr>
                <w:b/>
              </w:rPr>
            </w:pPr>
            <w:r w:rsidRPr="00EC2A1C">
              <w:rPr>
                <w:b/>
              </w:rPr>
              <w:t>Podpora vybavení těchto paměťových institucí moderními informačními technologiemi pro prezentaci a komunikaci jejich obsahu</w:t>
            </w:r>
          </w:p>
          <w:p w14:paraId="63E51FD9" w14:textId="77777777" w:rsidR="00DD3EFA" w:rsidRPr="00EC2A1C" w:rsidRDefault="00DD3EFA" w:rsidP="00B15ECB">
            <w:r w:rsidRPr="00EC2A1C">
              <w:t>Dalším problémem, který je nutno řešit, je vybavení jejich materiálně - technické základny, dovybudování návštěvnického zázemí a nových depozitárních prostor a archivů pro kvalitní uložení sbírkových předmětů. Tím dojde ke zkvalitnění ochrany sbírkových předmětů ve správě paměťových institucí. Modernizace se rovněž projeví na návštěvnosti institucí, jejich renomé a veřejné propagaci kultury jako celku.</w:t>
            </w:r>
          </w:p>
          <w:p w14:paraId="6803C004" w14:textId="77777777" w:rsidR="00DD3EFA" w:rsidRPr="00EC2A1C" w:rsidRDefault="00DD3EFA" w:rsidP="00B15ECB"/>
          <w:p w14:paraId="72EA40C7" w14:textId="77777777" w:rsidR="00DD3EFA" w:rsidRPr="00EC2A1C" w:rsidRDefault="00DD3EFA" w:rsidP="00B15ECB">
            <w:pPr>
              <w:rPr>
                <w:b/>
              </w:rPr>
            </w:pPr>
            <w:r w:rsidRPr="00EC2A1C">
              <w:rPr>
                <w:b/>
              </w:rPr>
              <w:t>Ochrana sbírkových předmětů paměťových institucí skrze jejich restaurování, digitalizaci a zkvalitnění systému jejich evidence</w:t>
            </w:r>
          </w:p>
          <w:p w14:paraId="1FC3FEA4" w14:textId="4D23628A" w:rsidR="00DD3EFA" w:rsidRPr="00EC2A1C" w:rsidRDefault="00DD3EFA" w:rsidP="00B15ECB">
            <w:r w:rsidRPr="00EC2A1C">
              <w:t>Citlivé restaurování a kvalitní evidence jsou významnými nástroji, jak předměty v institucích předat v zachovalém stavu dalším generacím. Jejich přidanou hodnotou je především zachovalá autenticita sbírkových předmětů. V propoj</w:t>
            </w:r>
            <w:r w:rsidR="00747AAD" w:rsidRPr="00EC2A1C">
              <w:t xml:space="preserve">ení s výše zmíněným cílem také </w:t>
            </w:r>
            <w:r w:rsidRPr="00EC2A1C">
              <w:t>umožní moderní vybavení digitalizaci sbírek (knih, obrazů a dalších artefaktů), které budou následně k dispozici odborné i laické veřejnosti, ale i podnikatelům i v digitální podobě. Je to v souladu s konceptem Společnosti 4.0 a zároveň to umožní širší dosah jednotlivých institucí, neboť jednotlivé předměty budou moci být virtuálně nahlíženy i osobami, které by jinak příslušnou paměťovou instituci z různých důvodů nenavštívily (např. z důvodů časových, finančních, zdravotních aj.) nebo nemohli využít pro potřeby vzdělávání a kreativní tvorbu.</w:t>
            </w:r>
          </w:p>
          <w:p w14:paraId="3D0CA63B" w14:textId="77777777" w:rsidR="00DD3EFA" w:rsidRPr="00EC2A1C" w:rsidRDefault="00DD3EFA" w:rsidP="00B15ECB"/>
          <w:p w14:paraId="2951F84E" w14:textId="77777777" w:rsidR="00DD3EFA" w:rsidRPr="00EC2A1C" w:rsidRDefault="00DD3EFA" w:rsidP="00B15ECB">
            <w:pPr>
              <w:rPr>
                <w:b/>
              </w:rPr>
            </w:pPr>
            <w:r w:rsidRPr="00EC2A1C">
              <w:rPr>
                <w:b/>
              </w:rPr>
              <w:t>Podpora vzniku a rekonstrukce depozitářů a archivů paměťových institucí</w:t>
            </w:r>
          </w:p>
          <w:p w14:paraId="48AF9E21" w14:textId="518C46F4" w:rsidR="00DD3EFA" w:rsidRPr="00EC2A1C" w:rsidRDefault="00DD3EFA" w:rsidP="00B15ECB">
            <w:r w:rsidRPr="00EC2A1C">
              <w:t xml:space="preserve">Depozitáře jsou významnou součástí činnosti paměťové instituce, přičemž jejich nedostatek či nedostatečné vybavení se negativně promítá nejen do prezentační činnosti instituce (např. menším množstvím vhodného prostoru), ale především má negativní vliv na zachování sbírkových předmětů, a to v autentické podobě. Podobně je tomu i u archivů, které jsou pro adekvátní zachování archiválií nezbytné. V současné době navíc </w:t>
            </w:r>
            <w:r w:rsidR="00747AAD" w:rsidRPr="00EC2A1C">
              <w:t>potřeba</w:t>
            </w:r>
            <w:r w:rsidRPr="00EC2A1C">
              <w:t xml:space="preserve"> výstavby nových moderně zařízených depozitářů vzrůstá i z důvodu změny klimatu.</w:t>
            </w:r>
          </w:p>
          <w:p w14:paraId="14523102" w14:textId="77777777" w:rsidR="00DD3EFA" w:rsidRPr="00EC2A1C" w:rsidRDefault="00DD3EFA" w:rsidP="00B15ECB">
            <w:pPr>
              <w:rPr>
                <w:color w:val="538135" w:themeColor="accent6" w:themeShade="BF"/>
              </w:rPr>
            </w:pPr>
          </w:p>
          <w:p w14:paraId="302EC51D" w14:textId="77777777" w:rsidR="00DD3EFA" w:rsidRPr="00EC2A1C" w:rsidRDefault="00DD3EFA" w:rsidP="00B15ECB">
            <w:r w:rsidRPr="00EC2A1C">
              <w:t xml:space="preserve">Tematický okruh - </w:t>
            </w:r>
            <w:r w:rsidRPr="00EC2A1C">
              <w:rPr>
                <w:b/>
                <w:u w:val="single"/>
              </w:rPr>
              <w:t>Ochrana a rozvoj nehmotného kulturního dědictví – kreativní a umělecká centra</w:t>
            </w:r>
            <w:r w:rsidRPr="00EC2A1C">
              <w:rPr>
                <w:b/>
              </w:rPr>
              <w:t>, nositelé nehmotného kulturního dědictví:</w:t>
            </w:r>
          </w:p>
          <w:p w14:paraId="0D4CA388" w14:textId="77777777" w:rsidR="00DD3EFA" w:rsidRPr="00EC2A1C" w:rsidRDefault="00DD3EFA" w:rsidP="00B15ECB"/>
          <w:p w14:paraId="502A6282" w14:textId="77777777" w:rsidR="00DD3EFA" w:rsidRPr="00EC2A1C" w:rsidRDefault="00DD3EFA" w:rsidP="00B15ECB">
            <w:pPr>
              <w:rPr>
                <w:b/>
              </w:rPr>
            </w:pPr>
            <w:r w:rsidRPr="00EC2A1C">
              <w:rPr>
                <w:b/>
              </w:rPr>
              <w:t>Podpora uchování a rozvoje tradičních uměleckých a lidových řemesel</w:t>
            </w:r>
          </w:p>
          <w:p w14:paraId="051207B9" w14:textId="77777777" w:rsidR="00DD3EFA" w:rsidRPr="00EC2A1C" w:rsidRDefault="00DD3EFA" w:rsidP="00B15ECB">
            <w:r w:rsidRPr="00EC2A1C">
              <w:t>Česká republika historicky oplývá mnoha zručnými lidmi, kteří ručně vyrábí umělecky hodnotné předměty, které na rozdíl od „uměleckých děl“ mají svůj účel v běžném životě. Zlepšení prezentace tradičních uměleckých a lidových řemesel prostřednictvím kreativity, inovací a digitálních nástrojů jakož i podpora rozvoje technologických, kreativních a digitálních inovací v oblasti tradičních řemesel umožní v této oblasti dosáhnout trvale udržitelného rozvoje.</w:t>
            </w:r>
          </w:p>
          <w:p w14:paraId="1FBEE64D" w14:textId="77777777" w:rsidR="00DD3EFA" w:rsidRPr="00EC2A1C" w:rsidRDefault="00DD3EFA" w:rsidP="00B15ECB"/>
          <w:p w14:paraId="7995E43F" w14:textId="77777777" w:rsidR="00DD3EFA" w:rsidRPr="00EC2A1C" w:rsidRDefault="00DD3EFA" w:rsidP="00B15ECB">
            <w:pPr>
              <w:rPr>
                <w:b/>
                <w:highlight w:val="yellow"/>
              </w:rPr>
            </w:pPr>
            <w:r w:rsidRPr="00EC2A1C">
              <w:rPr>
                <w:b/>
              </w:rPr>
              <w:t>Podpora tvorby kulturního obsahu při záchraně kulturního a průmyslového dědictví (kulturní a technické památky)</w:t>
            </w:r>
          </w:p>
          <w:p w14:paraId="066241A5" w14:textId="77777777" w:rsidR="00DD3EFA" w:rsidRPr="00EC2A1C" w:rsidRDefault="00DD3EFA" w:rsidP="00B15ECB">
            <w:r w:rsidRPr="00EC2A1C">
              <w:t>Podpora tvorby kreativních a uměleckých center v prostředí stavebního kulturního dědictví (nevyužívané památkově hodnotné stavby a soubory včetně industriální architektury) přináší významné synergické efekty ve využití zdrojů i ve vnímání ze strany veřejnosti. V řadě případů tak lze nalézt cesty k samotné záchraně nevyužívaných památek. Na druhé straně má prostředí s hodnotami kulturního dědictví značný potenciál ovlivňující reflexi v současné umělecké a kreativní tvorbě. V ČR je možné navázat na úspěšně realizované projekty tohoto typu, či na zahraniční inspirace při konverzi nevyužívané architektury pro vznik uměleckých klastrů a kreativních center.</w:t>
            </w:r>
          </w:p>
          <w:p w14:paraId="027D1B0E" w14:textId="77777777" w:rsidR="00DD3EFA" w:rsidRPr="00EC2A1C" w:rsidRDefault="00DD3EFA" w:rsidP="00B15ECB">
            <w:pPr>
              <w:rPr>
                <w:highlight w:val="yellow"/>
              </w:rPr>
            </w:pPr>
          </w:p>
          <w:p w14:paraId="14839FD6" w14:textId="77777777" w:rsidR="00DD3EFA" w:rsidRPr="00EC2A1C" w:rsidRDefault="00DD3EFA" w:rsidP="00B15ECB">
            <w:pPr>
              <w:rPr>
                <w:b/>
              </w:rPr>
            </w:pPr>
            <w:r w:rsidRPr="00EC2A1C">
              <w:rPr>
                <w:b/>
              </w:rPr>
              <w:t>Podpora rozvoje zázemí pro kulturní a kreativní odvětví/průmysly (KKP) – vznik a rozvoj kreativních center, klastrů, hubů (s využitím kulturních a technických památek, případně průmyslových brownfieldů)</w:t>
            </w:r>
          </w:p>
          <w:p w14:paraId="18978D9E" w14:textId="77777777" w:rsidR="00DD3EFA" w:rsidRPr="00EC2A1C" w:rsidRDefault="00DD3EFA" w:rsidP="00B15ECB">
            <w:r w:rsidRPr="00EC2A1C">
              <w:t xml:space="preserve">Účinnou pomocí pro rozvoj KKP je budování kreativních center– zamýšlená infrastruktura bude sloužit jako prostor pro kreativní tvorbu či prostor pro pilotní projekty následně nasazované v rezortu i mimo něj. Podpora KKP umožňuje mobilizovat dosud nedostatečně využívané lidské kompetence a rovněž redefinuje pohled na kulturní dědictví ČR, kdy je kladen důraz na jeho využití pro ekonomickou činnost, vzdělávání, prezentaci a inkluzivní zpřístupnění kulturních statků. Tyto kulturní objekty následně kreativně přetváří, čímž se stávají jedním ze svébytných výrobních zdrojů pro KKP a v konečném důsledku i zdrojem příjmu a národního bohatství. Další rolí takto prezentovaných kulturních objektů je jejich využití v edukačním, informačním a vzdělávacím procesu, jenž takto přispívá ke kultivaci mezikulturního dialogu v ČR i mimo ni. Přispívá rovněž k prohlubování národní a evropské identity a udržení celospolečenské koheze obecně.  </w:t>
            </w:r>
          </w:p>
          <w:p w14:paraId="0920ABB6" w14:textId="77777777" w:rsidR="00DD3EFA" w:rsidRPr="00EC2A1C" w:rsidRDefault="00DD3EFA" w:rsidP="00B15ECB"/>
          <w:p w14:paraId="45681944" w14:textId="77777777" w:rsidR="00DD3EFA" w:rsidRPr="00EC2A1C" w:rsidRDefault="00DD3EFA" w:rsidP="00B15ECB">
            <w:pPr>
              <w:rPr>
                <w:b/>
              </w:rPr>
            </w:pPr>
            <w:r w:rsidRPr="00EC2A1C">
              <w:t>Tematický okruh</w:t>
            </w:r>
            <w:r w:rsidRPr="00EC2A1C">
              <w:rPr>
                <w:b/>
              </w:rPr>
              <w:t>:</w:t>
            </w:r>
          </w:p>
          <w:p w14:paraId="459E2FBA" w14:textId="77777777" w:rsidR="00DD3EFA" w:rsidRPr="00EC2A1C" w:rsidRDefault="00DD3EFA" w:rsidP="00B15ECB">
            <w:pPr>
              <w:rPr>
                <w:b/>
                <w:u w:val="single"/>
              </w:rPr>
            </w:pPr>
            <w:r w:rsidRPr="00EC2A1C">
              <w:rPr>
                <w:b/>
                <w:u w:val="single"/>
              </w:rPr>
              <w:t xml:space="preserve">Podpora rozvoje zázemí pro kulturní a kreativní odvětví/průmysly (KKO/P) </w:t>
            </w:r>
          </w:p>
          <w:p w14:paraId="6099CD3B" w14:textId="77777777" w:rsidR="00DD3EFA" w:rsidRPr="00EC2A1C" w:rsidRDefault="00DD3EFA" w:rsidP="00B15ECB">
            <w:pPr>
              <w:rPr>
                <w:b/>
                <w:u w:val="single"/>
              </w:rPr>
            </w:pPr>
          </w:p>
          <w:p w14:paraId="07634866" w14:textId="77777777" w:rsidR="00DD3EFA" w:rsidRPr="00EC2A1C" w:rsidRDefault="00DD3EFA" w:rsidP="00B15ECB">
            <w:r w:rsidRPr="00EC2A1C">
              <w:rPr>
                <w:b/>
              </w:rPr>
              <w:t xml:space="preserve">Vznik a rozvoj kreativních center, klastrů, hubů </w:t>
            </w:r>
          </w:p>
          <w:p w14:paraId="06DD1D1E" w14:textId="77777777" w:rsidR="00DD3EFA" w:rsidRPr="00EC2A1C" w:rsidRDefault="00DD3EFA" w:rsidP="00B15ECB">
            <w:pPr>
              <w:rPr>
                <w:b/>
                <w:u w:val="single"/>
              </w:rPr>
            </w:pPr>
          </w:p>
          <w:p w14:paraId="6BB2B3E1" w14:textId="77777777" w:rsidR="00DD3EFA" w:rsidRPr="00EC2A1C" w:rsidRDefault="00DD3EFA" w:rsidP="00B15ECB">
            <w:r w:rsidRPr="00EC2A1C">
              <w:t>Pro rozvoj KKO/P je vhodné vybudovat fyzické technologické zázemí, kde by kreativci a tvůrci měli možnost pracovat na svých projektech. Zahraniční inspirací je v tomto případě kreativní centrum jihokorejské vládní agentury KOCCA. Takovéto zázemí je obvykle vybaveno veškerými dostupnými technologiemi, například audiovizuální a digitální technikou a technologií, řemeslnými dílnami a ateliéry pro módu, práci s textilem, kovem, dřevem či dalšími materiály, gastronomickými technologiemi, a dále zkušebními sály pro oblast produkce a scénické umění. Takováto kreativní centra mohou být v prostorách kulturních institucí, muzeí, galerií, kulturních a technických památek, případně průmyslových brownfieldů, a jejich role je nejen v poskytování zázemí pro tvorbu, vývoj, výrobu či testování aktivit KKO, ale i pro sdílení a transfer know-how, poradenství a setkávání představitelů KKO/P mezi sebou i s jinými odvětvími.</w:t>
            </w:r>
          </w:p>
          <w:p w14:paraId="41ABB07B" w14:textId="77777777" w:rsidR="00DD3EFA" w:rsidRPr="00EC2A1C" w:rsidRDefault="00DD3EFA" w:rsidP="00B15ECB"/>
          <w:p w14:paraId="729E2E54" w14:textId="77777777" w:rsidR="00DD3EFA" w:rsidRPr="00EC2A1C" w:rsidRDefault="00DD3EFA" w:rsidP="00B15ECB">
            <w:pPr>
              <w:spacing w:before="60" w:after="60"/>
              <w:rPr>
                <w:rFonts w:eastAsiaTheme="majorEastAsia"/>
                <w:b/>
              </w:rPr>
            </w:pPr>
            <w:r w:rsidRPr="00EC2A1C">
              <w:rPr>
                <w:rFonts w:eastAsiaTheme="majorEastAsia"/>
                <w:b/>
              </w:rPr>
              <w:t>Budování zázemí pro ekosystém výzkumu, vývoje a inovací</w:t>
            </w:r>
          </w:p>
          <w:p w14:paraId="39644FF1" w14:textId="26875C0F" w:rsidR="00DD3EFA" w:rsidRPr="00EC2A1C" w:rsidRDefault="00DD3EFA" w:rsidP="00B15ECB">
            <w:pPr>
              <w:spacing w:before="60" w:after="60"/>
              <w:rPr>
                <w:rFonts w:eastAsiaTheme="majorEastAsia"/>
                <w:color w:val="FF0000"/>
              </w:rPr>
            </w:pPr>
            <w:r w:rsidRPr="00EC2A1C">
              <w:t>V ČR absentuje podpora rozvoje zázemí pro výzkum, vývoj a inovace v oblasti KKO/P. Je to také proto, že  KKO/P vyžadují mezioborovou spolupráci jednak mezi jednotlivými odvětvími KKO/P, ale rovněž ve vazbě na jiná průmyslová odvětví. Tento typ zázemí by podporoval mezioborové inovace mezi umělci/kreativci a technology a umožňoval výzkum, vývoj a inovace v celém inovačním řetězci, tedy od technických až po netechnické či společenské inovace. Dále by toto zázemí poskytovalo prostor pro vzdělávání a mezinárodní spolupráci zejména v oblastech tvorby vysoké přidané hodnoty a řešení komplexních společenských výzev včetně vztahu člověka a technologií a dopadu technologií na společnost.</w:t>
            </w:r>
          </w:p>
          <w:p w14:paraId="585B9B1A" w14:textId="77777777" w:rsidR="00DD3EFA" w:rsidRPr="00EC2A1C" w:rsidRDefault="00DD3EFA" w:rsidP="00B15ECB"/>
          <w:p w14:paraId="4D5A2A62" w14:textId="77777777" w:rsidR="00DD3EFA" w:rsidRPr="00EC2A1C" w:rsidRDefault="00DD3EFA" w:rsidP="00B15ECB"/>
          <w:p w14:paraId="1718C7B2" w14:textId="77777777" w:rsidR="00DD3EFA" w:rsidRPr="00EC2A1C" w:rsidRDefault="00DD3EFA" w:rsidP="00B15ECB">
            <w:pPr>
              <w:rPr>
                <w:b/>
                <w:highlight w:val="yellow"/>
              </w:rPr>
            </w:pPr>
            <w:r w:rsidRPr="00EC2A1C">
              <w:t>Tematický okruh:</w:t>
            </w:r>
            <w:r w:rsidRPr="00EC2A1C">
              <w:rPr>
                <w:rFonts w:eastAsiaTheme="majorEastAsia"/>
                <w:b/>
              </w:rPr>
              <w:t xml:space="preserve"> </w:t>
            </w:r>
            <w:r w:rsidRPr="00EC2A1C">
              <w:rPr>
                <w:rFonts w:eastAsiaTheme="majorEastAsia"/>
                <w:b/>
                <w:u w:val="single"/>
              </w:rPr>
              <w:t>Zvyšování kompetencí</w:t>
            </w:r>
          </w:p>
          <w:p w14:paraId="2CB1C631" w14:textId="77777777" w:rsidR="00DD3EFA" w:rsidRPr="00EC2A1C" w:rsidRDefault="00DD3EFA" w:rsidP="00B15ECB">
            <w:pPr>
              <w:spacing w:before="60" w:after="60"/>
              <w:rPr>
                <w:rFonts w:eastAsiaTheme="majorEastAsia"/>
                <w:b/>
              </w:rPr>
            </w:pPr>
            <w:r w:rsidRPr="00EC2A1C">
              <w:rPr>
                <w:rFonts w:eastAsiaTheme="majorEastAsia"/>
                <w:b/>
              </w:rPr>
              <w:t xml:space="preserve">Zvyšování kompetencí pracovníků v oblasti kultury. </w:t>
            </w:r>
          </w:p>
          <w:p w14:paraId="3B0D0710" w14:textId="77777777" w:rsidR="00DD3EFA" w:rsidRPr="00EC2A1C" w:rsidRDefault="00DD3EFA" w:rsidP="00B15ECB">
            <w:pPr>
              <w:spacing w:before="60" w:after="60"/>
              <w:rPr>
                <w:rFonts w:eastAsiaTheme="majorEastAsia"/>
                <w:color w:val="FF0000"/>
              </w:rPr>
            </w:pPr>
            <w:r w:rsidRPr="00EC2A1C">
              <w:t xml:space="preserve"> Tradiční organizace práce se pod vlivem nových procesů, které budou navzájem více propojené a kontinuální, promění ze striktně hierarchické formy s jasnou strukturou na organizaci, která bude výrazně plošná s decentralizovaným rozhodováním. Pracovní týmy budou v daleko větší míře vznikat ad hoc, zaměřené na splnění určitého úkolu nebo problému. Často budou založené na virtuálních vazbách, takže mezi sebou budou moci komunikovat zaměstnanci nejen v rámci jedné pobočky, ale i odborníci z jiných firem či samostatní specialisté.  Roste význam kognitivních dovedností, jakými jsou řešení nerutinních problémů, systémové myšlení, kritické myšlení, orientace v digitálním prostředí, ale také dovedností nekognitivních – cílevědomost, angažovanost, schopnost konstruktivní komunikace a spolupráce.  Na tyto skutečnosti bude muset reagovat také oblast kultury:</w:t>
            </w:r>
          </w:p>
          <w:p w14:paraId="7DD4D2AA" w14:textId="77777777" w:rsidR="00DD3EFA" w:rsidRPr="00EC2A1C" w:rsidRDefault="00DD3EFA" w:rsidP="00391907">
            <w:pPr>
              <w:pStyle w:val="Odstavecseseznamem"/>
              <w:numPr>
                <w:ilvl w:val="0"/>
                <w:numId w:val="133"/>
              </w:numPr>
              <w:spacing w:before="60" w:after="60"/>
              <w:jc w:val="both"/>
              <w:rPr>
                <w:rFonts w:eastAsiaTheme="majorEastAsia"/>
              </w:rPr>
            </w:pPr>
            <w:r w:rsidRPr="00EC2A1C">
              <w:rPr>
                <w:rFonts w:eastAsiaTheme="majorEastAsia"/>
              </w:rPr>
              <w:t>Podpora pracovní mobility</w:t>
            </w:r>
          </w:p>
          <w:p w14:paraId="68A2CC80" w14:textId="67B47D6E" w:rsidR="00DD3EFA" w:rsidRPr="00EC2A1C" w:rsidRDefault="00DD3EFA" w:rsidP="00391907">
            <w:pPr>
              <w:pStyle w:val="Odstavecseseznamem"/>
              <w:numPr>
                <w:ilvl w:val="0"/>
                <w:numId w:val="133"/>
              </w:numPr>
              <w:spacing w:before="60" w:after="60"/>
              <w:jc w:val="both"/>
              <w:rPr>
                <w:rFonts w:eastAsiaTheme="majorEastAsia"/>
              </w:rPr>
            </w:pPr>
            <w:r w:rsidRPr="00EC2A1C">
              <w:rPr>
                <w:rFonts w:eastAsiaTheme="majorEastAsia"/>
              </w:rPr>
              <w:t xml:space="preserve">Zvyšování </w:t>
            </w:r>
            <w:r w:rsidR="00747AAD" w:rsidRPr="00EC2A1C">
              <w:rPr>
                <w:rFonts w:eastAsiaTheme="majorEastAsia"/>
              </w:rPr>
              <w:t>kompetencí</w:t>
            </w:r>
            <w:r w:rsidRPr="00EC2A1C">
              <w:rPr>
                <w:rFonts w:eastAsiaTheme="majorEastAsia"/>
              </w:rPr>
              <w:t xml:space="preserve"> pro potřeby znalostní ekonomiky, zejména pro zdrojování kulturního dědictví pro podnikatelský sektor</w:t>
            </w:r>
          </w:p>
          <w:p w14:paraId="488C375F" w14:textId="77777777" w:rsidR="00DD3EFA" w:rsidRPr="00EC2A1C" w:rsidRDefault="00DD3EFA" w:rsidP="00391907">
            <w:pPr>
              <w:pStyle w:val="Odstavecseseznamem"/>
              <w:numPr>
                <w:ilvl w:val="0"/>
                <w:numId w:val="133"/>
              </w:numPr>
              <w:spacing w:before="60" w:after="60"/>
              <w:jc w:val="both"/>
              <w:rPr>
                <w:rFonts w:eastAsiaTheme="majorEastAsia"/>
              </w:rPr>
            </w:pPr>
            <w:r w:rsidRPr="00EC2A1C">
              <w:rPr>
                <w:rFonts w:eastAsiaTheme="majorEastAsia"/>
              </w:rPr>
              <w:t>Vzdělávání pro manažerské pozice a nezávislý systém evaluace tohoto vzdělávání</w:t>
            </w:r>
          </w:p>
          <w:p w14:paraId="46350E6E" w14:textId="77777777" w:rsidR="00DD3EFA" w:rsidRPr="00EC2A1C" w:rsidRDefault="00DD3EFA" w:rsidP="00391907">
            <w:pPr>
              <w:pStyle w:val="Odstavecseseznamem"/>
              <w:numPr>
                <w:ilvl w:val="0"/>
                <w:numId w:val="133"/>
              </w:numPr>
              <w:spacing w:before="60" w:after="60"/>
              <w:jc w:val="both"/>
              <w:rPr>
                <w:rFonts w:eastAsiaTheme="majorEastAsia"/>
                <w:color w:val="FF0000"/>
              </w:rPr>
            </w:pPr>
            <w:r w:rsidRPr="00EC2A1C">
              <w:t xml:space="preserve">Zvyšování schopnosti komunikace v cizích jazycích, schopnosti v oblasti vědy a technologií, schopnost práce s digitálními technologiemi, schopnost učit se, sociální a občanské schopnosti, kritické myšlení, schopnost strategického myšlení </w:t>
            </w:r>
          </w:p>
          <w:p w14:paraId="7C776068" w14:textId="77777777" w:rsidR="00DD3EFA" w:rsidRPr="00EC2A1C" w:rsidRDefault="00DD3EFA" w:rsidP="00391907">
            <w:pPr>
              <w:pStyle w:val="Odstavecseseznamem"/>
              <w:numPr>
                <w:ilvl w:val="0"/>
                <w:numId w:val="133"/>
              </w:numPr>
              <w:spacing w:before="60" w:after="60"/>
              <w:jc w:val="both"/>
              <w:rPr>
                <w:rFonts w:eastAsiaTheme="majorEastAsia"/>
              </w:rPr>
            </w:pPr>
            <w:r w:rsidRPr="00EC2A1C">
              <w:t xml:space="preserve">Fungující systém celoživotního vzdělávání </w:t>
            </w:r>
          </w:p>
          <w:p w14:paraId="0ABA7CCE" w14:textId="77777777" w:rsidR="00DD3EFA" w:rsidRPr="00EC2A1C" w:rsidRDefault="00DD3EFA" w:rsidP="00B15ECB">
            <w:pPr>
              <w:spacing w:before="60" w:after="60"/>
              <w:rPr>
                <w:rFonts w:eastAsiaTheme="majorEastAsia"/>
              </w:rPr>
            </w:pPr>
          </w:p>
          <w:p w14:paraId="2F52AA9A" w14:textId="77777777" w:rsidR="00DD3EFA" w:rsidRPr="00EC2A1C" w:rsidRDefault="00DD3EFA" w:rsidP="00B15ECB">
            <w:pPr>
              <w:spacing w:before="60" w:after="60"/>
              <w:rPr>
                <w:rFonts w:eastAsiaTheme="majorEastAsia"/>
                <w:b/>
              </w:rPr>
            </w:pPr>
            <w:r w:rsidRPr="00EC2A1C">
              <w:rPr>
                <w:rFonts w:eastAsiaTheme="majorEastAsia"/>
                <w:b/>
              </w:rPr>
              <w:t>Zvyšování kompetencí v kulturních a kreativních odvětvích</w:t>
            </w:r>
          </w:p>
          <w:p w14:paraId="11679F87" w14:textId="77777777" w:rsidR="00DD3EFA" w:rsidRPr="00EC2A1C" w:rsidRDefault="00DD3EFA" w:rsidP="00B15ECB">
            <w:pPr>
              <w:spacing w:before="60" w:after="60"/>
              <w:rPr>
                <w:rFonts w:eastAsiaTheme="majorEastAsia"/>
              </w:rPr>
            </w:pPr>
            <w:r w:rsidRPr="00EC2A1C">
              <w:rPr>
                <w:rFonts w:eastAsiaTheme="majorEastAsia"/>
              </w:rPr>
              <w:t>Know-how v kulturních a kreativních odvětvích je velmi specifické jednak proto, že přímo souvisí s tvůrčí činností, jednak proto, že vyžaduje specifické znalosti technik, postupů či ovládání technologií. Nelze tedy na vzdělávání v KKO aplikovat obvyklý systém předávání konfekčních znalostí, které jsou zaběhnuté ve vzdělávacím systému a běžně se vyučují. Proto má sektor také zvýšenou potřebu:</w:t>
            </w:r>
          </w:p>
          <w:p w14:paraId="4F5FBFC1" w14:textId="77777777" w:rsidR="00DD3EFA" w:rsidRPr="00EC2A1C" w:rsidRDefault="00DD3EFA" w:rsidP="00B15ECB">
            <w:pPr>
              <w:spacing w:before="60" w:after="60"/>
              <w:rPr>
                <w:rFonts w:eastAsiaTheme="majorEastAsia"/>
              </w:rPr>
            </w:pPr>
            <w:r w:rsidRPr="00EC2A1C">
              <w:rPr>
                <w:rFonts w:eastAsiaTheme="majorEastAsia"/>
              </w:rPr>
              <w:t>- sdílet know-how mezi sebou v rámci jednoho oboru</w:t>
            </w:r>
          </w:p>
          <w:p w14:paraId="274C346B" w14:textId="77777777" w:rsidR="00DD3EFA" w:rsidRPr="00EC2A1C" w:rsidRDefault="00DD3EFA" w:rsidP="00B15ECB">
            <w:pPr>
              <w:spacing w:before="60" w:after="60"/>
              <w:rPr>
                <w:rFonts w:eastAsiaTheme="majorEastAsia"/>
              </w:rPr>
            </w:pPr>
            <w:r w:rsidRPr="00EC2A1C">
              <w:rPr>
                <w:rFonts w:eastAsiaTheme="majorEastAsia"/>
              </w:rPr>
              <w:t>- sdílet know-how mezi různými odvětvími</w:t>
            </w:r>
          </w:p>
          <w:p w14:paraId="3183B687" w14:textId="77777777" w:rsidR="00DD3EFA" w:rsidRPr="00EC2A1C" w:rsidRDefault="00DD3EFA" w:rsidP="00B15ECB">
            <w:pPr>
              <w:spacing w:before="60" w:after="60"/>
              <w:rPr>
                <w:rFonts w:eastAsiaTheme="majorEastAsia"/>
              </w:rPr>
            </w:pPr>
            <w:r w:rsidRPr="00EC2A1C">
              <w:rPr>
                <w:rFonts w:eastAsiaTheme="majorEastAsia"/>
              </w:rPr>
              <w:t>- získávat know-how ze zahraničí</w:t>
            </w:r>
          </w:p>
          <w:p w14:paraId="24FE21BA" w14:textId="77777777" w:rsidR="00DD3EFA" w:rsidRPr="00EC2A1C" w:rsidRDefault="00DD3EFA" w:rsidP="00B15ECB">
            <w:pPr>
              <w:spacing w:before="60" w:after="60"/>
              <w:rPr>
                <w:rFonts w:eastAsiaTheme="majorEastAsia"/>
              </w:rPr>
            </w:pPr>
            <w:r w:rsidRPr="00EC2A1C">
              <w:rPr>
                <w:rFonts w:eastAsiaTheme="majorEastAsia"/>
              </w:rPr>
              <w:t>- získávat know-how z paměťových institucí</w:t>
            </w:r>
          </w:p>
          <w:p w14:paraId="44609764" w14:textId="77777777" w:rsidR="00DD3EFA" w:rsidRPr="00EC2A1C" w:rsidRDefault="00DD3EFA" w:rsidP="00B15ECB">
            <w:pPr>
              <w:spacing w:before="60" w:after="60"/>
              <w:rPr>
                <w:rFonts w:eastAsiaTheme="majorEastAsia"/>
              </w:rPr>
            </w:pPr>
            <w:r w:rsidRPr="00EC2A1C">
              <w:rPr>
                <w:rFonts w:eastAsiaTheme="majorEastAsia"/>
              </w:rPr>
              <w:t>- podpora kompetencí v oblasti podnikání, marketingu, budování značky a managementu u začínajících kreativců a zejména u malých a středních podniků z oblasti KKO</w:t>
            </w:r>
          </w:p>
          <w:p w14:paraId="489CA15B" w14:textId="77777777" w:rsidR="00DD3EFA" w:rsidRPr="00EC2A1C" w:rsidRDefault="00DD3EFA" w:rsidP="00B15ECB">
            <w:pPr>
              <w:spacing w:before="60" w:after="60"/>
              <w:rPr>
                <w:i/>
                <w:u w:val="single"/>
                <w:lang w:eastAsia="cs-CZ"/>
              </w:rPr>
            </w:pPr>
          </w:p>
        </w:tc>
        <w:tc>
          <w:tcPr>
            <w:tcW w:w="249" w:type="dxa"/>
            <w:tcBorders>
              <w:top w:val="nil"/>
              <w:bottom w:val="nil"/>
            </w:tcBorders>
            <w:shd w:val="clear" w:color="auto" w:fill="66CCFF"/>
          </w:tcPr>
          <w:p w14:paraId="3BE70B95" w14:textId="77777777" w:rsidR="00DD3EFA" w:rsidRPr="00EC2A1C" w:rsidRDefault="00DD3EFA" w:rsidP="00B15ECB">
            <w:pPr>
              <w:rPr>
                <w:b/>
              </w:rPr>
            </w:pPr>
          </w:p>
        </w:tc>
      </w:tr>
      <w:tr w:rsidR="00DD3EFA" w:rsidRPr="00EC2A1C" w14:paraId="7A6A8909" w14:textId="77777777" w:rsidTr="00B15ECB">
        <w:trPr>
          <w:trHeight w:val="1274"/>
        </w:trPr>
        <w:tc>
          <w:tcPr>
            <w:tcW w:w="249" w:type="dxa"/>
            <w:tcBorders>
              <w:top w:val="nil"/>
              <w:bottom w:val="nil"/>
            </w:tcBorders>
            <w:shd w:val="clear" w:color="auto" w:fill="66CCFF"/>
          </w:tcPr>
          <w:p w14:paraId="7E312EA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FD7BCF2"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Definice cíle – změny, které chceme dosáhnout</w:t>
            </w:r>
          </w:p>
          <w:p w14:paraId="5278688E"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04FE4DA" w14:textId="52C2896A"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 xml:space="preserve">Zlepšení image ČR </w:t>
            </w:r>
            <w:r w:rsidR="00747AAD" w:rsidRPr="00EC2A1C">
              <w:rPr>
                <w:rFonts w:eastAsiaTheme="majorEastAsia"/>
              </w:rPr>
              <w:t>prostřednictvím</w:t>
            </w:r>
            <w:r w:rsidRPr="00EC2A1C">
              <w:rPr>
                <w:rFonts w:eastAsiaTheme="majorEastAsia"/>
              </w:rPr>
              <w:t xml:space="preserve"> kultury</w:t>
            </w:r>
          </w:p>
          <w:p w14:paraId="440B7429" w14:textId="7F4851CF"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 xml:space="preserve">Zvýšení zájmu o kulturu a o </w:t>
            </w:r>
            <w:r w:rsidR="00747AAD" w:rsidRPr="00EC2A1C">
              <w:rPr>
                <w:rFonts w:eastAsiaTheme="majorEastAsia"/>
              </w:rPr>
              <w:t>kulturní</w:t>
            </w:r>
            <w:r w:rsidRPr="00EC2A1C">
              <w:rPr>
                <w:rFonts w:eastAsiaTheme="majorEastAsia"/>
              </w:rPr>
              <w:t xml:space="preserve"> dědictví</w:t>
            </w:r>
          </w:p>
          <w:p w14:paraId="06741134"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Růst ekonomiky ČR založený na využívání kulturního dědictví</w:t>
            </w:r>
          </w:p>
          <w:p w14:paraId="2DC4B63B"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Ochrana a efektivní využívání kulturního dědictví pro vzdělávání a podnikání</w:t>
            </w:r>
          </w:p>
          <w:p w14:paraId="6E8FD411"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Zlepšit podmínky pro vznik a rozvoj KKP</w:t>
            </w:r>
          </w:p>
          <w:p w14:paraId="1EC779D4"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Zvýšit počet fyzických či právnických osob, podnikajících v oblasti KKP</w:t>
            </w:r>
          </w:p>
          <w:p w14:paraId="659971FC"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Zvýšit konkurenceschopnost KKP</w:t>
            </w:r>
          </w:p>
          <w:p w14:paraId="4AB6C4AF"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Podporou KKP přispět k růstu lokálních ekonomik</w:t>
            </w:r>
          </w:p>
          <w:p w14:paraId="60A45C3E" w14:textId="77777777" w:rsidR="00DD3EFA" w:rsidRPr="00EC2A1C" w:rsidRDefault="00DD3EFA" w:rsidP="00391907">
            <w:pPr>
              <w:pStyle w:val="Odstavecseseznamem"/>
              <w:numPr>
                <w:ilvl w:val="0"/>
                <w:numId w:val="133"/>
              </w:numPr>
              <w:spacing w:before="60" w:after="60"/>
              <w:rPr>
                <w:rFonts w:eastAsiaTheme="majorEastAsia"/>
              </w:rPr>
            </w:pPr>
            <w:r w:rsidRPr="00EC2A1C">
              <w:t>Zlepšení stavebního stavu nemovitých kulturních památek a stavu movitých kulturních památek; zlepšení evidence soupisů hmotného kulturního dědictví a zvýšení podílu digitalizovaných dokumentů</w:t>
            </w:r>
          </w:p>
          <w:p w14:paraId="1C739B3B" w14:textId="4B042823"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 xml:space="preserve">napomoci komunitám, veřejné samosprávě, nositelům prvků nemateriálního kulturního dědictví lépe pečovat o toto </w:t>
            </w:r>
            <w:r w:rsidR="00747AAD" w:rsidRPr="00EC2A1C">
              <w:rPr>
                <w:rFonts w:eastAsiaTheme="majorEastAsia"/>
              </w:rPr>
              <w:t>dědictví</w:t>
            </w:r>
            <w:r w:rsidRPr="00EC2A1C">
              <w:rPr>
                <w:rFonts w:eastAsiaTheme="majorEastAsia"/>
              </w:rPr>
              <w:t xml:space="preserve"> a celkově napomoci jeho citlivé prezentaci na všech úrovních péče</w:t>
            </w:r>
          </w:p>
        </w:tc>
        <w:tc>
          <w:tcPr>
            <w:tcW w:w="249" w:type="dxa"/>
            <w:tcBorders>
              <w:top w:val="nil"/>
              <w:bottom w:val="nil"/>
            </w:tcBorders>
            <w:shd w:val="clear" w:color="auto" w:fill="66CCFF"/>
          </w:tcPr>
          <w:p w14:paraId="1A16DEB5" w14:textId="77777777" w:rsidR="00DD3EFA" w:rsidRPr="00EC2A1C" w:rsidRDefault="00DD3EFA" w:rsidP="00B15ECB">
            <w:pPr>
              <w:rPr>
                <w:b/>
              </w:rPr>
            </w:pPr>
          </w:p>
        </w:tc>
      </w:tr>
      <w:tr w:rsidR="00DD3EFA" w:rsidRPr="00EC2A1C" w14:paraId="2016A55E" w14:textId="77777777" w:rsidTr="00B15ECB">
        <w:trPr>
          <w:trHeight w:val="1274"/>
        </w:trPr>
        <w:tc>
          <w:tcPr>
            <w:tcW w:w="249" w:type="dxa"/>
            <w:tcBorders>
              <w:top w:val="nil"/>
              <w:bottom w:val="nil"/>
            </w:tcBorders>
            <w:shd w:val="clear" w:color="auto" w:fill="66CCFF"/>
          </w:tcPr>
          <w:p w14:paraId="641822D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CFC9235"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Definice předpokládaných výstupů/výsledků/dopadů</w:t>
            </w:r>
          </w:p>
        </w:tc>
        <w:tc>
          <w:tcPr>
            <w:tcW w:w="5978" w:type="dxa"/>
            <w:tcBorders>
              <w:bottom w:val="single" w:sz="4" w:space="0" w:color="auto"/>
            </w:tcBorders>
            <w:shd w:val="clear" w:color="auto" w:fill="FFFFFF" w:themeFill="background1"/>
          </w:tcPr>
          <w:p w14:paraId="5081AC68" w14:textId="77777777" w:rsidR="00DD3EFA" w:rsidRPr="00EC2A1C" w:rsidRDefault="00DD3EFA" w:rsidP="00B15ECB">
            <w:pPr>
              <w:pStyle w:val="Odstavecseseznamem"/>
              <w:spacing w:before="60" w:after="60"/>
              <w:rPr>
                <w:rFonts w:eastAsiaTheme="majorEastAsia"/>
              </w:rPr>
            </w:pPr>
          </w:p>
          <w:p w14:paraId="19BFF19E"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Ochráněný a obnovený památkový fond</w:t>
            </w:r>
          </w:p>
          <w:p w14:paraId="73A4FA16"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Počet realizovaných akcí obnovy kulturní památky</w:t>
            </w:r>
          </w:p>
          <w:p w14:paraId="1B1B06F8"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 xml:space="preserve">Zkvalitněný otevřený systém evidence kulturního dědictví </w:t>
            </w:r>
          </w:p>
          <w:p w14:paraId="76E71E00"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Počet digitalizovaných souborů</w:t>
            </w:r>
          </w:p>
          <w:p w14:paraId="1B76D1E6"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Restaurované kulturní dědictví</w:t>
            </w:r>
          </w:p>
          <w:p w14:paraId="385F2D9C"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Systém identifikace, evidence a dokumentace nemateriálního kulturního dědictví</w:t>
            </w:r>
          </w:p>
          <w:p w14:paraId="36659755"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Zabezpečené památkové objekty a areály institucí, jejich fondy a sbírky</w:t>
            </w:r>
          </w:p>
          <w:p w14:paraId="726B73AA"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Nové či rekonstruované depozitáře pro efektivní využívání kulturního dědictví</w:t>
            </w:r>
          </w:p>
          <w:p w14:paraId="1F412E28"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Nová edukační centra pro podporu vzdělávání díky kulturnímu dědictví a pro potřeby znalostní ekonomiky</w:t>
            </w:r>
          </w:p>
          <w:p w14:paraId="22946F80"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 xml:space="preserve">Modernizovaná kulturní infrastruktura pro další využívání </w:t>
            </w:r>
          </w:p>
          <w:p w14:paraId="33865978"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Kvalitně vybavené instituce spravující kulturní dědictví pro podporu jeho dalšího využívání</w:t>
            </w:r>
          </w:p>
          <w:p w14:paraId="44230D83"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Zachované autentické předměty pro další vzdělávání a podporu znalostní ekonomiky</w:t>
            </w:r>
          </w:p>
          <w:p w14:paraId="0FCA27EB"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Atraktivní objekty díky návštěvnickým centrům</w:t>
            </w:r>
          </w:p>
          <w:p w14:paraId="596A273B" w14:textId="26F87271"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 xml:space="preserve">Vybudovaná </w:t>
            </w:r>
            <w:r w:rsidR="00747AAD" w:rsidRPr="00EC2A1C">
              <w:rPr>
                <w:rFonts w:eastAsiaTheme="majorEastAsia"/>
              </w:rPr>
              <w:t>vzdělávací</w:t>
            </w:r>
            <w:r w:rsidRPr="00EC2A1C">
              <w:rPr>
                <w:rFonts w:eastAsiaTheme="majorEastAsia"/>
              </w:rPr>
              <w:t xml:space="preserve"> infrastruktura pro využívání kulturního dědictví</w:t>
            </w:r>
          </w:p>
          <w:p w14:paraId="586FD980"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Sbírky a fondy využívané pro potřeby vzdělávání a znalostní ekonomiky</w:t>
            </w:r>
          </w:p>
          <w:p w14:paraId="55F7DFE3"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Vybudovaná kreativní centra s vybavením, pro podporu KKO/P</w:t>
            </w:r>
          </w:p>
          <w:p w14:paraId="2154DFE2" w14:textId="77777777"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Vybudovaný systém pro podporu vědy a výzkumu v rámci KKO/P</w:t>
            </w:r>
          </w:p>
          <w:p w14:paraId="501DA177" w14:textId="7EE7FFE5" w:rsidR="00DD3EFA" w:rsidRPr="00EC2A1C" w:rsidRDefault="00DD3EFA" w:rsidP="00391907">
            <w:pPr>
              <w:pStyle w:val="Odstavecseseznamem"/>
              <w:numPr>
                <w:ilvl w:val="0"/>
                <w:numId w:val="133"/>
              </w:numPr>
              <w:spacing w:before="60" w:after="60" w:line="259" w:lineRule="auto"/>
              <w:rPr>
                <w:rFonts w:eastAsiaTheme="majorEastAsia"/>
              </w:rPr>
            </w:pPr>
            <w:r w:rsidRPr="00EC2A1C">
              <w:rPr>
                <w:rFonts w:eastAsiaTheme="majorEastAsia"/>
              </w:rPr>
              <w:t xml:space="preserve">Vzdělanější a </w:t>
            </w:r>
            <w:r w:rsidR="00747AAD" w:rsidRPr="00EC2A1C">
              <w:rPr>
                <w:rFonts w:eastAsiaTheme="majorEastAsia"/>
              </w:rPr>
              <w:t>kompetentnější profesionálové</w:t>
            </w:r>
            <w:r w:rsidRPr="00EC2A1C">
              <w:rPr>
                <w:rFonts w:eastAsiaTheme="majorEastAsia"/>
              </w:rPr>
              <w:t xml:space="preserve"> v popisované oblasti</w:t>
            </w:r>
          </w:p>
          <w:p w14:paraId="1BC82D32" w14:textId="34C60D34" w:rsidR="00DD3EFA" w:rsidRPr="00EC2A1C" w:rsidRDefault="00DD3EFA" w:rsidP="00391907">
            <w:pPr>
              <w:pStyle w:val="Odstavecseseznamem"/>
              <w:numPr>
                <w:ilvl w:val="0"/>
                <w:numId w:val="133"/>
              </w:numPr>
              <w:spacing w:before="60" w:after="60"/>
              <w:rPr>
                <w:rFonts w:eastAsiaTheme="majorEastAsia"/>
                <w:u w:val="single"/>
              </w:rPr>
            </w:pPr>
            <w:r w:rsidRPr="00EC2A1C">
              <w:t xml:space="preserve">Finanční a metodická podpora subjektů, vytvoření účinných nástrojů </w:t>
            </w:r>
            <w:r w:rsidR="00747AAD" w:rsidRPr="00EC2A1C">
              <w:t>ochrany a podpory</w:t>
            </w:r>
            <w:r w:rsidRPr="00EC2A1C">
              <w:t xml:space="preserve"> péče o nehmotné </w:t>
            </w:r>
            <w:r w:rsidR="00747AAD" w:rsidRPr="00EC2A1C">
              <w:t>kulturní</w:t>
            </w:r>
            <w:r w:rsidRPr="00EC2A1C">
              <w:t xml:space="preserve"> dědictví jako jsou </w:t>
            </w:r>
            <w:r w:rsidR="00747AAD" w:rsidRPr="00EC2A1C">
              <w:t>např. různé</w:t>
            </w:r>
            <w:r w:rsidRPr="00EC2A1C">
              <w:t xml:space="preserve"> formy oceňování (udělování titulů Nositel tradice lidových </w:t>
            </w:r>
            <w:r w:rsidR="00747AAD" w:rsidRPr="00EC2A1C">
              <w:t>řemesel na</w:t>
            </w:r>
            <w:r w:rsidRPr="00EC2A1C">
              <w:t xml:space="preserve"> úrovni MK nebo Mistr tradiční rukodělné výroby na úrovni krajských samospráv), zapisování významných prvků nehmotného kulturního dědictví do Seznamu nemateriálních statků tradiční lidové kultury ČR a do krajských seznamů podobného zaměření.</w:t>
            </w:r>
          </w:p>
        </w:tc>
        <w:tc>
          <w:tcPr>
            <w:tcW w:w="249" w:type="dxa"/>
            <w:tcBorders>
              <w:top w:val="nil"/>
              <w:bottom w:val="nil"/>
            </w:tcBorders>
            <w:shd w:val="clear" w:color="auto" w:fill="66CCFF"/>
          </w:tcPr>
          <w:p w14:paraId="697A9E45" w14:textId="77777777" w:rsidR="00DD3EFA" w:rsidRPr="00EC2A1C" w:rsidRDefault="00DD3EFA" w:rsidP="00B15ECB">
            <w:pPr>
              <w:rPr>
                <w:b/>
              </w:rPr>
            </w:pPr>
          </w:p>
        </w:tc>
      </w:tr>
      <w:tr w:rsidR="00DD3EFA" w:rsidRPr="00EC2A1C" w14:paraId="28178C9B" w14:textId="77777777" w:rsidTr="00B15ECB">
        <w:trPr>
          <w:trHeight w:val="1274"/>
        </w:trPr>
        <w:tc>
          <w:tcPr>
            <w:tcW w:w="249" w:type="dxa"/>
            <w:tcBorders>
              <w:top w:val="nil"/>
              <w:bottom w:val="nil"/>
            </w:tcBorders>
            <w:shd w:val="clear" w:color="auto" w:fill="66CCFF"/>
          </w:tcPr>
          <w:p w14:paraId="1FD2DAF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72825ED"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Stanovení předpokládaného podílu ESIF na plnění specifického cíle NKR</w:t>
            </w:r>
          </w:p>
        </w:tc>
        <w:tc>
          <w:tcPr>
            <w:tcW w:w="5978" w:type="dxa"/>
            <w:tcBorders>
              <w:bottom w:val="single" w:sz="4" w:space="0" w:color="auto"/>
            </w:tcBorders>
            <w:shd w:val="clear" w:color="auto" w:fill="FFFFFF" w:themeFill="background1"/>
          </w:tcPr>
          <w:p w14:paraId="5A43E544"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Pokud by ČR měla nárok na 20, 1 miliardy EUR v běžných cenách, mělo by být ambicí, získat pro kulturu částku cca 2 miliardy Eur, tj. 10% celkové částky a to především z důvodu akcentace kultury na úrovni Evropské komise jako nové hnací síly ekonomiky a nástroje pro ochranu evropských hodnot. </w:t>
            </w:r>
          </w:p>
          <w:p w14:paraId="79BF3864" w14:textId="5BA770D7" w:rsidR="00DD3EFA" w:rsidRPr="00EC2A1C" w:rsidRDefault="00DD3EFA" w:rsidP="00B15ECB">
            <w:pPr>
              <w:spacing w:before="60" w:after="60"/>
              <w:rPr>
                <w:rFonts w:eastAsiaTheme="majorEastAsia"/>
              </w:rPr>
            </w:pPr>
            <w:r w:rsidRPr="00EC2A1C">
              <w:rPr>
                <w:rFonts w:eastAsiaTheme="majorEastAsia"/>
              </w:rPr>
              <w:t>Např. Evropský parlament usiluje</w:t>
            </w:r>
            <w:r w:rsidR="00747AAD" w:rsidRPr="00EC2A1C">
              <w:rPr>
                <w:rFonts w:eastAsiaTheme="majorEastAsia"/>
              </w:rPr>
              <w:t xml:space="preserve"> o dvojnásobné navýšení částky </w:t>
            </w:r>
            <w:r w:rsidRPr="00EC2A1C">
              <w:rPr>
                <w:rFonts w:eastAsiaTheme="majorEastAsia"/>
              </w:rPr>
              <w:t xml:space="preserve">1, 85 miliard Eur, která je v současné době vyčleněna na kulturní a kreativní odvětví/průmysly v rámci nového programového období.  </w:t>
            </w:r>
          </w:p>
        </w:tc>
        <w:tc>
          <w:tcPr>
            <w:tcW w:w="249" w:type="dxa"/>
            <w:tcBorders>
              <w:top w:val="nil"/>
              <w:bottom w:val="nil"/>
            </w:tcBorders>
            <w:shd w:val="clear" w:color="auto" w:fill="66CCFF"/>
          </w:tcPr>
          <w:p w14:paraId="37E35A9A" w14:textId="77777777" w:rsidR="00DD3EFA" w:rsidRPr="00EC2A1C" w:rsidRDefault="00DD3EFA" w:rsidP="00B15ECB">
            <w:pPr>
              <w:rPr>
                <w:b/>
              </w:rPr>
            </w:pPr>
          </w:p>
        </w:tc>
      </w:tr>
      <w:tr w:rsidR="00DD3EFA" w:rsidRPr="00EC2A1C" w14:paraId="773FE15E" w14:textId="77777777" w:rsidTr="00B15ECB">
        <w:trPr>
          <w:trHeight w:val="1274"/>
        </w:trPr>
        <w:tc>
          <w:tcPr>
            <w:tcW w:w="249" w:type="dxa"/>
            <w:tcBorders>
              <w:top w:val="nil"/>
              <w:bottom w:val="nil"/>
            </w:tcBorders>
            <w:shd w:val="clear" w:color="auto" w:fill="66CCFF"/>
          </w:tcPr>
          <w:p w14:paraId="2A79D4C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EE582AF" w14:textId="77777777" w:rsidR="00DD3EFA" w:rsidRPr="00EC2A1C" w:rsidRDefault="00DD3EFA" w:rsidP="00391907">
            <w:pPr>
              <w:pStyle w:val="Odstavecseseznamem"/>
              <w:numPr>
                <w:ilvl w:val="0"/>
                <w:numId w:val="4"/>
              </w:numPr>
              <w:spacing w:before="60" w:after="60"/>
              <w:rPr>
                <w:rFonts w:eastAsiaTheme="majorEastAsia"/>
                <w:b/>
              </w:rPr>
            </w:pPr>
            <w:r w:rsidRPr="00EC2A1C">
              <w:rPr>
                <w:rFonts w:eastAsiaTheme="majorEastAsia"/>
                <w:b/>
              </w:rPr>
              <w:t>Posun intervencí oproti dosavadním obdobím</w:t>
            </w:r>
          </w:p>
        </w:tc>
        <w:tc>
          <w:tcPr>
            <w:tcW w:w="5978" w:type="dxa"/>
            <w:tcBorders>
              <w:bottom w:val="single" w:sz="4" w:space="0" w:color="auto"/>
            </w:tcBorders>
            <w:shd w:val="clear" w:color="auto" w:fill="FFFFFF" w:themeFill="background1"/>
          </w:tcPr>
          <w:p w14:paraId="65D32E9E" w14:textId="1CB397D8" w:rsidR="00DD3EFA" w:rsidRPr="00EC2A1C" w:rsidRDefault="00DD3EFA" w:rsidP="00B15ECB">
            <w:pPr>
              <w:spacing w:before="60" w:after="60"/>
            </w:pPr>
            <w:r w:rsidRPr="00EC2A1C">
              <w:t xml:space="preserve">Klíčovým posunem intervencí je zaměření na využití kulturního dědictví, mimo jiné pro </w:t>
            </w:r>
            <w:r w:rsidR="00747AAD" w:rsidRPr="00EC2A1C">
              <w:t>potřeby</w:t>
            </w:r>
            <w:r w:rsidRPr="00EC2A1C">
              <w:t xml:space="preserve"> znalostní ekonomiky, tedy primárně vzdělávání a využití pro kulturní a kreativní odvětví/průmysly.</w:t>
            </w:r>
          </w:p>
          <w:p w14:paraId="71B04254" w14:textId="77777777" w:rsidR="00DD3EFA" w:rsidRPr="00EC2A1C" w:rsidRDefault="00DD3EFA" w:rsidP="00B15ECB">
            <w:pPr>
              <w:spacing w:before="60" w:after="60"/>
            </w:pPr>
            <w:r w:rsidRPr="00EC2A1C">
              <w:t xml:space="preserve">V předcházejícím období byly podporovány téměř výlučně „národní kulturní památky“ a „památky UNESCO“ (IROP SC 3.1). Předložená koncepce je ve své podstatě širší, počítá s výrazným rozšířením portfolia žadatelů a celorepublikovým dopadem, postihuje budovy s nižším stupněm památkové ochrany a nabízí jim smysluplné využití včetně výstavby či modernizace depozitářů a archivů. </w:t>
            </w:r>
          </w:p>
          <w:p w14:paraId="11ED960A" w14:textId="77777777" w:rsidR="00DD3EFA" w:rsidRPr="00EC2A1C" w:rsidRDefault="00DD3EFA" w:rsidP="00B15ECB">
            <w:pPr>
              <w:spacing w:before="60" w:after="60"/>
            </w:pPr>
            <w:r w:rsidRPr="00EC2A1C">
              <w:t>Důležitost spočívá v otevření možnosti financování konkrétních aktivit - nejvhodnější variantou by pak byly cílené výzvy na rozvoj a vybudování objektů a kapacit paměťových institucí na všech úrovních. Tyto výzvy zároveň musí mít celorepublikový dopad bez výjimek, včetně hlavního města Prahy.</w:t>
            </w:r>
          </w:p>
          <w:p w14:paraId="62A1CB7B" w14:textId="60726C68" w:rsidR="00DD3EFA" w:rsidRPr="00EC2A1C" w:rsidRDefault="00DD3EFA" w:rsidP="00B15ECB">
            <w:pPr>
              <w:spacing w:before="60" w:after="60"/>
              <w:rPr>
                <w:rFonts w:eastAsiaTheme="majorEastAsia"/>
              </w:rPr>
            </w:pPr>
            <w:r w:rsidRPr="00EC2A1C">
              <w:t xml:space="preserve">Také téma bezpečnosti a ochrany movitých i nemovitých, ale i nemateriálních památek jako takové, stejně jako bezpečnosti uživatelů, nebylo možno dosud koncepčně uchopit. Inovativní by byla i možnost restaurování významných nebo kriticky ohrožených sbírkových předmětů. Stejně tak by byla nová koncepce kontaktních center a edukačních center, které nejsou jen součástí návštěvnické infrastruktury, ale přinášejí další možnosti rozvoje, např. využití pro znalostní ekonomiku, možnost zapojení různých cílových skupin </w:t>
            </w:r>
            <w:r w:rsidR="00747AAD" w:rsidRPr="00EC2A1C">
              <w:t>včetně</w:t>
            </w:r>
            <w:r w:rsidRPr="00EC2A1C">
              <w:t xml:space="preserve"> seniorů, udržitelnost, </w:t>
            </w:r>
            <w:r w:rsidR="00747AAD" w:rsidRPr="00EC2A1C">
              <w:t>bezpečnost</w:t>
            </w:r>
            <w:r w:rsidRPr="00EC2A1C">
              <w:t xml:space="preserve"> apod. Posunem je masívní využití moderních technologií ve zpřístupnění hodnot kulturního dědictví a ve vyladění optimálního dlouhodobě udržitelného vztahu mezi kulturním dědictvím a jeho uživateli, stejně jako jeho využití v oblasti KKO/P.</w:t>
            </w:r>
          </w:p>
        </w:tc>
        <w:tc>
          <w:tcPr>
            <w:tcW w:w="249" w:type="dxa"/>
            <w:tcBorders>
              <w:top w:val="nil"/>
              <w:bottom w:val="nil"/>
            </w:tcBorders>
            <w:shd w:val="clear" w:color="auto" w:fill="66CCFF"/>
          </w:tcPr>
          <w:p w14:paraId="74082351" w14:textId="77777777" w:rsidR="00DD3EFA" w:rsidRPr="00EC2A1C" w:rsidRDefault="00DD3EFA" w:rsidP="00B15ECB">
            <w:pPr>
              <w:rPr>
                <w:b/>
              </w:rPr>
            </w:pPr>
          </w:p>
        </w:tc>
      </w:tr>
      <w:tr w:rsidR="00DD3EFA" w:rsidRPr="00EC2A1C" w14:paraId="20564536" w14:textId="77777777" w:rsidTr="00B15ECB">
        <w:trPr>
          <w:trHeight w:val="272"/>
        </w:trPr>
        <w:tc>
          <w:tcPr>
            <w:tcW w:w="249" w:type="dxa"/>
            <w:tcBorders>
              <w:top w:val="nil"/>
              <w:bottom w:val="nil"/>
              <w:right w:val="nil"/>
            </w:tcBorders>
            <w:shd w:val="clear" w:color="auto" w:fill="66CCFF"/>
          </w:tcPr>
          <w:p w14:paraId="68B5D898"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3432C64"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30AC4C1" w14:textId="77777777" w:rsidR="00DD3EFA" w:rsidRPr="00EC2A1C" w:rsidRDefault="00DD3EFA" w:rsidP="00B15ECB">
            <w:pPr>
              <w:spacing w:before="60" w:after="60"/>
              <w:rPr>
                <w:rFonts w:eastAsiaTheme="majorEastAsia"/>
                <w:i/>
                <w:u w:val="single"/>
              </w:rPr>
            </w:pPr>
          </w:p>
        </w:tc>
        <w:tc>
          <w:tcPr>
            <w:tcW w:w="249" w:type="dxa"/>
            <w:tcBorders>
              <w:top w:val="nil"/>
              <w:left w:val="nil"/>
              <w:bottom w:val="nil"/>
            </w:tcBorders>
            <w:shd w:val="clear" w:color="auto" w:fill="66CCFF"/>
          </w:tcPr>
          <w:p w14:paraId="2F2B0472" w14:textId="77777777" w:rsidR="00DD3EFA" w:rsidRPr="00EC2A1C" w:rsidRDefault="00DD3EFA" w:rsidP="00B15ECB">
            <w:pPr>
              <w:rPr>
                <w:b/>
              </w:rPr>
            </w:pPr>
          </w:p>
        </w:tc>
      </w:tr>
      <w:tr w:rsidR="00DD3EFA" w:rsidRPr="00EC2A1C" w14:paraId="27D03030" w14:textId="77777777" w:rsidTr="00B15ECB">
        <w:trPr>
          <w:trHeight w:val="835"/>
        </w:trPr>
        <w:tc>
          <w:tcPr>
            <w:tcW w:w="249" w:type="dxa"/>
            <w:tcBorders>
              <w:top w:val="nil"/>
              <w:bottom w:val="nil"/>
            </w:tcBorders>
            <w:shd w:val="clear" w:color="auto" w:fill="66CCFF"/>
          </w:tcPr>
          <w:p w14:paraId="28A9DA26"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auto"/>
          </w:tcPr>
          <w:p w14:paraId="172299C2" w14:textId="77777777" w:rsidR="00DD3EFA" w:rsidRPr="00EC2A1C" w:rsidRDefault="00DD3EFA" w:rsidP="00B15ECB">
            <w:pPr>
              <w:spacing w:before="60" w:after="60"/>
              <w:rPr>
                <w:rFonts w:eastAsiaTheme="majorEastAsia"/>
                <w:b/>
              </w:rPr>
            </w:pPr>
            <w:r w:rsidRPr="00EC2A1C">
              <w:rPr>
                <w:rFonts w:eastAsiaTheme="majorEastAsia"/>
                <w:b/>
              </w:rPr>
              <w:t>Dílčí cíle podpory</w:t>
            </w:r>
          </w:p>
          <w:p w14:paraId="25715290" w14:textId="77777777" w:rsidR="00DD3EFA" w:rsidRPr="00EC2A1C" w:rsidRDefault="00DD3EFA" w:rsidP="00B15ECB">
            <w:pPr>
              <w:spacing w:before="60" w:after="60"/>
              <w:rPr>
                <w:rFonts w:eastAsiaTheme="majorEastAsia"/>
                <w:b/>
              </w:rPr>
            </w:pPr>
          </w:p>
        </w:tc>
        <w:tc>
          <w:tcPr>
            <w:tcW w:w="5978" w:type="dxa"/>
            <w:tcBorders>
              <w:top w:val="single" w:sz="4" w:space="0" w:color="auto"/>
              <w:bottom w:val="single" w:sz="4" w:space="0" w:color="auto"/>
            </w:tcBorders>
            <w:shd w:val="clear" w:color="auto" w:fill="auto"/>
          </w:tcPr>
          <w:p w14:paraId="077922CD" w14:textId="77777777" w:rsidR="00DD3EFA" w:rsidRPr="00EC2A1C" w:rsidRDefault="00DD3EFA" w:rsidP="00B15ECB">
            <w:pPr>
              <w:rPr>
                <w:b/>
              </w:rPr>
            </w:pPr>
            <w:r w:rsidRPr="00EC2A1C">
              <w:rPr>
                <w:b/>
              </w:rPr>
              <w:t>Ochrana, rozvoj a podpora kulturního dědictví (movitého i nemovitého a nemateriálního):</w:t>
            </w:r>
          </w:p>
          <w:p w14:paraId="4D38C6B2" w14:textId="77777777" w:rsidR="00DD3EFA" w:rsidRPr="00EC2A1C" w:rsidRDefault="00DD3EFA" w:rsidP="00B15ECB">
            <w:pPr>
              <w:rPr>
                <w:b/>
              </w:rPr>
            </w:pPr>
          </w:p>
          <w:p w14:paraId="162B8BA9" w14:textId="77777777" w:rsidR="00DD3EFA" w:rsidRPr="00EC2A1C" w:rsidRDefault="00DD3EFA" w:rsidP="00391907">
            <w:pPr>
              <w:pStyle w:val="Odstavecseseznamem"/>
              <w:numPr>
                <w:ilvl w:val="0"/>
                <w:numId w:val="78"/>
              </w:numPr>
              <w:jc w:val="both"/>
            </w:pPr>
            <w:r w:rsidRPr="00EC2A1C">
              <w:t>Ochrana a obnova, resp. záchrana nemovitého kulturního dědictví</w:t>
            </w:r>
          </w:p>
          <w:p w14:paraId="1F998293" w14:textId="77777777" w:rsidR="00DD3EFA" w:rsidRPr="00EC2A1C" w:rsidRDefault="00DD3EFA" w:rsidP="00391907">
            <w:pPr>
              <w:pStyle w:val="Odstavecseseznamem"/>
              <w:numPr>
                <w:ilvl w:val="0"/>
                <w:numId w:val="78"/>
              </w:numPr>
              <w:jc w:val="both"/>
            </w:pPr>
            <w:r w:rsidRPr="00EC2A1C">
              <w:t>Ochrana movitých památek vč. jejich restaurování, digitalizace a zkvalitnění systému evidence</w:t>
            </w:r>
          </w:p>
          <w:p w14:paraId="5F33135F" w14:textId="77777777" w:rsidR="00DD3EFA" w:rsidRPr="00EC2A1C" w:rsidRDefault="00DD3EFA" w:rsidP="00391907">
            <w:pPr>
              <w:pStyle w:val="Odstavecseseznamem"/>
              <w:numPr>
                <w:ilvl w:val="0"/>
                <w:numId w:val="78"/>
              </w:numPr>
              <w:jc w:val="both"/>
            </w:pPr>
            <w:r w:rsidRPr="00EC2A1C">
              <w:t>Ochrana a podpora nemateriálního kulturního dědictví</w:t>
            </w:r>
          </w:p>
          <w:p w14:paraId="457B18C6" w14:textId="77777777" w:rsidR="00DD3EFA" w:rsidRPr="00EC2A1C" w:rsidRDefault="00DD3EFA" w:rsidP="00391907">
            <w:pPr>
              <w:pStyle w:val="Odstavecseseznamem"/>
              <w:numPr>
                <w:ilvl w:val="0"/>
                <w:numId w:val="78"/>
              </w:numPr>
              <w:jc w:val="both"/>
            </w:pPr>
            <w:r w:rsidRPr="00EC2A1C">
              <w:t>Zabezpečení památkových objektů a areálů paměťových institucí a jejich mobiliárních fondů a sbírek</w:t>
            </w:r>
          </w:p>
          <w:p w14:paraId="1E724809" w14:textId="77777777" w:rsidR="00DD3EFA" w:rsidRPr="00EC2A1C" w:rsidRDefault="00DD3EFA" w:rsidP="00391907">
            <w:pPr>
              <w:pStyle w:val="Odstavecseseznamem"/>
              <w:numPr>
                <w:ilvl w:val="0"/>
                <w:numId w:val="78"/>
              </w:numPr>
              <w:jc w:val="both"/>
            </w:pPr>
            <w:r w:rsidRPr="00EC2A1C">
              <w:t xml:space="preserve">Podpora vzniku a rekonstrukce lokálních depozitářů </w:t>
            </w:r>
          </w:p>
          <w:p w14:paraId="21424E86" w14:textId="77777777" w:rsidR="00DD3EFA" w:rsidRPr="00EC2A1C" w:rsidRDefault="00DD3EFA" w:rsidP="00391907">
            <w:pPr>
              <w:pStyle w:val="Odstavecseseznamem"/>
              <w:numPr>
                <w:ilvl w:val="0"/>
                <w:numId w:val="78"/>
              </w:numPr>
              <w:jc w:val="both"/>
            </w:pPr>
            <w:r w:rsidRPr="00EC2A1C">
              <w:t>Podpora vzniku a rekonstrukce návštěvnických center a zázemí pro návštěvníky objektů kulturního dědictví</w:t>
            </w:r>
          </w:p>
          <w:p w14:paraId="07CB2893" w14:textId="77777777" w:rsidR="00DD3EFA" w:rsidRPr="00EC2A1C" w:rsidRDefault="00DD3EFA" w:rsidP="00391907">
            <w:pPr>
              <w:pStyle w:val="Odstavecseseznamem"/>
              <w:numPr>
                <w:ilvl w:val="0"/>
                <w:numId w:val="78"/>
              </w:numPr>
              <w:jc w:val="both"/>
            </w:pPr>
            <w:r w:rsidRPr="00EC2A1C">
              <w:t>Podpora vzniku edukačních center kulturního dědictví a zázemí pro žáky a studenty všech úrovní školského systému (včetně celoživotního vzdělávání)</w:t>
            </w:r>
          </w:p>
          <w:p w14:paraId="17E0443B" w14:textId="77777777" w:rsidR="00DD3EFA" w:rsidRPr="00EC2A1C" w:rsidRDefault="00DD3EFA" w:rsidP="00B15ECB">
            <w:pPr>
              <w:rPr>
                <w:b/>
              </w:rPr>
            </w:pPr>
          </w:p>
          <w:p w14:paraId="11A64116" w14:textId="77777777" w:rsidR="00DD3EFA" w:rsidRPr="00EC2A1C" w:rsidRDefault="00DD3EFA" w:rsidP="00B15ECB">
            <w:pPr>
              <w:rPr>
                <w:b/>
              </w:rPr>
            </w:pPr>
            <w:r w:rsidRPr="00EC2A1C">
              <w:rPr>
                <w:b/>
              </w:rPr>
              <w:t>Ochrana a rozvoj kulturních institucí pečujících o kulturní dědictví – muzea, galerie, knihovny, ústavy, archivy:</w:t>
            </w:r>
          </w:p>
          <w:p w14:paraId="321B9E91" w14:textId="77777777" w:rsidR="00DD3EFA" w:rsidRPr="00EC2A1C" w:rsidRDefault="00DD3EFA" w:rsidP="00B15ECB">
            <w:pPr>
              <w:rPr>
                <w:b/>
              </w:rPr>
            </w:pPr>
          </w:p>
          <w:p w14:paraId="689EF5A4" w14:textId="77777777" w:rsidR="00DD3EFA" w:rsidRPr="00EC2A1C" w:rsidRDefault="00DD3EFA" w:rsidP="00391907">
            <w:pPr>
              <w:pStyle w:val="Odstavecseseznamem"/>
              <w:numPr>
                <w:ilvl w:val="0"/>
                <w:numId w:val="78"/>
              </w:numPr>
              <w:jc w:val="both"/>
            </w:pPr>
            <w:r w:rsidRPr="00EC2A1C">
              <w:t>Podpora vzniku a rekonstrukcí objektů muzeí, knihoven, galerií, ústavů a archivů</w:t>
            </w:r>
          </w:p>
          <w:p w14:paraId="35429408" w14:textId="77777777" w:rsidR="00DD3EFA" w:rsidRPr="00EC2A1C" w:rsidRDefault="00DD3EFA" w:rsidP="00391907">
            <w:pPr>
              <w:pStyle w:val="Odstavecseseznamem"/>
              <w:numPr>
                <w:ilvl w:val="0"/>
                <w:numId w:val="78"/>
              </w:numPr>
              <w:jc w:val="both"/>
            </w:pPr>
            <w:r w:rsidRPr="00EC2A1C">
              <w:t>Podpora vybavení těchto paměťových institucí moderními informačními technologiemi pro prezentaci a komunikaci jejich obsahu</w:t>
            </w:r>
          </w:p>
          <w:p w14:paraId="5635CF9F" w14:textId="56D65B5F" w:rsidR="00DD3EFA" w:rsidRPr="00EC2A1C" w:rsidRDefault="00DD3EFA" w:rsidP="00391907">
            <w:pPr>
              <w:pStyle w:val="Odstavecseseznamem"/>
              <w:numPr>
                <w:ilvl w:val="0"/>
                <w:numId w:val="78"/>
              </w:numPr>
              <w:jc w:val="both"/>
            </w:pPr>
            <w:r w:rsidRPr="00EC2A1C">
              <w:t>Ochrana sbírkových předmětů paměťových institucí skrze jejich restaurování, digitalizaci a zkvalitnění systému jejich evidence</w:t>
            </w:r>
          </w:p>
          <w:p w14:paraId="696AE2FF" w14:textId="77777777" w:rsidR="00DD3EFA" w:rsidRPr="00EC2A1C" w:rsidRDefault="00DD3EFA" w:rsidP="00391907">
            <w:pPr>
              <w:pStyle w:val="Odstavecseseznamem"/>
              <w:numPr>
                <w:ilvl w:val="0"/>
                <w:numId w:val="78"/>
              </w:numPr>
              <w:jc w:val="both"/>
            </w:pPr>
            <w:r w:rsidRPr="00EC2A1C">
              <w:t>Podpora vzniku a rekonstrukce depozitářů a archivů paměťových institucí</w:t>
            </w:r>
          </w:p>
          <w:p w14:paraId="4493417B" w14:textId="77777777" w:rsidR="00DD3EFA" w:rsidRPr="00EC2A1C" w:rsidRDefault="00DD3EFA" w:rsidP="00B15ECB">
            <w:pPr>
              <w:rPr>
                <w:b/>
              </w:rPr>
            </w:pPr>
          </w:p>
          <w:p w14:paraId="6043D44A" w14:textId="77777777" w:rsidR="00DD3EFA" w:rsidRPr="00EC2A1C" w:rsidRDefault="00DD3EFA" w:rsidP="00B15ECB">
            <w:pPr>
              <w:rPr>
                <w:b/>
              </w:rPr>
            </w:pPr>
            <w:r w:rsidRPr="00EC2A1C">
              <w:rPr>
                <w:b/>
              </w:rPr>
              <w:t>Ochrana a rozvoj nehmotného kulturního dědictví – kreativní a umělecká centra, nositelé nehmotného kulturního dědictví:</w:t>
            </w:r>
          </w:p>
          <w:p w14:paraId="2533F519" w14:textId="77777777" w:rsidR="00DD3EFA" w:rsidRPr="00EC2A1C" w:rsidRDefault="00DD3EFA" w:rsidP="00B15ECB">
            <w:pPr>
              <w:rPr>
                <w:b/>
              </w:rPr>
            </w:pPr>
          </w:p>
          <w:p w14:paraId="554E8E3B" w14:textId="77777777" w:rsidR="00DD3EFA" w:rsidRPr="00EC2A1C" w:rsidRDefault="00DD3EFA" w:rsidP="00391907">
            <w:pPr>
              <w:pStyle w:val="Odstavecseseznamem"/>
              <w:numPr>
                <w:ilvl w:val="0"/>
                <w:numId w:val="78"/>
              </w:numPr>
              <w:jc w:val="both"/>
            </w:pPr>
            <w:r w:rsidRPr="00EC2A1C">
              <w:t>Podpora uchování a rozvoje tradičních uměleckých a lidových řemesel</w:t>
            </w:r>
          </w:p>
          <w:p w14:paraId="41B35895" w14:textId="77777777" w:rsidR="00DD3EFA" w:rsidRPr="00EC2A1C" w:rsidRDefault="00DD3EFA" w:rsidP="00391907">
            <w:pPr>
              <w:pStyle w:val="Odstavecseseznamem"/>
              <w:numPr>
                <w:ilvl w:val="0"/>
                <w:numId w:val="78"/>
              </w:numPr>
              <w:jc w:val="both"/>
            </w:pPr>
            <w:r w:rsidRPr="00EC2A1C">
              <w:t>Podpora tvorby kulturního obsahu při záchraně kulturního a průmyslového dědictví (kulturní a technické památky)</w:t>
            </w:r>
          </w:p>
          <w:p w14:paraId="185A1C3B" w14:textId="77777777" w:rsidR="00DD3EFA" w:rsidRPr="00EC2A1C" w:rsidRDefault="00DD3EFA" w:rsidP="00391907">
            <w:pPr>
              <w:pStyle w:val="Odstavecseseznamem"/>
              <w:numPr>
                <w:ilvl w:val="0"/>
                <w:numId w:val="78"/>
              </w:numPr>
              <w:jc w:val="both"/>
            </w:pPr>
            <w:r w:rsidRPr="00EC2A1C">
              <w:t>Podpora rozvoje zázemí pro kulturní a kreativní odvětví/průmysly – vznik a rozvoj kreativních center, klastrů, hubů (s využitím kulturních a technických památek, případně průmyslových brownfieldů)</w:t>
            </w:r>
          </w:p>
          <w:p w14:paraId="53F9BD94" w14:textId="77777777" w:rsidR="00DD3EFA" w:rsidRPr="00EC2A1C" w:rsidRDefault="00DD3EFA" w:rsidP="00B15ECB">
            <w:pPr>
              <w:rPr>
                <w:b/>
              </w:rPr>
            </w:pPr>
          </w:p>
          <w:p w14:paraId="2EEAAECF" w14:textId="77777777" w:rsidR="00DD3EFA" w:rsidRPr="00EC2A1C" w:rsidRDefault="00DD3EFA" w:rsidP="00B15ECB">
            <w:pPr>
              <w:rPr>
                <w:b/>
              </w:rPr>
            </w:pPr>
            <w:r w:rsidRPr="00EC2A1C">
              <w:rPr>
                <w:b/>
              </w:rPr>
              <w:t>Podpora rozvoje zázemí pro kulturní a kreativní odvětví/průmyslu:</w:t>
            </w:r>
          </w:p>
          <w:p w14:paraId="7C40FF15" w14:textId="77777777" w:rsidR="00DD3EFA" w:rsidRPr="00EC2A1C" w:rsidRDefault="00DD3EFA" w:rsidP="00B15ECB">
            <w:pPr>
              <w:rPr>
                <w:b/>
              </w:rPr>
            </w:pPr>
          </w:p>
          <w:p w14:paraId="6486B832" w14:textId="77777777" w:rsidR="00DD3EFA" w:rsidRPr="00EC2A1C" w:rsidRDefault="00DD3EFA" w:rsidP="00B15ECB">
            <w:r w:rsidRPr="00EC2A1C">
              <w:t xml:space="preserve"> - Podpora rozvoje zázemí pro kulturní a kreativní odvětví/průmysly</w:t>
            </w:r>
          </w:p>
          <w:p w14:paraId="1F5541D7" w14:textId="77777777" w:rsidR="00DD3EFA" w:rsidRPr="00EC2A1C" w:rsidRDefault="00DD3EFA" w:rsidP="00B15ECB">
            <w:r w:rsidRPr="00EC2A1C">
              <w:t>– vznik a rozvoj kreativních center, klastrů, hubů ( m.j. např. i s využitím kulturních a technických památek, případně průmyslových brownfieldů).</w:t>
            </w:r>
          </w:p>
          <w:p w14:paraId="24CB8942" w14:textId="77777777" w:rsidR="00DD3EFA" w:rsidRPr="00EC2A1C" w:rsidRDefault="00DD3EFA" w:rsidP="00B15ECB">
            <w:r w:rsidRPr="00EC2A1C">
              <w:t>- Budování zázemí pro ekosystém výzkumu, vývoje a inovací</w:t>
            </w:r>
          </w:p>
          <w:p w14:paraId="2F5D6CA3" w14:textId="77777777" w:rsidR="00DD3EFA" w:rsidRPr="00EC2A1C" w:rsidRDefault="00DD3EFA" w:rsidP="00B15ECB"/>
          <w:p w14:paraId="2E1D83E1" w14:textId="77777777" w:rsidR="00DD3EFA" w:rsidRPr="00EC2A1C" w:rsidRDefault="00DD3EFA" w:rsidP="00B15ECB">
            <w:pPr>
              <w:rPr>
                <w:b/>
              </w:rPr>
            </w:pPr>
            <w:r w:rsidRPr="00EC2A1C">
              <w:rPr>
                <w:b/>
              </w:rPr>
              <w:t>Zvyšování kompetencí</w:t>
            </w:r>
          </w:p>
          <w:p w14:paraId="3D592056" w14:textId="77777777" w:rsidR="00DD3EFA" w:rsidRPr="00EC2A1C" w:rsidRDefault="00DD3EFA" w:rsidP="00391907">
            <w:pPr>
              <w:pStyle w:val="Odstavecseseznamem"/>
              <w:numPr>
                <w:ilvl w:val="0"/>
                <w:numId w:val="78"/>
              </w:numPr>
              <w:jc w:val="both"/>
            </w:pPr>
            <w:r w:rsidRPr="00EC2A1C">
              <w:t>Zvyšování kompetencí pracovníků v oblasti kultury</w:t>
            </w:r>
          </w:p>
          <w:p w14:paraId="1F3A55AA" w14:textId="77777777" w:rsidR="00DD3EFA" w:rsidRPr="00EC2A1C" w:rsidRDefault="00DD3EFA" w:rsidP="00391907">
            <w:pPr>
              <w:pStyle w:val="Odstavecseseznamem"/>
              <w:numPr>
                <w:ilvl w:val="0"/>
                <w:numId w:val="78"/>
              </w:numPr>
              <w:jc w:val="both"/>
            </w:pPr>
            <w:r w:rsidRPr="00EC2A1C">
              <w:t>Zvyšování kompetencí v kulturních a kreativních odvětvích</w:t>
            </w:r>
          </w:p>
        </w:tc>
        <w:tc>
          <w:tcPr>
            <w:tcW w:w="249" w:type="dxa"/>
            <w:tcBorders>
              <w:top w:val="nil"/>
              <w:bottom w:val="nil"/>
            </w:tcBorders>
            <w:shd w:val="clear" w:color="auto" w:fill="66CCFF"/>
          </w:tcPr>
          <w:p w14:paraId="1BF52D1B" w14:textId="77777777" w:rsidR="00DD3EFA" w:rsidRPr="00EC2A1C" w:rsidRDefault="00DD3EFA" w:rsidP="00B15ECB">
            <w:pPr>
              <w:rPr>
                <w:b/>
              </w:rPr>
            </w:pPr>
          </w:p>
        </w:tc>
      </w:tr>
      <w:tr w:rsidR="00DD3EFA" w:rsidRPr="00EC2A1C" w14:paraId="4CE36BBE" w14:textId="77777777" w:rsidTr="00B15ECB">
        <w:trPr>
          <w:trHeight w:val="377"/>
        </w:trPr>
        <w:tc>
          <w:tcPr>
            <w:tcW w:w="249" w:type="dxa"/>
            <w:tcBorders>
              <w:top w:val="nil"/>
              <w:bottom w:val="nil"/>
              <w:right w:val="nil"/>
            </w:tcBorders>
            <w:shd w:val="clear" w:color="auto" w:fill="66CCFF"/>
          </w:tcPr>
          <w:p w14:paraId="78D570EF"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2F5A7650"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3C79ADB5" w14:textId="77777777" w:rsidR="00DD3EFA" w:rsidRPr="00EC2A1C" w:rsidRDefault="00DD3EFA" w:rsidP="00B15ECB">
            <w:pPr>
              <w:spacing w:before="60" w:after="60"/>
              <w:rPr>
                <w:rFonts w:eastAsiaTheme="majorEastAsia"/>
                <w:i/>
              </w:rPr>
            </w:pPr>
          </w:p>
        </w:tc>
        <w:tc>
          <w:tcPr>
            <w:tcW w:w="249" w:type="dxa"/>
            <w:tcBorders>
              <w:top w:val="nil"/>
              <w:left w:val="nil"/>
              <w:bottom w:val="nil"/>
            </w:tcBorders>
            <w:shd w:val="clear" w:color="auto" w:fill="66CCFF"/>
          </w:tcPr>
          <w:p w14:paraId="2309E002" w14:textId="77777777" w:rsidR="00DD3EFA" w:rsidRPr="00EC2A1C" w:rsidRDefault="00DD3EFA" w:rsidP="00B15ECB">
            <w:pPr>
              <w:rPr>
                <w:b/>
              </w:rPr>
            </w:pPr>
          </w:p>
        </w:tc>
      </w:tr>
      <w:tr w:rsidR="00DD3EFA" w:rsidRPr="00EC2A1C" w14:paraId="68B523D4" w14:textId="77777777" w:rsidTr="00B15ECB">
        <w:trPr>
          <w:trHeight w:val="607"/>
        </w:trPr>
        <w:tc>
          <w:tcPr>
            <w:tcW w:w="249" w:type="dxa"/>
            <w:tcBorders>
              <w:top w:val="nil"/>
              <w:bottom w:val="nil"/>
            </w:tcBorders>
            <w:shd w:val="clear" w:color="auto" w:fill="66CCFF"/>
          </w:tcPr>
          <w:p w14:paraId="4BA928A5" w14:textId="77777777" w:rsidR="00DD3EFA" w:rsidRPr="00EC2A1C" w:rsidRDefault="00DD3EFA" w:rsidP="00B15ECB">
            <w:pPr>
              <w:rPr>
                <w:b/>
              </w:rPr>
            </w:pPr>
          </w:p>
        </w:tc>
        <w:tc>
          <w:tcPr>
            <w:tcW w:w="2548" w:type="dxa"/>
            <w:tcBorders>
              <w:top w:val="single" w:sz="4" w:space="0" w:color="auto"/>
              <w:bottom w:val="single" w:sz="4" w:space="0" w:color="auto"/>
            </w:tcBorders>
            <w:shd w:val="clear" w:color="auto" w:fill="FFFFFF" w:themeFill="background1"/>
          </w:tcPr>
          <w:p w14:paraId="33892CDD" w14:textId="77777777" w:rsidR="00DD3EFA" w:rsidRPr="00EC2A1C" w:rsidRDefault="00DD3EFA" w:rsidP="00B15ECB">
            <w:pPr>
              <w:spacing w:before="60" w:after="60"/>
              <w:rPr>
                <w:rFonts w:eastAsiaTheme="majorEastAsia"/>
                <w:b/>
              </w:rPr>
            </w:pPr>
            <w:r w:rsidRPr="00EC2A1C">
              <w:rPr>
                <w:rFonts w:eastAsiaTheme="majorEastAsia"/>
                <w:b/>
              </w:rPr>
              <w:t>Průřezová témata a souvislosti:</w:t>
            </w:r>
          </w:p>
        </w:tc>
        <w:tc>
          <w:tcPr>
            <w:tcW w:w="5978" w:type="dxa"/>
            <w:tcBorders>
              <w:top w:val="single" w:sz="4" w:space="0" w:color="auto"/>
              <w:bottom w:val="single" w:sz="4" w:space="0" w:color="auto"/>
            </w:tcBorders>
            <w:shd w:val="clear" w:color="auto" w:fill="FFFFFF" w:themeFill="background1"/>
          </w:tcPr>
          <w:p w14:paraId="308AFBD8" w14:textId="77777777" w:rsidR="00DD3EFA" w:rsidRPr="00EC2A1C" w:rsidRDefault="00DD3EFA" w:rsidP="00B15ECB"/>
          <w:p w14:paraId="5EEC53FA" w14:textId="77777777" w:rsidR="00DD3EFA" w:rsidRPr="00EC2A1C" w:rsidRDefault="00DD3EFA" w:rsidP="00B15ECB">
            <w:pPr>
              <w:spacing w:before="60" w:after="60"/>
              <w:rPr>
                <w:rFonts w:eastAsiaTheme="majorEastAsia"/>
              </w:rPr>
            </w:pPr>
          </w:p>
          <w:p w14:paraId="2B5E74BD"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61B1451C" w14:textId="77777777" w:rsidR="00DD3EFA" w:rsidRPr="00EC2A1C" w:rsidRDefault="00DD3EFA" w:rsidP="00B15ECB">
            <w:pPr>
              <w:rPr>
                <w:b/>
              </w:rPr>
            </w:pPr>
          </w:p>
        </w:tc>
      </w:tr>
      <w:tr w:rsidR="00DD3EFA" w:rsidRPr="00EC2A1C" w14:paraId="5C63093B" w14:textId="77777777" w:rsidTr="00B15ECB">
        <w:trPr>
          <w:trHeight w:val="1202"/>
        </w:trPr>
        <w:tc>
          <w:tcPr>
            <w:tcW w:w="249" w:type="dxa"/>
            <w:tcBorders>
              <w:top w:val="nil"/>
              <w:bottom w:val="nil"/>
            </w:tcBorders>
            <w:shd w:val="clear" w:color="auto" w:fill="66CCFF"/>
          </w:tcPr>
          <w:p w14:paraId="082C61F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9B82F48"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19FAA71D"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FE9C1BA"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Rozvoj regionů je jedním z hlavních cílů EU a jejích členských států. V této souvislosti je třeba dbát na další systematický komplexní rozvoj celé sítě kulturních památek a paměťových institucí, tzn. státních - celonárodního charakteru, středních a malých institucí, stejně tak jako těch spravovaných jednotlivými územně správními celky, církvemi či soukromými subjekty (s přihlédnutím k jejich specifikám), aby prostřednictvím moderních technologií fungovaly jako moderní paměťové instituce se srozumitelnou prezentací jejich odborné činnosti vůči široké veřejnosti.</w:t>
            </w:r>
          </w:p>
          <w:p w14:paraId="05B9CD46"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Podle typu kulturní památky či paměťové instituce je třeba uvažovat o konkrétním typu podpory. I přes stále rostoucí účinnou modernizaci velkých paměťových institucí a části národních kulturních památek, hojně navštěvovaných veřejností, je třeba nadále zajišťovat stálý rozvoj a využití potenciálu mnoha dalších (středních a menších) institucí a památek z pohledu jejich umístění, specifického obsahu jejich odborné činnosti a role, jakou mají ve vztahu k infrastruktuře a podnikatelským aktivitám v místě (s přihlédnutím ke stále se zvyšujícímu zájmu o domácí turistiku), pečovat o standard územní dostupnosti poskytovaných služeb.</w:t>
            </w:r>
          </w:p>
          <w:p w14:paraId="44049B98"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Je třeba dále klást důraz na rozvoj odborné správy památek a odborných činností těchto institucí v rámci poslání uchovávat a prezentovat kulturní dědictví a shromažďovat, ochraňovat, zkoumat, veřejnosti zpřístupňovat a popularizovat sbírkové předměty reprezentující národní přírodní, kulturní a technické dědictví ve sbírkách muzejní a knihovní povahy.</w:t>
            </w:r>
          </w:p>
          <w:p w14:paraId="7FD1F3A7" w14:textId="77777777" w:rsidR="00DD3EFA" w:rsidRPr="00EC2A1C" w:rsidRDefault="00DD3EFA" w:rsidP="00B15ECB">
            <w:pPr>
              <w:spacing w:after="120"/>
            </w:pPr>
            <w:r w:rsidRPr="00EC2A1C">
              <w:t xml:space="preserve">Kulturní, a stejně tak i přírodní, dědictví jsou jedním z klíčových prvků přitažlivosti ČR z pohledu cestovního ruchu. Kulturní dědictví stojí za vysokým podílem zahraničních návštěvníků hlavního města Prahy (85 % všech návštěvníků Prahy tvoří zahraniční turisté). Přírodní a kulturně historické atraktivity jsou přitom rovnoměrně rozprostřeny v území ČR. Řada menších kulturně-historických atraktivit se nachází v regionech, kde dotváří místní ráz krajiny. Prostřednictvím aktivit na podporu kulturního dědictví dochází i k zvyšování atraktivity regionů pro cestovní ruch. Mezi hlavní motivace pro návštěvu regionu patří poznávání kulturně-historického dědictví, účast na kulturních aktivitách, aktivní pohyb a sport a relaxace. Samostatnou vyhledávanou motivací je i poznávání místní gastronomie, které má vazbu na kulturu, místní tradice, ale i zemědělství. </w:t>
            </w:r>
          </w:p>
          <w:p w14:paraId="347D3AEA"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Jednotlivé typy území mají i v oblasti kultury svá specifika, která by bylo vhodné reflektovat při řízení této oblasti. </w:t>
            </w:r>
          </w:p>
          <w:p w14:paraId="4349F68E"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V metropolích a aglomeracích dochází ve zvýšené míře ke koncentraci aktérů působících v oblasti kultury. V tomto typu území je zapotřebí lépe využít potenciál kultury v podpoře regionálního rozvoje. Žádoucí je podpora jednotlivých aktérů (instituce, soukromé subjekty, umělci apod.) a jejich aktivit v rámci nové a širší role kulturních institucí (festivaly, umělecké projekty a další). Tato podpora přispívá ke zlepšení mezinárodní konkurenceschopnosti měst, zkvalitnění veřejného života, atraktivity míst pro návštěvníky a také k diverzifikaci trhu práce směrem k většímu začlenění uměleckých profesí. Propojováním jednotlivých aktérů působících v oblasti kultury může dojít k vytváření uměleckých center/klastrů. V těchto typech území je často nutné pracovat na zajištění obnovy, revitalizace a modernizace památek, muzeí, galerií, divadel, knihoven a dalších zařízení využívaných ke kulturním účelům. </w:t>
            </w:r>
          </w:p>
          <w:p w14:paraId="07846D5F"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V oblasti regionálních center a jejich zázemí je nezbytné podporovat přechod z tradičního fungování kultury na širší pojetí (přeměna z „pasivní“ role institucí na „aktivní“ roli v podobě participativních platforem, inovačních a společenských center apod.). Zároveň je zde nezbytné usilovat o zachování a rozvoj lidových a uměleckých řemesel, které mají v těchto typech území důležitou úlohu ve fungování lokální ekonomiky. Specifický význam mají v tomto typu území tradiční i nově vznikající kulturní akce přinášející pozitivní dopady na komunitní život a sociální soudržnost.  </w:t>
            </w:r>
          </w:p>
          <w:p w14:paraId="7E64896F"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Stejně jako v případě metropolí a aglomerací je v regionálních centrech a jejich venkovském zázemí vhodné podporovat obnovu kulturních památek, na jejichž obnovu a následné využití se však v těchto typech území obtížněji nachází nezbytné prostředky, a dbát na tvorbu regionálních produktů cestovního ruchu propojujícího tyto aktivity. Jedním z funkčních základů, kde by mělo docházet k integraci investic na malých městech s historickým kulturním dědictvím, jsou tzv. Programy regenerace městských památkových rezervací a městských památkových zón. Využitelnost těchto programů pro nastavení integrovaných nástrojů (CLLD a ITI) je velmi vhodná, zvlášť z důvodu jejich dlouhodobého fungování.</w:t>
            </w:r>
          </w:p>
          <w:p w14:paraId="71F962CE" w14:textId="77777777" w:rsidR="00DD3EFA" w:rsidRPr="00EC2A1C" w:rsidRDefault="00DD3EFA" w:rsidP="00B15ECB">
            <w:r w:rsidRPr="00EC2A1C">
              <w:t xml:space="preserve">Kultura má velmi silnou intenzitu územní dimenze. Vyspělosti místa konkrétních oblastí lze velmi dobře měřit pomocí kultury. </w:t>
            </w:r>
          </w:p>
          <w:p w14:paraId="07505FDE" w14:textId="77777777" w:rsidR="00DD3EFA" w:rsidRPr="00EC2A1C" w:rsidRDefault="00DD3EFA" w:rsidP="00B15ECB"/>
          <w:p w14:paraId="317A71D6" w14:textId="77777777" w:rsidR="00DD3EFA" w:rsidRPr="00EC2A1C" w:rsidRDefault="00DD3EFA" w:rsidP="00B15ECB">
            <w:r w:rsidRPr="00EC2A1C">
              <w:t>Nehmotné kulturní dědictví je významné pro venkovské oblasti, ale současně může prostřednictvím transferu know -how tradičních řemesel, gastronomie až po technologie ve stavebnictví zásadním způsobem přispívat rozvoji všech typů území.</w:t>
            </w:r>
          </w:p>
          <w:p w14:paraId="416DDC55" w14:textId="77777777" w:rsidR="00DD3EFA" w:rsidRPr="00EC2A1C" w:rsidRDefault="00DD3EFA" w:rsidP="00B15ECB"/>
          <w:p w14:paraId="2EAA8E8F" w14:textId="77777777" w:rsidR="00DD3EFA" w:rsidRPr="00EC2A1C" w:rsidRDefault="00DD3EFA" w:rsidP="00B15ECB">
            <w:r w:rsidRPr="00EC2A1C">
              <w:t>Kultura reaguje na řadu hlavním megatrendů. Je klíčová pro oblast sociální, technologickou, ekonomickou, environmentální a politickou.</w:t>
            </w:r>
          </w:p>
          <w:p w14:paraId="602BCA15" w14:textId="77777777" w:rsidR="00DD3EFA" w:rsidRPr="00EC2A1C" w:rsidRDefault="00DD3EFA" w:rsidP="00B15ECB">
            <w:pPr>
              <w:pStyle w:val="slovanodstavec"/>
              <w:tabs>
                <w:tab w:val="left" w:pos="284"/>
              </w:tabs>
              <w:suppressAutoHyphens/>
              <w:spacing w:line="240" w:lineRule="auto"/>
              <w:rPr>
                <w:rFonts w:ascii="Times New Roman" w:hAnsi="Times New Roman"/>
              </w:rPr>
            </w:pPr>
          </w:p>
        </w:tc>
        <w:tc>
          <w:tcPr>
            <w:tcW w:w="249" w:type="dxa"/>
            <w:tcBorders>
              <w:top w:val="nil"/>
              <w:bottom w:val="nil"/>
            </w:tcBorders>
            <w:shd w:val="clear" w:color="auto" w:fill="66CCFF"/>
          </w:tcPr>
          <w:p w14:paraId="0AF46212" w14:textId="77777777" w:rsidR="00DD3EFA" w:rsidRPr="00EC2A1C" w:rsidRDefault="00DD3EFA" w:rsidP="00B15ECB">
            <w:pPr>
              <w:rPr>
                <w:b/>
              </w:rPr>
            </w:pPr>
          </w:p>
        </w:tc>
      </w:tr>
      <w:tr w:rsidR="00DD3EFA" w:rsidRPr="00EC2A1C" w14:paraId="3D568D95" w14:textId="77777777" w:rsidTr="00B15ECB">
        <w:trPr>
          <w:trHeight w:val="1202"/>
        </w:trPr>
        <w:tc>
          <w:tcPr>
            <w:tcW w:w="249" w:type="dxa"/>
            <w:tcBorders>
              <w:top w:val="nil"/>
              <w:bottom w:val="nil"/>
            </w:tcBorders>
            <w:shd w:val="clear" w:color="auto" w:fill="66CCFF"/>
          </w:tcPr>
          <w:p w14:paraId="5E65FB3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9636492"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4515E49E"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3F06859" w14:textId="77777777" w:rsidR="00DD3EFA" w:rsidRPr="00EC2A1C" w:rsidRDefault="00DD3EFA" w:rsidP="00B15ECB">
            <w:r w:rsidRPr="00EC2A1C">
              <w:t xml:space="preserve">Kultura je jako taková udržitelná. </w:t>
            </w:r>
          </w:p>
          <w:p w14:paraId="68E00E33" w14:textId="77777777" w:rsidR="00DD3EFA" w:rsidRPr="00EC2A1C" w:rsidRDefault="00DD3EFA" w:rsidP="00B15ECB">
            <w:bookmarkStart w:id="48" w:name="_Hlk535757103"/>
            <w:r w:rsidRPr="00EC2A1C">
              <w:t>Kultura preferuje řešení, která přispívají ke zpomalení klimatické změny v řadě oblastí.</w:t>
            </w:r>
          </w:p>
          <w:p w14:paraId="768D9BB5" w14:textId="77777777" w:rsidR="00DD3EFA" w:rsidRPr="00EC2A1C" w:rsidRDefault="00DD3EFA" w:rsidP="00B15ECB">
            <w:r w:rsidRPr="00EC2A1C">
              <w:t>Při ochraně a prezentaci kulturního a přírodního dědictví jsou upřednostňována udržitelná, nízkonákladová a nízkoenergetická řešení pro muzejní expozice, depozitáře, technické zázemí.</w:t>
            </w:r>
          </w:p>
          <w:p w14:paraId="319B5F26" w14:textId="77777777" w:rsidR="00DD3EFA" w:rsidRPr="00EC2A1C" w:rsidRDefault="00DD3EFA" w:rsidP="00B15ECB">
            <w:r w:rsidRPr="00EC2A1C">
              <w:t>Tato řešení lze aplikovat pro památkové objekty, knihovny a další kulturní infrastruktura.</w:t>
            </w:r>
          </w:p>
          <w:p w14:paraId="309DF9F7" w14:textId="77777777" w:rsidR="00DD3EFA" w:rsidRPr="00EC2A1C" w:rsidRDefault="00DD3EFA" w:rsidP="00B15ECB">
            <w:r w:rsidRPr="00EC2A1C">
              <w:t xml:space="preserve">Příležitostí je rovněž zavádění udržitelných a netoxických metod při ochraně kulturního dědictví. </w:t>
            </w:r>
            <w:bookmarkEnd w:id="48"/>
          </w:p>
          <w:p w14:paraId="378B454F" w14:textId="77777777" w:rsidR="00DD3EFA" w:rsidRPr="00EC2A1C" w:rsidRDefault="00DD3EFA" w:rsidP="00B15ECB"/>
          <w:p w14:paraId="74EEB399"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Tato témata logicky navazují na předchozí zdůvodnění k jednotlivým tematickým okruhům. Zejména je třeba uvažovat o zajištění finančních prostředků na stavbu nových depozitárních prostor s moderními technologiemi a nejnovějšího vybavení, a to s přihlédnutím ke změně klimatických podmínek. Zároveň je třeba podporovat vhodné zajištění adaptačních a rekonstrukčních prací původních objektů, aby byly minimalizovány dopady změny klimatu jak na nemovité, tak zejména na movité kulturní dědictví (zajištění zabezpečení sbírkových předmětů). Projekty tohoto významu mohou logicky navazovat na projekty financované z jiných zdrojů. </w:t>
            </w:r>
          </w:p>
          <w:p w14:paraId="046CF4DD"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V případě nemovitých památek se změny klimatu mohou negativně projevovat zejména v prostředí historických zahrad a parků a je potřeba vytvořit vhodná opatření zejména ke stabilizaci vlhkostního režimu těchto prvků.  V jednotlivých případech pak může docházet i ke statickým poruchám stavebních památek v důsledku vysušení podloží.</w:t>
            </w:r>
          </w:p>
        </w:tc>
        <w:tc>
          <w:tcPr>
            <w:tcW w:w="249" w:type="dxa"/>
            <w:tcBorders>
              <w:top w:val="nil"/>
              <w:bottom w:val="nil"/>
            </w:tcBorders>
            <w:shd w:val="clear" w:color="auto" w:fill="66CCFF"/>
          </w:tcPr>
          <w:p w14:paraId="62FA748F" w14:textId="77777777" w:rsidR="00DD3EFA" w:rsidRPr="00EC2A1C" w:rsidRDefault="00DD3EFA" w:rsidP="00B15ECB">
            <w:pPr>
              <w:rPr>
                <w:b/>
              </w:rPr>
            </w:pPr>
          </w:p>
        </w:tc>
      </w:tr>
      <w:tr w:rsidR="00DD3EFA" w:rsidRPr="00EC2A1C" w14:paraId="2A678070" w14:textId="77777777" w:rsidTr="00B15ECB">
        <w:trPr>
          <w:trHeight w:val="1202"/>
        </w:trPr>
        <w:tc>
          <w:tcPr>
            <w:tcW w:w="249" w:type="dxa"/>
            <w:tcBorders>
              <w:top w:val="nil"/>
              <w:bottom w:val="nil"/>
            </w:tcBorders>
            <w:shd w:val="clear" w:color="auto" w:fill="66CCFF"/>
          </w:tcPr>
          <w:p w14:paraId="3C825BB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7005DD29"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Společnost 4.0</w:t>
            </w:r>
          </w:p>
          <w:p w14:paraId="2C0271FF"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74DC001A"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Co se týče kulturního dědictví, je fenomén Společnost 4.0 zásadní především svou další fází digitalizace, která by měla ústit v „digitální věk“. </w:t>
            </w:r>
          </w:p>
          <w:p w14:paraId="36FCD5B0"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Současně by ale mělo být silným argumentem právě ochrany kulturního dědictví, že pracuje s reálnými, trojrozměrnými předměty a preferuje řešení orientovaná na realitu a člověka. Instituce zabývající se kulturním dědictvím nemusejí být z hlediska přístupnosti artefaktů super digitalizované, závislé na technologiích, ale věnující energii publiku (Tristan Horx). Nicméně bez moderních technologií se neobejdou. Jsou nicméně pouze prostředkem. </w:t>
            </w:r>
          </w:p>
          <w:p w14:paraId="1C9E9EAD" w14:textId="77777777" w:rsidR="00DD3EFA" w:rsidRPr="00EC2A1C" w:rsidRDefault="00DD3EFA" w:rsidP="00B15ECB">
            <w:pPr>
              <w:pStyle w:val="slovanodstavec"/>
              <w:tabs>
                <w:tab w:val="left" w:pos="284"/>
              </w:tabs>
              <w:suppressAutoHyphens/>
              <w:spacing w:line="240" w:lineRule="auto"/>
              <w:rPr>
                <w:rFonts w:ascii="Times New Roman" w:hAnsi="Times New Roman"/>
              </w:rPr>
            </w:pPr>
            <w:r w:rsidRPr="00EC2A1C">
              <w:rPr>
                <w:rFonts w:ascii="Times New Roman" w:hAnsi="Times New Roman"/>
              </w:rPr>
              <w:t xml:space="preserve">Významně se zvýší míra využívání digitálních technologií, a to i ve vzdělávacím systému (včetně edukačních aktivit v kulturních institucích). Rovněž lze očekávat značný důraz na vzájemnou propojenost a integraci dat. Zvýší se míra samo-vzdělávání a celkové interakce pomocí nových technologií. Rozšíří se možnosti virtuální prezentace kulturního dědictví a zvýší se její kvalita. Součástí Společnosti 4.0 je však rovněž proces lokalizace, neboť nové technologie umožní tvořit hodnoty v konkrétním místě (např. pomocí 3D tiskáren) a pro konkrétní cíl, což lze považovat pro příslušné instituce za výzvu. Proto je významné, aby byly digitalizace, zlepšení materiálně – technické základny institucí a rovněž nové způsoby elektronické evidence do tohoto programu zahrnuty. </w:t>
            </w:r>
          </w:p>
        </w:tc>
        <w:tc>
          <w:tcPr>
            <w:tcW w:w="249" w:type="dxa"/>
            <w:tcBorders>
              <w:top w:val="nil"/>
              <w:bottom w:val="nil"/>
            </w:tcBorders>
            <w:shd w:val="clear" w:color="auto" w:fill="66CCFF"/>
          </w:tcPr>
          <w:p w14:paraId="0C3A0F3E" w14:textId="77777777" w:rsidR="00DD3EFA" w:rsidRPr="00EC2A1C" w:rsidRDefault="00DD3EFA" w:rsidP="00B15ECB">
            <w:pPr>
              <w:rPr>
                <w:b/>
              </w:rPr>
            </w:pPr>
          </w:p>
        </w:tc>
      </w:tr>
      <w:tr w:rsidR="00DD3EFA" w:rsidRPr="00EC2A1C" w14:paraId="3B6D8887" w14:textId="77777777" w:rsidTr="00B15ECB">
        <w:trPr>
          <w:trHeight w:val="1202"/>
        </w:trPr>
        <w:tc>
          <w:tcPr>
            <w:tcW w:w="249" w:type="dxa"/>
            <w:tcBorders>
              <w:top w:val="nil"/>
              <w:bottom w:val="nil"/>
            </w:tcBorders>
            <w:shd w:val="clear" w:color="auto" w:fill="66CCFF"/>
          </w:tcPr>
          <w:p w14:paraId="5FB7040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B227B5B" w14:textId="77777777" w:rsidR="00DD3EFA" w:rsidRPr="00EC2A1C" w:rsidRDefault="00DD3EFA"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44E2FA5F"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52ABDDB6" w14:textId="77777777" w:rsidR="00DD3EFA" w:rsidRPr="00EC2A1C" w:rsidRDefault="00DD3EFA" w:rsidP="00B15ECB">
            <w:pPr>
              <w:spacing w:before="240" w:line="259" w:lineRule="auto"/>
              <w:rPr>
                <w:b/>
              </w:rPr>
            </w:pPr>
            <w:r w:rsidRPr="00EC2A1C">
              <w:rPr>
                <w:b/>
              </w:rPr>
              <w:t>Posun civilizace ke znalostní ekonomice</w:t>
            </w:r>
          </w:p>
          <w:p w14:paraId="266568BC" w14:textId="77777777" w:rsidR="00DD3EFA" w:rsidRPr="00EC2A1C" w:rsidRDefault="00DD3EFA" w:rsidP="00B15ECB">
            <w:pPr>
              <w:spacing w:before="40"/>
            </w:pPr>
            <w:r w:rsidRPr="00EC2A1C">
              <w:t>Digitalizace, úzká specializace a aplikace vědeckých poznatků jsou zásadním předpokladem pro další rozvoj ekonomiky.</w:t>
            </w:r>
          </w:p>
          <w:p w14:paraId="1B6FB111" w14:textId="77777777" w:rsidR="00DD3EFA" w:rsidRPr="00EC2A1C" w:rsidRDefault="00DD3EFA" w:rsidP="00B15ECB">
            <w:r w:rsidRPr="00EC2A1C">
              <w:t xml:space="preserve">Kultura je nositelkou kompetencí, které jsou neautomatizovatelné, netechnologické a tudíž nenahraditelné. Tyto kompetence využívá zejména znalostní ekonomika, postavená na vědomostech a kompetencích, které kultura po staletí rozvíjí. Zásadním způsobem přispívá k celoživotnímu vzdělávání a tedy i schopnosti lidí lépe se adaptovat na společenské změny. </w:t>
            </w:r>
          </w:p>
          <w:p w14:paraId="26E89891" w14:textId="77777777" w:rsidR="00DD3EFA" w:rsidRPr="00EC2A1C" w:rsidRDefault="00DD3EFA" w:rsidP="00B15ECB">
            <w:r w:rsidRPr="00EC2A1C">
              <w:t xml:space="preserve">Znalosti, vědění a kreativita jsou vnímány jako podmínka pro další růst naší západní společnosti a pro rozvoj ekonomiky založené na schopnosti inovovat. Kultura pomáhá tímto způsobem inovace rozvíjet. </w:t>
            </w:r>
          </w:p>
          <w:p w14:paraId="4431BFC7" w14:textId="77777777" w:rsidR="00DD3EFA" w:rsidRPr="00EC2A1C" w:rsidRDefault="00DD3EFA" w:rsidP="00B15ECB">
            <w:pPr>
              <w:spacing w:before="240" w:line="259" w:lineRule="auto"/>
              <w:rPr>
                <w:b/>
              </w:rPr>
            </w:pPr>
            <w:r w:rsidRPr="00EC2A1C">
              <w:rPr>
                <w:b/>
              </w:rPr>
              <w:t>Zvyšující se dostupnost technologií</w:t>
            </w:r>
          </w:p>
          <w:p w14:paraId="43970B9C" w14:textId="77777777" w:rsidR="00DD3EFA" w:rsidRPr="00EC2A1C" w:rsidRDefault="00DD3EFA" w:rsidP="00B15ECB">
            <w:pPr>
              <w:spacing w:before="40"/>
            </w:pPr>
            <w:r w:rsidRPr="00EC2A1C">
              <w:t>Technologie se čím dál víc stávají dostupnou součástí běžného života a prostupují všemi oblastmi společnosti.</w:t>
            </w:r>
          </w:p>
          <w:p w14:paraId="14A5431B" w14:textId="77777777" w:rsidR="00DD3EFA" w:rsidRPr="00EC2A1C" w:rsidRDefault="00DD3EFA" w:rsidP="00B15ECB">
            <w:r w:rsidRPr="00EC2A1C">
              <w:t>Virtualizace světa, zintenzivňující se globalizace, zvyšující se dostupnost technologií a zvyšující se rychlost technologické změny: technologie nemůže být vyvíjena bez etiky. Musí zohledňovat etické parametry člověka, respektovat základní práva člověka. Kultura je hlavním zdrojem etických norem. Dobrá řešení pro společnost nesouvisejí s kvalitou a výkonností technologických řešení, tak jak je často podbízeno, ale naopak s řešeními zaměřenými na člověka a na použití technologií pro zvyšující se kvalitu života ve společnosti.</w:t>
            </w:r>
          </w:p>
          <w:p w14:paraId="230C17B6" w14:textId="77777777" w:rsidR="00DD3EFA" w:rsidRPr="00EC2A1C" w:rsidRDefault="00DD3EFA" w:rsidP="00B15ECB">
            <w:pPr>
              <w:spacing w:before="40"/>
            </w:pPr>
          </w:p>
          <w:p w14:paraId="21F65DBD" w14:textId="77777777" w:rsidR="00DD3EFA" w:rsidRPr="00EC2A1C" w:rsidRDefault="00DD3EFA" w:rsidP="00B15ECB">
            <w:pPr>
              <w:spacing w:before="240" w:line="259" w:lineRule="auto"/>
              <w:rPr>
                <w:b/>
              </w:rPr>
            </w:pPr>
            <w:r w:rsidRPr="00EC2A1C">
              <w:rPr>
                <w:b/>
              </w:rPr>
              <w:t>Demografické stárnutí</w:t>
            </w:r>
          </w:p>
          <w:p w14:paraId="0376CD1E" w14:textId="77777777" w:rsidR="00DD3EFA" w:rsidRPr="00EC2A1C" w:rsidRDefault="00DD3EFA" w:rsidP="00B15ECB">
            <w:pPr>
              <w:spacing w:before="40"/>
            </w:pPr>
            <w:r w:rsidRPr="00EC2A1C">
              <w:t>Stárnoucí populace vytváří tlak na zdravotní a sociální systém, přičemž může přispívat k oslabování výkonnosti ekonomiky v důsledku poklesu počtu pracovní síly. Zároveň je příležitosti pro nové typy služeb a zaměstnání.</w:t>
            </w:r>
          </w:p>
          <w:p w14:paraId="7FA7A6E0" w14:textId="77777777" w:rsidR="00DD3EFA" w:rsidRPr="00EC2A1C" w:rsidRDefault="00DD3EFA" w:rsidP="00B15ECB">
            <w:r w:rsidRPr="00EC2A1C">
              <w:t xml:space="preserve">Civilizační choroby, globální stárnutí a zdravý životní styl: Kultura pomáhá socializaci, je vědecky prokázaný proces uzdravování pomocí aktivní kulturní participace, může vytvářet inovativní řešení v celém systému zdravotnictví a sociálních věcí (přínos designu, architekury a dalších segmentů kultury). </w:t>
            </w:r>
          </w:p>
          <w:p w14:paraId="5DB9DB4E" w14:textId="77777777" w:rsidR="00DD3EFA" w:rsidRPr="00EC2A1C" w:rsidRDefault="00DD3EFA" w:rsidP="00B15ECB">
            <w:pPr>
              <w:spacing w:before="40"/>
            </w:pPr>
            <w:r w:rsidRPr="00EC2A1C">
              <w:t>Civilizační choroby, demografické stárnutí a zdravý životní styl: Lze předpokládát, že kultura může sloužit jako nástroj pro aktivní trávení volného času v rámci prodlužujícího se života obyvatelstva. Je příležitostí pro zkvalitnění a socializaci stárnoucího obyvatelstva.</w:t>
            </w:r>
          </w:p>
          <w:p w14:paraId="3E1F29F6" w14:textId="77777777" w:rsidR="00DD3EFA" w:rsidRPr="00EC2A1C" w:rsidRDefault="00DD3EFA" w:rsidP="00B15ECB">
            <w:pPr>
              <w:spacing w:before="240" w:line="259" w:lineRule="auto"/>
              <w:rPr>
                <w:b/>
              </w:rPr>
            </w:pPr>
            <w:r w:rsidRPr="00EC2A1C">
              <w:rPr>
                <w:b/>
              </w:rPr>
              <w:t xml:space="preserve">Virtualizace světa </w:t>
            </w:r>
          </w:p>
          <w:p w14:paraId="4C99880D" w14:textId="77777777" w:rsidR="00DD3EFA" w:rsidRPr="00EC2A1C" w:rsidRDefault="00DD3EFA" w:rsidP="00B15ECB">
            <w:pPr>
              <w:spacing w:before="40"/>
            </w:pPr>
            <w:r w:rsidRPr="00EC2A1C">
              <w:t xml:space="preserve">Stále více společenských aktivit včetně práce se neděje ve spojení s konkrétním fyzickým místem, ale jsou zprostředkovány virtuálně. </w:t>
            </w:r>
          </w:p>
          <w:p w14:paraId="390531B7" w14:textId="77777777" w:rsidR="00DD3EFA" w:rsidRPr="00EC2A1C" w:rsidRDefault="00DD3EFA" w:rsidP="00B15ECB">
            <w:pPr>
              <w:spacing w:before="40"/>
            </w:pPr>
            <w:r w:rsidRPr="00EC2A1C">
              <w:t>Kultura nabízí vedle virtualizace světa nezpochybnitelnou hodnotu,která speočívá v možnosi práce s reálnými trojrozměrnými předměty. Je třeba chránit a uchovávat doklady o společnosti a uchovávat je pro další studium lidské společnosti a jejich další využití pro znalostní ekonomiku.</w:t>
            </w:r>
          </w:p>
          <w:p w14:paraId="17510EE7" w14:textId="77777777" w:rsidR="00DD3EFA" w:rsidRPr="00EC2A1C" w:rsidRDefault="00DD3EFA" w:rsidP="00B15ECB">
            <w:pPr>
              <w:spacing w:before="240" w:line="259" w:lineRule="auto"/>
              <w:rPr>
                <w:b/>
              </w:rPr>
            </w:pPr>
            <w:r w:rsidRPr="00EC2A1C">
              <w:rPr>
                <w:b/>
              </w:rPr>
              <w:t xml:space="preserve">Urbanizace </w:t>
            </w:r>
          </w:p>
          <w:p w14:paraId="1BB56A18" w14:textId="77777777" w:rsidR="00DD3EFA" w:rsidRPr="00EC2A1C" w:rsidRDefault="00DD3EFA" w:rsidP="00B15ECB">
            <w:pPr>
              <w:spacing w:before="40"/>
            </w:pPr>
            <w:r w:rsidRPr="00EC2A1C">
              <w:t xml:space="preserve">Stěhování lidí z venkova do měst a jejich zázemí pokračuje bez ohledu na rostoucí negativa, která s sebou přináší. </w:t>
            </w:r>
          </w:p>
          <w:p w14:paraId="19B3DAB6" w14:textId="77777777" w:rsidR="00DD3EFA" w:rsidRPr="00EC2A1C" w:rsidRDefault="00DD3EFA" w:rsidP="00B15ECB">
            <w:pPr>
              <w:spacing w:before="40"/>
              <w:rPr>
                <w:b/>
                <w:bCs/>
              </w:rPr>
            </w:pPr>
            <w:r w:rsidRPr="00EC2A1C">
              <w:t>Kultura může tento trend zmírnit. Je aktivním prvkem ve zvyšování atraktivity území. A to jak oživováním tradičních kultruních památek, tak podporou veškerých kulturních aktivit a na kultuře postaveného oživení lokální ekonomiky.</w:t>
            </w:r>
          </w:p>
          <w:p w14:paraId="23DA303E" w14:textId="77777777" w:rsidR="00DD3EFA" w:rsidRPr="00EC2A1C" w:rsidRDefault="00DD3EFA" w:rsidP="00B15ECB">
            <w:pPr>
              <w:spacing w:before="40"/>
              <w:rPr>
                <w:b/>
                <w:bCs/>
              </w:rPr>
            </w:pPr>
            <w:r w:rsidRPr="00EC2A1C">
              <w:rPr>
                <w:b/>
                <w:bCs/>
              </w:rPr>
              <w:t>Kompetence pro budoucnost</w:t>
            </w:r>
          </w:p>
          <w:p w14:paraId="04796FE0" w14:textId="77777777" w:rsidR="00DD3EFA" w:rsidRPr="00EC2A1C" w:rsidRDefault="00DD3EFA" w:rsidP="00B15ECB">
            <w:pPr>
              <w:spacing w:before="40"/>
            </w:pPr>
            <w:r w:rsidRPr="00EC2A1C">
              <w:t>Při definici cílů a obsahů vzdělávání musíme reflektovat bouřlivě se měnící společnost a fakt, že nyní vzděláváme lidi, jejichž ekonomický vrchol bude za třicet let, přičemž jeho podobu nedokážeme nyní ani odhadnout. Kultura je zdrojem inovací a tedy základem pro znalostní ekonomiku. Přispívá ke zvyšování kreativity lidí, kteří dokáží efektivně pracovat s informacemi, jsou flexibilní a snáze se přizpůsobují potřebám trhu práce.</w:t>
            </w:r>
          </w:p>
          <w:p w14:paraId="41C5A470" w14:textId="77777777" w:rsidR="00DD3EFA" w:rsidRPr="00EC2A1C" w:rsidRDefault="00DD3EFA" w:rsidP="00B15ECB">
            <w:pPr>
              <w:spacing w:before="40"/>
            </w:pPr>
          </w:p>
          <w:p w14:paraId="56424224" w14:textId="77777777" w:rsidR="00DD3EFA" w:rsidRPr="00EC2A1C" w:rsidRDefault="00DD3EFA" w:rsidP="00B15ECB">
            <w:pPr>
              <w:spacing w:before="40"/>
              <w:rPr>
                <w:b/>
              </w:rPr>
            </w:pPr>
            <w:r w:rsidRPr="00EC2A1C">
              <w:rPr>
                <w:b/>
              </w:rPr>
              <w:t>Změna klimatu</w:t>
            </w:r>
          </w:p>
          <w:p w14:paraId="46F036AB" w14:textId="77777777" w:rsidR="00DD3EFA" w:rsidRPr="00EC2A1C" w:rsidRDefault="00DD3EFA" w:rsidP="00B15ECB">
            <w:r w:rsidRPr="00EC2A1C">
              <w:t>Kultura preferuje řešení, která přispívají ke zpomalení klimatické změny v řadě oblastí.</w:t>
            </w:r>
          </w:p>
          <w:p w14:paraId="086E24ED" w14:textId="77777777" w:rsidR="00DD3EFA" w:rsidRPr="00EC2A1C" w:rsidRDefault="00DD3EFA" w:rsidP="00B15ECB">
            <w:r w:rsidRPr="00EC2A1C">
              <w:t>Při ochraně a prezentaci kulturního a přírodního dědictví jsou upřednostňována udržitelná, nízkonákladová a nízkoenergetická řešení pro muzejní expozice, depozitáře, technické zázemí.</w:t>
            </w:r>
          </w:p>
          <w:p w14:paraId="048B53AB" w14:textId="77777777" w:rsidR="00DD3EFA" w:rsidRPr="00EC2A1C" w:rsidRDefault="00DD3EFA" w:rsidP="00B15ECB">
            <w:r w:rsidRPr="00EC2A1C">
              <w:t>Tato řešení lze aplikovat pro památkové objekty, knihovny a další kulturní infrastruktura.</w:t>
            </w:r>
          </w:p>
          <w:p w14:paraId="70158A1B" w14:textId="77777777" w:rsidR="00DD3EFA" w:rsidRPr="00EC2A1C" w:rsidRDefault="00DD3EFA" w:rsidP="00B15ECB">
            <w:r w:rsidRPr="00EC2A1C">
              <w:t xml:space="preserve">Příležitostí je rovněž zavádění udržitelných a netoxických metod při ochraně kulturního dědictví. </w:t>
            </w:r>
          </w:p>
          <w:p w14:paraId="0560167D" w14:textId="77777777" w:rsidR="00DD3EFA" w:rsidRPr="00EC2A1C" w:rsidRDefault="00DD3EFA" w:rsidP="00B15ECB">
            <w:r w:rsidRPr="00EC2A1C">
              <w:t xml:space="preserve">Také kulutrní a kreativní odvětví jsou udržitelným řešením ekonomické aktivity. </w:t>
            </w:r>
          </w:p>
          <w:p w14:paraId="524B6372" w14:textId="77777777" w:rsidR="00DD3EFA" w:rsidRPr="00EC2A1C" w:rsidRDefault="00DD3EFA" w:rsidP="00B15ECB">
            <w:pPr>
              <w:spacing w:before="40"/>
            </w:pPr>
          </w:p>
          <w:p w14:paraId="3132E26F" w14:textId="77777777" w:rsidR="00DD3EFA" w:rsidRPr="00EC2A1C" w:rsidRDefault="00DD3EFA" w:rsidP="00B15ECB">
            <w:pPr>
              <w:spacing w:before="60" w:after="60"/>
              <w:rPr>
                <w:rFonts w:eastAsiaTheme="majorEastAsia"/>
                <w:b/>
              </w:rPr>
            </w:pPr>
            <w:r w:rsidRPr="00EC2A1C">
              <w:rPr>
                <w:rFonts w:eastAsiaTheme="majorEastAsia"/>
                <w:b/>
              </w:rPr>
              <w:t>Demokratizace společnosti</w:t>
            </w:r>
          </w:p>
          <w:p w14:paraId="082583E2" w14:textId="77777777" w:rsidR="00DD3EFA" w:rsidRPr="00EC2A1C" w:rsidRDefault="00DD3EFA" w:rsidP="00B15ECB">
            <w:pPr>
              <w:spacing w:before="60" w:after="60"/>
              <w:rPr>
                <w:rFonts w:eastAsiaTheme="majorEastAsia"/>
              </w:rPr>
            </w:pPr>
            <w:r w:rsidRPr="00EC2A1C">
              <w:t>Demokratizace společnosti a rostoucí přístup k informacím: je prokázáno, že v regionech, které se soustředí ryze na vzdělávání v oblasti technologií a eliminují humanitní obory, se výrazně zvyšuje vznik autokratických režimů a demokracie upadá (například v některých regionech Indie). Z principu jsou všechny oblasti kultury antidiskriminační, rovnostářské a postavené na empatii vůči odlišnostem. V tomto ohledu je kultura, a samozřejmě podpora a rozvoj humanitních oborů, zcela fatální pro udržení a rozvoj demokracie a schopnost zacházet se stále zvětšujícím se objemem informací.</w:t>
            </w:r>
          </w:p>
        </w:tc>
        <w:tc>
          <w:tcPr>
            <w:tcW w:w="249" w:type="dxa"/>
            <w:tcBorders>
              <w:top w:val="nil"/>
              <w:bottom w:val="nil"/>
            </w:tcBorders>
            <w:shd w:val="clear" w:color="auto" w:fill="66CCFF"/>
          </w:tcPr>
          <w:p w14:paraId="22413A7D" w14:textId="77777777" w:rsidR="00DD3EFA" w:rsidRPr="00EC2A1C" w:rsidRDefault="00DD3EFA" w:rsidP="00B15ECB">
            <w:pPr>
              <w:rPr>
                <w:b/>
              </w:rPr>
            </w:pPr>
          </w:p>
        </w:tc>
      </w:tr>
      <w:tr w:rsidR="00DD3EFA" w:rsidRPr="00EC2A1C" w14:paraId="5851A029" w14:textId="77777777" w:rsidTr="00B15ECB">
        <w:trPr>
          <w:trHeight w:val="1202"/>
        </w:trPr>
        <w:tc>
          <w:tcPr>
            <w:tcW w:w="249" w:type="dxa"/>
            <w:tcBorders>
              <w:top w:val="nil"/>
              <w:bottom w:val="nil"/>
            </w:tcBorders>
            <w:shd w:val="clear" w:color="auto" w:fill="66CCFF"/>
          </w:tcPr>
          <w:p w14:paraId="741B88F1"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5F6186F3"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5978" w:type="dxa"/>
            <w:tcBorders>
              <w:bottom w:val="single" w:sz="4" w:space="0" w:color="auto"/>
            </w:tcBorders>
            <w:shd w:val="clear" w:color="auto" w:fill="FFFFFF" w:themeFill="background1"/>
          </w:tcPr>
          <w:p w14:paraId="3B830CCB" w14:textId="77777777" w:rsidR="00DD3EFA" w:rsidRPr="00EC2A1C" w:rsidRDefault="00DD3EFA" w:rsidP="00B15ECB">
            <w:pPr>
              <w:rPr>
                <w:b/>
              </w:rPr>
            </w:pPr>
            <w:r w:rsidRPr="00EC2A1C">
              <w:rPr>
                <w:b/>
              </w:rPr>
              <w:t>Cíl politiky I. (Inteligentnější Evropa)  - pro KKO:</w:t>
            </w:r>
          </w:p>
          <w:p w14:paraId="2D8E8C88" w14:textId="77777777" w:rsidR="00DD3EFA" w:rsidRPr="00EC2A1C" w:rsidRDefault="00DD3EFA" w:rsidP="00B15ECB">
            <w:pPr>
              <w:spacing w:before="60" w:after="60"/>
            </w:pPr>
            <w:r w:rsidRPr="00EC2A1C">
              <w:t>Investice do fixních aktiv v mikropodnicích přímo spojených s výzkumnými a inovačními činnostmi</w:t>
            </w:r>
          </w:p>
          <w:p w14:paraId="50B20D81" w14:textId="77777777" w:rsidR="00DD3EFA" w:rsidRPr="00EC2A1C" w:rsidRDefault="00DD3EFA" w:rsidP="00B15ECB">
            <w:pPr>
              <w:spacing w:before="60" w:after="60"/>
            </w:pPr>
            <w:r w:rsidRPr="00EC2A1C">
              <w:t>Investice do fixních aktiv v malých a středních podnicích (včetně soukromých výzkumných středisek) přímo spojených s výzkumnými a inovačními činnostmi.</w:t>
            </w:r>
          </w:p>
          <w:p w14:paraId="59BCEE5F" w14:textId="77777777" w:rsidR="00DD3EFA" w:rsidRPr="00EC2A1C" w:rsidRDefault="00DD3EFA" w:rsidP="00B15ECB">
            <w:pPr>
              <w:spacing w:before="60" w:after="60"/>
            </w:pPr>
            <w:r w:rsidRPr="00EC2A1C">
              <w:t>Investice do fixních aktiv ve veřejných výzkumných střediscích a vysokoškolském vzdělávání přímo spojených s výzkumnými a inovačními činnostmi. Investice do nehmotných aktiv v mikropodnicích přímo spojených s výzkumnými a inovačními činnostmi.</w:t>
            </w:r>
          </w:p>
          <w:p w14:paraId="40118A8E" w14:textId="77777777" w:rsidR="00DD3EFA" w:rsidRPr="00EC2A1C" w:rsidRDefault="00DD3EFA" w:rsidP="00B15ECB">
            <w:pPr>
              <w:spacing w:before="60" w:after="60"/>
            </w:pPr>
            <w:r w:rsidRPr="00EC2A1C">
              <w:t>Investice do nehmotných aktiv v malých a středních podnicích (včetně soukromých výzkumných středisek) přímo spojených s výzkumnými a inovačními činnostmi.</w:t>
            </w:r>
          </w:p>
          <w:p w14:paraId="7BFD2D78" w14:textId="77777777" w:rsidR="00DD3EFA" w:rsidRPr="00EC2A1C" w:rsidRDefault="00DD3EFA" w:rsidP="00B15ECB">
            <w:pPr>
              <w:spacing w:before="60" w:after="60"/>
            </w:pPr>
            <w:r w:rsidRPr="00EC2A1C">
              <w:t>Investice do nehmotných aktiv ve veřejných výzkumných střediscích a vysokoškolském vzdělávání přímo spojených s výzkumnými a inovačními činnostmi.</w:t>
            </w:r>
          </w:p>
          <w:p w14:paraId="3AC6442A" w14:textId="77777777" w:rsidR="00DD3EFA" w:rsidRPr="00EC2A1C" w:rsidRDefault="00DD3EFA" w:rsidP="00B15ECB">
            <w:pPr>
              <w:spacing w:before="60" w:after="60"/>
            </w:pPr>
            <w:r w:rsidRPr="00EC2A1C">
              <w:t>Výzkumné a inovační činnosti v malých a středních podnicích, včetně vytváření sítí.</w:t>
            </w:r>
          </w:p>
          <w:p w14:paraId="6331C491" w14:textId="77777777" w:rsidR="00DD3EFA" w:rsidRPr="00EC2A1C" w:rsidRDefault="00DD3EFA" w:rsidP="00B15ECB">
            <w:pPr>
              <w:spacing w:before="60" w:after="60"/>
            </w:pPr>
          </w:p>
          <w:p w14:paraId="074EC931" w14:textId="77777777" w:rsidR="00DD3EFA" w:rsidRPr="00EC2A1C" w:rsidRDefault="00DD3EFA" w:rsidP="00B15ECB">
            <w:pPr>
              <w:spacing w:before="60" w:after="60"/>
            </w:pPr>
            <w:r w:rsidRPr="00EC2A1C">
              <w:t>Výzkumné a inovační činnosti ve veřejných výzkumných střediscích, vysokoškolském vzdělávání a odborných střediscích, včetně vytváření sítí (průmyslový výzkum, experimentální vývoj, studie proveditelnosti).</w:t>
            </w:r>
          </w:p>
          <w:p w14:paraId="74892075" w14:textId="77777777" w:rsidR="00DD3EFA" w:rsidRPr="00EC2A1C" w:rsidRDefault="00DD3EFA" w:rsidP="00B15ECB">
            <w:pPr>
              <w:spacing w:before="60" w:after="60"/>
            </w:pPr>
          </w:p>
          <w:p w14:paraId="4BAF2988" w14:textId="77777777" w:rsidR="00DD3EFA" w:rsidRPr="00EC2A1C" w:rsidRDefault="00DD3EFA" w:rsidP="00B15ECB">
            <w:pPr>
              <w:spacing w:before="60" w:after="60"/>
            </w:pPr>
            <w:r w:rsidRPr="00EC2A1C">
              <w:t>Digitalizace malých a středních podniků (včetně elektronického obchodu, elektronického podnikání a síťových obchodních procesů, center pro digitální inovace, živých laboratoří, internetových podnikatelů a startupů v oblasti IKT, B2B).</w:t>
            </w:r>
          </w:p>
          <w:p w14:paraId="19D91828" w14:textId="77777777" w:rsidR="00DD3EFA" w:rsidRPr="00EC2A1C" w:rsidRDefault="00DD3EFA" w:rsidP="00B15ECB">
            <w:pPr>
              <w:spacing w:before="60" w:after="60"/>
              <w:rPr>
                <w:rFonts w:eastAsiaTheme="majorEastAsia"/>
                <w:i/>
              </w:rPr>
            </w:pPr>
          </w:p>
          <w:p w14:paraId="38807087" w14:textId="77777777" w:rsidR="00DD3EFA" w:rsidRPr="00EC2A1C" w:rsidRDefault="00DD3EFA" w:rsidP="00B15ECB">
            <w:pPr>
              <w:spacing w:before="60" w:after="60"/>
            </w:pPr>
            <w:r w:rsidRPr="00EC2A1C">
              <w:t>IT služby a aplikace pro digitální dovednosti a digitální začlenění.</w:t>
            </w:r>
          </w:p>
          <w:p w14:paraId="3269B526" w14:textId="77777777" w:rsidR="00DD3EFA" w:rsidRPr="00EC2A1C" w:rsidRDefault="00DD3EFA" w:rsidP="00B15ECB">
            <w:pPr>
              <w:spacing w:before="60" w:after="60"/>
              <w:rPr>
                <w:rFonts w:eastAsiaTheme="majorEastAsia"/>
                <w:i/>
              </w:rPr>
            </w:pPr>
          </w:p>
          <w:p w14:paraId="1C573EEF" w14:textId="77777777" w:rsidR="00DD3EFA" w:rsidRPr="00EC2A1C" w:rsidRDefault="00DD3EFA" w:rsidP="00B15ECB">
            <w:pPr>
              <w:spacing w:before="60" w:after="60"/>
            </w:pPr>
            <w:r w:rsidRPr="00EC2A1C">
              <w:t>Rozvoj podnikání a internacionalizace malých a středních podniků.</w:t>
            </w:r>
          </w:p>
          <w:p w14:paraId="5A161F47" w14:textId="77777777" w:rsidR="00DD3EFA" w:rsidRPr="00EC2A1C" w:rsidRDefault="00DD3EFA" w:rsidP="00B15ECB">
            <w:pPr>
              <w:spacing w:before="60" w:after="60"/>
            </w:pPr>
            <w:r w:rsidRPr="00EC2A1C">
              <w:t xml:space="preserve"> Pokročilé podpůrné služby pro malé a střední podniky a skupiny malých a středních podniků (včetně služeb v oblasti řízení, marketingu a designu).</w:t>
            </w:r>
          </w:p>
          <w:p w14:paraId="1DBAD970" w14:textId="77777777" w:rsidR="00DD3EFA" w:rsidRPr="00EC2A1C" w:rsidRDefault="00DD3EFA" w:rsidP="00B15ECB">
            <w:pPr>
              <w:spacing w:before="60" w:after="60"/>
            </w:pPr>
          </w:p>
          <w:p w14:paraId="24344DB8" w14:textId="77777777" w:rsidR="00DD3EFA" w:rsidRPr="00EC2A1C" w:rsidRDefault="00DD3EFA" w:rsidP="00B15ECB">
            <w:pPr>
              <w:spacing w:before="60" w:after="60"/>
            </w:pPr>
            <w:r w:rsidRPr="00EC2A1C">
              <w:t>Inkubace, podpora podniků typu "spin offs" a "spin outs" a startupů.</w:t>
            </w:r>
          </w:p>
          <w:p w14:paraId="05964FE2" w14:textId="77777777" w:rsidR="00DD3EFA" w:rsidRPr="00EC2A1C" w:rsidRDefault="00DD3EFA" w:rsidP="00B15ECB">
            <w:pPr>
              <w:spacing w:before="60" w:after="60"/>
            </w:pPr>
            <w:r w:rsidRPr="00EC2A1C">
              <w:t>Inovační procesy v malých a středních podnicích (proces, organizace, marketing, spoluvytváření, inovace založené na uživateli a poptávce).</w:t>
            </w:r>
          </w:p>
          <w:p w14:paraId="728341E1" w14:textId="77777777" w:rsidR="00DD3EFA" w:rsidRPr="00EC2A1C" w:rsidRDefault="00DD3EFA" w:rsidP="00B15ECB">
            <w:pPr>
              <w:spacing w:before="60" w:after="60"/>
            </w:pPr>
            <w:r w:rsidRPr="00EC2A1C">
              <w:t>Přenos technologií a spolupráce mezi podniky, výzkumnými středisky a vysokoškolským sektorem.</w:t>
            </w:r>
          </w:p>
          <w:p w14:paraId="30833818" w14:textId="77777777" w:rsidR="00DD3EFA" w:rsidRPr="00EC2A1C" w:rsidRDefault="00DD3EFA" w:rsidP="00B15ECB">
            <w:pPr>
              <w:spacing w:before="60" w:after="60"/>
            </w:pPr>
          </w:p>
          <w:p w14:paraId="350BC52A" w14:textId="77777777" w:rsidR="00DD3EFA" w:rsidRPr="00EC2A1C" w:rsidRDefault="00DD3EFA" w:rsidP="00B15ECB">
            <w:pPr>
              <w:spacing w:before="60" w:after="60"/>
            </w:pPr>
            <w:r w:rsidRPr="00EC2A1C">
              <w:t>Výzkumné a inovační procesy, přenos technologií a spolupráce mezi podniky se zaměřením na nízkouhlíkové hospodářství, odolnost vůči změně klimatu a přizpůsobování se změně klimatu</w:t>
            </w:r>
          </w:p>
          <w:p w14:paraId="1F97AAEF" w14:textId="77777777" w:rsidR="00DD3EFA" w:rsidRPr="00EC2A1C" w:rsidRDefault="00DD3EFA" w:rsidP="00B15ECB">
            <w:pPr>
              <w:spacing w:before="60" w:after="60"/>
            </w:pPr>
          </w:p>
          <w:p w14:paraId="18856207" w14:textId="77777777" w:rsidR="00DD3EFA" w:rsidRPr="00EC2A1C" w:rsidRDefault="00DD3EFA" w:rsidP="00B15ECB">
            <w:pPr>
              <w:spacing w:before="60" w:after="60"/>
              <w:rPr>
                <w:rFonts w:eastAsiaTheme="majorEastAsia"/>
                <w:i/>
              </w:rPr>
            </w:pPr>
            <w:r w:rsidRPr="00EC2A1C">
              <w:rPr>
                <w:rFonts w:eastAsiaTheme="majorEastAsia"/>
                <w:i/>
              </w:rPr>
              <w:t>Programy:</w:t>
            </w:r>
          </w:p>
          <w:p w14:paraId="500E59CB" w14:textId="77777777" w:rsidR="00DD3EFA" w:rsidRPr="00EC2A1C" w:rsidRDefault="00DD3EFA" w:rsidP="00B15ECB">
            <w:pPr>
              <w:spacing w:before="60" w:after="60"/>
            </w:pPr>
            <w:r w:rsidRPr="00EC2A1C">
              <w:t>Horizon Europe; Single Market Programme; Invest EU Programme, Erasmus +, Interreg</w:t>
            </w:r>
          </w:p>
          <w:p w14:paraId="5197A3E0" w14:textId="77777777" w:rsidR="00DD3EFA" w:rsidRPr="00EC2A1C" w:rsidRDefault="00DD3EFA" w:rsidP="00B15ECB">
            <w:pPr>
              <w:spacing w:before="60" w:after="60"/>
            </w:pPr>
            <w:r w:rsidRPr="00EC2A1C">
              <w:rPr>
                <w:b/>
              </w:rPr>
              <w:t>Cíl politiky II. (Zelenější, nízkouhlíková Evropa)</w:t>
            </w:r>
          </w:p>
          <w:p w14:paraId="4176AE21" w14:textId="77777777" w:rsidR="00DD3EFA" w:rsidRPr="00EC2A1C" w:rsidRDefault="00DD3EFA" w:rsidP="00B15ECB">
            <w:pPr>
              <w:spacing w:before="60" w:after="60"/>
              <w:rPr>
                <w:rFonts w:eastAsiaTheme="majorEastAsia"/>
                <w:i/>
              </w:rPr>
            </w:pPr>
            <w:r w:rsidRPr="00EC2A1C">
              <w:rPr>
                <w:rFonts w:eastAsiaTheme="majorEastAsia"/>
                <w:i/>
              </w:rPr>
              <w:t>Kulturní dědictví:</w:t>
            </w:r>
          </w:p>
          <w:p w14:paraId="0102F518" w14:textId="77777777" w:rsidR="00DD3EFA" w:rsidRPr="00EC2A1C" w:rsidRDefault="00DD3EFA" w:rsidP="00B15ECB">
            <w:pPr>
              <w:spacing w:before="60" w:after="60"/>
              <w:rPr>
                <w:rFonts w:eastAsiaTheme="majorEastAsia"/>
                <w:i/>
              </w:rPr>
            </w:pPr>
            <w:r w:rsidRPr="00EC2A1C">
              <w:t>Renovace zvyšující energetickou účinnost veřejné infrastruktury, demonstrační projekty a podpůrná opatření.</w:t>
            </w:r>
          </w:p>
          <w:p w14:paraId="698149AC" w14:textId="77777777" w:rsidR="00DD3EFA" w:rsidRPr="00EC2A1C" w:rsidRDefault="00DD3EFA" w:rsidP="00B15ECB">
            <w:pPr>
              <w:spacing w:before="60" w:after="60"/>
            </w:pPr>
            <w:r w:rsidRPr="00EC2A1C">
              <w:t>Opatření pro přizpůsobování se změně klimatu, předcházení rizikům a řízení rizik souvisejících s oblastí klimatu: povodně (včetně zvyšování povědomí, civilní ochrany a systémů a infrastruktur řízení katastrof).</w:t>
            </w:r>
          </w:p>
          <w:p w14:paraId="1FF42EEB" w14:textId="77777777" w:rsidR="00DD3EFA" w:rsidRPr="00EC2A1C" w:rsidRDefault="00DD3EFA" w:rsidP="00B15ECB">
            <w:pPr>
              <w:spacing w:before="60" w:after="60"/>
              <w:rPr>
                <w:rFonts w:eastAsiaTheme="majorEastAsia"/>
                <w:i/>
              </w:rPr>
            </w:pPr>
          </w:p>
          <w:p w14:paraId="75B8ADBB" w14:textId="77777777" w:rsidR="00DD3EFA" w:rsidRPr="00EC2A1C" w:rsidRDefault="00DD3EFA" w:rsidP="00B15ECB">
            <w:pPr>
              <w:spacing w:before="60" w:after="60"/>
            </w:pPr>
            <w:r w:rsidRPr="00EC2A1C">
              <w:t>Opatření pro přizpůsobování se změně klimatu, předcházení rizikům a řízení rizik souvisejících s oblastí klimatu: požáry (včetně zvyšování povědomí, civilní ochrany a systémů a infrastruktur řízení katastrof)</w:t>
            </w:r>
          </w:p>
          <w:p w14:paraId="48EDE042" w14:textId="77777777" w:rsidR="00DD3EFA" w:rsidRPr="00EC2A1C" w:rsidRDefault="00DD3EFA" w:rsidP="00B15ECB">
            <w:pPr>
              <w:spacing w:before="60" w:after="60"/>
              <w:rPr>
                <w:rFonts w:eastAsiaTheme="majorEastAsia"/>
                <w:i/>
              </w:rPr>
            </w:pPr>
            <w:r w:rsidRPr="00EC2A1C">
              <w:rPr>
                <w:rFonts w:eastAsiaTheme="majorEastAsia"/>
                <w:i/>
              </w:rPr>
              <w:t>LIFE, Interreg</w:t>
            </w:r>
          </w:p>
          <w:p w14:paraId="68C13198" w14:textId="77777777" w:rsidR="00DD3EFA" w:rsidRPr="00EC2A1C" w:rsidRDefault="00DD3EFA" w:rsidP="00B15ECB">
            <w:pPr>
              <w:spacing w:before="60" w:after="60"/>
              <w:rPr>
                <w:rFonts w:eastAsiaTheme="majorEastAsia"/>
                <w:i/>
              </w:rPr>
            </w:pPr>
            <w:r w:rsidRPr="00EC2A1C">
              <w:rPr>
                <w:rFonts w:eastAsiaTheme="majorEastAsia"/>
                <w:i/>
              </w:rPr>
              <w:t>KKO/P:</w:t>
            </w:r>
          </w:p>
          <w:p w14:paraId="56988A74" w14:textId="77777777" w:rsidR="00DD3EFA" w:rsidRPr="00EC2A1C" w:rsidRDefault="00DD3EFA" w:rsidP="00B15ECB">
            <w:pPr>
              <w:spacing w:before="60" w:after="60"/>
              <w:rPr>
                <w:rFonts w:eastAsiaTheme="majorEastAsia"/>
                <w:i/>
              </w:rPr>
            </w:pPr>
            <w:r w:rsidRPr="00EC2A1C">
              <w:rPr>
                <w:b/>
              </w:rPr>
              <w:t>Cíl politiky III. (Propojenější Evropa)</w:t>
            </w:r>
          </w:p>
          <w:p w14:paraId="3504761C" w14:textId="77777777" w:rsidR="00DD3EFA" w:rsidRPr="00EC2A1C" w:rsidRDefault="00DD3EFA" w:rsidP="00B15ECB">
            <w:pPr>
              <w:spacing w:before="60" w:after="60"/>
            </w:pPr>
            <w:r w:rsidRPr="00EC2A1C">
              <w:t>Vysokokapacitní širokopásmová síť (backhaul / síť páteřního propojení).</w:t>
            </w:r>
          </w:p>
          <w:p w14:paraId="0733CE37" w14:textId="77777777" w:rsidR="00DD3EFA" w:rsidRPr="00EC2A1C" w:rsidRDefault="00DD3EFA" w:rsidP="00B15ECB">
            <w:pPr>
              <w:spacing w:before="60" w:after="60"/>
            </w:pPr>
            <w:r w:rsidRPr="00EC2A1C">
              <w:t>Connecting Europe Facility; Horizon Europe; Single Market Programme; Interreg; Reform Support Programme; Digital Europe Programme</w:t>
            </w:r>
          </w:p>
          <w:p w14:paraId="697AD6BD" w14:textId="77777777" w:rsidR="00DD3EFA" w:rsidRPr="00EC2A1C" w:rsidRDefault="00DD3EFA" w:rsidP="00B15ECB">
            <w:pPr>
              <w:spacing w:before="60" w:after="60"/>
              <w:rPr>
                <w:b/>
              </w:rPr>
            </w:pPr>
            <w:r w:rsidRPr="00EC2A1C">
              <w:rPr>
                <w:b/>
              </w:rPr>
              <w:t>Cíl politiky IV (Sociálnější Evropa)</w:t>
            </w:r>
          </w:p>
          <w:p w14:paraId="288D0ACC" w14:textId="77777777" w:rsidR="00DD3EFA" w:rsidRPr="00EC2A1C" w:rsidRDefault="00DD3EFA" w:rsidP="00B15ECB">
            <w:pPr>
              <w:spacing w:before="60" w:after="60"/>
              <w:rPr>
                <w:rFonts w:eastAsiaTheme="majorEastAsia"/>
                <w:i/>
              </w:rPr>
            </w:pPr>
            <w:r w:rsidRPr="00EC2A1C">
              <w:rPr>
                <w:rFonts w:eastAsiaTheme="majorEastAsia"/>
                <w:i/>
              </w:rPr>
              <w:t>Kulturní dědictví:</w:t>
            </w:r>
          </w:p>
          <w:p w14:paraId="45E3EA6F" w14:textId="77777777" w:rsidR="00DD3EFA" w:rsidRPr="00EC2A1C" w:rsidRDefault="00DD3EFA" w:rsidP="00B15ECB">
            <w:pPr>
              <w:spacing w:before="60" w:after="60"/>
            </w:pPr>
            <w:r w:rsidRPr="00EC2A1C">
              <w:t>Infrastruktura pro odborné vzdělávání a přípravu a vzdělávání dospělých.</w:t>
            </w:r>
          </w:p>
          <w:p w14:paraId="53A57240" w14:textId="77777777" w:rsidR="00DD3EFA" w:rsidRPr="00EC2A1C" w:rsidRDefault="00DD3EFA" w:rsidP="00B15ECB">
            <w:pPr>
              <w:spacing w:before="60" w:after="60"/>
            </w:pPr>
            <w:r w:rsidRPr="00EC2A1C">
              <w:t xml:space="preserve"> Opatření na podporu aktivního a zdravého stárnutí.</w:t>
            </w:r>
          </w:p>
          <w:p w14:paraId="0D1CD77F" w14:textId="77777777" w:rsidR="00DD3EFA" w:rsidRPr="00EC2A1C" w:rsidRDefault="00DD3EFA" w:rsidP="00B15ECB">
            <w:pPr>
              <w:rPr>
                <w:color w:val="000000"/>
              </w:rPr>
            </w:pPr>
            <w:r w:rsidRPr="00EC2A1C">
              <w:rPr>
                <w:color w:val="000000"/>
              </w:rPr>
              <w:t>Podpora vzdělávání dospělých (vyjma infrastruktury).</w:t>
            </w:r>
          </w:p>
          <w:p w14:paraId="2683D93D" w14:textId="77777777" w:rsidR="00DD3EFA" w:rsidRPr="00EC2A1C" w:rsidRDefault="00DD3EFA" w:rsidP="00B15ECB">
            <w:pPr>
              <w:spacing w:before="60" w:after="60"/>
            </w:pPr>
          </w:p>
          <w:p w14:paraId="2B31B22F" w14:textId="77777777" w:rsidR="00DD3EFA" w:rsidRPr="00EC2A1C" w:rsidRDefault="00DD3EFA" w:rsidP="00B15ECB">
            <w:pPr>
              <w:spacing w:before="60" w:after="60"/>
            </w:pPr>
            <w:r w:rsidRPr="00EC2A1C">
              <w:t>Erasmus+; Single Market Programme , Evropský pilíř sociálních práv.</w:t>
            </w:r>
          </w:p>
          <w:p w14:paraId="2C8D7151" w14:textId="77777777" w:rsidR="00DD3EFA" w:rsidRPr="00EC2A1C" w:rsidRDefault="00DD3EFA" w:rsidP="00B15ECB">
            <w:pPr>
              <w:spacing w:before="60" w:after="60"/>
              <w:rPr>
                <w:b/>
              </w:rPr>
            </w:pPr>
            <w:r w:rsidRPr="00EC2A1C">
              <w:rPr>
                <w:b/>
              </w:rPr>
              <w:t>Cíl politiky V (Evropa bližší občanům)</w:t>
            </w:r>
          </w:p>
          <w:p w14:paraId="49410BC3"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Ochrana, rozvoj a podpora kulturního dědictví a kulturních služeb.</w:t>
            </w:r>
          </w:p>
          <w:p w14:paraId="5F6D21C9" w14:textId="77777777" w:rsidR="00DD3EFA" w:rsidRPr="00EC2A1C" w:rsidRDefault="00DD3EFA" w:rsidP="00B15ECB">
            <w:pPr>
              <w:pStyle w:val="Default"/>
              <w:rPr>
                <w:rFonts w:ascii="Times New Roman" w:hAnsi="Times New Roman" w:cs="Times New Roman"/>
                <w:sz w:val="20"/>
                <w:szCs w:val="20"/>
              </w:rPr>
            </w:pPr>
            <w:r w:rsidRPr="00EC2A1C">
              <w:rPr>
                <w:rFonts w:ascii="Times New Roman" w:hAnsi="Times New Roman" w:cs="Times New Roman"/>
                <w:sz w:val="20"/>
                <w:szCs w:val="20"/>
              </w:rPr>
              <w:t xml:space="preserve">Ochrana, rozvoj a podpora přírodního dědictví a ekoturistiky. </w:t>
            </w:r>
          </w:p>
          <w:p w14:paraId="78B61613" w14:textId="77777777" w:rsidR="00DD3EFA" w:rsidRPr="00EC2A1C" w:rsidRDefault="00DD3EFA" w:rsidP="00B15ECB">
            <w:pPr>
              <w:pStyle w:val="Default"/>
              <w:rPr>
                <w:rFonts w:ascii="Times New Roman" w:hAnsi="Times New Roman" w:cs="Times New Roman"/>
                <w:color w:val="auto"/>
                <w:sz w:val="20"/>
                <w:szCs w:val="20"/>
                <w:lang w:val="en-GB"/>
              </w:rPr>
            </w:pPr>
            <w:r w:rsidRPr="00EC2A1C">
              <w:rPr>
                <w:rFonts w:ascii="Times New Roman" w:hAnsi="Times New Roman" w:cs="Times New Roman"/>
                <w:sz w:val="20"/>
                <w:szCs w:val="20"/>
              </w:rPr>
              <w:t>Fyzická regenerace a bezpečnost veřejných prostranství.</w:t>
            </w:r>
            <w:r w:rsidRPr="00EC2A1C">
              <w:rPr>
                <w:rFonts w:ascii="Times New Roman" w:hAnsi="Times New Roman" w:cs="Times New Roman"/>
                <w:color w:val="auto"/>
                <w:sz w:val="20"/>
                <w:szCs w:val="20"/>
                <w:lang w:val="en-GB"/>
              </w:rPr>
              <w:t xml:space="preserve"> </w:t>
            </w:r>
          </w:p>
          <w:p w14:paraId="7C79D2FB" w14:textId="77777777" w:rsidR="00DD3EFA" w:rsidRPr="00EC2A1C" w:rsidRDefault="00DD3EFA" w:rsidP="00B15ECB">
            <w:pPr>
              <w:spacing w:before="60" w:after="60"/>
              <w:rPr>
                <w:rFonts w:eastAsiaTheme="majorEastAsia"/>
              </w:rPr>
            </w:pPr>
          </w:p>
        </w:tc>
        <w:tc>
          <w:tcPr>
            <w:tcW w:w="249" w:type="dxa"/>
            <w:tcBorders>
              <w:top w:val="nil"/>
              <w:bottom w:val="nil"/>
            </w:tcBorders>
            <w:shd w:val="clear" w:color="auto" w:fill="66CCFF"/>
          </w:tcPr>
          <w:p w14:paraId="689FDF97" w14:textId="77777777" w:rsidR="00DD3EFA" w:rsidRPr="00EC2A1C" w:rsidRDefault="00DD3EFA" w:rsidP="00B15ECB">
            <w:pPr>
              <w:rPr>
                <w:b/>
              </w:rPr>
            </w:pPr>
          </w:p>
        </w:tc>
      </w:tr>
      <w:tr w:rsidR="00DD3EFA" w:rsidRPr="00EC2A1C" w14:paraId="31D843C2" w14:textId="77777777" w:rsidTr="00B15ECB">
        <w:trPr>
          <w:trHeight w:val="1202"/>
        </w:trPr>
        <w:tc>
          <w:tcPr>
            <w:tcW w:w="249" w:type="dxa"/>
            <w:tcBorders>
              <w:top w:val="nil"/>
              <w:bottom w:val="nil"/>
            </w:tcBorders>
            <w:shd w:val="clear" w:color="auto" w:fill="66CCFF"/>
          </w:tcPr>
          <w:p w14:paraId="4E7A2BD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FF0ED56"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SDR</w:t>
            </w:r>
          </w:p>
        </w:tc>
        <w:tc>
          <w:tcPr>
            <w:tcW w:w="5978" w:type="dxa"/>
            <w:tcBorders>
              <w:bottom w:val="single" w:sz="4" w:space="0" w:color="auto"/>
            </w:tcBorders>
            <w:shd w:val="clear" w:color="auto" w:fill="FFFFFF" w:themeFill="background1"/>
          </w:tcPr>
          <w:p w14:paraId="18CDDD5A" w14:textId="77777777" w:rsidR="00DD3EFA" w:rsidRPr="00EC2A1C" w:rsidRDefault="00DD3EFA" w:rsidP="00B15ECB">
            <w:pPr>
              <w:spacing w:before="60" w:after="60"/>
              <w:rPr>
                <w:rFonts w:eastAsiaTheme="majorEastAsia"/>
              </w:rPr>
            </w:pPr>
            <w:r w:rsidRPr="00EC2A1C">
              <w:rPr>
                <w:rFonts w:eastAsiaTheme="majorEastAsia"/>
              </w:rPr>
              <w:t>Váže se k bodu 12: posun ekonomiky ke znalostní a Doporučení odstranit překážky zvýšením inovační kapacity domácích podniků (mohou řešit kulturní a kreativní odvětví/průmysly).</w:t>
            </w:r>
          </w:p>
        </w:tc>
        <w:tc>
          <w:tcPr>
            <w:tcW w:w="249" w:type="dxa"/>
            <w:tcBorders>
              <w:top w:val="nil"/>
              <w:bottom w:val="nil"/>
            </w:tcBorders>
            <w:shd w:val="clear" w:color="auto" w:fill="66CCFF"/>
          </w:tcPr>
          <w:p w14:paraId="2CB188C2" w14:textId="77777777" w:rsidR="00DD3EFA" w:rsidRPr="00EC2A1C" w:rsidRDefault="00DD3EFA" w:rsidP="00B15ECB">
            <w:pPr>
              <w:rPr>
                <w:b/>
              </w:rPr>
            </w:pPr>
          </w:p>
        </w:tc>
      </w:tr>
      <w:tr w:rsidR="00DD3EFA" w:rsidRPr="00EC2A1C" w14:paraId="40569D8A" w14:textId="77777777" w:rsidTr="00B15ECB">
        <w:trPr>
          <w:trHeight w:val="180"/>
        </w:trPr>
        <w:tc>
          <w:tcPr>
            <w:tcW w:w="249" w:type="dxa"/>
            <w:tcBorders>
              <w:top w:val="nil"/>
              <w:bottom w:val="nil"/>
              <w:right w:val="nil"/>
            </w:tcBorders>
            <w:shd w:val="clear" w:color="auto" w:fill="66CCFF"/>
          </w:tcPr>
          <w:p w14:paraId="50AC35AE" w14:textId="77777777" w:rsidR="00DD3EFA" w:rsidRPr="00EC2A1C" w:rsidRDefault="00DD3EFA" w:rsidP="00B15ECB">
            <w:pPr>
              <w:rPr>
                <w:b/>
              </w:rPr>
            </w:pPr>
          </w:p>
        </w:tc>
        <w:tc>
          <w:tcPr>
            <w:tcW w:w="2548" w:type="dxa"/>
            <w:tcBorders>
              <w:left w:val="nil"/>
              <w:right w:val="nil"/>
            </w:tcBorders>
            <w:shd w:val="clear" w:color="auto" w:fill="66CCFF"/>
          </w:tcPr>
          <w:p w14:paraId="799423A2" w14:textId="77777777" w:rsidR="00DD3EFA" w:rsidRPr="00EC2A1C" w:rsidRDefault="00DD3EFA" w:rsidP="00B15ECB">
            <w:pPr>
              <w:rPr>
                <w:b/>
              </w:rPr>
            </w:pPr>
          </w:p>
        </w:tc>
        <w:tc>
          <w:tcPr>
            <w:tcW w:w="5978" w:type="dxa"/>
            <w:tcBorders>
              <w:left w:val="nil"/>
              <w:right w:val="nil"/>
            </w:tcBorders>
            <w:shd w:val="clear" w:color="auto" w:fill="66CCFF"/>
          </w:tcPr>
          <w:p w14:paraId="4327EC5F" w14:textId="77777777" w:rsidR="00DD3EFA" w:rsidRPr="00EC2A1C" w:rsidRDefault="00DD3EFA" w:rsidP="00B15ECB">
            <w:pPr>
              <w:rPr>
                <w:b/>
              </w:rPr>
            </w:pPr>
          </w:p>
        </w:tc>
        <w:tc>
          <w:tcPr>
            <w:tcW w:w="249" w:type="dxa"/>
            <w:tcBorders>
              <w:top w:val="nil"/>
              <w:left w:val="nil"/>
              <w:bottom w:val="nil"/>
            </w:tcBorders>
            <w:shd w:val="clear" w:color="auto" w:fill="66CCFF"/>
          </w:tcPr>
          <w:p w14:paraId="6DA3CF5A" w14:textId="77777777" w:rsidR="00DD3EFA" w:rsidRPr="00EC2A1C" w:rsidRDefault="00DD3EFA" w:rsidP="00B15ECB">
            <w:pPr>
              <w:rPr>
                <w:b/>
              </w:rPr>
            </w:pPr>
          </w:p>
        </w:tc>
      </w:tr>
      <w:tr w:rsidR="00DD3EFA" w:rsidRPr="00EC2A1C" w14:paraId="1B3D4CFA" w14:textId="77777777" w:rsidTr="00B15ECB">
        <w:trPr>
          <w:trHeight w:val="938"/>
        </w:trPr>
        <w:tc>
          <w:tcPr>
            <w:tcW w:w="249" w:type="dxa"/>
            <w:tcBorders>
              <w:top w:val="nil"/>
              <w:bottom w:val="nil"/>
            </w:tcBorders>
            <w:shd w:val="clear" w:color="auto" w:fill="66CCFF"/>
          </w:tcPr>
          <w:p w14:paraId="55E69C0F"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0AFDDEFE" w14:textId="77777777" w:rsidR="00DD3EFA" w:rsidRPr="00EC2A1C" w:rsidRDefault="00DD3EFA"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48606D32" w14:textId="77777777" w:rsidR="00DD3EFA" w:rsidRPr="00EC2A1C" w:rsidRDefault="00DD3EFA" w:rsidP="00B15ECB">
            <w:pPr>
              <w:pStyle w:val="Odstavecseseznamem"/>
              <w:spacing w:before="60" w:after="60"/>
              <w:ind w:left="360"/>
              <w:rPr>
                <w:rFonts w:eastAsiaTheme="majorEastAsia"/>
                <w:b/>
              </w:rPr>
            </w:pPr>
          </w:p>
        </w:tc>
        <w:tc>
          <w:tcPr>
            <w:tcW w:w="5978" w:type="dxa"/>
            <w:tcBorders>
              <w:bottom w:val="single" w:sz="4" w:space="0" w:color="auto"/>
            </w:tcBorders>
            <w:shd w:val="clear" w:color="auto" w:fill="FFFFFF" w:themeFill="background1"/>
          </w:tcPr>
          <w:p w14:paraId="3649F679"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Hlavní strategický dokument pro období 2020+:</w:t>
            </w:r>
          </w:p>
          <w:p w14:paraId="4E815B98" w14:textId="77777777" w:rsidR="00DD3EFA" w:rsidRPr="00EC2A1C" w:rsidRDefault="00DD3EFA" w:rsidP="00B15ECB">
            <w:r w:rsidRPr="00EC2A1C">
              <w:t>Státní kulturní politika na léta 2015–2020 (s výhledem do roku 2025)</w:t>
            </w:r>
          </w:p>
          <w:p w14:paraId="53A3B5A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 xml:space="preserve">Strategie rozvoje a podpory kulturních a kreativních průmyslů/ k dispozici koncem roku 2020. </w:t>
            </w:r>
          </w:p>
          <w:p w14:paraId="4A7D976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u w:val="single"/>
              </w:rPr>
            </w:pPr>
            <w:r w:rsidRPr="00EC2A1C">
              <w:rPr>
                <w:rFonts w:ascii="Times New Roman" w:hAnsi="Times New Roman"/>
                <w:i/>
                <w:u w:val="single"/>
              </w:rPr>
              <w:t>Ostatní strategické dokumenty:</w:t>
            </w:r>
          </w:p>
          <w:p w14:paraId="4F26E173" w14:textId="77777777" w:rsidR="00DD3EFA" w:rsidRPr="00EC2A1C" w:rsidRDefault="00DD3EFA" w:rsidP="00B15ECB">
            <w:r w:rsidRPr="00EC2A1C">
              <w:t>Strategický rámec Česká republika 2030</w:t>
            </w:r>
          </w:p>
          <w:p w14:paraId="21A3E31A" w14:textId="77777777" w:rsidR="00DD3EFA" w:rsidRPr="00EC2A1C" w:rsidRDefault="00DD3EFA" w:rsidP="00B15ECB">
            <w:r w:rsidRPr="00EC2A1C">
              <w:t>Integrovaná strategie podpory kultury do roku 2020, Priorita č. 1: Základní péče o kulturní dědictví, Cíl: Zlepšit stav kulturního dědictví a zefektivnit jeho propagaci</w:t>
            </w:r>
          </w:p>
          <w:p w14:paraId="274C2C9F" w14:textId="77777777" w:rsidR="00DD3EFA" w:rsidRPr="00EC2A1C" w:rsidRDefault="00DD3EFA" w:rsidP="00B15ECB">
            <w:r w:rsidRPr="00EC2A1C">
              <w:t>Státní kulturní politika na léta 2015–2020 (s výhledem do roku 2025)</w:t>
            </w:r>
          </w:p>
          <w:p w14:paraId="305890E0" w14:textId="77777777" w:rsidR="00DD3EFA" w:rsidRPr="00EC2A1C" w:rsidRDefault="00DD3EFA" w:rsidP="00B15ECB">
            <w:r w:rsidRPr="00EC2A1C">
              <w:t>Koncepce památkové péče v ČR pro období 2017–2020</w:t>
            </w:r>
          </w:p>
          <w:p w14:paraId="50BAB54B" w14:textId="77777777" w:rsidR="00DD3EFA" w:rsidRPr="00EC2A1C" w:rsidRDefault="00DD3EFA" w:rsidP="00B15ECB">
            <w:r w:rsidRPr="00EC2A1C">
              <w:t>Koncepce působení NPÚ na léta 2016–2021</w:t>
            </w:r>
          </w:p>
          <w:p w14:paraId="25C9E8DF" w14:textId="17DDCE98" w:rsidR="00DD3EFA" w:rsidRPr="00EC2A1C" w:rsidRDefault="00DD3EFA" w:rsidP="00B15ECB">
            <w:r w:rsidRPr="00EC2A1C">
              <w:t>Koncepce účinnější péče o tradiční lidovou kulturu v ČR na léta 2016 – 2020 jako hlavní implementační nástroj pro plnění Úmluvy o zachování nemateriálního kulturního dědictví – počítá se s </w:t>
            </w:r>
            <w:r w:rsidR="00747AAD" w:rsidRPr="00EC2A1C">
              <w:t>aktualizací na</w:t>
            </w:r>
            <w:r w:rsidRPr="00EC2A1C">
              <w:t xml:space="preserve"> léta 2021 – 2025; podobné koncepční dokumenty přijala i řada krajů)</w:t>
            </w:r>
          </w:p>
          <w:p w14:paraId="4DF778B2" w14:textId="77777777" w:rsidR="00DD3EFA" w:rsidRPr="00EC2A1C" w:rsidRDefault="00DD3EFA" w:rsidP="00B15ECB">
            <w:r w:rsidRPr="00EC2A1C">
              <w:t>Koncepce rozvoje muzejnictví v České republice v letech 2015 až 2020</w:t>
            </w:r>
          </w:p>
          <w:p w14:paraId="29DE1BA8" w14:textId="77777777" w:rsidR="00DD3EFA" w:rsidRPr="00EC2A1C" w:rsidRDefault="00DD3EFA" w:rsidP="00B15ECB">
            <w:r w:rsidRPr="00EC2A1C">
              <w:t>Koncepce rozvoje knihoven v České republice na léta 2017–2020</w:t>
            </w:r>
          </w:p>
          <w:p w14:paraId="48D7D173" w14:textId="77777777" w:rsidR="00DD3EFA" w:rsidRPr="00EC2A1C" w:rsidRDefault="00DD3EFA" w:rsidP="00B15ECB">
            <w:r w:rsidRPr="00EC2A1C">
              <w:t>Strategie digitalizace kulturního obsahu ČR 2013 – 2020</w:t>
            </w:r>
          </w:p>
          <w:p w14:paraId="1A8B0551" w14:textId="77777777" w:rsidR="00DD3EFA" w:rsidRPr="00EC2A1C" w:rsidRDefault="00DD3EFA" w:rsidP="00B15ECB">
            <w:pPr>
              <w:autoSpaceDE w:val="0"/>
              <w:autoSpaceDN w:val="0"/>
              <w:adjustRightInd w:val="0"/>
              <w:rPr>
                <w:bCs/>
                <w:color w:val="000000"/>
              </w:rPr>
            </w:pPr>
            <w:r w:rsidRPr="00EC2A1C">
              <w:rPr>
                <w:bCs/>
                <w:color w:val="000000"/>
              </w:rPr>
              <w:t>Dokument Evropské komise známý jako Zelená kniha (GreenPaper-Unlocking the Potential of Cultural and Creative Industries).</w:t>
            </w:r>
          </w:p>
          <w:p w14:paraId="6257B46A" w14:textId="77777777" w:rsidR="00DD3EFA" w:rsidRPr="00EC2A1C" w:rsidRDefault="00DD3EFA" w:rsidP="00B15ECB">
            <w:pPr>
              <w:rPr>
                <w:bCs/>
                <w:color w:val="000000"/>
              </w:rPr>
            </w:pPr>
            <w:r w:rsidRPr="00EC2A1C">
              <w:rPr>
                <w:bCs/>
                <w:color w:val="000000"/>
              </w:rPr>
              <w:t>Národní politika výzkumu, vývoje a inovací na léta 2016–2020</w:t>
            </w:r>
            <w:r w:rsidRPr="00EC2A1C">
              <w:rPr>
                <w:rStyle w:val="Znakapoznpodarou"/>
                <w:bCs/>
                <w:color w:val="000000"/>
              </w:rPr>
              <w:footnoteRef/>
            </w:r>
            <w:r w:rsidRPr="00EC2A1C">
              <w:rPr>
                <w:bCs/>
                <w:color w:val="000000"/>
              </w:rPr>
              <w:t xml:space="preserve"> nebo Národní RIS3 strategie.</w:t>
            </w:r>
          </w:p>
          <w:p w14:paraId="59B124FE" w14:textId="77777777" w:rsidR="00DD3EFA" w:rsidRPr="00EC2A1C" w:rsidRDefault="00DD3EFA" w:rsidP="00B15ECB">
            <w:r w:rsidRPr="00EC2A1C">
              <w:t>Česko 2030.</w:t>
            </w:r>
          </w:p>
        </w:tc>
        <w:tc>
          <w:tcPr>
            <w:tcW w:w="249" w:type="dxa"/>
            <w:tcBorders>
              <w:top w:val="nil"/>
              <w:bottom w:val="nil"/>
            </w:tcBorders>
            <w:shd w:val="clear" w:color="auto" w:fill="66CCFF"/>
          </w:tcPr>
          <w:p w14:paraId="7BE4FFFB" w14:textId="77777777" w:rsidR="00DD3EFA" w:rsidRPr="00EC2A1C" w:rsidRDefault="00DD3EFA" w:rsidP="00B15ECB">
            <w:pPr>
              <w:rPr>
                <w:b/>
              </w:rPr>
            </w:pPr>
          </w:p>
        </w:tc>
      </w:tr>
      <w:tr w:rsidR="00DD3EFA" w:rsidRPr="00EC2A1C" w14:paraId="2D4CB6D9" w14:textId="77777777" w:rsidTr="00B15ECB">
        <w:trPr>
          <w:trHeight w:val="938"/>
        </w:trPr>
        <w:tc>
          <w:tcPr>
            <w:tcW w:w="249" w:type="dxa"/>
            <w:tcBorders>
              <w:top w:val="nil"/>
              <w:bottom w:val="nil"/>
            </w:tcBorders>
            <w:shd w:val="clear" w:color="auto" w:fill="66CCFF"/>
          </w:tcPr>
          <w:p w14:paraId="19BED1FD"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88A8F1B"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06A0E17E"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64F75AB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b/>
              </w:rPr>
            </w:pPr>
            <w:r w:rsidRPr="00EC2A1C">
              <w:rPr>
                <w:rFonts w:ascii="Times New Roman" w:hAnsi="Times New Roman"/>
                <w:b/>
              </w:rPr>
              <w:t>Státní kulturní politika na léta 2015–2020 (s výhledem do roku 2025)</w:t>
            </w:r>
          </w:p>
          <w:p w14:paraId="00600450" w14:textId="2886EA46" w:rsidR="00DD3EFA" w:rsidRPr="00EC2A1C" w:rsidRDefault="00DD3EFA" w:rsidP="00B15ECB">
            <w:pPr>
              <w:autoSpaceDE w:val="0"/>
              <w:autoSpaceDN w:val="0"/>
              <w:adjustRightInd w:val="0"/>
              <w:rPr>
                <w:bCs/>
                <w:color w:val="000000"/>
              </w:rPr>
            </w:pPr>
            <w:r w:rsidRPr="00EC2A1C">
              <w:t>Se zabývá ochranou</w:t>
            </w:r>
            <w:r w:rsidR="00747AAD" w:rsidRPr="00EC2A1C">
              <w:t xml:space="preserve"> kulturního dědictví a definuje </w:t>
            </w:r>
            <w:r w:rsidRPr="00EC2A1C">
              <w:t>„</w:t>
            </w:r>
            <w:r w:rsidRPr="00EC2A1C">
              <w:rPr>
                <w:bCs/>
                <w:color w:val="000000"/>
              </w:rPr>
              <w:t>kulturní a kreativní odvětví/průmysly (KKO/P) zahrnují činnosti, jejichž základem je lidská kreativita, dovednosti a talent. KKO/P jsou založeny na kulturních hodnotách, uměleckých a kreativních projevech. Mají potenciál vytvářet bohatství a pracovní místa zejména využitím duševního vlastnictví.  Zahrnují činnosti (služby, díla, výkony a produkty) veřejné, neziskové a tržní bez ohledu na druh a způsob financování subjektu, který je provádí“.</w:t>
            </w:r>
          </w:p>
          <w:p w14:paraId="7E921EC4" w14:textId="77777777" w:rsidR="00DD3EFA" w:rsidRPr="00EC2A1C" w:rsidRDefault="00DD3EFA" w:rsidP="00B15ECB">
            <w:pPr>
              <w:autoSpaceDE w:val="0"/>
              <w:autoSpaceDN w:val="0"/>
              <w:adjustRightInd w:val="0"/>
              <w:rPr>
                <w:bCs/>
                <w:color w:val="000000"/>
              </w:rPr>
            </w:pPr>
          </w:p>
          <w:p w14:paraId="46B33DC4" w14:textId="77777777" w:rsidR="00DD3EFA" w:rsidRPr="00EC2A1C" w:rsidRDefault="00DD3EFA" w:rsidP="00B15ECB">
            <w:pPr>
              <w:autoSpaceDE w:val="0"/>
              <w:autoSpaceDN w:val="0"/>
              <w:adjustRightInd w:val="0"/>
            </w:pPr>
            <w:r w:rsidRPr="00EC2A1C">
              <w:rPr>
                <w:bCs/>
                <w:color w:val="000000"/>
              </w:rPr>
              <w:t xml:space="preserve">Státní inovační politiky, ať už </w:t>
            </w:r>
            <w:r w:rsidRPr="00EC2A1C">
              <w:rPr>
                <w:b/>
                <w:bCs/>
                <w:color w:val="000000"/>
              </w:rPr>
              <w:t>Národní politika výzkumu, vývoje a inovací na léta 2016–2020</w:t>
            </w:r>
            <w:r w:rsidRPr="00EC2A1C">
              <w:rPr>
                <w:rStyle w:val="Znakapoznpodarou"/>
                <w:b/>
                <w:bCs/>
                <w:color w:val="000000"/>
              </w:rPr>
              <w:footnoteRef/>
            </w:r>
            <w:r w:rsidRPr="00EC2A1C">
              <w:rPr>
                <w:b/>
                <w:bCs/>
                <w:color w:val="000000"/>
              </w:rPr>
              <w:t xml:space="preserve"> </w:t>
            </w:r>
            <w:r w:rsidRPr="00EC2A1C">
              <w:rPr>
                <w:bCs/>
                <w:color w:val="000000"/>
              </w:rPr>
              <w:t xml:space="preserve">nebo </w:t>
            </w:r>
            <w:r w:rsidRPr="00EC2A1C">
              <w:rPr>
                <w:b/>
                <w:bCs/>
                <w:color w:val="000000"/>
              </w:rPr>
              <w:t>Národní RIS3 strategie</w:t>
            </w:r>
            <w:r w:rsidRPr="00EC2A1C">
              <w:rPr>
                <w:rStyle w:val="Znakapoznpodarou"/>
                <w:b/>
                <w:bCs/>
                <w:color w:val="000000"/>
              </w:rPr>
              <w:footnoteRef/>
            </w:r>
            <w:r w:rsidRPr="00EC2A1C">
              <w:rPr>
                <w:bCs/>
                <w:color w:val="000000"/>
              </w:rPr>
              <w:t xml:space="preserve"> používají termín „kulturní a kreativní průmysly“ a používají definici UNESCO, kdy KKP jsou „sektory organizované aktivity, jejichž hlavním cílem je výroba či reprodukce, podpora, distribuce a/nebo komercializace zboží, služeb a aktivit kulturní, umělecké povahy, nebo souvisejících s kulturním dědictvím“</w:t>
            </w:r>
          </w:p>
          <w:p w14:paraId="6555541B"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bottom w:val="nil"/>
            </w:tcBorders>
            <w:shd w:val="clear" w:color="auto" w:fill="66CCFF"/>
          </w:tcPr>
          <w:p w14:paraId="158869BA" w14:textId="77777777" w:rsidR="00DD3EFA" w:rsidRPr="00EC2A1C" w:rsidRDefault="00DD3EFA" w:rsidP="00B15ECB">
            <w:pPr>
              <w:rPr>
                <w:b/>
              </w:rPr>
            </w:pPr>
          </w:p>
        </w:tc>
      </w:tr>
      <w:tr w:rsidR="00DD3EFA" w:rsidRPr="00EC2A1C" w14:paraId="17680996" w14:textId="77777777" w:rsidTr="00B15ECB">
        <w:trPr>
          <w:trHeight w:val="938"/>
        </w:trPr>
        <w:tc>
          <w:tcPr>
            <w:tcW w:w="249" w:type="dxa"/>
            <w:tcBorders>
              <w:top w:val="nil"/>
              <w:bottom w:val="nil"/>
            </w:tcBorders>
            <w:shd w:val="clear" w:color="auto" w:fill="66CCFF"/>
          </w:tcPr>
          <w:p w14:paraId="730F781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37F4C0C"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359530AB"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3778CE76"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b/>
              </w:rPr>
            </w:pPr>
            <w:r w:rsidRPr="00EC2A1C">
              <w:rPr>
                <w:rFonts w:ascii="Times New Roman" w:hAnsi="Times New Roman"/>
                <w:b/>
              </w:rPr>
              <w:t>Státní kulturní politika na léta 2015–2020 (s výhledem do roku 2025)</w:t>
            </w:r>
          </w:p>
          <w:p w14:paraId="30956381" w14:textId="77777777" w:rsidR="00DD3EFA" w:rsidRPr="00EC2A1C" w:rsidRDefault="00DD3EFA" w:rsidP="00B15ECB">
            <w:pPr>
              <w:rPr>
                <w:b/>
              </w:rPr>
            </w:pPr>
            <w:r w:rsidRPr="00EC2A1C">
              <w:rPr>
                <w:b/>
              </w:rPr>
              <w:t>CÍL 1 – EKONOMICKÁ A SPOLEČENSKÁ DIMENZE</w:t>
            </w:r>
          </w:p>
          <w:p w14:paraId="6E170F25" w14:textId="77777777" w:rsidR="00DD3EFA" w:rsidRPr="00EC2A1C" w:rsidRDefault="00DD3EFA" w:rsidP="00B15ECB">
            <w:pPr>
              <w:rPr>
                <w:b/>
                <w:i/>
              </w:rPr>
            </w:pPr>
            <w:r w:rsidRPr="00EC2A1C">
              <w:rPr>
                <w:b/>
                <w:i/>
              </w:rPr>
              <w:t>Využít přínosů umění a kulturního dědictví a s nimi spojené kreativity pro zvýšení konkurenceschopnosti ostatních oborů a činností.</w:t>
            </w:r>
          </w:p>
          <w:p w14:paraId="05AD02FE" w14:textId="77777777" w:rsidR="00DD3EFA" w:rsidRPr="00EC2A1C" w:rsidRDefault="00DD3EFA" w:rsidP="00B15ECB">
            <w:pPr>
              <w:rPr>
                <w:b/>
              </w:rPr>
            </w:pPr>
            <w:r w:rsidRPr="00EC2A1C">
              <w:rPr>
                <w:b/>
              </w:rPr>
              <w:t>CÍL 2 – OBČANSKÁ DIMENZE - ROZVOJ OSOBNOSTI</w:t>
            </w:r>
          </w:p>
          <w:p w14:paraId="59588A30" w14:textId="77777777" w:rsidR="00DD3EFA" w:rsidRPr="00EC2A1C" w:rsidRDefault="00DD3EFA" w:rsidP="00B15ECB">
            <w:pPr>
              <w:rPr>
                <w:b/>
                <w:i/>
              </w:rPr>
            </w:pPr>
            <w:r w:rsidRPr="00EC2A1C">
              <w:rPr>
                <w:b/>
                <w:i/>
              </w:rPr>
              <w:t>Zvýraznit roli kultury v individuálním profesním a osobnostním růstu občanů, zejména pro rozvoj tvořivosti, kultivaci demokratických hodnot a individuálních postojů a pro posilování odpovědnosti za zděděné i vytvářené hodnoty.</w:t>
            </w:r>
          </w:p>
          <w:p w14:paraId="34BA2AF4" w14:textId="77777777" w:rsidR="00DD3EFA" w:rsidRPr="00EC2A1C" w:rsidRDefault="00DD3EFA" w:rsidP="00B15ECB">
            <w:pPr>
              <w:rPr>
                <w:b/>
              </w:rPr>
            </w:pPr>
            <w:r w:rsidRPr="00EC2A1C">
              <w:rPr>
                <w:b/>
              </w:rPr>
              <w:t>CÍL 3 – ROLE STÁTU, KRAJŮ A OBCÍ PŘI PODPOŘE ZACHOVÁNÍ A TVORBY KULTURNÍCH HODNOT</w:t>
            </w:r>
          </w:p>
          <w:p w14:paraId="650EB279" w14:textId="77777777" w:rsidR="00DD3EFA" w:rsidRPr="00EC2A1C" w:rsidRDefault="00DD3EFA" w:rsidP="00B15ECB">
            <w:pPr>
              <w:rPr>
                <w:b/>
                <w:i/>
              </w:rPr>
            </w:pPr>
            <w:r w:rsidRPr="00EC2A1C">
              <w:rPr>
                <w:b/>
                <w:i/>
              </w:rPr>
              <w:t xml:space="preserve">Poskytovat přímou i nepřímou podporu uchování existujících kulturních hodnot a nakládání s nimi, stejně jako tvorbě hodnot nových. </w:t>
            </w:r>
          </w:p>
          <w:p w14:paraId="7FE1B201" w14:textId="77777777" w:rsidR="00DD3EFA" w:rsidRPr="00EC2A1C" w:rsidRDefault="00DD3EFA" w:rsidP="00B15ECB">
            <w:pPr>
              <w:rPr>
                <w:b/>
              </w:rPr>
            </w:pPr>
            <w:r w:rsidRPr="00EC2A1C">
              <w:rPr>
                <w:b/>
              </w:rPr>
              <w:t>CÍL 4 –ROLE STÁTU PŘI TVORBĚ PRAVIDEL</w:t>
            </w:r>
          </w:p>
          <w:p w14:paraId="1076DFB4" w14:textId="77777777" w:rsidR="00DD3EFA" w:rsidRPr="00EC2A1C" w:rsidRDefault="00DD3EFA" w:rsidP="00B15ECB">
            <w:pPr>
              <w:rPr>
                <w:b/>
                <w:i/>
              </w:rPr>
            </w:pPr>
            <w:r w:rsidRPr="00EC2A1C">
              <w:rPr>
                <w:b/>
                <w:i/>
              </w:rPr>
              <w:t xml:space="preserve">Vytvářet transparentní a nediskriminační prostředí pro kulturní aktivity a jejich podporu z úrovně státu, krajů a obcí. </w:t>
            </w:r>
          </w:p>
          <w:p w14:paraId="3B70C24D"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color w:val="FF0000"/>
              </w:rPr>
            </w:pPr>
          </w:p>
          <w:p w14:paraId="6FDAC981"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b/>
              </w:rPr>
            </w:pPr>
            <w:r w:rsidRPr="00EC2A1C">
              <w:rPr>
                <w:rFonts w:ascii="Times New Roman" w:hAnsi="Times New Roman"/>
                <w:b/>
              </w:rPr>
              <w:t>Koncepce účinnější péče o tradiční lidovou kulturu v ČR na léta 2016 2020</w:t>
            </w:r>
          </w:p>
          <w:p w14:paraId="3771494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Cíl 1 - </w:t>
            </w:r>
            <w:r w:rsidRPr="00EC2A1C">
              <w:rPr>
                <w:rFonts w:ascii="Times New Roman" w:hAnsi="Times New Roman"/>
                <w:b/>
              </w:rPr>
              <w:t>Identifikaci, dokumentaci a prezentaci nehmotného kulturního dědictví</w:t>
            </w:r>
            <w:r w:rsidRPr="00EC2A1C">
              <w:rPr>
                <w:rFonts w:ascii="Times New Roman" w:hAnsi="Times New Roman"/>
              </w:rPr>
              <w:t>, což je vzhledem k živé povaze prvků nehmotného kulturního dědictví trvalým úkolem</w:t>
            </w:r>
          </w:p>
        </w:tc>
        <w:tc>
          <w:tcPr>
            <w:tcW w:w="249" w:type="dxa"/>
            <w:tcBorders>
              <w:top w:val="nil"/>
              <w:bottom w:val="nil"/>
            </w:tcBorders>
            <w:shd w:val="clear" w:color="auto" w:fill="66CCFF"/>
          </w:tcPr>
          <w:p w14:paraId="10152CE5" w14:textId="77777777" w:rsidR="00DD3EFA" w:rsidRPr="00EC2A1C" w:rsidRDefault="00DD3EFA" w:rsidP="00B15ECB">
            <w:pPr>
              <w:rPr>
                <w:b/>
              </w:rPr>
            </w:pPr>
          </w:p>
        </w:tc>
      </w:tr>
      <w:tr w:rsidR="00DD3EFA" w:rsidRPr="00EC2A1C" w14:paraId="49025B53" w14:textId="77777777" w:rsidTr="00B15ECB">
        <w:trPr>
          <w:trHeight w:val="938"/>
        </w:trPr>
        <w:tc>
          <w:tcPr>
            <w:tcW w:w="249" w:type="dxa"/>
            <w:tcBorders>
              <w:top w:val="nil"/>
              <w:bottom w:val="nil"/>
            </w:tcBorders>
            <w:shd w:val="clear" w:color="auto" w:fill="66CCFF"/>
          </w:tcPr>
          <w:p w14:paraId="0D44826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84B8B21" w14:textId="77777777" w:rsidR="00DD3EFA" w:rsidRPr="00EC2A1C" w:rsidRDefault="00DD3EFA"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25251F12" w14:textId="77777777" w:rsidR="00DD3EFA" w:rsidRPr="00EC2A1C" w:rsidRDefault="00DD3EFA" w:rsidP="00B15ECB">
            <w:pPr>
              <w:spacing w:before="60" w:after="60"/>
              <w:rPr>
                <w:rFonts w:eastAsiaTheme="majorEastAsia"/>
                <w:b/>
              </w:rPr>
            </w:pPr>
          </w:p>
        </w:tc>
        <w:tc>
          <w:tcPr>
            <w:tcW w:w="5978" w:type="dxa"/>
            <w:tcBorders>
              <w:bottom w:val="single" w:sz="4" w:space="0" w:color="auto"/>
            </w:tcBorders>
            <w:shd w:val="clear" w:color="auto" w:fill="FFFFFF" w:themeFill="background1"/>
          </w:tcPr>
          <w:p w14:paraId="1C25C43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MKČR je s ohledem na své kompetence možné vnímat jako zprostředkující subjekt pro tuto část problematiky.</w:t>
            </w:r>
          </w:p>
        </w:tc>
        <w:tc>
          <w:tcPr>
            <w:tcW w:w="249" w:type="dxa"/>
            <w:tcBorders>
              <w:top w:val="nil"/>
              <w:bottom w:val="nil"/>
            </w:tcBorders>
            <w:shd w:val="clear" w:color="auto" w:fill="66CCFF"/>
          </w:tcPr>
          <w:p w14:paraId="6FE5412D" w14:textId="77777777" w:rsidR="00DD3EFA" w:rsidRPr="00EC2A1C" w:rsidRDefault="00DD3EFA" w:rsidP="00B15ECB">
            <w:pPr>
              <w:rPr>
                <w:b/>
              </w:rPr>
            </w:pPr>
          </w:p>
        </w:tc>
      </w:tr>
      <w:tr w:rsidR="00DD3EFA" w:rsidRPr="00EC2A1C" w14:paraId="390BE8F5" w14:textId="77777777" w:rsidTr="00B15ECB">
        <w:trPr>
          <w:trHeight w:val="938"/>
        </w:trPr>
        <w:tc>
          <w:tcPr>
            <w:tcW w:w="249" w:type="dxa"/>
            <w:tcBorders>
              <w:top w:val="nil"/>
              <w:bottom w:val="nil"/>
            </w:tcBorders>
            <w:shd w:val="clear" w:color="auto" w:fill="66CCFF"/>
          </w:tcPr>
          <w:p w14:paraId="7A766247"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2AA549E9"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5978" w:type="dxa"/>
            <w:tcBorders>
              <w:bottom w:val="single" w:sz="4" w:space="0" w:color="auto"/>
            </w:tcBorders>
            <w:shd w:val="clear" w:color="auto" w:fill="FFFFFF" w:themeFill="background1"/>
          </w:tcPr>
          <w:p w14:paraId="22113CE6"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MKČR se hlásí k evaluaci, systematickému, objektivnímu a nezávislému posouzení návrhu, implementace a /nebo výsledků dosažených v programech a projektech, s cílem určit relevantnost, účelnost, účinnost, dopady a udržitelnost.</w:t>
            </w:r>
          </w:p>
          <w:p w14:paraId="0A5A0173"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p>
        </w:tc>
        <w:tc>
          <w:tcPr>
            <w:tcW w:w="249" w:type="dxa"/>
            <w:tcBorders>
              <w:top w:val="nil"/>
              <w:bottom w:val="nil"/>
            </w:tcBorders>
            <w:shd w:val="clear" w:color="auto" w:fill="66CCFF"/>
          </w:tcPr>
          <w:p w14:paraId="39F64D9A" w14:textId="77777777" w:rsidR="00DD3EFA" w:rsidRPr="00EC2A1C" w:rsidRDefault="00DD3EFA" w:rsidP="00B15ECB">
            <w:pPr>
              <w:rPr>
                <w:b/>
              </w:rPr>
            </w:pPr>
          </w:p>
        </w:tc>
      </w:tr>
      <w:tr w:rsidR="00DD3EFA" w:rsidRPr="00EC2A1C" w14:paraId="040FCD61" w14:textId="77777777" w:rsidTr="00B15ECB">
        <w:trPr>
          <w:trHeight w:val="130"/>
        </w:trPr>
        <w:tc>
          <w:tcPr>
            <w:tcW w:w="249" w:type="dxa"/>
            <w:tcBorders>
              <w:top w:val="nil"/>
              <w:bottom w:val="nil"/>
              <w:right w:val="nil"/>
            </w:tcBorders>
            <w:shd w:val="clear" w:color="auto" w:fill="66CCFF"/>
          </w:tcPr>
          <w:p w14:paraId="18F4DAF2" w14:textId="77777777" w:rsidR="00DD3EFA" w:rsidRPr="00EC2A1C" w:rsidRDefault="00DD3EFA" w:rsidP="00B15ECB">
            <w:pPr>
              <w:rPr>
                <w:b/>
              </w:rPr>
            </w:pPr>
          </w:p>
        </w:tc>
        <w:tc>
          <w:tcPr>
            <w:tcW w:w="2548" w:type="dxa"/>
            <w:tcBorders>
              <w:left w:val="nil"/>
              <w:right w:val="nil"/>
            </w:tcBorders>
            <w:shd w:val="clear" w:color="auto" w:fill="66CCFF"/>
          </w:tcPr>
          <w:p w14:paraId="04802486" w14:textId="77777777" w:rsidR="00DD3EFA" w:rsidRPr="00EC2A1C" w:rsidRDefault="00DD3EFA" w:rsidP="00B15ECB">
            <w:pPr>
              <w:rPr>
                <w:b/>
              </w:rPr>
            </w:pPr>
          </w:p>
        </w:tc>
        <w:tc>
          <w:tcPr>
            <w:tcW w:w="5978" w:type="dxa"/>
            <w:tcBorders>
              <w:left w:val="nil"/>
              <w:right w:val="nil"/>
            </w:tcBorders>
            <w:shd w:val="clear" w:color="auto" w:fill="66CCFF"/>
          </w:tcPr>
          <w:p w14:paraId="4305DB68" w14:textId="77777777" w:rsidR="00DD3EFA" w:rsidRPr="00EC2A1C" w:rsidRDefault="00DD3EFA"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49" w:type="dxa"/>
            <w:tcBorders>
              <w:top w:val="nil"/>
              <w:left w:val="nil"/>
              <w:bottom w:val="nil"/>
            </w:tcBorders>
            <w:shd w:val="clear" w:color="auto" w:fill="66CCFF"/>
          </w:tcPr>
          <w:p w14:paraId="52BEFD7F" w14:textId="77777777" w:rsidR="00DD3EFA" w:rsidRPr="00EC2A1C" w:rsidRDefault="00DD3EFA" w:rsidP="00B15ECB">
            <w:pPr>
              <w:rPr>
                <w:b/>
              </w:rPr>
            </w:pPr>
          </w:p>
        </w:tc>
      </w:tr>
      <w:tr w:rsidR="00DD3EFA" w:rsidRPr="00EC2A1C" w14:paraId="302F2EB5" w14:textId="77777777" w:rsidTr="00B15ECB">
        <w:trPr>
          <w:trHeight w:val="1258"/>
        </w:trPr>
        <w:tc>
          <w:tcPr>
            <w:tcW w:w="249" w:type="dxa"/>
            <w:tcBorders>
              <w:top w:val="nil"/>
              <w:bottom w:val="nil"/>
              <w:right w:val="nil"/>
            </w:tcBorders>
            <w:shd w:val="clear" w:color="auto" w:fill="66CCFF"/>
          </w:tcPr>
          <w:p w14:paraId="6D46A65A" w14:textId="77777777" w:rsidR="00DD3EFA" w:rsidRPr="00EC2A1C" w:rsidRDefault="00DD3EFA" w:rsidP="00B15ECB">
            <w:pPr>
              <w:rPr>
                <w:b/>
              </w:rPr>
            </w:pPr>
          </w:p>
        </w:tc>
        <w:tc>
          <w:tcPr>
            <w:tcW w:w="2548" w:type="dxa"/>
            <w:shd w:val="clear" w:color="auto" w:fill="FFFFFF" w:themeFill="background1"/>
          </w:tcPr>
          <w:p w14:paraId="4A68B9AA" w14:textId="77777777" w:rsidR="00DD3EFA" w:rsidRPr="00EC2A1C" w:rsidRDefault="00DD3EFA" w:rsidP="00B15ECB">
            <w:pPr>
              <w:rPr>
                <w:b/>
              </w:rPr>
            </w:pPr>
            <w:r w:rsidRPr="00EC2A1C">
              <w:rPr>
                <w:rFonts w:eastAsiaTheme="majorEastAsia"/>
                <w:b/>
              </w:rPr>
              <w:t xml:space="preserve">Zhodnocení dosavadního využití podpory tematické oblasti z ESIF (tj. v období 2014 – 2020, příp. 2007 – 2013). </w:t>
            </w:r>
          </w:p>
        </w:tc>
        <w:tc>
          <w:tcPr>
            <w:tcW w:w="5978" w:type="dxa"/>
            <w:shd w:val="clear" w:color="auto" w:fill="FFFFFF" w:themeFill="background1"/>
          </w:tcPr>
          <w:p w14:paraId="2EA7890C" w14:textId="77777777" w:rsidR="00DD3EFA" w:rsidRPr="00EC2A1C" w:rsidRDefault="00DD3EFA" w:rsidP="00B15ECB">
            <w:pPr>
              <w:spacing w:line="276" w:lineRule="auto"/>
            </w:pPr>
            <w:r w:rsidRPr="00EC2A1C">
              <w:t xml:space="preserve">V programovém období 2014-2020 byl pro národní kulturní památky a památky světového dědictví UNESCO (včetně památek na indikativních seznamech) nejvýznamnějším zdrojem program </w:t>
            </w:r>
            <w:r w:rsidRPr="00EC2A1C">
              <w:rPr>
                <w:i/>
              </w:rPr>
              <w:t>IROP,</w:t>
            </w:r>
            <w:r w:rsidRPr="00EC2A1C">
              <w:t xml:space="preserve"> v rámci Prioritní osy 3 „Dobrá správa území a zefektivnění veřejných institucí“ </w:t>
            </w:r>
            <w:r w:rsidRPr="00EC2A1C">
              <w:rPr>
                <w:i/>
              </w:rPr>
              <w:t xml:space="preserve"> SC 3.1</w:t>
            </w:r>
            <w:r w:rsidRPr="00EC2A1C">
              <w:t xml:space="preserve"> </w:t>
            </w:r>
            <w:r w:rsidRPr="00EC2A1C">
              <w:rPr>
                <w:i/>
              </w:rPr>
              <w:t>Zefektivnění prezentace, posílení ochrany a rozvoje kulturního dědictví</w:t>
            </w:r>
            <w:r w:rsidRPr="00EC2A1C">
              <w:t xml:space="preserve">. </w:t>
            </w:r>
          </w:p>
          <w:p w14:paraId="6C41667A" w14:textId="77777777" w:rsidR="00DD3EFA" w:rsidRPr="00EC2A1C" w:rsidRDefault="00DD3EFA" w:rsidP="00B15ECB">
            <w:pPr>
              <w:spacing w:line="276" w:lineRule="auto"/>
            </w:pPr>
            <w:r w:rsidRPr="00EC2A1C">
              <w:t>Kromě uvedeného vymezení sehrál pro potenciální žadatele roli také limit small-scale. Přesto jsou ve výzvách pro památky jako náhradníci zařazeny projekty za více než 2 mld. Kč. Obdobná situace s převisem „poptávky“ je i u výzev pro muzea. Některým regionům se podařilo využít velkého množství způsobilých památek na svém území a mohly tak cíleně investovat v dané aglomeraci díky integrovaným nástrojům.</w:t>
            </w:r>
          </w:p>
          <w:p w14:paraId="24053D59" w14:textId="77777777" w:rsidR="00DD3EFA" w:rsidRPr="00EC2A1C" w:rsidRDefault="00DD3EFA" w:rsidP="00B15ECB">
            <w:pPr>
              <w:spacing w:line="276" w:lineRule="auto"/>
            </w:pPr>
          </w:p>
          <w:p w14:paraId="780F4FE0" w14:textId="77777777" w:rsidR="00DD3EFA" w:rsidRPr="00EC2A1C" w:rsidRDefault="00DD3EFA" w:rsidP="00B15ECB">
            <w:pPr>
              <w:spacing w:line="276" w:lineRule="auto"/>
            </w:pPr>
            <w:r w:rsidRPr="00EC2A1C">
              <w:t>V tomto specifickém cíli tak byly již vypsány následující výzvy:</w:t>
            </w:r>
          </w:p>
          <w:p w14:paraId="7E784EB0"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u w:val="single"/>
              </w:rPr>
            </w:pPr>
            <w:r w:rsidRPr="00EC2A1C">
              <w:rPr>
                <w:rFonts w:ascii="Times New Roman" w:hAnsi="Times New Roman"/>
                <w:u w:val="single"/>
              </w:rPr>
              <w:t xml:space="preserve">13. výzva Revitalizace vybraných památek: </w:t>
            </w:r>
            <w:r w:rsidRPr="00EC2A1C">
              <w:rPr>
                <w:rFonts w:ascii="Times New Roman" w:hAnsi="Times New Roman"/>
              </w:rPr>
              <w:t>Alokace 3,0 mld. Kč, podáno 63 projektů v celkové hodnotě 3,77 mld. Kč, schváleno 54 projektů za 3,25 mld. Kč, alokace navýšena o 250 mil Kč.</w:t>
            </w:r>
          </w:p>
          <w:p w14:paraId="686FC220"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u w:val="single"/>
              </w:rPr>
            </w:pPr>
            <w:r w:rsidRPr="00EC2A1C">
              <w:rPr>
                <w:rFonts w:ascii="Times New Roman" w:hAnsi="Times New Roman"/>
                <w:u w:val="single"/>
              </w:rPr>
              <w:t xml:space="preserve">21. výzva Muzea: </w:t>
            </w:r>
            <w:r w:rsidRPr="00EC2A1C">
              <w:rPr>
                <w:rFonts w:ascii="Times New Roman" w:hAnsi="Times New Roman"/>
              </w:rPr>
              <w:t>Alokace 2,1 mld. Kč, podáno 44 projektů v celkové hodnotě 1,99 mld. Kč, schváleno 39 projektů za 1,65 mld. Kč.</w:t>
            </w:r>
          </w:p>
          <w:p w14:paraId="22774023"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u w:val="single"/>
              </w:rPr>
            </w:pPr>
            <w:r w:rsidRPr="00EC2A1C">
              <w:rPr>
                <w:rFonts w:ascii="Times New Roman" w:hAnsi="Times New Roman"/>
                <w:u w:val="single"/>
              </w:rPr>
              <w:t xml:space="preserve">25. výzva Knihovny: </w:t>
            </w:r>
            <w:r w:rsidRPr="00EC2A1C">
              <w:rPr>
                <w:rFonts w:ascii="Times New Roman" w:hAnsi="Times New Roman"/>
              </w:rPr>
              <w:t xml:space="preserve">Alokace 687 mil Kč, podáno a schváleno 12 projektů v celkové hodnotě 747 mil Kč, alokace navýšena o 60 mil Kč. </w:t>
            </w:r>
            <w:r w:rsidRPr="00EC2A1C">
              <w:rPr>
                <w:rFonts w:ascii="Times New Roman" w:hAnsi="Times New Roman"/>
                <w:u w:val="single"/>
              </w:rPr>
              <w:t xml:space="preserve">52. výzva Revitalizace vybraných památek II. : </w:t>
            </w:r>
            <w:r w:rsidRPr="00EC2A1C">
              <w:rPr>
                <w:rFonts w:ascii="Times New Roman" w:hAnsi="Times New Roman"/>
              </w:rPr>
              <w:t>Alokace 3,1 mld. Kč, podáno 88 projektů v celkové hodnotě 5,65 mld. Kč, schváleno 43 projektů za 3,08 mld. Kč, 35 projektů za 2,57 mld. Kč zařazeno mezi náhradní projekty.</w:t>
            </w:r>
          </w:p>
          <w:p w14:paraId="53E43184"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u w:val="single"/>
              </w:rPr>
            </w:pPr>
            <w:r w:rsidRPr="00EC2A1C">
              <w:rPr>
                <w:rFonts w:ascii="Times New Roman" w:hAnsi="Times New Roman"/>
                <w:u w:val="single"/>
              </w:rPr>
              <w:t xml:space="preserve">76. výzva Muzea II.: </w:t>
            </w:r>
            <w:r w:rsidRPr="00EC2A1C">
              <w:rPr>
                <w:rFonts w:ascii="Times New Roman" w:hAnsi="Times New Roman"/>
              </w:rPr>
              <w:t>Alokace 900 mil Kč, podáno 46 projektů v celkové hodnotě 2,35 mld. Kč.</w:t>
            </w:r>
          </w:p>
          <w:p w14:paraId="744C74A2"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Z výše uvedené statistiky zřetelně vyplývá, že organizace v sektoru kultury jsou schopny připravit kvalitní projekty, jejichž žádost o podporu splní formální náležitosti, podmínky přijatelnosti i podmínky věcného hodnocení, nicméně z důvodu omezené alokace dané výzvy řídicí orgán rozhodl o jejím zařazení mezi náhradní projekty. Převis poptávky je tak výrazně nad možnostmi současné alokace prostředků v programovém období 2014 – 2020 určených pro oblast kultury.</w:t>
            </w:r>
          </w:p>
          <w:p w14:paraId="34236955" w14:textId="77777777" w:rsidR="00DD3EFA" w:rsidRPr="00EC2A1C" w:rsidRDefault="00DD3EFA" w:rsidP="00B15ECB">
            <w:pPr>
              <w:spacing w:line="276" w:lineRule="auto"/>
            </w:pPr>
            <w:r w:rsidRPr="00EC2A1C">
              <w:t>Obě hlavní výzvy na Revitalizaci vybraných památek I.-II. (13. a 52. výzva) vykazují vysoký zájem žadatelů. Ve 13. výzvě bylo z přidělené alokace EU rozděleno mezi 53 projektů přes 2,8 mld. Kč a v 52. výzvě pak bylo pozitivně ohodnoceno 76 projektů za 4,8 mld. Kč, což je částka výrazně vyšší než stanovená alokace výzvy 3,1 mld. Kč, což jen znovu dokazuje vysokou absorpční kapacitu segmentu kulturního dědictví.</w:t>
            </w:r>
          </w:p>
          <w:p w14:paraId="4D8CACBB" w14:textId="77777777" w:rsidR="00DD3EFA" w:rsidRPr="00EC2A1C" w:rsidRDefault="00DD3EFA" w:rsidP="00B15ECB">
            <w:pPr>
              <w:spacing w:line="276" w:lineRule="auto"/>
            </w:pPr>
          </w:p>
          <w:p w14:paraId="28CB6D62" w14:textId="77777777" w:rsidR="00DD3EFA" w:rsidRPr="00EC2A1C" w:rsidRDefault="00DD3EFA" w:rsidP="00B15ECB">
            <w:pPr>
              <w:spacing w:line="276" w:lineRule="auto"/>
            </w:pPr>
            <w:r w:rsidRPr="00EC2A1C">
              <w:t>Také zájem žadatelů o výzvy na muzea je vysoký, dotace však jsou určeny pouze pro muzea zřízená státem či krajem  a roční návštěvností v průměru za poslední tři roky alespoň 30 tis. Návštěvníků. V první výzvě bylo podpořeno 38 projektů za více než 1,6 mld. Kč, což představuje 77 % alokace výzvy. V druhé navazujícívýzvě zájem značně převýšil alokaci 900 milionů korun. Předloženo bylo 46 projektů za více jak 2,3 miliardy korun z EFRR. Požadavky všech výše uvedených výzev, zejm. na zpracování dokumentací k stavebním akcím, a množství pozitivně ukončených kontrol žádostí, značí dobrou připraveno žadatelů.</w:t>
            </w:r>
          </w:p>
          <w:p w14:paraId="1F300E36" w14:textId="77777777" w:rsidR="00DD3EFA" w:rsidRPr="00EC2A1C" w:rsidRDefault="00DD3EFA" w:rsidP="00B15ECB">
            <w:pPr>
              <w:spacing w:line="276" w:lineRule="auto"/>
            </w:pPr>
          </w:p>
          <w:p w14:paraId="119DFDA5" w14:textId="77777777" w:rsidR="00DD3EFA" w:rsidRPr="00EC2A1C" w:rsidRDefault="00DD3EFA" w:rsidP="00B15ECB">
            <w:pPr>
              <w:spacing w:line="276" w:lineRule="auto"/>
            </w:pPr>
            <w:r w:rsidRPr="00EC2A1C">
              <w:t xml:space="preserve">Kromě IROP jsou pro kulturní dědictví zdrojem i další operační programy. Dlouhodobě je využíván </w:t>
            </w:r>
            <w:r w:rsidRPr="00EC2A1C">
              <w:rPr>
                <w:i/>
              </w:rPr>
              <w:t>Operační program Životní prostředí</w:t>
            </w:r>
            <w:r w:rsidRPr="00EC2A1C">
              <w:t xml:space="preserve"> a to zejména v zámeckých zahradách a parcích, které tvoří nedílnou součást památky a tím i historického dědictví – terénní úpravy, odbahnění, kompostárny, likvidace náletů apod.</w:t>
            </w:r>
          </w:p>
          <w:p w14:paraId="7518561D" w14:textId="77777777" w:rsidR="00DD3EFA" w:rsidRPr="00EC2A1C" w:rsidRDefault="00DD3EFA" w:rsidP="00B15ECB">
            <w:pPr>
              <w:spacing w:line="276" w:lineRule="auto"/>
            </w:pPr>
            <w:r w:rsidRPr="00EC2A1C">
              <w:t xml:space="preserve">Kulturní instituce se aktivně zapojují rovněž do </w:t>
            </w:r>
            <w:r w:rsidRPr="00EC2A1C">
              <w:rPr>
                <w:i/>
              </w:rPr>
              <w:t>Operačních programů Přeshraniční spolupráce</w:t>
            </w:r>
            <w:r w:rsidRPr="00EC2A1C">
              <w:t>, které z podstaty kromě výměny odborných zkušeností významně posilují vazby se sousedními státy.</w:t>
            </w:r>
          </w:p>
          <w:p w14:paraId="41AC990F" w14:textId="77777777" w:rsidR="00DD3EFA" w:rsidRPr="00EC2A1C" w:rsidRDefault="00DD3EFA" w:rsidP="00B15ECB">
            <w:pPr>
              <w:spacing w:line="276" w:lineRule="auto"/>
            </w:pPr>
          </w:p>
          <w:p w14:paraId="1578BE7A"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Využit byl i </w:t>
            </w:r>
            <w:r w:rsidRPr="00EC2A1C">
              <w:rPr>
                <w:rFonts w:ascii="Times New Roman" w:hAnsi="Times New Roman"/>
                <w:i/>
              </w:rPr>
              <w:t>Operační program Zaměstnanost</w:t>
            </w:r>
            <w:r w:rsidRPr="00EC2A1C">
              <w:rPr>
                <w:rFonts w:ascii="Times New Roman" w:hAnsi="Times New Roman"/>
              </w:rPr>
              <w:t xml:space="preserve">, v němž byl úspěšný projekt zaměřený na vnitřní vzdělávání zaměstnanců kulturní instituce (NPÚ) – přestože nejde o „přímou“ podporu movité či nemovité kulturní památky, přínosy projektu představují zkvalitnění péče a poskytovaných služeb. V rámci </w:t>
            </w:r>
            <w:r w:rsidRPr="00EC2A1C">
              <w:rPr>
                <w:rFonts w:ascii="Times New Roman" w:hAnsi="Times New Roman"/>
                <w:i/>
              </w:rPr>
              <w:t>Operačního programu Výzkum, vývoj a vzdělávání</w:t>
            </w:r>
            <w:r w:rsidRPr="00EC2A1C">
              <w:rPr>
                <w:rFonts w:ascii="Times New Roman" w:hAnsi="Times New Roman"/>
              </w:rPr>
              <w:t xml:space="preserve"> byl úspěšný projekt usnadňující zpřístupnění muzejních sbírek zdravotně postiženým žákům (NTM), projekt dále přispívá k propojování formálního a neformálního vzdělávání a dalšímu využívání objektů paměťových institucí k edukační činnosti. </w:t>
            </w:r>
          </w:p>
          <w:p w14:paraId="5430029F" w14:textId="77777777" w:rsidR="00DD3EFA" w:rsidRPr="00EC2A1C" w:rsidRDefault="00DD3EFA" w:rsidP="00B15ECB">
            <w:pPr>
              <w:pStyle w:val="slovanodstavec"/>
              <w:tabs>
                <w:tab w:val="clear" w:pos="567"/>
                <w:tab w:val="left" w:pos="284"/>
              </w:tabs>
              <w:suppressAutoHyphens/>
              <w:spacing w:line="240" w:lineRule="auto"/>
              <w:rPr>
                <w:rFonts w:ascii="Times New Roman" w:hAnsi="Times New Roman"/>
                <w:color w:val="000000"/>
              </w:rPr>
            </w:pPr>
            <w:r w:rsidRPr="00EC2A1C">
              <w:rPr>
                <w:rFonts w:ascii="Times New Roman" w:hAnsi="Times New Roman"/>
                <w:color w:val="000000"/>
              </w:rPr>
              <w:t xml:space="preserve">Pro výstavbu a rozvoj knihoven není k dispozici žádný specifický dotační program. Výzvy určené pro knihovny byly vyhlášeny v rámci IROP, ty však měly svá omezení – zaměření pouze na 13 krajských knihoven. Nastavení priorit strukturálních fondů podporu výstavby knihoven značně limituje či znemožňuje. Důležité je proto do budoucna akcentovat priority stanovené v dokumentech Průmysl 4.0 </w:t>
            </w:r>
            <w:r w:rsidRPr="00EC2A1C">
              <w:rPr>
                <w:rFonts w:ascii="Times New Roman" w:hAnsi="Times New Roman"/>
                <w:color w:val="000000"/>
              </w:rPr>
              <w:br/>
              <w:t>a Společnost 4.0, aby bylo zajištěno dosažení vyváženého rozvoje.</w:t>
            </w:r>
          </w:p>
          <w:p w14:paraId="50E15F5C" w14:textId="77777777" w:rsidR="00DD3EFA" w:rsidRPr="00EC2A1C" w:rsidRDefault="00DD3EFA" w:rsidP="00B15ECB">
            <w:pPr>
              <w:spacing w:line="276" w:lineRule="auto"/>
            </w:pPr>
            <w:r w:rsidRPr="00EC2A1C">
              <w:t>Dosavadní úroveň podpory KKP byla v ČR fragmentovaná, neexistovala komplexní metodická podpora s oporou v průřezovém strategickém materiálu. Tento systémový nedostatek je v aktuálním programovém období 2014 – 2020 řešen v projektu spolufinancovaném z OP Zaměstnanost (Zpracování systému rozvoje a podpory kulturních a</w:t>
            </w:r>
          </w:p>
          <w:p w14:paraId="71141ED7" w14:textId="77777777" w:rsidR="00DD3EFA" w:rsidRPr="00EC2A1C" w:rsidRDefault="00DD3EFA" w:rsidP="00B15ECB">
            <w:pPr>
              <w:spacing w:line="276" w:lineRule="auto"/>
            </w:pPr>
            <w:r w:rsidRPr="00EC2A1C">
              <w:t>kreativních průmyslů MPO, reg. č. CZ.03.4.74/0.0/0.0/15_025/0009160) ve výši cca 22 mil. Kč. Primárním cílem projektu bylo vytvoření komplexního strategického dokumentu, prostřednictvím jehož bude možné implementovat, koordinovat a řídit rozvoj a podporu kulturních a kreativních průmyslů v České republice. Související a nezbytné vzdělávání je nastaveno tak, aby pokrývalo hlavní potřeby projektu a umožnilo všem zapojeným osobám maximálně efektivně prohloubit své dosavadní znalosti a posílit své kompetence při výkonu veřejné správy do budoucna s ohledem na vznik Strategie rozvoje a podpory.</w:t>
            </w:r>
          </w:p>
          <w:p w14:paraId="2BF016D1" w14:textId="77777777" w:rsidR="00DD3EFA" w:rsidRPr="00EC2A1C" w:rsidRDefault="00DD3EFA" w:rsidP="00B15ECB">
            <w:pPr>
              <w:rPr>
                <w:b/>
              </w:rPr>
            </w:pPr>
          </w:p>
        </w:tc>
        <w:tc>
          <w:tcPr>
            <w:tcW w:w="249" w:type="dxa"/>
            <w:tcBorders>
              <w:top w:val="nil"/>
              <w:left w:val="nil"/>
              <w:bottom w:val="nil"/>
            </w:tcBorders>
            <w:shd w:val="clear" w:color="auto" w:fill="66CCFF"/>
          </w:tcPr>
          <w:p w14:paraId="34A81B61" w14:textId="77777777" w:rsidR="00DD3EFA" w:rsidRPr="00EC2A1C" w:rsidRDefault="00DD3EFA" w:rsidP="00B15ECB">
            <w:pPr>
              <w:rPr>
                <w:b/>
              </w:rPr>
            </w:pPr>
          </w:p>
        </w:tc>
      </w:tr>
      <w:tr w:rsidR="00DD3EFA" w:rsidRPr="00EC2A1C" w14:paraId="6A84EF60" w14:textId="77777777" w:rsidTr="00B15ECB">
        <w:trPr>
          <w:trHeight w:val="1258"/>
        </w:trPr>
        <w:tc>
          <w:tcPr>
            <w:tcW w:w="249" w:type="dxa"/>
            <w:tcBorders>
              <w:top w:val="nil"/>
              <w:bottom w:val="nil"/>
              <w:right w:val="nil"/>
            </w:tcBorders>
            <w:shd w:val="clear" w:color="auto" w:fill="66CCFF"/>
          </w:tcPr>
          <w:p w14:paraId="1D1FA0C2" w14:textId="77777777" w:rsidR="00DD3EFA" w:rsidRPr="00EC2A1C" w:rsidRDefault="00DD3EFA" w:rsidP="00B15ECB">
            <w:pPr>
              <w:rPr>
                <w:b/>
              </w:rPr>
            </w:pPr>
          </w:p>
        </w:tc>
        <w:tc>
          <w:tcPr>
            <w:tcW w:w="2548" w:type="dxa"/>
            <w:shd w:val="clear" w:color="auto" w:fill="FFFFFF" w:themeFill="background1"/>
          </w:tcPr>
          <w:p w14:paraId="6167057F" w14:textId="77777777" w:rsidR="00DD3EFA" w:rsidRPr="00EC2A1C" w:rsidRDefault="00DD3EFA" w:rsidP="00B15ECB">
            <w:pPr>
              <w:rPr>
                <w:rFonts w:eastAsiaTheme="majorEastAsia"/>
                <w:b/>
              </w:rPr>
            </w:pPr>
            <w:r w:rsidRPr="00EC2A1C">
              <w:rPr>
                <w:rFonts w:eastAsiaTheme="majorEastAsia"/>
                <w:b/>
              </w:rPr>
              <w:t>Věcný posun oblasti</w:t>
            </w:r>
          </w:p>
          <w:p w14:paraId="484ABCDE"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763C616B"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Veškeré intervence se jeví jako účelné a účinné. Zájem o kulturu a ochranu kulturního dědictví je tématem celoevropské úrovně a odráží se i v českém zájmu a realizovaných aktivitách. O tom svědčí velká poptávka po potřebě takových intervencí. Obnovené, opravené památky, efektivně zhodnocené sbírky muzeí, kvalitní zázemí v knihovnách, to vše přitahuje zájem a pozornost veřejnosti, pro kterou jsou tyto intervence primárně určeny. </w:t>
            </w:r>
          </w:p>
          <w:p w14:paraId="05723EBC"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i/>
              </w:rPr>
            </w:pPr>
            <w:r w:rsidRPr="00EC2A1C">
              <w:rPr>
                <w:rFonts w:ascii="Times New Roman" w:hAnsi="Times New Roman"/>
              </w:rPr>
              <w:t>V dalším programovém období je zájem co nejvíce využít kulturní dědictví pro účely vzdělávací, tedy pro podporu a růst znalostní ekonomiky a efektivním zpřístupněním využívat kulturní dědictví pro podporu synergických efektů v území: rozvoj lokální ekonomiky založené na růstu pracovních míst, inovačního a kreativního potenciálů apod.</w:t>
            </w:r>
          </w:p>
        </w:tc>
        <w:tc>
          <w:tcPr>
            <w:tcW w:w="249" w:type="dxa"/>
            <w:tcBorders>
              <w:top w:val="nil"/>
              <w:left w:val="nil"/>
              <w:bottom w:val="nil"/>
            </w:tcBorders>
            <w:shd w:val="clear" w:color="auto" w:fill="66CCFF"/>
          </w:tcPr>
          <w:p w14:paraId="0ADD6554" w14:textId="77777777" w:rsidR="00DD3EFA" w:rsidRPr="00EC2A1C" w:rsidRDefault="00DD3EFA" w:rsidP="00B15ECB">
            <w:pPr>
              <w:rPr>
                <w:b/>
              </w:rPr>
            </w:pPr>
          </w:p>
        </w:tc>
      </w:tr>
      <w:tr w:rsidR="00DD3EFA" w:rsidRPr="00EC2A1C" w14:paraId="5ACF7329" w14:textId="77777777" w:rsidTr="00B15ECB">
        <w:trPr>
          <w:trHeight w:val="1258"/>
        </w:trPr>
        <w:tc>
          <w:tcPr>
            <w:tcW w:w="249" w:type="dxa"/>
            <w:tcBorders>
              <w:top w:val="nil"/>
              <w:bottom w:val="nil"/>
              <w:right w:val="nil"/>
            </w:tcBorders>
            <w:shd w:val="clear" w:color="auto" w:fill="66CCFF"/>
          </w:tcPr>
          <w:p w14:paraId="08E027FF" w14:textId="77777777" w:rsidR="00DD3EFA" w:rsidRPr="00EC2A1C" w:rsidRDefault="00DD3EFA" w:rsidP="00B15ECB">
            <w:pPr>
              <w:rPr>
                <w:b/>
              </w:rPr>
            </w:pPr>
          </w:p>
        </w:tc>
        <w:tc>
          <w:tcPr>
            <w:tcW w:w="2548" w:type="dxa"/>
            <w:shd w:val="clear" w:color="auto" w:fill="FFFFFF" w:themeFill="background1"/>
          </w:tcPr>
          <w:p w14:paraId="1A6B0741" w14:textId="77777777" w:rsidR="00DD3EFA" w:rsidRPr="00EC2A1C" w:rsidRDefault="00DD3EFA" w:rsidP="00B15ECB">
            <w:pPr>
              <w:rPr>
                <w:rFonts w:eastAsiaTheme="majorEastAsia"/>
                <w:b/>
              </w:rPr>
            </w:pPr>
            <w:r w:rsidRPr="00EC2A1C">
              <w:rPr>
                <w:rFonts w:eastAsiaTheme="majorEastAsia"/>
                <w:b/>
              </w:rPr>
              <w:t>Synergické a multiplikační efekty</w:t>
            </w:r>
          </w:p>
          <w:p w14:paraId="17020323" w14:textId="77777777" w:rsidR="00DD3EFA" w:rsidRPr="00EC2A1C" w:rsidRDefault="00DD3EFA" w:rsidP="00B15ECB">
            <w:pPr>
              <w:rPr>
                <w:rFonts w:eastAsiaTheme="majorEastAsia"/>
                <w:b/>
              </w:rPr>
            </w:pPr>
            <w:r w:rsidRPr="00EC2A1C">
              <w:rPr>
                <w:rFonts w:eastAsiaTheme="majorEastAsia"/>
                <w:b/>
              </w:rPr>
              <w:t>(tj. v období 2014 – 2020, příp. 2007 – 2013)</w:t>
            </w:r>
          </w:p>
        </w:tc>
        <w:tc>
          <w:tcPr>
            <w:tcW w:w="5978" w:type="dxa"/>
            <w:shd w:val="clear" w:color="auto" w:fill="FFFFFF" w:themeFill="background1"/>
          </w:tcPr>
          <w:p w14:paraId="433F03DF"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Ochrana kulturního dědictví s sebou nese řadu synergických a multiplikačních efektů. Jedná se jak o měkké faktory, jako kultivace společnosti, podpora identity, lokálního patriotismu, ale také o ekonomicky měřitelné efekty jako dopady do vzdělávání a tím do znalostní ekonomiky, vznik nových typů pracovních míst a pracovních trhů, podpora firem, nových typů podnikání a generování poptávky po nestandardních pracovních pozicích - diverzifikace trhu, růst aktivit ve stavebnictví apod., to vše s důrazem na udržitelnost. </w:t>
            </w:r>
          </w:p>
          <w:p w14:paraId="638457A7" w14:textId="77777777" w:rsidR="00DD3EFA" w:rsidRPr="00EC2A1C" w:rsidRDefault="00DD3EFA"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Obnova kulturních památek je zajišťována vícezdrojově (finanční programy obcí, krajů, Ministerstva kultury, fondů EÚ, Norských fondů apod.), lze tedy provést akce obnovy u více kulturních památek v kratším časovém období. </w:t>
            </w:r>
          </w:p>
        </w:tc>
        <w:tc>
          <w:tcPr>
            <w:tcW w:w="249" w:type="dxa"/>
            <w:tcBorders>
              <w:top w:val="nil"/>
              <w:left w:val="nil"/>
              <w:bottom w:val="nil"/>
            </w:tcBorders>
            <w:shd w:val="clear" w:color="auto" w:fill="66CCFF"/>
          </w:tcPr>
          <w:p w14:paraId="6723931B" w14:textId="77777777" w:rsidR="00DD3EFA" w:rsidRPr="00EC2A1C" w:rsidRDefault="00DD3EFA" w:rsidP="00B15ECB">
            <w:pPr>
              <w:rPr>
                <w:b/>
              </w:rPr>
            </w:pPr>
          </w:p>
        </w:tc>
      </w:tr>
      <w:tr w:rsidR="00DD3EFA" w:rsidRPr="00EC2A1C" w14:paraId="47B62898" w14:textId="77777777" w:rsidTr="00B15ECB">
        <w:trPr>
          <w:trHeight w:val="180"/>
        </w:trPr>
        <w:tc>
          <w:tcPr>
            <w:tcW w:w="249" w:type="dxa"/>
            <w:tcBorders>
              <w:top w:val="nil"/>
              <w:bottom w:val="nil"/>
              <w:right w:val="nil"/>
            </w:tcBorders>
            <w:shd w:val="clear" w:color="auto" w:fill="66CCFF"/>
          </w:tcPr>
          <w:p w14:paraId="6381CB80" w14:textId="77777777" w:rsidR="00DD3EFA" w:rsidRPr="00EC2A1C" w:rsidRDefault="00DD3EFA" w:rsidP="00B15ECB">
            <w:pPr>
              <w:rPr>
                <w:b/>
              </w:rPr>
            </w:pPr>
          </w:p>
        </w:tc>
        <w:tc>
          <w:tcPr>
            <w:tcW w:w="2548" w:type="dxa"/>
            <w:tcBorders>
              <w:left w:val="nil"/>
              <w:bottom w:val="single" w:sz="4" w:space="0" w:color="auto"/>
              <w:right w:val="nil"/>
            </w:tcBorders>
            <w:shd w:val="clear" w:color="auto" w:fill="66CCFF"/>
          </w:tcPr>
          <w:p w14:paraId="0568E504" w14:textId="77777777" w:rsidR="00DD3EFA" w:rsidRPr="00EC2A1C" w:rsidRDefault="00DD3EFA" w:rsidP="00B15ECB">
            <w:pPr>
              <w:rPr>
                <w:b/>
              </w:rPr>
            </w:pPr>
          </w:p>
        </w:tc>
        <w:tc>
          <w:tcPr>
            <w:tcW w:w="5978" w:type="dxa"/>
            <w:tcBorders>
              <w:left w:val="nil"/>
              <w:bottom w:val="single" w:sz="4" w:space="0" w:color="auto"/>
              <w:right w:val="nil"/>
            </w:tcBorders>
            <w:shd w:val="clear" w:color="auto" w:fill="66CCFF"/>
          </w:tcPr>
          <w:p w14:paraId="24267311" w14:textId="77777777" w:rsidR="00DD3EFA" w:rsidRPr="00EC2A1C" w:rsidRDefault="00DD3EFA" w:rsidP="00B15ECB">
            <w:pPr>
              <w:rPr>
                <w:b/>
              </w:rPr>
            </w:pPr>
          </w:p>
        </w:tc>
        <w:tc>
          <w:tcPr>
            <w:tcW w:w="249" w:type="dxa"/>
            <w:tcBorders>
              <w:top w:val="nil"/>
              <w:left w:val="nil"/>
              <w:bottom w:val="nil"/>
            </w:tcBorders>
            <w:shd w:val="clear" w:color="auto" w:fill="66CCFF"/>
          </w:tcPr>
          <w:p w14:paraId="721917E2" w14:textId="77777777" w:rsidR="00DD3EFA" w:rsidRPr="00EC2A1C" w:rsidRDefault="00DD3EFA" w:rsidP="00B15ECB">
            <w:pPr>
              <w:rPr>
                <w:b/>
              </w:rPr>
            </w:pPr>
          </w:p>
        </w:tc>
      </w:tr>
      <w:tr w:rsidR="00DD3EFA" w:rsidRPr="00EC2A1C" w14:paraId="43140214" w14:textId="77777777" w:rsidTr="00B15ECB">
        <w:trPr>
          <w:trHeight w:val="990"/>
        </w:trPr>
        <w:tc>
          <w:tcPr>
            <w:tcW w:w="249" w:type="dxa"/>
            <w:tcBorders>
              <w:top w:val="nil"/>
              <w:bottom w:val="nil"/>
            </w:tcBorders>
            <w:shd w:val="clear" w:color="auto" w:fill="66CCFF"/>
          </w:tcPr>
          <w:p w14:paraId="324033D9"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6411E37F" w14:textId="77777777" w:rsidR="00DD3EFA" w:rsidRPr="00EC2A1C" w:rsidRDefault="00DD3EFA" w:rsidP="00B15ECB">
            <w:pPr>
              <w:spacing w:before="60" w:after="60"/>
              <w:rPr>
                <w:rFonts w:eastAsiaTheme="majorEastAsia"/>
                <w:b/>
              </w:rPr>
            </w:pPr>
            <w:r w:rsidRPr="00EC2A1C">
              <w:rPr>
                <w:rFonts w:eastAsiaTheme="majorEastAsia"/>
                <w:b/>
              </w:rPr>
              <w:t>Absorpční kapacita</w:t>
            </w:r>
          </w:p>
        </w:tc>
        <w:tc>
          <w:tcPr>
            <w:tcW w:w="5978" w:type="dxa"/>
            <w:tcBorders>
              <w:bottom w:val="single" w:sz="4" w:space="0" w:color="auto"/>
            </w:tcBorders>
            <w:shd w:val="clear" w:color="auto" w:fill="FFFFFF" w:themeFill="background1"/>
          </w:tcPr>
          <w:p w14:paraId="1D516CE9" w14:textId="1E82FBA1" w:rsidR="00DD3EFA" w:rsidRPr="00EC2A1C" w:rsidRDefault="00DD3EFA" w:rsidP="00B15ECB">
            <w:pPr>
              <w:rPr>
                <w:rFonts w:eastAsiaTheme="majorEastAsia"/>
              </w:rPr>
            </w:pPr>
            <w:r w:rsidRPr="00EC2A1C">
              <w:t xml:space="preserve">S ohledem na vyčerpané výzvy a nároky překračující alokace je </w:t>
            </w:r>
            <w:r w:rsidR="00747AAD" w:rsidRPr="00EC2A1C">
              <w:t>absorpční</w:t>
            </w:r>
            <w:r w:rsidRPr="00EC2A1C">
              <w:t xml:space="preserve"> kapacita velká. Řada institucí má projekty připravené z minulých výzev. V rámci KKP je pokrytí téměř nulové a potřeba zázemí je vnímána jako potřebná. Podrobně je popsáno v odstavci </w:t>
            </w:r>
            <w:r w:rsidRPr="00EC2A1C">
              <w:rPr>
                <w:rFonts w:eastAsiaTheme="majorEastAsia"/>
                <w:i/>
              </w:rPr>
              <w:t>Zhodnocení dosavadního využití podpory tematické oblasti z ESIF (tj. v období 2014 – 2020, příp. 2007 – 2013).</w:t>
            </w:r>
          </w:p>
        </w:tc>
        <w:tc>
          <w:tcPr>
            <w:tcW w:w="249" w:type="dxa"/>
            <w:tcBorders>
              <w:top w:val="nil"/>
              <w:bottom w:val="nil"/>
            </w:tcBorders>
            <w:shd w:val="clear" w:color="auto" w:fill="66CCFF"/>
          </w:tcPr>
          <w:p w14:paraId="57CBDE17" w14:textId="77777777" w:rsidR="00DD3EFA" w:rsidRPr="00EC2A1C" w:rsidRDefault="00DD3EFA" w:rsidP="00B15ECB">
            <w:pPr>
              <w:rPr>
                <w:b/>
              </w:rPr>
            </w:pPr>
          </w:p>
        </w:tc>
      </w:tr>
      <w:tr w:rsidR="00DD3EFA" w:rsidRPr="00EC2A1C" w14:paraId="4FA1B759" w14:textId="77777777" w:rsidTr="00B15ECB">
        <w:trPr>
          <w:trHeight w:val="1260"/>
        </w:trPr>
        <w:tc>
          <w:tcPr>
            <w:tcW w:w="249" w:type="dxa"/>
            <w:tcBorders>
              <w:top w:val="nil"/>
              <w:bottom w:val="nil"/>
            </w:tcBorders>
            <w:shd w:val="clear" w:color="auto" w:fill="66CCFF"/>
          </w:tcPr>
          <w:p w14:paraId="71A09E6B"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9EA50F4"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5978" w:type="dxa"/>
            <w:tcBorders>
              <w:bottom w:val="single" w:sz="4" w:space="0" w:color="auto"/>
            </w:tcBorders>
            <w:shd w:val="clear" w:color="auto" w:fill="FFFFFF" w:themeFill="background1"/>
          </w:tcPr>
          <w:p w14:paraId="6D3071A3" w14:textId="77777777" w:rsidR="00DD3EFA" w:rsidRPr="00EC2A1C" w:rsidRDefault="00DD3EFA" w:rsidP="00B15ECB">
            <w:pPr>
              <w:spacing w:before="60" w:after="60"/>
              <w:rPr>
                <w:rFonts w:eastAsiaTheme="majorEastAsia"/>
              </w:rPr>
            </w:pPr>
            <w:r w:rsidRPr="00EC2A1C">
              <w:rPr>
                <w:rFonts w:eastAsiaTheme="majorEastAsia"/>
              </w:rPr>
              <w:t>Popsáno podrobně v odstavci Zhodnocení dosavadního využití podpory tematické oblasti z ESIF (tj. v období 2014 – 2020, příp. 2007 – 2013).</w:t>
            </w:r>
          </w:p>
        </w:tc>
        <w:tc>
          <w:tcPr>
            <w:tcW w:w="249" w:type="dxa"/>
            <w:tcBorders>
              <w:top w:val="nil"/>
              <w:bottom w:val="nil"/>
            </w:tcBorders>
            <w:shd w:val="clear" w:color="auto" w:fill="66CCFF"/>
          </w:tcPr>
          <w:p w14:paraId="7684619D" w14:textId="77777777" w:rsidR="00DD3EFA" w:rsidRPr="00EC2A1C" w:rsidRDefault="00DD3EFA" w:rsidP="00B15ECB">
            <w:pPr>
              <w:rPr>
                <w:b/>
              </w:rPr>
            </w:pPr>
          </w:p>
        </w:tc>
      </w:tr>
      <w:tr w:rsidR="00DD3EFA" w:rsidRPr="00EC2A1C" w14:paraId="229D50F1" w14:textId="77777777" w:rsidTr="00B15ECB">
        <w:trPr>
          <w:trHeight w:val="850"/>
        </w:trPr>
        <w:tc>
          <w:tcPr>
            <w:tcW w:w="249" w:type="dxa"/>
            <w:tcBorders>
              <w:top w:val="nil"/>
              <w:bottom w:val="nil"/>
            </w:tcBorders>
            <w:shd w:val="clear" w:color="auto" w:fill="66CCFF"/>
          </w:tcPr>
          <w:p w14:paraId="0A03C028"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4CEF6472"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5978" w:type="dxa"/>
            <w:tcBorders>
              <w:bottom w:val="single" w:sz="4" w:space="0" w:color="auto"/>
            </w:tcBorders>
            <w:shd w:val="clear" w:color="auto" w:fill="FFFFFF" w:themeFill="background1"/>
          </w:tcPr>
          <w:p w14:paraId="16ED3FCF" w14:textId="77777777" w:rsidR="00DD3EFA" w:rsidRPr="00EC2A1C" w:rsidRDefault="00DD3EFA" w:rsidP="00B15ECB">
            <w:pPr>
              <w:spacing w:before="60" w:after="60"/>
              <w:rPr>
                <w:rFonts w:eastAsiaTheme="majorEastAsia"/>
              </w:rPr>
            </w:pPr>
            <w:r w:rsidRPr="00EC2A1C">
              <w:rPr>
                <w:rFonts w:eastAsiaTheme="majorEastAsia"/>
              </w:rPr>
              <w:t>Popsáno podrobně v odstavci Zhodnocení dosavadního využití podpory tematické oblasti z ESIF (tj. v období 2014 – 2020, příp. 2007 – 2013).</w:t>
            </w:r>
          </w:p>
        </w:tc>
        <w:tc>
          <w:tcPr>
            <w:tcW w:w="249" w:type="dxa"/>
            <w:tcBorders>
              <w:top w:val="nil"/>
              <w:bottom w:val="nil"/>
            </w:tcBorders>
            <w:shd w:val="clear" w:color="auto" w:fill="66CCFF"/>
          </w:tcPr>
          <w:p w14:paraId="26B5AC3C" w14:textId="77777777" w:rsidR="00DD3EFA" w:rsidRPr="00EC2A1C" w:rsidRDefault="00DD3EFA" w:rsidP="00B15ECB">
            <w:pPr>
              <w:rPr>
                <w:b/>
              </w:rPr>
            </w:pPr>
          </w:p>
        </w:tc>
      </w:tr>
      <w:tr w:rsidR="00DD3EFA" w:rsidRPr="00EC2A1C" w14:paraId="7FD6AE46" w14:textId="77777777" w:rsidTr="00B15ECB">
        <w:trPr>
          <w:trHeight w:val="925"/>
        </w:trPr>
        <w:tc>
          <w:tcPr>
            <w:tcW w:w="249" w:type="dxa"/>
            <w:tcBorders>
              <w:top w:val="nil"/>
              <w:bottom w:val="nil"/>
            </w:tcBorders>
            <w:shd w:val="clear" w:color="auto" w:fill="66CCFF"/>
          </w:tcPr>
          <w:p w14:paraId="0836EA8C"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3DD0AACA"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5978" w:type="dxa"/>
            <w:tcBorders>
              <w:bottom w:val="single" w:sz="4" w:space="0" w:color="auto"/>
            </w:tcBorders>
            <w:shd w:val="clear" w:color="auto" w:fill="FFFFFF" w:themeFill="background1"/>
          </w:tcPr>
          <w:p w14:paraId="0934EE7D" w14:textId="77777777" w:rsidR="00DD3EFA" w:rsidRPr="00EC2A1C" w:rsidRDefault="00DD3EFA" w:rsidP="00B15ECB">
            <w:pPr>
              <w:spacing w:before="60" w:after="60"/>
              <w:rPr>
                <w:rFonts w:eastAsiaTheme="majorEastAsia"/>
              </w:rPr>
            </w:pPr>
            <w:r w:rsidRPr="00EC2A1C">
              <w:rPr>
                <w:rFonts w:eastAsiaTheme="majorEastAsia"/>
              </w:rPr>
              <w:t>Popsáno podrobně v odstavci Zhodnocení dosavadního využití podpory tematické oblasti z ESIF (tj. v období 2014 – 2020, příp. 2007 – 2013).</w:t>
            </w:r>
          </w:p>
        </w:tc>
        <w:tc>
          <w:tcPr>
            <w:tcW w:w="249" w:type="dxa"/>
            <w:tcBorders>
              <w:top w:val="nil"/>
              <w:bottom w:val="nil"/>
            </w:tcBorders>
            <w:shd w:val="clear" w:color="auto" w:fill="66CCFF"/>
          </w:tcPr>
          <w:p w14:paraId="4EADE27D" w14:textId="77777777" w:rsidR="00DD3EFA" w:rsidRPr="00EC2A1C" w:rsidRDefault="00DD3EFA" w:rsidP="00B15ECB">
            <w:pPr>
              <w:rPr>
                <w:b/>
              </w:rPr>
            </w:pPr>
          </w:p>
        </w:tc>
      </w:tr>
      <w:tr w:rsidR="00DD3EFA" w:rsidRPr="00EC2A1C" w14:paraId="750FF601" w14:textId="77777777" w:rsidTr="00B15ECB">
        <w:trPr>
          <w:trHeight w:val="1001"/>
        </w:trPr>
        <w:tc>
          <w:tcPr>
            <w:tcW w:w="249" w:type="dxa"/>
            <w:tcBorders>
              <w:top w:val="nil"/>
              <w:bottom w:val="nil"/>
            </w:tcBorders>
            <w:shd w:val="clear" w:color="auto" w:fill="66CCFF"/>
          </w:tcPr>
          <w:p w14:paraId="69E89D9A" w14:textId="77777777" w:rsidR="00DD3EFA" w:rsidRPr="00EC2A1C" w:rsidRDefault="00DD3EFA" w:rsidP="00B15ECB">
            <w:pPr>
              <w:rPr>
                <w:b/>
              </w:rPr>
            </w:pPr>
          </w:p>
        </w:tc>
        <w:tc>
          <w:tcPr>
            <w:tcW w:w="2548" w:type="dxa"/>
            <w:tcBorders>
              <w:bottom w:val="single" w:sz="4" w:space="0" w:color="auto"/>
            </w:tcBorders>
            <w:shd w:val="clear" w:color="auto" w:fill="FFFFFF" w:themeFill="background1"/>
          </w:tcPr>
          <w:p w14:paraId="1BF3059F" w14:textId="77777777" w:rsidR="00DD3EFA" w:rsidRPr="00EC2A1C" w:rsidRDefault="00DD3EFA"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5978" w:type="dxa"/>
            <w:tcBorders>
              <w:bottom w:val="single" w:sz="4" w:space="0" w:color="auto"/>
            </w:tcBorders>
            <w:shd w:val="clear" w:color="auto" w:fill="FFFFFF" w:themeFill="background1"/>
          </w:tcPr>
          <w:p w14:paraId="552B7515"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Nedostatenčný rozpočet intervence</w:t>
            </w:r>
          </w:p>
          <w:p w14:paraId="7F379C0A"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Složitá administrativa a proces podávání žádostí</w:t>
            </w:r>
          </w:p>
          <w:p w14:paraId="136A1DAD"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Nejasně nastavená kritéria</w:t>
            </w:r>
          </w:p>
          <w:p w14:paraId="69013B01"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Nedostatek komunikace</w:t>
            </w:r>
          </w:p>
          <w:p w14:paraId="6F41884D"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Ekonomická krize</w:t>
            </w:r>
          </w:p>
          <w:p w14:paraId="4016E43D"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Nedostatečné prováděcí kapacity (nedostatek specializovaných odborníků – restaurátoři KP, řemeslníci atp., ale také běžných stavebních firem);</w:t>
            </w:r>
          </w:p>
          <w:p w14:paraId="493ED226" w14:textId="77777777" w:rsidR="00DD3EFA" w:rsidRPr="00EC2A1C" w:rsidRDefault="00DD3EFA" w:rsidP="00391907">
            <w:pPr>
              <w:pStyle w:val="Odstavecseseznamem"/>
              <w:numPr>
                <w:ilvl w:val="0"/>
                <w:numId w:val="133"/>
              </w:numPr>
              <w:spacing w:before="60" w:after="60"/>
              <w:rPr>
                <w:rFonts w:eastAsiaTheme="majorEastAsia"/>
              </w:rPr>
            </w:pPr>
            <w:r w:rsidRPr="00EC2A1C">
              <w:rPr>
                <w:rFonts w:eastAsiaTheme="majorEastAsia"/>
              </w:rPr>
              <w:t>Žadatelé o poskytnutí finančního příspěvku na obnovu kulturní památky jsou limitováni svými finančními možnostmi v rámci povinné finanční spoluúčasti;</w:t>
            </w:r>
          </w:p>
          <w:p w14:paraId="0A10DB6B" w14:textId="77777777" w:rsidR="00DD3EFA" w:rsidRPr="00EC2A1C" w:rsidRDefault="00DD3EFA" w:rsidP="00391907">
            <w:pPr>
              <w:pStyle w:val="Odstavecseseznamem"/>
              <w:numPr>
                <w:ilvl w:val="0"/>
                <w:numId w:val="133"/>
              </w:numPr>
              <w:spacing w:before="60" w:after="60"/>
              <w:rPr>
                <w:rFonts w:eastAsiaTheme="majorEastAsia"/>
                <w:i/>
              </w:rPr>
            </w:pPr>
            <w:r w:rsidRPr="00EC2A1C">
              <w:rPr>
                <w:rFonts w:eastAsiaTheme="majorEastAsia"/>
              </w:rPr>
              <w:t>Žadatelé o poskytnutí finančního příspěvku na obnovu kulturní památky jsou limitováni stupňem připravenosti realizace akce obnovy (závazné stanovisko, stavební povolení apod.).</w:t>
            </w:r>
          </w:p>
        </w:tc>
        <w:tc>
          <w:tcPr>
            <w:tcW w:w="249" w:type="dxa"/>
            <w:tcBorders>
              <w:top w:val="nil"/>
              <w:bottom w:val="nil"/>
            </w:tcBorders>
            <w:shd w:val="clear" w:color="auto" w:fill="66CCFF"/>
          </w:tcPr>
          <w:p w14:paraId="43BE42A8" w14:textId="77777777" w:rsidR="00DD3EFA" w:rsidRPr="00EC2A1C" w:rsidRDefault="00DD3EFA" w:rsidP="00B15ECB">
            <w:pPr>
              <w:rPr>
                <w:b/>
              </w:rPr>
            </w:pPr>
          </w:p>
        </w:tc>
      </w:tr>
      <w:tr w:rsidR="00DD3EFA" w:rsidRPr="00EC2A1C" w14:paraId="37EAD978" w14:textId="77777777" w:rsidTr="00B15ECB">
        <w:trPr>
          <w:trHeight w:val="613"/>
        </w:trPr>
        <w:tc>
          <w:tcPr>
            <w:tcW w:w="249" w:type="dxa"/>
            <w:tcBorders>
              <w:top w:val="nil"/>
              <w:left w:val="single" w:sz="4" w:space="0" w:color="auto"/>
              <w:bottom w:val="single" w:sz="4" w:space="0" w:color="auto"/>
              <w:right w:val="nil"/>
            </w:tcBorders>
            <w:shd w:val="clear" w:color="auto" w:fill="66CCFF"/>
          </w:tcPr>
          <w:p w14:paraId="005D6F71" w14:textId="77777777" w:rsidR="00DD3EFA" w:rsidRPr="00EC2A1C" w:rsidRDefault="00DD3EFA" w:rsidP="00B15ECB">
            <w:pPr>
              <w:rPr>
                <w:b/>
              </w:rPr>
            </w:pPr>
          </w:p>
        </w:tc>
        <w:tc>
          <w:tcPr>
            <w:tcW w:w="2548" w:type="dxa"/>
            <w:tcBorders>
              <w:top w:val="single" w:sz="4" w:space="0" w:color="auto"/>
              <w:left w:val="nil"/>
              <w:bottom w:val="single" w:sz="4" w:space="0" w:color="auto"/>
              <w:right w:val="nil"/>
            </w:tcBorders>
            <w:shd w:val="clear" w:color="auto" w:fill="66CCFF"/>
          </w:tcPr>
          <w:p w14:paraId="1B88E4E5" w14:textId="77777777" w:rsidR="00DD3EFA" w:rsidRPr="00EC2A1C" w:rsidRDefault="00DD3EFA" w:rsidP="00B15ECB">
            <w:pPr>
              <w:spacing w:before="60" w:after="60"/>
              <w:rPr>
                <w:rFonts w:eastAsiaTheme="majorEastAsia"/>
                <w:b/>
              </w:rPr>
            </w:pPr>
          </w:p>
        </w:tc>
        <w:tc>
          <w:tcPr>
            <w:tcW w:w="5978" w:type="dxa"/>
            <w:tcBorders>
              <w:top w:val="single" w:sz="4" w:space="0" w:color="auto"/>
              <w:left w:val="nil"/>
              <w:bottom w:val="single" w:sz="4" w:space="0" w:color="auto"/>
              <w:right w:val="nil"/>
            </w:tcBorders>
            <w:shd w:val="clear" w:color="auto" w:fill="66CCFF"/>
          </w:tcPr>
          <w:p w14:paraId="6DC1EA6D" w14:textId="77777777" w:rsidR="00DD3EFA" w:rsidRPr="00EC2A1C" w:rsidRDefault="00DD3EFA" w:rsidP="00B15ECB">
            <w:pPr>
              <w:spacing w:before="60" w:after="60"/>
              <w:rPr>
                <w:rFonts w:eastAsiaTheme="majorEastAsia"/>
                <w:i/>
              </w:rPr>
            </w:pPr>
          </w:p>
        </w:tc>
        <w:tc>
          <w:tcPr>
            <w:tcW w:w="249" w:type="dxa"/>
            <w:tcBorders>
              <w:top w:val="nil"/>
              <w:left w:val="nil"/>
              <w:bottom w:val="single" w:sz="4" w:space="0" w:color="auto"/>
              <w:right w:val="single" w:sz="4" w:space="0" w:color="auto"/>
            </w:tcBorders>
            <w:shd w:val="clear" w:color="auto" w:fill="66CCFF"/>
          </w:tcPr>
          <w:p w14:paraId="434B3987" w14:textId="77777777" w:rsidR="00DD3EFA" w:rsidRPr="00EC2A1C" w:rsidRDefault="00DD3EFA" w:rsidP="00B15ECB">
            <w:pPr>
              <w:rPr>
                <w:b/>
              </w:rPr>
            </w:pPr>
          </w:p>
        </w:tc>
      </w:tr>
      <w:tr w:rsidR="00DD3EFA" w:rsidRPr="00EC2A1C" w14:paraId="7AAD2FC5" w14:textId="77777777" w:rsidTr="00B15ECB">
        <w:trPr>
          <w:trHeight w:val="1968"/>
        </w:trPr>
        <w:tc>
          <w:tcPr>
            <w:tcW w:w="249" w:type="dxa"/>
            <w:tcBorders>
              <w:top w:val="single" w:sz="4" w:space="0" w:color="auto"/>
              <w:bottom w:val="nil"/>
            </w:tcBorders>
            <w:shd w:val="clear" w:color="auto" w:fill="66CCFF"/>
          </w:tcPr>
          <w:p w14:paraId="47A599E0" w14:textId="77777777" w:rsidR="00DD3EFA" w:rsidRPr="00EC2A1C" w:rsidRDefault="00DD3EFA" w:rsidP="00B15ECB">
            <w:pPr>
              <w:rPr>
                <w:b/>
              </w:rPr>
            </w:pPr>
          </w:p>
        </w:tc>
        <w:tc>
          <w:tcPr>
            <w:tcW w:w="2548" w:type="dxa"/>
            <w:tcBorders>
              <w:top w:val="single" w:sz="4" w:space="0" w:color="auto"/>
            </w:tcBorders>
            <w:shd w:val="clear" w:color="auto" w:fill="FFFFFF" w:themeFill="background1"/>
          </w:tcPr>
          <w:p w14:paraId="370CF294" w14:textId="77777777" w:rsidR="00DD3EFA" w:rsidRPr="00EC2A1C" w:rsidRDefault="00DD3EFA" w:rsidP="00B15ECB">
            <w:pPr>
              <w:spacing w:before="60" w:after="60"/>
              <w:rPr>
                <w:rFonts w:eastAsiaTheme="majorEastAsia"/>
                <w:b/>
              </w:rPr>
            </w:pPr>
            <w:r w:rsidRPr="00EC2A1C">
              <w:rPr>
                <w:rFonts w:eastAsiaTheme="majorEastAsia"/>
                <w:b/>
              </w:rPr>
              <w:t>Alternativní zdroje</w:t>
            </w:r>
          </w:p>
        </w:tc>
        <w:tc>
          <w:tcPr>
            <w:tcW w:w="5978" w:type="dxa"/>
            <w:tcBorders>
              <w:top w:val="single" w:sz="4" w:space="0" w:color="auto"/>
            </w:tcBorders>
            <w:shd w:val="clear" w:color="auto" w:fill="FFFFFF" w:themeFill="background1"/>
          </w:tcPr>
          <w:p w14:paraId="06C2E732" w14:textId="77777777" w:rsidR="00DD3EFA" w:rsidRPr="00EC2A1C" w:rsidRDefault="00DD3EFA" w:rsidP="00B15ECB">
            <w:pPr>
              <w:spacing w:before="60" w:after="60"/>
              <w:rPr>
                <w:rFonts w:eastAsiaTheme="majorEastAsia"/>
                <w:u w:val="single"/>
              </w:rPr>
            </w:pPr>
            <w:r w:rsidRPr="00EC2A1C">
              <w:t>Kromě státního rozpočtu a uvědomělých mecenášů patrně další možnosti neexistují.</w:t>
            </w:r>
          </w:p>
        </w:tc>
        <w:tc>
          <w:tcPr>
            <w:tcW w:w="249" w:type="dxa"/>
            <w:tcBorders>
              <w:top w:val="single" w:sz="4" w:space="0" w:color="auto"/>
              <w:bottom w:val="nil"/>
            </w:tcBorders>
            <w:shd w:val="clear" w:color="auto" w:fill="66CCFF"/>
          </w:tcPr>
          <w:p w14:paraId="7E2C0AF4" w14:textId="77777777" w:rsidR="00DD3EFA" w:rsidRPr="00EC2A1C" w:rsidRDefault="00DD3EFA" w:rsidP="00B15ECB">
            <w:pPr>
              <w:rPr>
                <w:b/>
              </w:rPr>
            </w:pPr>
          </w:p>
        </w:tc>
      </w:tr>
      <w:tr w:rsidR="00DD3EFA" w:rsidRPr="00EC2A1C" w14:paraId="0007EEC1" w14:textId="77777777" w:rsidTr="00B15ECB">
        <w:trPr>
          <w:trHeight w:val="1968"/>
        </w:trPr>
        <w:tc>
          <w:tcPr>
            <w:tcW w:w="249" w:type="dxa"/>
            <w:tcBorders>
              <w:top w:val="nil"/>
              <w:bottom w:val="nil"/>
            </w:tcBorders>
            <w:shd w:val="clear" w:color="auto" w:fill="66CCFF"/>
          </w:tcPr>
          <w:p w14:paraId="610E7F97" w14:textId="77777777" w:rsidR="00DD3EFA" w:rsidRPr="00EC2A1C" w:rsidRDefault="00DD3EFA" w:rsidP="00B15ECB">
            <w:pPr>
              <w:rPr>
                <w:b/>
              </w:rPr>
            </w:pPr>
          </w:p>
        </w:tc>
        <w:tc>
          <w:tcPr>
            <w:tcW w:w="2548" w:type="dxa"/>
            <w:tcBorders>
              <w:top w:val="nil"/>
            </w:tcBorders>
            <w:shd w:val="clear" w:color="auto" w:fill="FFFFFF" w:themeFill="background1"/>
          </w:tcPr>
          <w:p w14:paraId="0441BAC5" w14:textId="77777777" w:rsidR="00DD3EFA" w:rsidRPr="00EC2A1C" w:rsidRDefault="00DD3EFA" w:rsidP="00391907">
            <w:pPr>
              <w:pStyle w:val="Odstavecseseznamem"/>
              <w:numPr>
                <w:ilvl w:val="0"/>
                <w:numId w:val="62"/>
              </w:numPr>
              <w:tabs>
                <w:tab w:val="left" w:pos="301"/>
              </w:tabs>
              <w:spacing w:before="60" w:after="60"/>
              <w:ind w:left="0" w:firstLine="0"/>
              <w:rPr>
                <w:rFonts w:eastAsiaTheme="majorEastAsia"/>
                <w:b/>
              </w:rPr>
            </w:pPr>
            <w:r w:rsidRPr="00EC2A1C">
              <w:rPr>
                <w:rFonts w:eastAsiaTheme="majorEastAsia"/>
                <w:b/>
              </w:rPr>
              <w:t>Unijní programy</w:t>
            </w:r>
          </w:p>
        </w:tc>
        <w:tc>
          <w:tcPr>
            <w:tcW w:w="5978" w:type="dxa"/>
            <w:tcBorders>
              <w:top w:val="nil"/>
            </w:tcBorders>
            <w:shd w:val="clear" w:color="auto" w:fill="FFFFFF" w:themeFill="background1"/>
          </w:tcPr>
          <w:p w14:paraId="68A6D528" w14:textId="77777777" w:rsidR="00DD3EFA" w:rsidRPr="00EC2A1C" w:rsidRDefault="00DD3EFA" w:rsidP="00B15ECB">
            <w:pPr>
              <w:spacing w:before="60" w:after="60"/>
              <w:rPr>
                <w:rFonts w:eastAsiaTheme="majorEastAsia"/>
                <w:i/>
              </w:rPr>
            </w:pPr>
            <w:r w:rsidRPr="00EC2A1C">
              <w:t>Evropská komise plánuje alokovat na KKO v příštím programovém období částku 1,85 miliard EUR, s tím, že Evropský parlament se pokusí o zdvojnásobení tohoto rozpočtu. Plánuje uvolnit financování pro KKO mimo jiné do programů InvestEU nebo Horizon a programů přeshraniční spolupráce. Z těchto programů bude možné čerpat finanční prostředky na kulturu, stejně jako z programu Kreativní Evropa a Erasmus+.</w:t>
            </w:r>
          </w:p>
        </w:tc>
        <w:tc>
          <w:tcPr>
            <w:tcW w:w="249" w:type="dxa"/>
            <w:tcBorders>
              <w:top w:val="nil"/>
              <w:bottom w:val="nil"/>
            </w:tcBorders>
            <w:shd w:val="clear" w:color="auto" w:fill="66CCFF"/>
          </w:tcPr>
          <w:p w14:paraId="634C4535" w14:textId="77777777" w:rsidR="00DD3EFA" w:rsidRPr="00EC2A1C" w:rsidRDefault="00DD3EFA" w:rsidP="00B15ECB">
            <w:pPr>
              <w:rPr>
                <w:b/>
              </w:rPr>
            </w:pPr>
          </w:p>
        </w:tc>
      </w:tr>
      <w:tr w:rsidR="00DD3EFA" w:rsidRPr="00EC2A1C" w14:paraId="5E5F2D4B" w14:textId="77777777" w:rsidTr="00B15ECB">
        <w:trPr>
          <w:trHeight w:val="1968"/>
        </w:trPr>
        <w:tc>
          <w:tcPr>
            <w:tcW w:w="249" w:type="dxa"/>
            <w:tcBorders>
              <w:top w:val="nil"/>
              <w:bottom w:val="nil"/>
            </w:tcBorders>
            <w:shd w:val="clear" w:color="auto" w:fill="66CCFF"/>
          </w:tcPr>
          <w:p w14:paraId="4B5F1630" w14:textId="77777777" w:rsidR="00DD3EFA" w:rsidRPr="00EC2A1C" w:rsidRDefault="00DD3EFA" w:rsidP="00B15ECB">
            <w:pPr>
              <w:rPr>
                <w:b/>
              </w:rPr>
            </w:pPr>
          </w:p>
        </w:tc>
        <w:tc>
          <w:tcPr>
            <w:tcW w:w="2548" w:type="dxa"/>
            <w:tcBorders>
              <w:top w:val="nil"/>
            </w:tcBorders>
            <w:shd w:val="clear" w:color="auto" w:fill="FFFFFF" w:themeFill="background1"/>
          </w:tcPr>
          <w:p w14:paraId="19E3127F" w14:textId="77777777" w:rsidR="00DD3EFA" w:rsidRPr="00EC2A1C" w:rsidRDefault="00DD3EFA" w:rsidP="00391907">
            <w:pPr>
              <w:pStyle w:val="Odstavecseseznamem"/>
              <w:numPr>
                <w:ilvl w:val="0"/>
                <w:numId w:val="62"/>
              </w:numPr>
              <w:tabs>
                <w:tab w:val="left" w:pos="326"/>
              </w:tabs>
              <w:spacing w:before="60" w:after="60"/>
              <w:ind w:left="0" w:firstLine="0"/>
              <w:rPr>
                <w:rFonts w:eastAsiaTheme="majorEastAsia"/>
                <w:b/>
              </w:rPr>
            </w:pPr>
            <w:r w:rsidRPr="00EC2A1C">
              <w:rPr>
                <w:rFonts w:eastAsiaTheme="majorEastAsia"/>
                <w:b/>
              </w:rPr>
              <w:t>Státní rozpočet a další národní zdroje</w:t>
            </w:r>
          </w:p>
        </w:tc>
        <w:tc>
          <w:tcPr>
            <w:tcW w:w="5978" w:type="dxa"/>
            <w:tcBorders>
              <w:top w:val="nil"/>
            </w:tcBorders>
            <w:shd w:val="clear" w:color="auto" w:fill="FFFFFF" w:themeFill="background1"/>
          </w:tcPr>
          <w:p w14:paraId="37495832" w14:textId="77777777" w:rsidR="00DD3EFA" w:rsidRPr="00EC2A1C" w:rsidRDefault="00DD3EFA" w:rsidP="00B15ECB">
            <w:pPr>
              <w:rPr>
                <w:u w:val="single"/>
              </w:rPr>
            </w:pPr>
            <w:r w:rsidRPr="00EC2A1C">
              <w:rPr>
                <w:u w:val="single"/>
              </w:rPr>
              <w:t>Finanční prostředky ze státního rozpočtu:</w:t>
            </w:r>
          </w:p>
          <w:p w14:paraId="13C949A3" w14:textId="77777777" w:rsidR="00DD3EFA" w:rsidRPr="00EC2A1C" w:rsidRDefault="00DD3EFA" w:rsidP="00B15ECB">
            <w:r w:rsidRPr="00EC2A1C">
              <w:t xml:space="preserve">Ochrana, rozvoj a podpora kulturního dědictví je primárně financována z prostředků státního rozpočtu prostřednictvím programů MK, mezi významné lze zařadit např.: </w:t>
            </w:r>
          </w:p>
          <w:p w14:paraId="2C1AB308" w14:textId="77777777" w:rsidR="00DD3EFA" w:rsidRPr="00EC2A1C" w:rsidRDefault="00DD3EFA" w:rsidP="00B15ECB">
            <w:pPr>
              <w:widowControl w:val="0"/>
            </w:pPr>
          </w:p>
          <w:p w14:paraId="1752F1F5" w14:textId="77777777" w:rsidR="00DD3EFA" w:rsidRPr="00EC2A1C" w:rsidRDefault="00DD3EFA" w:rsidP="00391907">
            <w:pPr>
              <w:pStyle w:val="Odstavecseseznamem"/>
              <w:numPr>
                <w:ilvl w:val="0"/>
                <w:numId w:val="135"/>
              </w:numPr>
              <w:tabs>
                <w:tab w:val="right" w:pos="9072"/>
              </w:tabs>
              <w:ind w:left="1177" w:hanging="425"/>
              <w:jc w:val="both"/>
              <w:rPr>
                <w:bCs/>
              </w:rPr>
            </w:pPr>
            <w:r w:rsidRPr="00EC2A1C">
              <w:rPr>
                <w:bCs/>
              </w:rPr>
              <w:t xml:space="preserve">„Akviziční fond“ </w:t>
            </w:r>
          </w:p>
          <w:p w14:paraId="6418F262" w14:textId="77777777" w:rsidR="00DD3EFA" w:rsidRPr="00EC2A1C" w:rsidRDefault="00DD3EFA" w:rsidP="00391907">
            <w:pPr>
              <w:pStyle w:val="Odstavecseseznamem"/>
              <w:numPr>
                <w:ilvl w:val="0"/>
                <w:numId w:val="135"/>
              </w:numPr>
              <w:tabs>
                <w:tab w:val="right" w:pos="9072"/>
              </w:tabs>
              <w:ind w:left="1177" w:hanging="425"/>
              <w:jc w:val="both"/>
              <w:rPr>
                <w:bCs/>
              </w:rPr>
            </w:pPr>
            <w:r w:rsidRPr="00EC2A1C">
              <w:t>„Podpora výchovně vzdělávacích aktivit v muzejnictví“</w:t>
            </w:r>
          </w:p>
          <w:p w14:paraId="2C178427" w14:textId="77777777" w:rsidR="00DD3EFA" w:rsidRPr="00EC2A1C" w:rsidRDefault="00DD3EFA" w:rsidP="00391907">
            <w:pPr>
              <w:pStyle w:val="Odstavecseseznamem"/>
              <w:numPr>
                <w:ilvl w:val="0"/>
                <w:numId w:val="135"/>
              </w:numPr>
              <w:tabs>
                <w:tab w:val="right" w:pos="9072"/>
              </w:tabs>
              <w:ind w:left="1177" w:hanging="425"/>
              <w:jc w:val="both"/>
              <w:rPr>
                <w:bCs/>
              </w:rPr>
            </w:pPr>
            <w:r w:rsidRPr="00EC2A1C">
              <w:t>Podpora tradiční lidové kultury</w:t>
            </w:r>
          </w:p>
          <w:p w14:paraId="1D358AE3" w14:textId="77777777" w:rsidR="00DD3EFA" w:rsidRPr="00EC2A1C" w:rsidRDefault="00DD3EFA" w:rsidP="00391907">
            <w:pPr>
              <w:pStyle w:val="Odstavecseseznamem"/>
              <w:numPr>
                <w:ilvl w:val="0"/>
                <w:numId w:val="135"/>
              </w:numPr>
              <w:tabs>
                <w:tab w:val="right" w:pos="9072"/>
              </w:tabs>
              <w:ind w:left="1177" w:hanging="425"/>
              <w:jc w:val="both"/>
              <w:rPr>
                <w:bCs/>
              </w:rPr>
            </w:pPr>
            <w:r w:rsidRPr="00EC2A1C">
              <w:t xml:space="preserve">Podpora regionálních kulturních tradic  </w:t>
            </w:r>
          </w:p>
          <w:p w14:paraId="2A1DDB37" w14:textId="77777777" w:rsidR="00DD3EFA" w:rsidRPr="00EC2A1C" w:rsidRDefault="00DD3EFA" w:rsidP="00391907">
            <w:pPr>
              <w:pStyle w:val="Odstavecseseznamem"/>
              <w:numPr>
                <w:ilvl w:val="0"/>
                <w:numId w:val="135"/>
              </w:numPr>
              <w:ind w:left="1177" w:hanging="425"/>
              <w:jc w:val="both"/>
            </w:pPr>
            <w:r w:rsidRPr="00EC2A1C">
              <w:rPr>
                <w:bCs/>
              </w:rPr>
              <w:t>„Podpora projektů expozic a výstav“</w:t>
            </w:r>
          </w:p>
          <w:p w14:paraId="566FA206" w14:textId="77777777" w:rsidR="00DD3EFA" w:rsidRPr="00EC2A1C" w:rsidRDefault="00DD3EFA" w:rsidP="00391907">
            <w:pPr>
              <w:pStyle w:val="Odstavecseseznamem"/>
              <w:numPr>
                <w:ilvl w:val="0"/>
                <w:numId w:val="135"/>
              </w:numPr>
              <w:ind w:left="1177" w:hanging="425"/>
              <w:jc w:val="both"/>
            </w:pPr>
            <w:r w:rsidRPr="00EC2A1C">
              <w:rPr>
                <w:bCs/>
              </w:rPr>
              <w:t>„Podpora projektů poskytování standardizovaných veřejných služeb muzeí a galerií“</w:t>
            </w:r>
          </w:p>
          <w:p w14:paraId="13A7A03E" w14:textId="77777777" w:rsidR="00DD3EFA" w:rsidRPr="00EC2A1C" w:rsidRDefault="00DD3EFA" w:rsidP="00391907">
            <w:pPr>
              <w:pStyle w:val="Odstavecseseznamem"/>
              <w:numPr>
                <w:ilvl w:val="0"/>
                <w:numId w:val="135"/>
              </w:numPr>
              <w:ind w:left="1177" w:hanging="425"/>
              <w:jc w:val="both"/>
            </w:pPr>
            <w:r w:rsidRPr="00EC2A1C">
              <w:rPr>
                <w:bCs/>
              </w:rPr>
              <w:t>„Výkupy předmětů kulturní hodnoty mimořádného významu“</w:t>
            </w:r>
          </w:p>
          <w:p w14:paraId="20BB18C2" w14:textId="77777777" w:rsidR="00DD3EFA" w:rsidRPr="00EC2A1C" w:rsidRDefault="00DD3EFA" w:rsidP="00391907">
            <w:pPr>
              <w:pStyle w:val="Odstavecseseznamem"/>
              <w:numPr>
                <w:ilvl w:val="0"/>
                <w:numId w:val="135"/>
              </w:numPr>
              <w:ind w:left="1177" w:hanging="425"/>
              <w:jc w:val="both"/>
            </w:pPr>
            <w:r w:rsidRPr="00EC2A1C">
              <w:rPr>
                <w:bCs/>
              </w:rPr>
              <w:t>Program záchrany architektonického dědictví</w:t>
            </w:r>
          </w:p>
          <w:p w14:paraId="44B180BA" w14:textId="77777777" w:rsidR="00DD3EFA" w:rsidRPr="00EC2A1C" w:rsidRDefault="00DD3EFA" w:rsidP="00391907">
            <w:pPr>
              <w:pStyle w:val="Odstavecseseznamem"/>
              <w:numPr>
                <w:ilvl w:val="0"/>
                <w:numId w:val="135"/>
              </w:numPr>
              <w:ind w:left="1177" w:hanging="425"/>
              <w:jc w:val="both"/>
            </w:pPr>
            <w:r w:rsidRPr="00EC2A1C">
              <w:rPr>
                <w:bCs/>
              </w:rPr>
              <w:t>Program regenerace MPR a MPZ</w:t>
            </w:r>
          </w:p>
          <w:p w14:paraId="68A42686" w14:textId="77777777" w:rsidR="00DD3EFA" w:rsidRPr="00EC2A1C" w:rsidRDefault="00DD3EFA" w:rsidP="00391907">
            <w:pPr>
              <w:pStyle w:val="Odstavecseseznamem"/>
              <w:numPr>
                <w:ilvl w:val="0"/>
                <w:numId w:val="135"/>
              </w:numPr>
              <w:ind w:left="1177" w:hanging="425"/>
              <w:jc w:val="both"/>
            </w:pPr>
            <w:r w:rsidRPr="00EC2A1C">
              <w:rPr>
                <w:bCs/>
              </w:rPr>
              <w:t>Program péče o VPR, VPZ a KPZ</w:t>
            </w:r>
          </w:p>
          <w:p w14:paraId="7C66E367" w14:textId="77777777" w:rsidR="00DD3EFA" w:rsidRPr="00EC2A1C" w:rsidRDefault="00DD3EFA" w:rsidP="00391907">
            <w:pPr>
              <w:pStyle w:val="Odstavecseseznamem"/>
              <w:numPr>
                <w:ilvl w:val="0"/>
                <w:numId w:val="135"/>
              </w:numPr>
              <w:ind w:left="1177" w:hanging="425"/>
              <w:jc w:val="both"/>
            </w:pPr>
            <w:r w:rsidRPr="00EC2A1C">
              <w:rPr>
                <w:bCs/>
              </w:rPr>
              <w:t>Program obnovy památek prostřednictvím ORP</w:t>
            </w:r>
          </w:p>
          <w:p w14:paraId="122EE8DF" w14:textId="77777777" w:rsidR="00DD3EFA" w:rsidRPr="00EC2A1C" w:rsidRDefault="00DD3EFA" w:rsidP="00391907">
            <w:pPr>
              <w:pStyle w:val="Odstavecseseznamem"/>
              <w:numPr>
                <w:ilvl w:val="0"/>
                <w:numId w:val="135"/>
              </w:numPr>
              <w:ind w:left="1177" w:hanging="425"/>
              <w:jc w:val="both"/>
            </w:pPr>
            <w:r w:rsidRPr="00EC2A1C">
              <w:rPr>
                <w:bCs/>
              </w:rPr>
              <w:t>Program restaurování movitých KP</w:t>
            </w:r>
          </w:p>
          <w:p w14:paraId="2CA86FA1" w14:textId="77777777" w:rsidR="00DD3EFA" w:rsidRPr="00EC2A1C" w:rsidRDefault="00DD3EFA" w:rsidP="00391907">
            <w:pPr>
              <w:pStyle w:val="Odstavecseseznamem"/>
              <w:numPr>
                <w:ilvl w:val="0"/>
                <w:numId w:val="135"/>
              </w:numPr>
              <w:ind w:left="1177" w:hanging="425"/>
              <w:jc w:val="both"/>
            </w:pPr>
            <w:r w:rsidRPr="00EC2A1C">
              <w:rPr>
                <w:bCs/>
              </w:rPr>
              <w:t>Havarijní program</w:t>
            </w:r>
          </w:p>
          <w:p w14:paraId="54CF4B4E" w14:textId="77777777" w:rsidR="00DD3EFA" w:rsidRPr="00EC2A1C" w:rsidRDefault="00DD3EFA" w:rsidP="00391907">
            <w:pPr>
              <w:pStyle w:val="Odstavecseseznamem"/>
              <w:numPr>
                <w:ilvl w:val="0"/>
                <w:numId w:val="135"/>
              </w:numPr>
              <w:ind w:left="1177" w:hanging="425"/>
              <w:jc w:val="both"/>
            </w:pPr>
            <w:r w:rsidRPr="00EC2A1C">
              <w:t>(ISO/C)</w:t>
            </w:r>
          </w:p>
          <w:p w14:paraId="2F88C4AE" w14:textId="77777777" w:rsidR="00DD3EFA" w:rsidRPr="00EC2A1C" w:rsidRDefault="00DD3EFA" w:rsidP="00391907">
            <w:pPr>
              <w:pStyle w:val="Odstavecseseznamem"/>
              <w:numPr>
                <w:ilvl w:val="0"/>
                <w:numId w:val="135"/>
              </w:numPr>
              <w:ind w:left="1177" w:hanging="425"/>
              <w:jc w:val="both"/>
            </w:pPr>
            <w:r w:rsidRPr="00EC2A1C">
              <w:t>VISK</w:t>
            </w:r>
          </w:p>
          <w:p w14:paraId="2CEE1CC8" w14:textId="77777777" w:rsidR="00DD3EFA" w:rsidRPr="00EC2A1C" w:rsidRDefault="00DD3EFA" w:rsidP="00391907">
            <w:pPr>
              <w:pStyle w:val="Odstavecseseznamem"/>
              <w:numPr>
                <w:ilvl w:val="0"/>
                <w:numId w:val="135"/>
              </w:numPr>
              <w:ind w:left="1177" w:hanging="425"/>
              <w:jc w:val="both"/>
            </w:pPr>
            <w:r w:rsidRPr="00EC2A1C">
              <w:t>NAKI</w:t>
            </w:r>
          </w:p>
          <w:p w14:paraId="45D2E8C4" w14:textId="77777777" w:rsidR="00DD3EFA" w:rsidRPr="00EC2A1C" w:rsidRDefault="00DD3EFA" w:rsidP="00B15ECB">
            <w:pPr>
              <w:pStyle w:val="Odstavecseseznamem"/>
              <w:ind w:left="1177"/>
            </w:pPr>
          </w:p>
        </w:tc>
        <w:tc>
          <w:tcPr>
            <w:tcW w:w="249" w:type="dxa"/>
            <w:tcBorders>
              <w:top w:val="nil"/>
              <w:bottom w:val="nil"/>
            </w:tcBorders>
            <w:shd w:val="clear" w:color="auto" w:fill="66CCFF"/>
          </w:tcPr>
          <w:p w14:paraId="47388550" w14:textId="77777777" w:rsidR="00DD3EFA" w:rsidRPr="00EC2A1C" w:rsidRDefault="00DD3EFA" w:rsidP="00B15ECB">
            <w:pPr>
              <w:rPr>
                <w:b/>
              </w:rPr>
            </w:pPr>
          </w:p>
        </w:tc>
      </w:tr>
      <w:tr w:rsidR="00DD3EFA" w:rsidRPr="00EC2A1C" w14:paraId="6B447AB2" w14:textId="77777777" w:rsidTr="00B15ECB">
        <w:trPr>
          <w:trHeight w:val="1968"/>
        </w:trPr>
        <w:tc>
          <w:tcPr>
            <w:tcW w:w="249" w:type="dxa"/>
            <w:tcBorders>
              <w:top w:val="nil"/>
              <w:bottom w:val="nil"/>
            </w:tcBorders>
            <w:shd w:val="clear" w:color="auto" w:fill="66CCFF"/>
          </w:tcPr>
          <w:p w14:paraId="04599148" w14:textId="77777777" w:rsidR="00DD3EFA" w:rsidRPr="00EC2A1C" w:rsidRDefault="00DD3EFA" w:rsidP="00B15ECB">
            <w:pPr>
              <w:rPr>
                <w:b/>
              </w:rPr>
            </w:pPr>
          </w:p>
        </w:tc>
        <w:tc>
          <w:tcPr>
            <w:tcW w:w="2548" w:type="dxa"/>
            <w:tcBorders>
              <w:top w:val="nil"/>
            </w:tcBorders>
            <w:shd w:val="clear" w:color="auto" w:fill="FFFFFF" w:themeFill="background1"/>
          </w:tcPr>
          <w:p w14:paraId="7B27345F"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Další zdroje mimo veřejné rozpočty</w:t>
            </w:r>
          </w:p>
        </w:tc>
        <w:tc>
          <w:tcPr>
            <w:tcW w:w="5978" w:type="dxa"/>
            <w:tcBorders>
              <w:top w:val="nil"/>
            </w:tcBorders>
            <w:shd w:val="clear" w:color="auto" w:fill="FFFFFF" w:themeFill="background1"/>
          </w:tcPr>
          <w:p w14:paraId="2A1109B6" w14:textId="77777777" w:rsidR="00DD3EFA" w:rsidRPr="00EC2A1C" w:rsidRDefault="00DD3EFA" w:rsidP="00B15ECB">
            <w:pPr>
              <w:rPr>
                <w:u w:val="single"/>
              </w:rPr>
            </w:pPr>
            <w:r w:rsidRPr="00EC2A1C">
              <w:rPr>
                <w:u w:val="single"/>
              </w:rPr>
              <w:t>Finanční prostředky z jiných zdrojů než státní rozpočet:</w:t>
            </w:r>
          </w:p>
          <w:p w14:paraId="6AAE65DA" w14:textId="77777777" w:rsidR="00DD3EFA" w:rsidRPr="00EC2A1C" w:rsidRDefault="00DD3EFA" w:rsidP="00B15ECB">
            <w:pPr>
              <w:rPr>
                <w:u w:val="single"/>
              </w:rPr>
            </w:pPr>
          </w:p>
          <w:p w14:paraId="3F865B20" w14:textId="77777777" w:rsidR="00DD3EFA" w:rsidRPr="00EC2A1C" w:rsidRDefault="00DD3EFA" w:rsidP="00391907">
            <w:pPr>
              <w:pStyle w:val="Odstavecseseznamem"/>
              <w:numPr>
                <w:ilvl w:val="0"/>
                <w:numId w:val="134"/>
              </w:numPr>
              <w:jc w:val="both"/>
            </w:pPr>
            <w:r w:rsidRPr="00EC2A1C">
              <w:t>Pro financování projektů je možné využítprostředky ESIF, především v rámci specifického cíle 3.1. Integrovaného regionálního operačního programu (IROP) – Zefektivnění prezentace, posílení ochrany a rozvoje kulturního dědictví.</w:t>
            </w:r>
          </w:p>
          <w:p w14:paraId="2062A8ED" w14:textId="77777777" w:rsidR="00DD3EFA" w:rsidRPr="00EC2A1C" w:rsidRDefault="00DD3EFA" w:rsidP="00391907">
            <w:pPr>
              <w:pStyle w:val="Odstavecseseznamem"/>
              <w:numPr>
                <w:ilvl w:val="0"/>
                <w:numId w:val="134"/>
              </w:numPr>
              <w:jc w:val="both"/>
            </w:pPr>
            <w:r w:rsidRPr="00EC2A1C">
              <w:t>Významným zdrojem financování projektů v oblasti kultury jsou programy specializované na ochranu a rozvoj kulturních institucí fondů EHP/Norsko.</w:t>
            </w:r>
          </w:p>
          <w:p w14:paraId="03F75ED3" w14:textId="77777777" w:rsidR="00DD3EFA" w:rsidRPr="00EC2A1C" w:rsidRDefault="00DD3EFA" w:rsidP="00B15ECB">
            <w:pPr>
              <w:pStyle w:val="Odstavecseseznamem"/>
            </w:pPr>
          </w:p>
        </w:tc>
        <w:tc>
          <w:tcPr>
            <w:tcW w:w="249" w:type="dxa"/>
            <w:tcBorders>
              <w:top w:val="nil"/>
              <w:bottom w:val="nil"/>
            </w:tcBorders>
            <w:shd w:val="clear" w:color="auto" w:fill="66CCFF"/>
          </w:tcPr>
          <w:p w14:paraId="43FD6625" w14:textId="77777777" w:rsidR="00DD3EFA" w:rsidRPr="00EC2A1C" w:rsidRDefault="00DD3EFA" w:rsidP="00B15ECB">
            <w:pPr>
              <w:rPr>
                <w:b/>
              </w:rPr>
            </w:pPr>
          </w:p>
        </w:tc>
      </w:tr>
      <w:tr w:rsidR="00DD3EFA" w:rsidRPr="00EC2A1C" w14:paraId="4196FC9B" w14:textId="77777777" w:rsidTr="00B15ECB">
        <w:trPr>
          <w:trHeight w:val="1968"/>
        </w:trPr>
        <w:tc>
          <w:tcPr>
            <w:tcW w:w="249" w:type="dxa"/>
            <w:tcBorders>
              <w:top w:val="nil"/>
              <w:bottom w:val="nil"/>
            </w:tcBorders>
            <w:shd w:val="clear" w:color="auto" w:fill="66CCFF"/>
          </w:tcPr>
          <w:p w14:paraId="3D23F606" w14:textId="77777777" w:rsidR="00DD3EFA" w:rsidRPr="00EC2A1C" w:rsidRDefault="00DD3EFA" w:rsidP="00B15ECB">
            <w:pPr>
              <w:rPr>
                <w:b/>
              </w:rPr>
            </w:pPr>
          </w:p>
        </w:tc>
        <w:tc>
          <w:tcPr>
            <w:tcW w:w="2548" w:type="dxa"/>
            <w:tcBorders>
              <w:top w:val="nil"/>
            </w:tcBorders>
            <w:shd w:val="clear" w:color="auto" w:fill="FFFFFF" w:themeFill="background1"/>
          </w:tcPr>
          <w:p w14:paraId="27A22BA8" w14:textId="77777777" w:rsidR="00DD3EFA" w:rsidRPr="00EC2A1C" w:rsidRDefault="00DD3EFA" w:rsidP="00391907">
            <w:pPr>
              <w:pStyle w:val="Odstavecseseznamem"/>
              <w:numPr>
                <w:ilvl w:val="0"/>
                <w:numId w:val="62"/>
              </w:numPr>
              <w:spacing w:before="60" w:after="60"/>
              <w:ind w:left="346" w:hanging="346"/>
              <w:rPr>
                <w:rFonts w:eastAsiaTheme="majorEastAsia"/>
                <w:b/>
              </w:rPr>
            </w:pPr>
            <w:r w:rsidRPr="00EC2A1C">
              <w:rPr>
                <w:rFonts w:eastAsiaTheme="majorEastAsia"/>
                <w:b/>
              </w:rPr>
              <w:t>Možnost využití FN</w:t>
            </w:r>
          </w:p>
        </w:tc>
        <w:tc>
          <w:tcPr>
            <w:tcW w:w="5978" w:type="dxa"/>
            <w:tcBorders>
              <w:top w:val="nil"/>
            </w:tcBorders>
            <w:shd w:val="clear" w:color="auto" w:fill="FFFFFF" w:themeFill="background1"/>
          </w:tcPr>
          <w:p w14:paraId="13719FF4" w14:textId="77777777" w:rsidR="00DD3EFA" w:rsidRPr="00EC2A1C" w:rsidRDefault="00DD3EFA" w:rsidP="00B15ECB">
            <w:pPr>
              <w:pStyle w:val="Textkomente"/>
            </w:pPr>
            <w:r w:rsidRPr="00EC2A1C">
              <w:t xml:space="preserve">Pro oblast kultury se i v současném programovacím období využívají finanční nástroje skrze ITI. EU plánuje pro financování KKO/P finanční nástroj Invest EU. </w:t>
            </w:r>
          </w:p>
          <w:p w14:paraId="091217E7" w14:textId="77777777" w:rsidR="00DD3EFA" w:rsidRPr="00EC2A1C" w:rsidRDefault="00DD3EFA" w:rsidP="00B15ECB">
            <w:pPr>
              <w:pStyle w:val="Textkomente"/>
            </w:pPr>
            <w:r w:rsidRPr="00EC2A1C">
              <w:t>EIB je pak případně vhodná na větší investice.</w:t>
            </w:r>
          </w:p>
          <w:p w14:paraId="162BBE9B" w14:textId="77777777" w:rsidR="00DD3EFA" w:rsidRPr="00EC2A1C" w:rsidRDefault="00DD3EFA" w:rsidP="00B15ECB">
            <w:pPr>
              <w:spacing w:before="60" w:after="60"/>
              <w:rPr>
                <w:rFonts w:eastAsiaTheme="majorEastAsia"/>
                <w:i/>
              </w:rPr>
            </w:pPr>
          </w:p>
        </w:tc>
        <w:tc>
          <w:tcPr>
            <w:tcW w:w="249" w:type="dxa"/>
            <w:tcBorders>
              <w:top w:val="nil"/>
              <w:bottom w:val="nil"/>
            </w:tcBorders>
            <w:shd w:val="clear" w:color="auto" w:fill="66CCFF"/>
          </w:tcPr>
          <w:p w14:paraId="273BF0F0" w14:textId="77777777" w:rsidR="00DD3EFA" w:rsidRPr="00EC2A1C" w:rsidRDefault="00DD3EFA" w:rsidP="00B15ECB">
            <w:pPr>
              <w:rPr>
                <w:b/>
              </w:rPr>
            </w:pPr>
          </w:p>
        </w:tc>
      </w:tr>
      <w:tr w:rsidR="00DD3EFA" w:rsidRPr="00EC2A1C" w14:paraId="4519A102" w14:textId="77777777" w:rsidTr="00B15ECB">
        <w:trPr>
          <w:trHeight w:val="150"/>
        </w:trPr>
        <w:tc>
          <w:tcPr>
            <w:tcW w:w="249" w:type="dxa"/>
            <w:tcBorders>
              <w:top w:val="nil"/>
              <w:right w:val="nil"/>
            </w:tcBorders>
            <w:shd w:val="clear" w:color="auto" w:fill="66CCFF"/>
          </w:tcPr>
          <w:p w14:paraId="5865A2D8" w14:textId="77777777" w:rsidR="00DD3EFA" w:rsidRPr="00EC2A1C" w:rsidRDefault="00DD3EFA" w:rsidP="00B15ECB">
            <w:pPr>
              <w:rPr>
                <w:b/>
              </w:rPr>
            </w:pPr>
          </w:p>
        </w:tc>
        <w:tc>
          <w:tcPr>
            <w:tcW w:w="2548" w:type="dxa"/>
            <w:tcBorders>
              <w:left w:val="nil"/>
              <w:right w:val="nil"/>
            </w:tcBorders>
            <w:shd w:val="clear" w:color="auto" w:fill="66CCFF"/>
          </w:tcPr>
          <w:p w14:paraId="4E251ED2" w14:textId="77777777" w:rsidR="00DD3EFA" w:rsidRPr="00EC2A1C" w:rsidRDefault="00DD3EFA" w:rsidP="00B15ECB">
            <w:pPr>
              <w:rPr>
                <w:b/>
              </w:rPr>
            </w:pPr>
          </w:p>
        </w:tc>
        <w:tc>
          <w:tcPr>
            <w:tcW w:w="5978" w:type="dxa"/>
            <w:tcBorders>
              <w:left w:val="nil"/>
              <w:right w:val="nil"/>
            </w:tcBorders>
            <w:shd w:val="clear" w:color="auto" w:fill="66CCFF"/>
          </w:tcPr>
          <w:p w14:paraId="011C3CC7" w14:textId="77777777" w:rsidR="00DD3EFA" w:rsidRPr="00EC2A1C" w:rsidRDefault="00DD3EFA" w:rsidP="00B15ECB">
            <w:pPr>
              <w:rPr>
                <w:b/>
              </w:rPr>
            </w:pPr>
          </w:p>
        </w:tc>
        <w:tc>
          <w:tcPr>
            <w:tcW w:w="249" w:type="dxa"/>
            <w:tcBorders>
              <w:top w:val="nil"/>
              <w:left w:val="nil"/>
            </w:tcBorders>
            <w:shd w:val="clear" w:color="auto" w:fill="66CCFF"/>
          </w:tcPr>
          <w:p w14:paraId="335453A5" w14:textId="77777777" w:rsidR="00DD3EFA" w:rsidRPr="00EC2A1C" w:rsidRDefault="00DD3EFA" w:rsidP="00B15ECB">
            <w:pPr>
              <w:rPr>
                <w:b/>
              </w:rPr>
            </w:pPr>
          </w:p>
        </w:tc>
      </w:tr>
    </w:tbl>
    <w:p w14:paraId="03429452" w14:textId="77777777" w:rsidR="00DD3EFA" w:rsidRPr="002D2123" w:rsidRDefault="00DD3EFA">
      <w:pPr>
        <w:rPr>
          <w:rFonts w:ascii="Times New Roman" w:hAnsi="Times New Roman" w:cs="Times New Roman"/>
        </w:rPr>
      </w:pPr>
    </w:p>
    <w:p w14:paraId="2C40CDA1" w14:textId="77777777" w:rsidR="00DD3EFA" w:rsidRPr="002D2123" w:rsidRDefault="00DD3EFA">
      <w:pPr>
        <w:rPr>
          <w:rFonts w:ascii="Times New Roman" w:hAnsi="Times New Roman" w:cs="Times New Roman"/>
        </w:rPr>
      </w:pPr>
    </w:p>
    <w:p w14:paraId="4D1D6A0A" w14:textId="77777777" w:rsidR="00DD3EFA" w:rsidRPr="002D2123" w:rsidRDefault="00DD3EFA">
      <w:pPr>
        <w:rPr>
          <w:rFonts w:ascii="Times New Roman" w:hAnsi="Times New Roman" w:cs="Times New Roman"/>
        </w:rPr>
      </w:pPr>
      <w:r w:rsidRPr="002D2123">
        <w:rPr>
          <w:rFonts w:ascii="Times New Roman" w:hAnsi="Times New Roman" w:cs="Times New Roman"/>
        </w:rPr>
        <w:br w:type="page"/>
      </w:r>
    </w:p>
    <w:p w14:paraId="7C79D639" w14:textId="40292BBD" w:rsidR="00D762E9" w:rsidRPr="002D2123" w:rsidRDefault="00D762E9" w:rsidP="00F24899">
      <w:pPr>
        <w:pStyle w:val="Nadpis1"/>
        <w:numPr>
          <w:ilvl w:val="0"/>
          <w:numId w:val="1"/>
        </w:numPr>
        <w:ind w:left="584" w:hanging="357"/>
        <w:rPr>
          <w:rFonts w:ascii="Times New Roman" w:hAnsi="Times New Roman" w:cs="Times New Roman"/>
        </w:rPr>
      </w:pPr>
      <w:bookmarkStart w:id="49" w:name="_Toc9511891"/>
      <w:r w:rsidRPr="002D2123">
        <w:rPr>
          <w:rFonts w:ascii="Times New Roman" w:hAnsi="Times New Roman" w:cs="Times New Roman"/>
        </w:rPr>
        <w:t>Cestovní ruch</w:t>
      </w:r>
      <w:bookmarkEnd w:id="49"/>
    </w:p>
    <w:tbl>
      <w:tblPr>
        <w:tblStyle w:val="Mkatabulky"/>
        <w:tblW w:w="9974" w:type="dxa"/>
        <w:tblInd w:w="-5" w:type="dxa"/>
        <w:shd w:val="clear" w:color="auto" w:fill="C7ECF1"/>
        <w:tblLook w:val="04A0" w:firstRow="1" w:lastRow="0" w:firstColumn="1" w:lastColumn="0" w:noHBand="0" w:noVBand="1"/>
      </w:tblPr>
      <w:tblGrid>
        <w:gridCol w:w="222"/>
        <w:gridCol w:w="2407"/>
        <w:gridCol w:w="7123"/>
        <w:gridCol w:w="222"/>
      </w:tblGrid>
      <w:tr w:rsidR="00391907" w:rsidRPr="00EC2A1C" w14:paraId="30A67451" w14:textId="77777777" w:rsidTr="00B15ECB">
        <w:trPr>
          <w:trHeight w:val="180"/>
        </w:trPr>
        <w:tc>
          <w:tcPr>
            <w:tcW w:w="222" w:type="dxa"/>
            <w:tcBorders>
              <w:bottom w:val="nil"/>
              <w:right w:val="nil"/>
            </w:tcBorders>
            <w:shd w:val="clear" w:color="auto" w:fill="66CCFF"/>
          </w:tcPr>
          <w:p w14:paraId="691C4BAE" w14:textId="77777777" w:rsidR="00391907" w:rsidRPr="00EC2A1C" w:rsidRDefault="00391907" w:rsidP="00B15ECB">
            <w:pPr>
              <w:rPr>
                <w:b/>
              </w:rPr>
            </w:pPr>
          </w:p>
        </w:tc>
        <w:tc>
          <w:tcPr>
            <w:tcW w:w="2188" w:type="dxa"/>
            <w:tcBorders>
              <w:left w:val="nil"/>
              <w:right w:val="nil"/>
            </w:tcBorders>
            <w:shd w:val="clear" w:color="auto" w:fill="66CCFF"/>
          </w:tcPr>
          <w:p w14:paraId="7D903F87" w14:textId="77777777" w:rsidR="00391907" w:rsidRPr="00EC2A1C" w:rsidRDefault="00391907" w:rsidP="00B15ECB">
            <w:pPr>
              <w:rPr>
                <w:b/>
              </w:rPr>
            </w:pPr>
          </w:p>
        </w:tc>
        <w:tc>
          <w:tcPr>
            <w:tcW w:w="7342" w:type="dxa"/>
            <w:tcBorders>
              <w:left w:val="nil"/>
              <w:right w:val="nil"/>
            </w:tcBorders>
            <w:shd w:val="clear" w:color="auto" w:fill="66CCFF"/>
          </w:tcPr>
          <w:p w14:paraId="21E21EC6" w14:textId="77777777" w:rsidR="00391907" w:rsidRPr="00EC2A1C" w:rsidRDefault="00391907" w:rsidP="00B15ECB">
            <w:pPr>
              <w:rPr>
                <w:b/>
              </w:rPr>
            </w:pPr>
          </w:p>
        </w:tc>
        <w:tc>
          <w:tcPr>
            <w:tcW w:w="222" w:type="dxa"/>
            <w:tcBorders>
              <w:left w:val="nil"/>
              <w:bottom w:val="nil"/>
            </w:tcBorders>
            <w:shd w:val="clear" w:color="auto" w:fill="66CCFF"/>
          </w:tcPr>
          <w:p w14:paraId="7AC347CD" w14:textId="77777777" w:rsidR="00391907" w:rsidRPr="00EC2A1C" w:rsidRDefault="00391907" w:rsidP="00B15ECB">
            <w:pPr>
              <w:rPr>
                <w:b/>
              </w:rPr>
            </w:pPr>
          </w:p>
        </w:tc>
      </w:tr>
      <w:tr w:rsidR="00391907" w:rsidRPr="00EC2A1C" w14:paraId="03BABAB3" w14:textId="77777777" w:rsidTr="00B15ECB">
        <w:trPr>
          <w:trHeight w:val="561"/>
        </w:trPr>
        <w:tc>
          <w:tcPr>
            <w:tcW w:w="222" w:type="dxa"/>
            <w:tcBorders>
              <w:top w:val="nil"/>
              <w:bottom w:val="nil"/>
            </w:tcBorders>
            <w:shd w:val="clear" w:color="auto" w:fill="66CCFF"/>
          </w:tcPr>
          <w:p w14:paraId="7CC9102E" w14:textId="77777777" w:rsidR="00391907" w:rsidRPr="00EC2A1C" w:rsidRDefault="00391907" w:rsidP="00B15ECB">
            <w:pPr>
              <w:rPr>
                <w:b/>
              </w:rPr>
            </w:pPr>
          </w:p>
        </w:tc>
        <w:tc>
          <w:tcPr>
            <w:tcW w:w="2188" w:type="dxa"/>
            <w:shd w:val="clear" w:color="auto" w:fill="0070C0"/>
          </w:tcPr>
          <w:p w14:paraId="487E9CDC" w14:textId="77777777" w:rsidR="00391907" w:rsidRPr="00EC2A1C" w:rsidRDefault="00391907" w:rsidP="00B15ECB">
            <w:pPr>
              <w:spacing w:before="60" w:after="60"/>
              <w:rPr>
                <w:rFonts w:eastAsiaTheme="majorEastAsia"/>
                <w:b/>
                <w:color w:val="FFFFFF" w:themeColor="background1"/>
              </w:rPr>
            </w:pPr>
            <w:r w:rsidRPr="00EC2A1C">
              <w:rPr>
                <w:rFonts w:eastAsiaTheme="majorEastAsia"/>
                <w:b/>
                <w:color w:val="FFFFFF" w:themeColor="background1"/>
              </w:rPr>
              <w:t>Strategický cíl NKR: Udržitelný a integrovaný rozvoj městských a venkovských oblastí …..</w:t>
            </w:r>
          </w:p>
        </w:tc>
        <w:tc>
          <w:tcPr>
            <w:tcW w:w="7342" w:type="dxa"/>
            <w:shd w:val="clear" w:color="auto" w:fill="0070C0"/>
          </w:tcPr>
          <w:p w14:paraId="3C549058" w14:textId="77777777" w:rsidR="00391907" w:rsidRPr="00EC2A1C" w:rsidRDefault="00391907" w:rsidP="00B15ECB">
            <w:pPr>
              <w:spacing w:before="60" w:after="60"/>
              <w:rPr>
                <w:rFonts w:eastAsiaTheme="majorEastAsia"/>
                <w:b/>
                <w:color w:val="FFFFFF" w:themeColor="background1"/>
                <w:u w:val="single"/>
              </w:rPr>
            </w:pPr>
            <w:r w:rsidRPr="00EC2A1C">
              <w:rPr>
                <w:rFonts w:eastAsiaTheme="majorEastAsia"/>
                <w:b/>
                <w:color w:val="FFFFFF" w:themeColor="background1"/>
                <w:u w:val="single"/>
              </w:rPr>
              <w:t>Specifický cíl NKR</w:t>
            </w:r>
            <w:r w:rsidRPr="00EC2A1C">
              <w:rPr>
                <w:rStyle w:val="Znakapoznpodarou"/>
                <w:rFonts w:eastAsiaTheme="majorEastAsia"/>
                <w:color w:val="FFFFFF" w:themeColor="background1"/>
                <w:u w:val="single"/>
              </w:rPr>
              <w:footnoteReference w:id="59"/>
            </w:r>
            <w:r w:rsidRPr="00EC2A1C">
              <w:rPr>
                <w:rFonts w:eastAsiaTheme="majorEastAsia"/>
                <w:b/>
                <w:color w:val="FFFFFF" w:themeColor="background1"/>
                <w:u w:val="single"/>
              </w:rPr>
              <w:t>: Udržitelný cestovní ruch</w:t>
            </w:r>
          </w:p>
        </w:tc>
        <w:tc>
          <w:tcPr>
            <w:tcW w:w="222" w:type="dxa"/>
            <w:tcBorders>
              <w:top w:val="nil"/>
              <w:bottom w:val="nil"/>
            </w:tcBorders>
            <w:shd w:val="clear" w:color="auto" w:fill="66CCFF"/>
          </w:tcPr>
          <w:p w14:paraId="0CB7D6DE" w14:textId="77777777" w:rsidR="00391907" w:rsidRPr="00EC2A1C" w:rsidRDefault="00391907" w:rsidP="00B15ECB">
            <w:pPr>
              <w:rPr>
                <w:b/>
              </w:rPr>
            </w:pPr>
          </w:p>
        </w:tc>
      </w:tr>
      <w:tr w:rsidR="00391907" w:rsidRPr="00EC2A1C" w14:paraId="191401ED" w14:textId="77777777" w:rsidTr="00B15ECB">
        <w:trPr>
          <w:trHeight w:val="180"/>
        </w:trPr>
        <w:tc>
          <w:tcPr>
            <w:tcW w:w="222" w:type="dxa"/>
            <w:tcBorders>
              <w:top w:val="nil"/>
              <w:bottom w:val="nil"/>
              <w:right w:val="nil"/>
            </w:tcBorders>
            <w:shd w:val="clear" w:color="auto" w:fill="66CCFF"/>
          </w:tcPr>
          <w:p w14:paraId="2D991369" w14:textId="77777777" w:rsidR="00391907" w:rsidRPr="00EC2A1C" w:rsidRDefault="00391907" w:rsidP="00B15ECB">
            <w:pPr>
              <w:rPr>
                <w:b/>
              </w:rPr>
            </w:pPr>
          </w:p>
        </w:tc>
        <w:tc>
          <w:tcPr>
            <w:tcW w:w="2188" w:type="dxa"/>
            <w:tcBorders>
              <w:left w:val="nil"/>
              <w:right w:val="nil"/>
            </w:tcBorders>
            <w:shd w:val="clear" w:color="auto" w:fill="66CCFF"/>
          </w:tcPr>
          <w:p w14:paraId="648A6754" w14:textId="77777777" w:rsidR="00391907" w:rsidRPr="00EC2A1C" w:rsidRDefault="00391907" w:rsidP="00B15ECB">
            <w:pPr>
              <w:rPr>
                <w:b/>
              </w:rPr>
            </w:pPr>
          </w:p>
        </w:tc>
        <w:tc>
          <w:tcPr>
            <w:tcW w:w="7342" w:type="dxa"/>
            <w:tcBorders>
              <w:left w:val="nil"/>
              <w:right w:val="nil"/>
            </w:tcBorders>
            <w:shd w:val="clear" w:color="auto" w:fill="66CCFF"/>
          </w:tcPr>
          <w:p w14:paraId="2CAAE698" w14:textId="77777777" w:rsidR="00391907" w:rsidRPr="00EC2A1C" w:rsidRDefault="00391907" w:rsidP="00B15ECB">
            <w:pPr>
              <w:rPr>
                <w:b/>
              </w:rPr>
            </w:pPr>
          </w:p>
        </w:tc>
        <w:tc>
          <w:tcPr>
            <w:tcW w:w="222" w:type="dxa"/>
            <w:tcBorders>
              <w:top w:val="nil"/>
              <w:left w:val="nil"/>
              <w:bottom w:val="nil"/>
            </w:tcBorders>
            <w:shd w:val="clear" w:color="auto" w:fill="66CCFF"/>
          </w:tcPr>
          <w:p w14:paraId="335D3055" w14:textId="77777777" w:rsidR="00391907" w:rsidRPr="00EC2A1C" w:rsidRDefault="00391907" w:rsidP="00B15ECB">
            <w:pPr>
              <w:rPr>
                <w:b/>
              </w:rPr>
            </w:pPr>
          </w:p>
        </w:tc>
      </w:tr>
      <w:tr w:rsidR="00391907" w:rsidRPr="00EC2A1C" w14:paraId="1BAF3202" w14:textId="77777777" w:rsidTr="00B15ECB">
        <w:trPr>
          <w:trHeight w:val="892"/>
        </w:trPr>
        <w:tc>
          <w:tcPr>
            <w:tcW w:w="222" w:type="dxa"/>
            <w:tcBorders>
              <w:top w:val="nil"/>
              <w:bottom w:val="nil"/>
            </w:tcBorders>
            <w:shd w:val="clear" w:color="auto" w:fill="66CCFF"/>
          </w:tcPr>
          <w:p w14:paraId="2F9A9ACB" w14:textId="77777777" w:rsidR="00391907" w:rsidRPr="00EC2A1C" w:rsidRDefault="00391907" w:rsidP="00B15ECB">
            <w:pPr>
              <w:rPr>
                <w:b/>
              </w:rPr>
            </w:pPr>
          </w:p>
        </w:tc>
        <w:tc>
          <w:tcPr>
            <w:tcW w:w="2188" w:type="dxa"/>
            <w:shd w:val="clear" w:color="auto" w:fill="FFFFFF" w:themeFill="background1"/>
          </w:tcPr>
          <w:p w14:paraId="59313257" w14:textId="77777777" w:rsidR="00391907" w:rsidRPr="00EC2A1C" w:rsidRDefault="00391907" w:rsidP="00B15ECB">
            <w:pPr>
              <w:spacing w:before="60" w:after="60"/>
              <w:rPr>
                <w:rFonts w:eastAsiaTheme="majorEastAsia"/>
                <w:b/>
              </w:rPr>
            </w:pPr>
            <w:r w:rsidRPr="00EC2A1C">
              <w:rPr>
                <w:rFonts w:eastAsiaTheme="majorEastAsia"/>
                <w:b/>
              </w:rPr>
              <w:t xml:space="preserve">Věcné vymezení specifického </w:t>
            </w:r>
          </w:p>
          <w:p w14:paraId="4F651037" w14:textId="77777777" w:rsidR="00391907" w:rsidRPr="00EC2A1C" w:rsidRDefault="00391907" w:rsidP="00B15ECB">
            <w:pPr>
              <w:spacing w:before="60" w:after="60"/>
              <w:rPr>
                <w:rFonts w:eastAsiaTheme="majorEastAsia"/>
                <w:b/>
              </w:rPr>
            </w:pPr>
            <w:r w:rsidRPr="00EC2A1C">
              <w:rPr>
                <w:rFonts w:eastAsiaTheme="majorEastAsia"/>
                <w:b/>
              </w:rPr>
              <w:t>cíle NKR</w:t>
            </w:r>
          </w:p>
        </w:tc>
        <w:tc>
          <w:tcPr>
            <w:tcW w:w="7342" w:type="dxa"/>
            <w:shd w:val="clear" w:color="auto" w:fill="FFFFFF" w:themeFill="background1"/>
          </w:tcPr>
          <w:p w14:paraId="732BFB4C" w14:textId="77777777" w:rsidR="00391907" w:rsidRPr="00EC2A1C" w:rsidRDefault="00391907" w:rsidP="00B15ECB">
            <w:pPr>
              <w:spacing w:before="60" w:after="60"/>
            </w:pPr>
            <w:r w:rsidRPr="00EC2A1C">
              <w:rPr>
                <w:rFonts w:eastAsiaTheme="majorEastAsia"/>
              </w:rPr>
              <w:t>Cestovní ruch je z podstaty věci dynamicky se rozvíjejícím mezioborovým fenoménem, který využívá, nebo ovlivňuje výstupy i vstupy ostatních složek národního hospodářství. Patří rovněž k nejdynamičtějším odvětvím, velice rychle reaguje na trendy a změny nejen na národní úrovni. Cestovní ruch generuje cca 3% roční příspěvek do HDP a zajišťuje zaměstnanost pro cca 5% obyvatelstva.</w:t>
            </w:r>
            <w:r w:rsidRPr="00EC2A1C">
              <w:t xml:space="preserve"> </w:t>
            </w:r>
          </w:p>
          <w:p w14:paraId="79549355" w14:textId="77777777" w:rsidR="00391907" w:rsidRPr="00EC2A1C" w:rsidRDefault="00391907" w:rsidP="00B15ECB">
            <w:pPr>
              <w:spacing w:before="60" w:after="60"/>
              <w:rPr>
                <w:rFonts w:eastAsiaTheme="majorEastAsia"/>
              </w:rPr>
            </w:pPr>
            <w:r w:rsidRPr="00EC2A1C">
              <w:rPr>
                <w:rFonts w:eastAsiaTheme="majorEastAsia"/>
              </w:rPr>
              <w:t xml:space="preserve">Udržitelný rozvoj cestovního ruchu lze definovat jako takový, který zabezpečuje zajištění současných a budoucích potřeb účastníků cestovního ruchu a přitom pomáhá rozvoji území. S přihlédnutím k šetrnému využívání přírodních a kulturních hodnot vede k dlouhodobé prosperitě dané oblasti. </w:t>
            </w:r>
          </w:p>
          <w:p w14:paraId="3CA5267B" w14:textId="77777777" w:rsidR="00391907" w:rsidRPr="00EC2A1C" w:rsidRDefault="00391907" w:rsidP="00B15ECB">
            <w:pPr>
              <w:spacing w:before="60" w:after="60"/>
              <w:rPr>
                <w:rFonts w:eastAsiaTheme="majorEastAsia"/>
              </w:rPr>
            </w:pPr>
            <w:r w:rsidRPr="00EC2A1C">
              <w:rPr>
                <w:rFonts w:eastAsiaTheme="majorEastAsia"/>
              </w:rPr>
              <w:t xml:space="preserve">V případě správného řízení (organizace a podpory) udržitelný cestovní ruchu přispívá k vytváření nových pracovních příležitostí. Řízení nabídky cestovního ruchu je v kompetenci speciálně vytvořených organizací cestovního ruchu, tzv. „destinačních společností“, nebo organizací destinačního managementu (dále jen „DMO“). Z hlediska struktury se dělí lokální, oblastní, krajské a národní. Národní centrálou cestovního ruchu je agentura CzechTourism. </w:t>
            </w:r>
          </w:p>
          <w:p w14:paraId="26C2073D" w14:textId="6954F1E4" w:rsidR="00391907" w:rsidRPr="00EC2A1C" w:rsidRDefault="00391907" w:rsidP="00B15ECB">
            <w:pPr>
              <w:spacing w:before="60" w:after="60"/>
              <w:rPr>
                <w:rFonts w:eastAsiaTheme="majorEastAsia"/>
              </w:rPr>
            </w:pPr>
            <w:r w:rsidRPr="00EC2A1C">
              <w:rPr>
                <w:rFonts w:eastAsiaTheme="majorEastAsia"/>
              </w:rPr>
              <w:t>Příjmy z cestovního ruchu jsou dále významnou součástí příjmů veřejných rozpočtů (daně z příjmů, DPH, spotřební daň, místní daně a poplatky – např. z ubytovací kapacity atd.). Cestovní ruch představuje nástroj regionálního rozvoje s vazbou na zaměstnanost v regionu, na podporu infrastruktury, občanské vybavenosti, kulturního a volnočasového vyžití a zlepšení kvality života v regionech. V neposlední řadě přispívá cestovní ruch k poznávání nových míst, přírodního a kulturního dědictví jiných národů, pomáhá lépe pochopit jejich mentalitu, obyčeje a zvyklosti. Udržitelný cesto</w:t>
            </w:r>
            <w:r w:rsidR="009617EB">
              <w:rPr>
                <w:rFonts w:eastAsiaTheme="majorEastAsia"/>
              </w:rPr>
              <w:t xml:space="preserve">vní ruch přispívá k propagaci, </w:t>
            </w:r>
            <w:r w:rsidRPr="00EC2A1C">
              <w:rPr>
                <w:rFonts w:eastAsiaTheme="majorEastAsia"/>
              </w:rPr>
              <w:t>zachování a ochraně zdravého životního prostředí, případně k zachování a zhodnocení kulturně-historického dědictví.</w:t>
            </w:r>
          </w:p>
          <w:p w14:paraId="7C9C7EBB" w14:textId="77777777" w:rsidR="00391907" w:rsidRPr="00EC2A1C" w:rsidRDefault="00391907" w:rsidP="00B15ECB">
            <w:pPr>
              <w:spacing w:before="60" w:after="60"/>
              <w:rPr>
                <w:rFonts w:eastAsiaTheme="majorEastAsia"/>
              </w:rPr>
            </w:pPr>
            <w:r w:rsidRPr="00EC2A1C">
              <w:rPr>
                <w:rFonts w:eastAsiaTheme="majorEastAsia"/>
              </w:rPr>
              <w:t>Udržitelný cestovní ruch má přímou i nepřímou vazbu na specifické cíle EK pro období 2021 + i strategické cíle a priority NKR.</w:t>
            </w:r>
          </w:p>
          <w:p w14:paraId="1AB6C864" w14:textId="77777777" w:rsidR="00391907" w:rsidRPr="00EC2A1C" w:rsidRDefault="00391907" w:rsidP="00B15ECB">
            <w:pPr>
              <w:spacing w:before="60" w:after="60"/>
              <w:rPr>
                <w:rFonts w:eastAsiaTheme="majorEastAsia"/>
              </w:rPr>
            </w:pPr>
            <w:r w:rsidRPr="00EC2A1C">
              <w:rPr>
                <w:rFonts w:eastAsiaTheme="majorEastAsia"/>
              </w:rPr>
              <w:t xml:space="preserve">Svým charakterem však nejlépe odpovídá strategickému cíli Udržitelný a integrovaný rozvoj městských a venkovských oblastí. </w:t>
            </w:r>
          </w:p>
          <w:p w14:paraId="713272ED" w14:textId="77777777" w:rsidR="00391907" w:rsidRPr="00EC2A1C" w:rsidRDefault="00391907" w:rsidP="00B15ECB">
            <w:pPr>
              <w:spacing w:before="60" w:after="60"/>
              <w:rPr>
                <w:rFonts w:eastAsiaTheme="majorEastAsia"/>
              </w:rPr>
            </w:pPr>
            <w:r w:rsidRPr="00EC2A1C">
              <w:rPr>
                <w:rFonts w:eastAsiaTheme="majorEastAsia"/>
              </w:rPr>
              <w:t xml:space="preserve">Cestovní ruch je závislý na lidské činnosti a generuje širokou škálu pracovních míst (jak stálých, tak sezónních). Lidský element je ve službách cestovního ruchu základním stavebním kamenem. Cestovní ruch pracuje s emocemi a zážitky a právě interakce lidí v rámci služeb cestovního ruchu tvoří základ daného produktu. Proto i v souvislosti s rozvojem digitalizace a společnosti 4.0 bude cestovní ruch na rozdíl od jiných odvětví nadále vytvářet pracovní místa pro široké spektrum zaměstnanců. Ve službách cestovního ruchu roste poptávka po kvalifikovaných i méně kvalifikovaných pozicích. </w:t>
            </w:r>
          </w:p>
          <w:p w14:paraId="376FDCB1" w14:textId="48A9D7CD" w:rsidR="00391907" w:rsidRPr="00EC2A1C" w:rsidRDefault="00391907" w:rsidP="00B15ECB">
            <w:pPr>
              <w:spacing w:before="60" w:after="60"/>
              <w:rPr>
                <w:rFonts w:eastAsiaTheme="majorEastAsia"/>
              </w:rPr>
            </w:pPr>
            <w:r w:rsidRPr="00EC2A1C">
              <w:rPr>
                <w:rFonts w:eastAsiaTheme="majorEastAsia"/>
              </w:rPr>
              <w:t>Poznávání kulturně-historického a přírodního dědictví patří k </w:t>
            </w:r>
            <w:r w:rsidR="009617EB" w:rsidRPr="00EC2A1C">
              <w:rPr>
                <w:rFonts w:eastAsiaTheme="majorEastAsia"/>
              </w:rPr>
              <w:t>nejvýznamnějším</w:t>
            </w:r>
            <w:r w:rsidRPr="00EC2A1C">
              <w:rPr>
                <w:rFonts w:eastAsiaTheme="majorEastAsia"/>
              </w:rPr>
              <w:t xml:space="preserve"> motivacím k účasti na cestovním ruchu. Kvalita a atraktivita kulturně-historického a přírodního dědictví v regionech má přímý dopad na návštěvnost a atraktivitu destinací. Z tohoto pohledu je důležité podpořit obnovu, zpřístupnění a interpretaci nejen významných památek, ale i drobných památek dotvářejících atmosféru destinace.</w:t>
            </w:r>
          </w:p>
          <w:p w14:paraId="59725009" w14:textId="77777777" w:rsidR="00391907" w:rsidRPr="00EC2A1C" w:rsidRDefault="00391907" w:rsidP="00B15ECB">
            <w:pPr>
              <w:spacing w:before="60" w:after="60"/>
              <w:rPr>
                <w:rFonts w:eastAsiaTheme="majorEastAsia"/>
              </w:rPr>
            </w:pPr>
            <w:r w:rsidRPr="00EC2A1C">
              <w:rPr>
                <w:rFonts w:eastAsiaTheme="majorEastAsia"/>
              </w:rPr>
              <w:t>Kromě přírodního a kulturně-historického potenciálu je podmínkou rozvoje cestovního ruchu dostupnost destinací. S ohledem na principy udržitelného rozvoje je vhodné rozvíjet dostupnost destinací veřejnou dopravou, využití veřejné dopravy na cestování v destinaci. Samostatnou kapitolou je rozvoj šetrných forem turistiky (ekoturismus, agroturismus, pěší, hippo, vodní cykloturistika), využívajících nízkoemisní, případně bezemisní dopravu. Při neřešení dopravní dostupnosti může cestovní ruch vyvolat problémy spojené nejen s nárůstem dopravního zatížení v destinacích vedoucích často až ke kolapsu dopravy, tak i stupňuje problém dopravy v klidu (nedostatek parkovacích míst). Tento problém je již viditelný v řadě destinací, v exponovaných dnech (státní svátky) se pravidelně opakuje např. na Broumovsku, v poslední době je partrný i na Liberecku v souvislosti s poptávkou po běžeckém lyžování, objevuje se i v návaznosti na otevření atraktivit cestovního ruchu jako např. Stezka v oblacích. Nejedná se o setrvalý trend, při aplikaci vhodných nástrojů destinačního managementu je možné tyto problémy zmírňovat. Uvedení příkladu neznamená, že vybrané destinace nepotřebují podporu, ta je pro tyto destinace rovněž nutná, ovšem jiného zaměření. Podpora v těchto destinacích může vést k rozvoji implementace udržitelných principů cestovního ruchu, které přispějí např. k podpoře telematiky, rozvoji udržitelné dopravy, rozprostření návštěvnosti mimo exponovaná území atd. Neřešení uvedených problémů může v dlouhodobém horizontu znamenat pokles atraktivity destinace a tím i její návštěvnosti. To může v konečném důsledku vést k „nastartování“ strukturálních problémů nejen v destinaci, ale v celém regionu. Výše uvedené má však své opodstatnění i pro místní obyvatele a napomáhá udržitelného rozvoji bydlení v daném regionu. Zároveň dobrá dopravní dostupnost prostřednictvím hromadné dopravy přispívá ke zvýšení kvality života místních obyvatel. V obecné míře je nutné při plánování rozvoje cestovního ruchu místě vždy brát zřetel nejen na potřeby návštěvníků, ale zároveň zohlednit podmínky života místních obyvatel. Nežádoucím efektem cestovního ruchu je vylidňování obyvatel, kdy se z některých exponovaných lokalit vytrácí autenticita a místní obyvatele a původní řemeslníky nahrazuje komerce. Rozvoj cestovního ruchu je tedy nutné realizovat v souladu s udržitelným rozvojem místní komunity.</w:t>
            </w:r>
          </w:p>
          <w:p w14:paraId="11754C07" w14:textId="77777777" w:rsidR="00391907" w:rsidRPr="00EC2A1C" w:rsidRDefault="00391907" w:rsidP="00B15ECB">
            <w:pPr>
              <w:spacing w:before="60" w:after="60"/>
              <w:rPr>
                <w:rFonts w:eastAsiaTheme="majorEastAsia"/>
              </w:rPr>
            </w:pPr>
            <w:r w:rsidRPr="00EC2A1C">
              <w:rPr>
                <w:rFonts w:eastAsiaTheme="majorEastAsia"/>
              </w:rPr>
              <w:t xml:space="preserve">Dostupná data jsou důležitá i na podporu plánování kapacit a vytíženosti destinace při budování nových atraktivit a jsou základním kamenem pro kvalitní řízení cestovního ruchu. Nutnou podmínkou je dostupnost dat o cestovním ruchu jak na národní i regionální (krajské, případně oblastní) úrovni, za účelem sledování dlouhodobých trendů návštěvnosti v šiřším kontextu. Neméně důležitý je však i monitoring návštěvnosti přímo v jednotlivých destinacích cestovního ruchu, a to jak fyzický monitoring pohybu osob v daném území, sledování dopadů návštěvnosti, tak průzkum spotřebitelského chování návštěvníků a jejich vnímání destinace, včetně průzkumů u rezidentů pro potřeby plánování budování infrastruktury a nastavení marketingových aktivit. </w:t>
            </w:r>
          </w:p>
          <w:p w14:paraId="5BF26B74" w14:textId="77777777" w:rsidR="00391907" w:rsidRPr="00EC2A1C" w:rsidRDefault="00391907" w:rsidP="00B15ECB">
            <w:pPr>
              <w:spacing w:before="60" w:after="60"/>
              <w:rPr>
                <w:rFonts w:eastAsiaTheme="majorEastAsia"/>
              </w:rPr>
            </w:pPr>
            <w:r w:rsidRPr="00EC2A1C">
              <w:rPr>
                <w:rFonts w:eastAsiaTheme="majorEastAsia"/>
              </w:rPr>
              <w:t>Zjištění skutečné návštěvnosti destinací (měst, lokalit, regionů) zdaleka nemá význam pouze pro provozovatele zařízení či koordinátory cestovního ruchu (DMO). Tradiční zdroje informací neodráží zcela realitu a vybrané destinace pociťují problémy s „přelidněním“, ačkoliv oficiální statistiky vykazují mnohem nižší čísla, problémem je také koncentrace návštěvníků v destinacích. Souvisí to jednak s faktem, že mnoho návštěvníků často v destinacích využívá / navštěvuje pouze neplacené exteriéry. Dalším faktorem je velmi výrazný nárůst ubytování v soukromí. Ani jeden z těchto fenoménů nebyl dosud podrobně zmapován a rovněž není daný systém, podle něhož by se taková data dala sbírat a dlouhodě monitorovat. Mnoho návštěvníků se tak pro oficiální statistiky stává takřka „nezjistitelnými“, respektive nejsou monitorováni. Přitom právě oba výše uvedené trendy mohou velmi výrazně ovlivnit celkovou situaci dané destinace. Při neznalosti hlavních toků návštěvníků (množství a rozmístění lidí), kteří se v destinaci pohybují), není ani samospráva schopna důsledně a efektivně plánovat budování veřejné infrastruktury (vodovod, kanalizace, svoz odpadu, veřejná WC, parkoviště atd.). Návštěvníci výše uvedené často využívají, ačkoliv na to některé destinace nejsou kapacitně připravené. Proto se detailní průzkum návštěvnosti týká i subjektů, které primárně řeší oblast regionálního rozvoje a zároveň i místních obyvatel. Velice důležité je rovněž analyzovat dopad rozvoje cestovního ruchu na místní obyvatele/ komunitu a při strategickém plánování hledat kompromis mezi potřebami místních obyvatel a návštěvníků.</w:t>
            </w:r>
          </w:p>
          <w:p w14:paraId="7E1122D8" w14:textId="77777777" w:rsidR="00391907" w:rsidRPr="00EC2A1C" w:rsidRDefault="00391907" w:rsidP="00B15ECB">
            <w:pPr>
              <w:spacing w:before="60" w:after="60"/>
              <w:rPr>
                <w:rFonts w:eastAsiaTheme="majorEastAsia"/>
              </w:rPr>
            </w:pPr>
            <w:r w:rsidRPr="00EC2A1C">
              <w:rPr>
                <w:rFonts w:eastAsiaTheme="majorEastAsia"/>
              </w:rPr>
              <w:t xml:space="preserve">Na druhé straně je důležité rozvíjet kvalitu pracovníků v oblasti řízení cestovního ruchu i ve službách cestovního ruchu. Další vzdělávání řeší pouze stávající či ponteciální zaměstnance, nicméně rozvíjet je třeba i kvalitní a praktickou výuku již v rámci středních odborných škol a navazujícího vzdělání v rámci vyšších odborních či vysokých škol se zaměřením na cestovní ruch. Mezi hlavní aktivity by tak měla patřit realizace výzkumů i podpora vzdělávání pracovníků v cestovním ruchu. Do oblasti vzdělávání je důležité zařadit i pracovníky samosprávních celků, kteří se zabývají problematikou regionálního rozvoje a plánováním rozvoje cestovního ruchu v regionu (vzdělávací oblasti např. strategické řízení, využívání statistických dat a průzkumů atd.). </w:t>
            </w:r>
          </w:p>
          <w:p w14:paraId="7272B346" w14:textId="77777777" w:rsidR="00391907" w:rsidRPr="00EC2A1C" w:rsidRDefault="00391907" w:rsidP="00B15ECB">
            <w:pPr>
              <w:spacing w:before="60" w:after="60"/>
              <w:rPr>
                <w:rFonts w:eastAsiaTheme="majorEastAsia"/>
              </w:rPr>
            </w:pPr>
            <w:r w:rsidRPr="00EC2A1C">
              <w:rPr>
                <w:rFonts w:eastAsiaTheme="majorEastAsia"/>
              </w:rPr>
              <w:t>Významným faktorem je i adaptace na změnu klimatu. V případě dlouhodobého trendu nadprůměrných teplot v zimním období se mohou objevit problémy s udržitelností některých lyžařských středisek. Vzhledem k počtu přímo a nepřímo navázaných pracovních míst na lyžařské resorty by se omezení jejich činnosti negativně dotklo socio-ekonomického rozvoje regionů. Obdobně nedostatek vody a nízká kvalita vody ke koupání může mít negativní dopad na rozvoj letní rekreace u vody. Podpora adaptace na  změnu klimatu je zásadní pro udržení konkurenceschopnosti regionů. Na tyto skutečnosti bude muset řada destinací zareagovat např. transformací na jiný segment cestovního ruchu, což bude mít za následek i otřebu přizpůsobení infrastruktury, případně tvorbu nových produktů cestovního ruchu a rozšířením nabídky služeb tak, aby destinace byly schopné nabídnout vyžití návštěvníkům i při nepříznivých klimatických podmínkách.</w:t>
            </w:r>
          </w:p>
          <w:p w14:paraId="3554798B" w14:textId="77777777" w:rsidR="00391907" w:rsidRPr="00EC2A1C" w:rsidRDefault="00391907" w:rsidP="00B15ECB">
            <w:pPr>
              <w:spacing w:before="60" w:after="60"/>
              <w:rPr>
                <w:rFonts w:eastAsiaTheme="majorEastAsia"/>
              </w:rPr>
            </w:pPr>
            <w:r w:rsidRPr="00EC2A1C">
              <w:rPr>
                <w:rFonts w:eastAsiaTheme="majorEastAsia"/>
              </w:rPr>
              <w:t>Poskytování vybraných služeb cestovního ruchu může být velmi náročné na přírodní zdroje. Lze zmínit ubytovací a stravovací zařízení, lázeňská zařízení, wellness centra, vodní a tematické parky. V těchto zařízeních dochází k vysoké spotřebě vody, elektrické energie a realizací jejich činnosti vzniká i riziko tvorby odpadů. Proto je velmi důležité, aby i v oblasti cestovního ruchu byly důsledně prosazovány principy udržitelného rozvoje. V oblasti podnikání ve službách cestovního ruchu by mělo být provozovatelům umožněno realizovat opatření na energegické úspory, energetickou samostatnost, recyklaci a znovuvyužití zdrojů a další aktivity přispívající ke snižování energetické náročnosti a uhlíkové stopy. Do této oblasti by bylo možné i zařadit využítí nových technologií pro zasněžování lyžařských svahů a úpravy vodního režimu v lyžařských resortech.</w:t>
            </w:r>
          </w:p>
          <w:p w14:paraId="04C79FBE" w14:textId="77777777" w:rsidR="00391907" w:rsidRPr="00EC2A1C" w:rsidRDefault="00391907" w:rsidP="00B15ECB">
            <w:pPr>
              <w:spacing w:before="60" w:after="60"/>
              <w:rPr>
                <w:rFonts w:eastAsiaTheme="majorEastAsia"/>
              </w:rPr>
            </w:pPr>
            <w:r w:rsidRPr="00EC2A1C">
              <w:rPr>
                <w:rFonts w:eastAsiaTheme="majorEastAsia"/>
              </w:rPr>
              <w:t xml:space="preserve">Šetrné či udržitelné formy cestovního ruchu mají vazbu i na ochranu zdraví a zdravý životní styl, aktivním pohybem lze i rozvíjet osobnost a předcházet civilizačním chorobám. Přizpůsobení forem cestovního ruchu specifickým cílovým skupinám (např. v souvislosti se společenskými a demografickými trendy, stárnutím populace) může znamenat podporu inkluze, respektive zapojení hendikepovaných do aktivního života. Současně takto vybudovaná infrastruktura je využitelná i pro usnadnění cestovnání rodin s dětmi či seniorů nejen z řad návštěvníků, ale i místních obyvatel. </w:t>
            </w:r>
          </w:p>
          <w:p w14:paraId="7947F21E" w14:textId="77777777" w:rsidR="00391907" w:rsidRPr="00EC2A1C" w:rsidRDefault="00391907" w:rsidP="00B15ECB">
            <w:pPr>
              <w:spacing w:before="60" w:after="60"/>
              <w:rPr>
                <w:rFonts w:eastAsiaTheme="majorEastAsia"/>
              </w:rPr>
            </w:pPr>
            <w:r w:rsidRPr="00EC2A1C">
              <w:rPr>
                <w:rFonts w:eastAsiaTheme="majorEastAsia"/>
              </w:rPr>
              <w:t xml:space="preserve">Nepřímo podpora cestovního ruchu souvisí i s problematikou odstraňování ekologických zátěží a brownfieldů. Např. v návaznosti na sanaci území po těžbě nebo staré skládce může dojít k vybudování infrastruktury pro volnočasové aktivity i cestovní ruch. V tomto ohledu lze zmínit připravovaný vznik rekreačních oblastí na území rušených severočeských uhelných dolů. Rozvoj rekreačních a volnočasových aktivit má pozitivní efekt i na místní obyvatele. Zároveň je nutné zmínit, že industriální dědictví má značný potenciál pro rozvoj udržitelného cestovního ruchu. </w:t>
            </w:r>
          </w:p>
          <w:p w14:paraId="58206EA5" w14:textId="77777777" w:rsidR="00391907" w:rsidRPr="00EC2A1C" w:rsidRDefault="00391907" w:rsidP="00B15ECB">
            <w:pPr>
              <w:spacing w:before="60" w:after="60"/>
              <w:rPr>
                <w:rFonts w:eastAsiaTheme="majorEastAsia"/>
              </w:rPr>
            </w:pPr>
            <w:r w:rsidRPr="00EC2A1C">
              <w:rPr>
                <w:rFonts w:eastAsiaTheme="majorEastAsia"/>
              </w:rPr>
              <w:t xml:space="preserve">Sám o sobě může cestovní ruch bez nutného a kvalitního řízení (podpory a organizace) působit na území i destruktivním způsobem (zejména v kontextu masového cestovního ruchu), ovšem při dodržení principů udržitelného rozvoje může výrazným způsobem napomoci takřka každému typu území (metropole, aglomerace, regionální centra i venkov). Proto je nezbytné zajistit stabilní podporu i pro subjekty koordinující rozvoj cestovního ruchu v destinacích. Dále je nutné reagovat na </w:t>
            </w:r>
            <w:r w:rsidRPr="00EC2A1C">
              <w:t>zvyšující se </w:t>
            </w:r>
            <w:r w:rsidRPr="00EC2A1C">
              <w:rPr>
                <w:rFonts w:eastAsiaTheme="majorEastAsia"/>
              </w:rPr>
              <w:t xml:space="preserve">vzdělanost návštěvníků a jejich požadavky po zvyšování kvality, jedinečnosti destinací. V rámci řízení cestovního ruchu je nutné aplikovat strategické plánování, naslouchat nejen podnikatelům v oblasti cestovního ruchu, ale i místním obyvatelům, rozvíjet spolupráci nejen v rámci regionu. </w:t>
            </w:r>
          </w:p>
          <w:p w14:paraId="6F41929F" w14:textId="77777777" w:rsidR="00391907" w:rsidRPr="00EC2A1C" w:rsidRDefault="00391907" w:rsidP="00B15ECB">
            <w:pPr>
              <w:spacing w:before="60" w:after="60"/>
              <w:rPr>
                <w:u w:val="single"/>
              </w:rPr>
            </w:pPr>
            <w:r w:rsidRPr="00EC2A1C">
              <w:rPr>
                <w:rFonts w:eastAsiaTheme="majorEastAsia"/>
              </w:rPr>
              <w:t>Je vhodné, aby regiony diverzifikovaly svoji specializaci, aby např. při nástupu ekonomického oslabení a snížení poptávky po cestování z důvodu závislosti na cestovním ruchu se v regionu neprojevily strukturální problémy.</w:t>
            </w:r>
          </w:p>
        </w:tc>
        <w:tc>
          <w:tcPr>
            <w:tcW w:w="222" w:type="dxa"/>
            <w:tcBorders>
              <w:top w:val="nil"/>
              <w:bottom w:val="nil"/>
            </w:tcBorders>
            <w:shd w:val="clear" w:color="auto" w:fill="66CCFF"/>
          </w:tcPr>
          <w:p w14:paraId="41A2C011" w14:textId="77777777" w:rsidR="00391907" w:rsidRPr="00EC2A1C" w:rsidRDefault="00391907" w:rsidP="00B15ECB">
            <w:pPr>
              <w:rPr>
                <w:b/>
              </w:rPr>
            </w:pPr>
          </w:p>
        </w:tc>
      </w:tr>
      <w:tr w:rsidR="00391907" w:rsidRPr="00EC2A1C" w14:paraId="390EE7BD" w14:textId="77777777" w:rsidTr="00B15ECB">
        <w:trPr>
          <w:trHeight w:val="46"/>
        </w:trPr>
        <w:tc>
          <w:tcPr>
            <w:tcW w:w="222" w:type="dxa"/>
            <w:tcBorders>
              <w:top w:val="nil"/>
              <w:bottom w:val="nil"/>
              <w:right w:val="nil"/>
            </w:tcBorders>
            <w:shd w:val="clear" w:color="auto" w:fill="66CCFF"/>
          </w:tcPr>
          <w:p w14:paraId="2B1E246F" w14:textId="77777777" w:rsidR="00391907" w:rsidRPr="00EC2A1C" w:rsidRDefault="00391907" w:rsidP="00B15ECB">
            <w:pPr>
              <w:rPr>
                <w:b/>
              </w:rPr>
            </w:pPr>
          </w:p>
        </w:tc>
        <w:tc>
          <w:tcPr>
            <w:tcW w:w="2188" w:type="dxa"/>
            <w:tcBorders>
              <w:left w:val="nil"/>
              <w:bottom w:val="single" w:sz="4" w:space="0" w:color="auto"/>
              <w:right w:val="nil"/>
            </w:tcBorders>
            <w:shd w:val="clear" w:color="auto" w:fill="66CCFF"/>
          </w:tcPr>
          <w:p w14:paraId="3E688885" w14:textId="77777777" w:rsidR="00391907" w:rsidRPr="00EC2A1C" w:rsidRDefault="00391907" w:rsidP="00B15ECB">
            <w:pPr>
              <w:rPr>
                <w:b/>
              </w:rPr>
            </w:pPr>
          </w:p>
        </w:tc>
        <w:tc>
          <w:tcPr>
            <w:tcW w:w="7342" w:type="dxa"/>
            <w:tcBorders>
              <w:left w:val="nil"/>
              <w:bottom w:val="single" w:sz="4" w:space="0" w:color="auto"/>
              <w:right w:val="nil"/>
            </w:tcBorders>
            <w:shd w:val="clear" w:color="auto" w:fill="66CCFF"/>
          </w:tcPr>
          <w:p w14:paraId="4B4A3A1F" w14:textId="77777777" w:rsidR="00391907" w:rsidRPr="00EC2A1C" w:rsidRDefault="00391907" w:rsidP="00B15ECB">
            <w:pPr>
              <w:rPr>
                <w:b/>
              </w:rPr>
            </w:pPr>
          </w:p>
        </w:tc>
        <w:tc>
          <w:tcPr>
            <w:tcW w:w="222" w:type="dxa"/>
            <w:tcBorders>
              <w:top w:val="nil"/>
              <w:left w:val="nil"/>
              <w:bottom w:val="nil"/>
            </w:tcBorders>
            <w:shd w:val="clear" w:color="auto" w:fill="66CCFF"/>
          </w:tcPr>
          <w:p w14:paraId="79A48F00" w14:textId="77777777" w:rsidR="00391907" w:rsidRPr="00EC2A1C" w:rsidRDefault="00391907" w:rsidP="00B15ECB">
            <w:pPr>
              <w:rPr>
                <w:b/>
              </w:rPr>
            </w:pPr>
          </w:p>
        </w:tc>
      </w:tr>
      <w:tr w:rsidR="00391907" w:rsidRPr="00EC2A1C" w14:paraId="2F4CB682" w14:textId="77777777" w:rsidTr="00B15ECB">
        <w:trPr>
          <w:trHeight w:val="1274"/>
        </w:trPr>
        <w:tc>
          <w:tcPr>
            <w:tcW w:w="222" w:type="dxa"/>
            <w:tcBorders>
              <w:top w:val="nil"/>
              <w:bottom w:val="nil"/>
            </w:tcBorders>
            <w:shd w:val="clear" w:color="auto" w:fill="66CCFF"/>
          </w:tcPr>
          <w:p w14:paraId="0BDD1781"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3BDB5B2C" w14:textId="77777777" w:rsidR="00391907" w:rsidRPr="00EC2A1C" w:rsidRDefault="00391907" w:rsidP="00B15ECB">
            <w:pPr>
              <w:spacing w:before="60" w:after="60"/>
              <w:rPr>
                <w:rFonts w:eastAsiaTheme="majorEastAsia"/>
                <w:b/>
              </w:rPr>
            </w:pPr>
            <w:r w:rsidRPr="00EC2A1C">
              <w:rPr>
                <w:rFonts w:eastAsiaTheme="majorEastAsia"/>
                <w:b/>
              </w:rPr>
              <w:t>Proč je daný cíl důležitý (v kontextu oblasti i v kontextu celku)</w:t>
            </w:r>
          </w:p>
        </w:tc>
        <w:tc>
          <w:tcPr>
            <w:tcW w:w="7342" w:type="dxa"/>
            <w:tcBorders>
              <w:bottom w:val="single" w:sz="4" w:space="0" w:color="auto"/>
            </w:tcBorders>
            <w:shd w:val="clear" w:color="auto" w:fill="FFFFFF" w:themeFill="background1"/>
          </w:tcPr>
          <w:p w14:paraId="6945805F" w14:textId="77777777" w:rsidR="00391907" w:rsidRPr="00EC2A1C" w:rsidRDefault="00391907" w:rsidP="00B15ECB">
            <w:pPr>
              <w:spacing w:before="60" w:after="60"/>
              <w:rPr>
                <w:rFonts w:eastAsiaTheme="majorEastAsia"/>
                <w:i/>
                <w:u w:val="single"/>
              </w:rPr>
            </w:pPr>
            <w:r w:rsidRPr="00EC2A1C">
              <w:rPr>
                <w:rFonts w:eastAsiaTheme="majorEastAsia"/>
              </w:rPr>
              <w:t>Cestovní ruch je významný socio-ekonomický faktor z národního i regionálního pohledu. Dle aktuálních údajů Satelitního účtu cestovního ruchu</w:t>
            </w:r>
            <w:r w:rsidRPr="00EC2A1C">
              <w:rPr>
                <w:rStyle w:val="Znakapoznpodarou"/>
                <w:rFonts w:eastAsiaTheme="majorEastAsia"/>
              </w:rPr>
              <w:footnoteReference w:id="60"/>
            </w:r>
            <w:r w:rsidRPr="00EC2A1C">
              <w:rPr>
                <w:rFonts w:eastAsiaTheme="majorEastAsia"/>
              </w:rPr>
              <w:t xml:space="preserve"> se podíl cestovního ruchu na HDP ČR nachází na úrovni 2,8 %, nicméně v absolutní výši se zvýšil o 7 % na 126,3 mld. Kč. Podíl cestovního ruchu na celkové zaměstnanosti zůstal v roce 2015 stejný, jako v předchozím roce (4,4 %) a celkový počet zaměstnaných v cestovním ruchu činil přes 227 tis. osob, což bylo meziročně o 1 % více (poslední dostupná data z 31. 3. 2017). Z počtu 228 tisíc osob zaměstnaných v cestovním ruchu tvořili 82 % zaměstnanci (186 tis.) a 18 % „sebezaměstnané“ osoby (41 tis.). Podíl cestovního ruchu na celkové zaměstnanosti v národním hospodářství činí dle modulu zaměstnanosti cca 4,5 %. V oblasti cestovního ruchu nejvíce osob pracuje ve stravování a pohostinství (téměř 70 tisíc osob), v ubytovacích službách (téměř 40 tis.) a v cestovních kancelářích a agenturách (téměř 13 tis. osob). Dalších téměř 60 tisíc osob bylo zaměstnáno v odvětvích souvisejících s cestovním ruchem – např. výroba map a upomínkových předmětů, obchodní činnosti, osobní doprava a telekomunikace. V cestovním ruchu pracovalo o 15 tisíc více žen než mužů, přes 83 % zaměstnaných osob mělo středoškolské a každý desátý vysokoškolské vzdělání. Z celkového počtu osob pracujících v cestovním ruchu byly 4 % nerezidentů. Z dlouhodobého hlediska je odvětví cestovního ruchu, respektive jeho podpora z veřejných zdrojů, podfinancována. Jeho rozvoj je složitý i z hlediska struktury „hybatelů odvětví“, cestovní ruch je sice do značné míry komerční záležitostí, ale jeho základ tvoří infrastruktura/ atraktivity, které jsou často ve veřejném vlastnictví. Hnacím motorem rozvoje spolupráce v oblasti cestovního ruchu navíc často bývají nestátní neziskové organizace (DMO), jejichž role je vrámci koordinací aktivit rozvoje nezastupitelná. S ohledem na průřezový charakter cestovního ruchu a jeho multiplikační efekty poskytování služeb cestovního ruchu vyvolává poptávku po dalších službách. Při započtení multiplikačních efektů cestovní ruch přímo a nepří vytváří cca 6 % HDP a 10 % zaměstnanosti. V regionech tak může cestovní ruch představovat významného zaměstnavatele s požadavkem na široký rozsah kvalifikovaných i nekvalifikovaných služeb. Omezení výkonnosti cestovního ruchu by v řadě destinací znamenalo pokles zaměstnanosti, omezení efektivity vynaložených investic, vysidlování lidí za prací i např. omezení prostředků na obnovu infrastruktury a vybavenosti regionu. </w:t>
            </w:r>
          </w:p>
        </w:tc>
        <w:tc>
          <w:tcPr>
            <w:tcW w:w="222" w:type="dxa"/>
            <w:tcBorders>
              <w:top w:val="nil"/>
              <w:bottom w:val="nil"/>
            </w:tcBorders>
            <w:shd w:val="clear" w:color="auto" w:fill="66CCFF"/>
          </w:tcPr>
          <w:p w14:paraId="7448FE32" w14:textId="77777777" w:rsidR="00391907" w:rsidRPr="00EC2A1C" w:rsidRDefault="00391907" w:rsidP="00B15ECB">
            <w:pPr>
              <w:rPr>
                <w:b/>
              </w:rPr>
            </w:pPr>
          </w:p>
        </w:tc>
      </w:tr>
      <w:tr w:rsidR="00391907" w:rsidRPr="00EC2A1C" w14:paraId="175E13A3" w14:textId="77777777" w:rsidTr="00B15ECB">
        <w:trPr>
          <w:trHeight w:val="1274"/>
        </w:trPr>
        <w:tc>
          <w:tcPr>
            <w:tcW w:w="222" w:type="dxa"/>
            <w:tcBorders>
              <w:top w:val="nil"/>
              <w:bottom w:val="nil"/>
            </w:tcBorders>
            <w:shd w:val="clear" w:color="auto" w:fill="66CCFF"/>
          </w:tcPr>
          <w:p w14:paraId="2D0253E6"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4D595AA6" w14:textId="77777777" w:rsidR="00391907" w:rsidRPr="00EC2A1C" w:rsidRDefault="00391907" w:rsidP="00B15ECB">
            <w:pPr>
              <w:spacing w:before="60" w:after="60"/>
              <w:rPr>
                <w:rFonts w:eastAsiaTheme="majorEastAsia"/>
                <w:b/>
              </w:rPr>
            </w:pPr>
            <w:r w:rsidRPr="00EC2A1C">
              <w:rPr>
                <w:rFonts w:eastAsiaTheme="majorEastAsia"/>
                <w:b/>
              </w:rPr>
              <w:t xml:space="preserve">Problémy, které specifický cíl řeší </w:t>
            </w:r>
          </w:p>
        </w:tc>
        <w:tc>
          <w:tcPr>
            <w:tcW w:w="7342" w:type="dxa"/>
            <w:tcBorders>
              <w:bottom w:val="single" w:sz="4" w:space="0" w:color="auto"/>
            </w:tcBorders>
            <w:shd w:val="clear" w:color="auto" w:fill="FFFFFF" w:themeFill="background1"/>
          </w:tcPr>
          <w:p w14:paraId="77F75FB4" w14:textId="77777777" w:rsidR="00391907" w:rsidRPr="00EC2A1C" w:rsidRDefault="00391907" w:rsidP="00B15ECB">
            <w:pPr>
              <w:spacing w:before="60" w:after="60"/>
              <w:rPr>
                <w:rFonts w:eastAsiaTheme="majorEastAsia"/>
              </w:rPr>
            </w:pPr>
            <w:r w:rsidRPr="00EC2A1C">
              <w:rPr>
                <w:rFonts w:eastAsiaTheme="majorEastAsia"/>
              </w:rPr>
              <w:t>Opatření udržitelného cestovního ruchu mohou přispět k řešení následujících problémů:</w:t>
            </w:r>
          </w:p>
          <w:p w14:paraId="681F6E94"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Vysoká spotřeba vody v provozovnách cestovního ruchu</w:t>
            </w:r>
          </w:p>
          <w:p w14:paraId="18E21D14"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 xml:space="preserve">Vysoká energetická náročnost budov využívaných v cestovním ruchu (provozovny, atraktivity) </w:t>
            </w:r>
          </w:p>
          <w:p w14:paraId="35823EAA"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Vysoký objem komunálního odpadu z provozoven cestovního ruchu</w:t>
            </w:r>
          </w:p>
          <w:p w14:paraId="60AAD4A6"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Špatná kvalita ovzduší způsobená výfukovými plyny</w:t>
            </w:r>
          </w:p>
          <w:p w14:paraId="14ACDCCB"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Nárůst objemu individuální automobilové dopravy v regionech (zácpy, nedostatek parkovacích míst atd.)</w:t>
            </w:r>
          </w:p>
          <w:p w14:paraId="469F0E38"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 xml:space="preserve">Nízké pracovní uplatnění absolventů vzdělávacích </w:t>
            </w:r>
            <w:r w:rsidRPr="00EC2A1C">
              <w:t>oborů ve</w:t>
            </w:r>
            <w:r w:rsidRPr="00EC2A1C">
              <w:rPr>
                <w:rFonts w:eastAsiaTheme="majorEastAsia"/>
              </w:rPr>
              <w:t xml:space="preserve">  vybraných oblastech cestovním ruchu (management, marketing)</w:t>
            </w:r>
          </w:p>
          <w:p w14:paraId="5EF15634"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Nízká kvalita zaměstnanců ve službách cestovního ruchu</w:t>
            </w:r>
          </w:p>
          <w:p w14:paraId="6B84FD40"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Nízká konkurenceschopnost podnikatelů v oblasti cestovního ruchu vlivem nízkého využití smart technologií a inovací</w:t>
            </w:r>
          </w:p>
          <w:p w14:paraId="67F483D2"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Nerovnoměrná koncentrace návštěvníků v destinacích</w:t>
            </w:r>
          </w:p>
          <w:p w14:paraId="2A720DFF"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Chybějící veřejná infrastruktura pro udržitelné formy cestovního ruchu (nedostatečné propojení území pomocí tras a stezek bezmotorové dopravy)</w:t>
            </w:r>
          </w:p>
          <w:p w14:paraId="748FA907"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 xml:space="preserve">Absence statistických dat v oblasti cestovního ruchu </w:t>
            </w:r>
          </w:p>
          <w:p w14:paraId="465476FD"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Absence stabilního výzkumného pracoviště pro potřeby udržitelného rozvoje cestovního ruchu</w:t>
            </w:r>
          </w:p>
          <w:p w14:paraId="3165B515"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Absence systému návštěvnického managementu v destinacích</w:t>
            </w:r>
          </w:p>
          <w:p w14:paraId="25E0B30F"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Absence systematického marketingu nabídky udržitelného cestovního ruchu</w:t>
            </w:r>
          </w:p>
          <w:p w14:paraId="3842046A"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Nevyužitý potenciál brownfieldů</w:t>
            </w:r>
          </w:p>
          <w:p w14:paraId="57B038AA"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 xml:space="preserve">Nedostatek pracovních míst na venkově </w:t>
            </w:r>
          </w:p>
          <w:p w14:paraId="1E7AA9A7"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Vysidlování venkova v rámci příhraničí a vnitřních periferií</w:t>
            </w:r>
          </w:p>
          <w:p w14:paraId="62CB219D" w14:textId="3552596D"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 xml:space="preserve">Malá nabídka pracovních míst pro </w:t>
            </w:r>
            <w:r w:rsidR="00D26473" w:rsidRPr="00EC2A1C">
              <w:rPr>
                <w:rFonts w:eastAsiaTheme="majorEastAsia"/>
              </w:rPr>
              <w:t>handicapované</w:t>
            </w:r>
            <w:r w:rsidRPr="00EC2A1C">
              <w:rPr>
                <w:rFonts w:eastAsiaTheme="majorEastAsia"/>
              </w:rPr>
              <w:t xml:space="preserve"> a sociální znevýhodněné osoby</w:t>
            </w:r>
          </w:p>
          <w:p w14:paraId="25D57BD9"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 xml:space="preserve">Špatná prostupnost krajiny, </w:t>
            </w:r>
          </w:p>
          <w:p w14:paraId="09FCF852" w14:textId="515CD692" w:rsidR="00391907" w:rsidRPr="00EC2A1C" w:rsidRDefault="00391907" w:rsidP="00B15ECB">
            <w:pPr>
              <w:spacing w:before="60" w:after="60"/>
              <w:rPr>
                <w:rFonts w:eastAsiaTheme="majorEastAsia"/>
              </w:rPr>
            </w:pPr>
            <w:r w:rsidRPr="00EC2A1C">
              <w:rPr>
                <w:rFonts w:eastAsiaTheme="majorEastAsia"/>
              </w:rPr>
              <w:t xml:space="preserve">Komentář: Špatně řízený rozvoj cestovního ruchu jak na lokální, tak na národní úrovni, může kromě nenávratného poškození životního prostředí, kulturních nebo technických památek destinace znamenat i dopady na kvalitu života v regionu, pokles zaměstnanosti, vysidlování rezidentů za klidem nebo prací, obecně zhoršení kvality života místních obyvatel, pro něž </w:t>
            </w:r>
            <w:r w:rsidR="00D26473" w:rsidRPr="00EC2A1C">
              <w:rPr>
                <w:rFonts w:eastAsiaTheme="majorEastAsia"/>
              </w:rPr>
              <w:t xml:space="preserve">se návštěvníci stávají zátěží, </w:t>
            </w:r>
            <w:r w:rsidRPr="00EC2A1C">
              <w:rPr>
                <w:rFonts w:eastAsiaTheme="majorEastAsia"/>
              </w:rPr>
              <w:t xml:space="preserve">a další. Důležitá je tedy i podpora </w:t>
            </w:r>
            <w:r w:rsidR="00D26473" w:rsidRPr="00EC2A1C">
              <w:rPr>
                <w:rFonts w:eastAsiaTheme="majorEastAsia"/>
              </w:rPr>
              <w:t>profesionálně</w:t>
            </w:r>
            <w:r w:rsidRPr="00EC2A1C">
              <w:rPr>
                <w:rFonts w:eastAsiaTheme="majorEastAsia"/>
              </w:rPr>
              <w:t xml:space="preserve"> řízených DMO, které </w:t>
            </w:r>
            <w:r w:rsidR="00D26473" w:rsidRPr="00EC2A1C">
              <w:rPr>
                <w:rFonts w:eastAsiaTheme="majorEastAsia"/>
              </w:rPr>
              <w:t>usměrňují</w:t>
            </w:r>
            <w:r w:rsidRPr="00EC2A1C">
              <w:rPr>
                <w:rFonts w:eastAsiaTheme="majorEastAsia"/>
              </w:rPr>
              <w:t xml:space="preserve"> rozvoj cestovního ruchu v destinacích. Za tímto účelem MMR v únoru 2018 spustilo Kategorizaci organizací DMO, která je součástí Českého systému kvality služeb. Pro získání certifikátu musí daná organizace prokázat spektrum vykonávaných činností a výkonnost území z hlediska lůžkové kapacity a počtu přenocování</w:t>
            </w:r>
            <w:r w:rsidRPr="00EC2A1C">
              <w:rPr>
                <w:rStyle w:val="Znakapoznpodarou"/>
                <w:rFonts w:eastAsiaTheme="majorEastAsia"/>
              </w:rPr>
              <w:footnoteReference w:id="61"/>
            </w:r>
            <w:r w:rsidRPr="00EC2A1C">
              <w:rPr>
                <w:rFonts w:eastAsiaTheme="majorEastAsia"/>
              </w:rPr>
              <w:t>, zavádění prvků strategického řízení, rozvoje partnerství v regionu, sledování výkonnosti a dalších aktivit, které jsou popsány v dokumentu Technický předklad Kategorizace organizací destinačního managementu. DMO mají nejčastěji neziskový charakter, i jejich aktivity z části odpovídají veřejné službě (zejména celkový marketing destinace, realizace podpůrných činností, informační činnost). DMO z realizace své hlavní činnosti negeneruje žádné přímé tržby, v českých podmínkách jsou financované prostřednictvím členských poplatků a dotací. Zejména na lokální a oblastní úrovni se dlouhodobě často potýkají s nedostatkem finančních prostředků jak na realizaci marketingových a výzkumných aktivit, tak na zajištění provozu, jako takového. Problém financování provozních výdajů není úkolem dotační politiku EU a je řešen na národní úrovni, nicméně vzhledem k významu DMO pro rozvoj cestovního ruchu v destinacích je třeba jej zmínit. Vzhledem k významu DMO na rozvoji regionálních destinací je vhodné podpořit prostřednictvím dotační politiky EU jejich strategickou, řídící a výzkumnou činnost.</w:t>
            </w:r>
          </w:p>
          <w:p w14:paraId="4B8C6215" w14:textId="77777777" w:rsidR="00391907" w:rsidRPr="00EC2A1C" w:rsidRDefault="00391907" w:rsidP="00B15ECB">
            <w:pPr>
              <w:spacing w:before="60" w:after="60"/>
              <w:rPr>
                <w:rFonts w:eastAsiaTheme="majorEastAsia"/>
              </w:rPr>
            </w:pPr>
            <w:r w:rsidRPr="00EC2A1C">
              <w:rPr>
                <w:rFonts w:eastAsiaTheme="majorEastAsia"/>
              </w:rPr>
              <w:t>Principy a opatření udržitelného cestovního ruchu by měly být realizovány kontinuálně na celém území ČR, i v tom spočívá role DMO. Evropská komise za účelem monitoringu a řízení udržitelného rozvoje cestovního ruchu v destinacích vytvořila ETIS</w:t>
            </w:r>
            <w:r w:rsidRPr="00EC2A1C">
              <w:rPr>
                <w:rStyle w:val="Znakapoznpodarou"/>
                <w:rFonts w:eastAsiaTheme="majorEastAsia"/>
              </w:rPr>
              <w:footnoteReference w:id="62"/>
            </w:r>
            <w:r w:rsidRPr="00EC2A1C">
              <w:rPr>
                <w:rFonts w:eastAsiaTheme="majorEastAsia"/>
              </w:rPr>
              <w:t xml:space="preserve"> (European Tourism Indicators System for sustainable destination management), systém 43 indikátorů. Jeho implementace v České republice, respektive v destinacích je dosud spíše výjimečná. Často z důvodu nedostatečného finančního krytí. Destinace by se měly rozvíjet v návaznosti na potenciál, jeho využití, limity i potřeby rezidentů. Na jedné straně realizace opatření udržitelného cestovního ruchu podporují rozvoj území a na druhé straně v případě exponovaných míst brání znehodnocení potenciálu daného místa. Díky opatřením udržitelného cestovního ruchu mohou být dané lokality uchovány i pro budoucí generace a zároveň se eliminuje možný negativní dopad na místní obyvatele a životní prostředí. I proto je třeba klást důraz na tvorbu veřejné i podnikatelské infrastruktury cestovního ruchu v souladu s rozvojovými strategickými dokumenty daného území. Specificky v oblasti tvorby a značení turistických tras musí být realizace zajištěna ve spolupráci s Klubem českých turistů. KČT je nositelem/ gestorem ČSN normy pro značení turistických tras a je tedy garantem kvality zpracování. </w:t>
            </w:r>
          </w:p>
          <w:p w14:paraId="62DCE7F4" w14:textId="77777777" w:rsidR="00391907" w:rsidRPr="00EC2A1C" w:rsidRDefault="00391907" w:rsidP="00B15ECB">
            <w:pPr>
              <w:spacing w:before="60" w:after="60"/>
              <w:rPr>
                <w:rFonts w:eastAsiaTheme="majorEastAsia"/>
              </w:rPr>
            </w:pPr>
            <w:r w:rsidRPr="00EC2A1C">
              <w:rPr>
                <w:rFonts w:eastAsiaTheme="majorEastAsia"/>
              </w:rPr>
              <w:t xml:space="preserve">Důsledky masového cestovního ruchu již začínají být patrné i v některých oblíbených destinacích cestovního ruchu v České republice. </w:t>
            </w:r>
          </w:p>
          <w:p w14:paraId="4FBB70E7" w14:textId="77777777" w:rsidR="00391907" w:rsidRPr="00EC2A1C" w:rsidRDefault="00391907" w:rsidP="00B15ECB">
            <w:pPr>
              <w:spacing w:before="60" w:after="60"/>
              <w:rPr>
                <w:rFonts w:eastAsiaTheme="majorEastAsia"/>
              </w:rPr>
            </w:pPr>
            <w:r w:rsidRPr="00EC2A1C">
              <w:rPr>
                <w:rFonts w:eastAsiaTheme="majorEastAsia"/>
              </w:rPr>
              <w:t>V celkovém kontextu realizace opatření může pomoci v následujících oblastech:</w:t>
            </w:r>
          </w:p>
          <w:p w14:paraId="64E73205" w14:textId="77777777" w:rsidR="00391907" w:rsidRPr="00EC2A1C" w:rsidRDefault="00391907" w:rsidP="00B15ECB">
            <w:pPr>
              <w:spacing w:before="60" w:after="60"/>
              <w:rPr>
                <w:rFonts w:eastAsiaTheme="majorEastAsia"/>
              </w:rPr>
            </w:pPr>
            <w:r w:rsidRPr="00EC2A1C">
              <w:rPr>
                <w:rFonts w:eastAsiaTheme="majorEastAsia"/>
              </w:rPr>
              <w:t>Ochrana životního prostředí: obnova prostupnosti krajiny, podpora ekologických způsobů dopravy, rozvoj nízkoemisní dopravy, využívání OZE v provozovnách služeb cestovního ruchu, rozvoj třídění komunálního odpadů, využití bioodpadu, snížení úniku tepla z budov.</w:t>
            </w:r>
          </w:p>
          <w:p w14:paraId="1476DD6F" w14:textId="77777777" w:rsidR="00391907" w:rsidRPr="00EC2A1C" w:rsidRDefault="00391907" w:rsidP="00B15ECB">
            <w:pPr>
              <w:spacing w:before="60" w:after="60"/>
              <w:rPr>
                <w:rFonts w:eastAsiaTheme="majorEastAsia"/>
              </w:rPr>
            </w:pPr>
            <w:r w:rsidRPr="00EC2A1C">
              <w:rPr>
                <w:rFonts w:eastAsiaTheme="majorEastAsia"/>
              </w:rPr>
              <w:t xml:space="preserve">Vzdělávání a zaměstnanost: rozvoj kvalifikace zaměstnanců i uchazečů o práci, včetně rozvoje odborného vzdělávání v rámci středních, vyšších a vysokých škol se zaměřením na cestovní ruch, příspěvek k sociálnímu začleňování zaměstnáváním znevýhodněných osob, rozšíření portfolia pracovních míst v oblasti služeb, cestovní ruch je obecně odvětvím s vysokým procentem zaměstnaných žen, tedy příspěvek k genderové politice. </w:t>
            </w:r>
          </w:p>
          <w:p w14:paraId="2F19A937" w14:textId="77777777" w:rsidR="00391907" w:rsidRPr="00EC2A1C" w:rsidRDefault="00391907" w:rsidP="00B15ECB">
            <w:pPr>
              <w:rPr>
                <w:rFonts w:eastAsiaTheme="majorEastAsia"/>
              </w:rPr>
            </w:pPr>
            <w:r w:rsidRPr="00EC2A1C">
              <w:rPr>
                <w:rFonts w:eastAsiaTheme="majorEastAsia"/>
              </w:rPr>
              <w:t xml:space="preserve">Rovněž může přispět k rozvoji podnikatelské kultury v České republice (většina podniků v oblasti CR spadá do kategorie MSP). Rozvoj cestovního ruchu má prokazatelný vliv na oživení kulturních a technických památek a zároveň při dodržení principů udržitelnosti napomáhá k jejich revitalizaci a uchování pro budoucí generace. </w:t>
            </w:r>
          </w:p>
        </w:tc>
        <w:tc>
          <w:tcPr>
            <w:tcW w:w="222" w:type="dxa"/>
            <w:tcBorders>
              <w:top w:val="nil"/>
              <w:bottom w:val="nil"/>
            </w:tcBorders>
            <w:shd w:val="clear" w:color="auto" w:fill="66CCFF"/>
          </w:tcPr>
          <w:p w14:paraId="067D7E2C" w14:textId="77777777" w:rsidR="00391907" w:rsidRPr="00EC2A1C" w:rsidRDefault="00391907" w:rsidP="00B15ECB">
            <w:pPr>
              <w:rPr>
                <w:b/>
              </w:rPr>
            </w:pPr>
          </w:p>
        </w:tc>
      </w:tr>
      <w:tr w:rsidR="00391907" w:rsidRPr="00EC2A1C" w14:paraId="63884CC5" w14:textId="77777777" w:rsidTr="00B15ECB">
        <w:trPr>
          <w:trHeight w:val="1274"/>
        </w:trPr>
        <w:tc>
          <w:tcPr>
            <w:tcW w:w="222" w:type="dxa"/>
            <w:tcBorders>
              <w:top w:val="nil"/>
              <w:bottom w:val="nil"/>
            </w:tcBorders>
            <w:shd w:val="clear" w:color="auto" w:fill="66CCFF"/>
          </w:tcPr>
          <w:p w14:paraId="0F2409CB"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74985F59" w14:textId="77777777" w:rsidR="00391907" w:rsidRPr="00EC2A1C" w:rsidRDefault="00391907" w:rsidP="00B15ECB">
            <w:pPr>
              <w:spacing w:before="60" w:after="60"/>
              <w:rPr>
                <w:rFonts w:eastAsiaTheme="majorEastAsia"/>
                <w:b/>
              </w:rPr>
            </w:pPr>
            <w:r w:rsidRPr="00EC2A1C">
              <w:rPr>
                <w:rFonts w:eastAsiaTheme="majorEastAsia"/>
                <w:b/>
              </w:rPr>
              <w:t>Definice cíle – změny, které chceme dosáhnout</w:t>
            </w:r>
          </w:p>
          <w:p w14:paraId="148ED8CA"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471F6FCF" w14:textId="77777777" w:rsidR="00391907" w:rsidRPr="00EC2A1C" w:rsidRDefault="00391907" w:rsidP="00B15ECB">
            <w:pPr>
              <w:spacing w:before="60" w:after="60"/>
            </w:pPr>
          </w:p>
          <w:p w14:paraId="1C113B68" w14:textId="77777777" w:rsidR="00391907" w:rsidRPr="00EC2A1C" w:rsidRDefault="00391907" w:rsidP="00391907">
            <w:pPr>
              <w:pStyle w:val="Odstavecseseznamem"/>
              <w:numPr>
                <w:ilvl w:val="0"/>
                <w:numId w:val="150"/>
              </w:numPr>
              <w:spacing w:before="60" w:after="60"/>
              <w:jc w:val="both"/>
            </w:pPr>
            <w:r w:rsidRPr="00EC2A1C">
              <w:t>Zvýšení kvality životního prostředí a života obyvatel v regionech ČR</w:t>
            </w:r>
          </w:p>
          <w:p w14:paraId="5C20CB23" w14:textId="77777777" w:rsidR="00391907" w:rsidRPr="00EC2A1C" w:rsidRDefault="00391907" w:rsidP="00391907">
            <w:pPr>
              <w:pStyle w:val="Odstavecseseznamem"/>
              <w:numPr>
                <w:ilvl w:val="0"/>
                <w:numId w:val="150"/>
              </w:numPr>
              <w:spacing w:before="60" w:after="60"/>
              <w:jc w:val="both"/>
            </w:pPr>
            <w:r w:rsidRPr="00EC2A1C">
              <w:t xml:space="preserve">Zvýšení využití OZE a omezení tvorby komunálního odpadu, </w:t>
            </w:r>
          </w:p>
          <w:p w14:paraId="711DED0E" w14:textId="77777777" w:rsidR="00391907" w:rsidRPr="00EC2A1C" w:rsidRDefault="00391907" w:rsidP="00391907">
            <w:pPr>
              <w:pStyle w:val="Odstavecseseznamem"/>
              <w:numPr>
                <w:ilvl w:val="0"/>
                <w:numId w:val="150"/>
              </w:numPr>
              <w:spacing w:before="60" w:after="60"/>
              <w:jc w:val="both"/>
            </w:pPr>
            <w:r w:rsidRPr="00EC2A1C">
              <w:t>Snížení energetické náročnosti provozoven ve službách cestovního ruchu</w:t>
            </w:r>
          </w:p>
          <w:p w14:paraId="241C2F25" w14:textId="77777777" w:rsidR="00391907" w:rsidRPr="00EC2A1C" w:rsidRDefault="00391907" w:rsidP="00391907">
            <w:pPr>
              <w:pStyle w:val="Odstavecseseznamem"/>
              <w:numPr>
                <w:ilvl w:val="0"/>
                <w:numId w:val="150"/>
              </w:numPr>
              <w:spacing w:before="60" w:after="60"/>
              <w:jc w:val="both"/>
            </w:pPr>
            <w:r w:rsidRPr="00EC2A1C">
              <w:t xml:space="preserve">Tvorba pracovních míst ve službách v regionech ČR (včetně míst pro znevýhodněné skupiny obyvatel) </w:t>
            </w:r>
          </w:p>
          <w:p w14:paraId="6849580F" w14:textId="77777777" w:rsidR="00391907" w:rsidRPr="00EC2A1C" w:rsidRDefault="00391907" w:rsidP="00391907">
            <w:pPr>
              <w:pStyle w:val="Odstavecseseznamem"/>
              <w:numPr>
                <w:ilvl w:val="0"/>
                <w:numId w:val="150"/>
              </w:numPr>
              <w:spacing w:before="60" w:after="60"/>
              <w:jc w:val="both"/>
            </w:pPr>
            <w:r w:rsidRPr="00EC2A1C">
              <w:t>Eliminace negativních vlivů masového cestovního ruchu v ČR (dle lokálních specifik problémů)</w:t>
            </w:r>
          </w:p>
          <w:p w14:paraId="60C42B70" w14:textId="77777777" w:rsidR="00391907" w:rsidRPr="00EC2A1C" w:rsidRDefault="00391907" w:rsidP="00391907">
            <w:pPr>
              <w:pStyle w:val="Odstavecseseznamem"/>
              <w:numPr>
                <w:ilvl w:val="0"/>
                <w:numId w:val="150"/>
              </w:numPr>
              <w:spacing w:before="60" w:after="60"/>
              <w:jc w:val="both"/>
            </w:pPr>
            <w:r w:rsidRPr="00EC2A1C">
              <w:t>Zvýšení kvalifikace absolventů, zaměstnanců a uchazečů práce v oblasti CR.</w:t>
            </w:r>
          </w:p>
          <w:p w14:paraId="60C3486B" w14:textId="77777777" w:rsidR="00391907" w:rsidRPr="00EC2A1C" w:rsidRDefault="00391907" w:rsidP="00391907">
            <w:pPr>
              <w:pStyle w:val="Odstavecseseznamem"/>
              <w:numPr>
                <w:ilvl w:val="0"/>
                <w:numId w:val="150"/>
              </w:numPr>
              <w:spacing w:before="60" w:after="60"/>
              <w:jc w:val="both"/>
            </w:pPr>
            <w:r w:rsidRPr="00EC2A1C">
              <w:t>Dotvoření a rozvoj veřejné infrastruktury cestovního ruchu s akcentem na rekreační využití i pro místní, respektive obyvatele daného regionu.</w:t>
            </w:r>
          </w:p>
          <w:p w14:paraId="3EBE1DD1" w14:textId="77777777" w:rsidR="00391907" w:rsidRPr="00EC2A1C" w:rsidRDefault="00391907" w:rsidP="00391907">
            <w:pPr>
              <w:pStyle w:val="Odstavecseseznamem"/>
              <w:numPr>
                <w:ilvl w:val="0"/>
                <w:numId w:val="150"/>
              </w:numPr>
              <w:spacing w:before="60" w:after="60"/>
              <w:jc w:val="both"/>
            </w:pPr>
            <w:r w:rsidRPr="00EC2A1C">
              <w:t>Rozvoj nabídky šetrných forem cestovního ruchu (agroturismus, ekoturismus, pěší turistika, cykloturistika, lyžařská turistika, vodní turistika, hippoturistika a jiné)</w:t>
            </w:r>
          </w:p>
          <w:p w14:paraId="1E8AB8D0" w14:textId="77777777" w:rsidR="00391907" w:rsidRPr="00EC2A1C" w:rsidRDefault="00391907" w:rsidP="00391907">
            <w:pPr>
              <w:pStyle w:val="Odstavecseseznamem"/>
              <w:numPr>
                <w:ilvl w:val="0"/>
                <w:numId w:val="150"/>
              </w:numPr>
              <w:spacing w:before="60" w:after="60"/>
              <w:jc w:val="both"/>
            </w:pPr>
            <w:r w:rsidRPr="00EC2A1C">
              <w:t>Vytvoření systematické marketingové prezentace nabídky udržitelného cestovního ruchu v ČR</w:t>
            </w:r>
          </w:p>
          <w:p w14:paraId="4AE0CDE4" w14:textId="77777777" w:rsidR="00391907" w:rsidRPr="00EC2A1C" w:rsidRDefault="00391907" w:rsidP="00391907">
            <w:pPr>
              <w:pStyle w:val="Odstavecseseznamem"/>
              <w:numPr>
                <w:ilvl w:val="0"/>
                <w:numId w:val="150"/>
              </w:numPr>
              <w:spacing w:before="60" w:after="60"/>
              <w:jc w:val="both"/>
            </w:pPr>
            <w:r w:rsidRPr="00EC2A1C">
              <w:t>Koordinace výzkumů v cestovním ruchu, realizace výzkumých úkolů pro potřeby udržitelného rozvoje cestovního ruchu, případně vytvoření výzkumného pracoviště pro potřeby udržitelného cestovního ruchu</w:t>
            </w:r>
          </w:p>
          <w:p w14:paraId="2D4784DD" w14:textId="77777777" w:rsidR="00391907" w:rsidRPr="00EC2A1C" w:rsidRDefault="00391907" w:rsidP="00391907">
            <w:pPr>
              <w:pStyle w:val="Odstavecseseznamem"/>
              <w:numPr>
                <w:ilvl w:val="0"/>
                <w:numId w:val="150"/>
              </w:numPr>
              <w:spacing w:before="60" w:after="60"/>
              <w:jc w:val="both"/>
            </w:pPr>
            <w:r w:rsidRPr="00EC2A1C">
              <w:t>Realizace statistických a marketingových šetření pro potřeby rozvoje udržitelného cestovního ruchu v ČR.</w:t>
            </w:r>
          </w:p>
          <w:p w14:paraId="2BC0CE61" w14:textId="77777777" w:rsidR="00391907" w:rsidRPr="00EC2A1C" w:rsidRDefault="00391907" w:rsidP="00391907">
            <w:pPr>
              <w:pStyle w:val="Odstavecseseznamem"/>
              <w:numPr>
                <w:ilvl w:val="0"/>
                <w:numId w:val="150"/>
              </w:numPr>
              <w:spacing w:before="60" w:after="60"/>
              <w:jc w:val="both"/>
            </w:pPr>
            <w:r w:rsidRPr="00EC2A1C">
              <w:t>Zavedení principů udržitelného návštěvnického managementu v destinacích cestovního ruchu České republiky prostřednictvím certifikovaných DMO</w:t>
            </w:r>
          </w:p>
          <w:p w14:paraId="1EBA2CA4" w14:textId="77777777" w:rsidR="00391907" w:rsidRPr="00EC2A1C" w:rsidRDefault="00391907" w:rsidP="00391907">
            <w:pPr>
              <w:pStyle w:val="Odstavecseseznamem"/>
              <w:numPr>
                <w:ilvl w:val="0"/>
                <w:numId w:val="150"/>
              </w:numPr>
              <w:spacing w:before="60" w:after="60"/>
              <w:jc w:val="both"/>
            </w:pPr>
            <w:r w:rsidRPr="00EC2A1C">
              <w:t xml:space="preserve"> Zavedení indikátorů pro sledování dopadů cestovního ruchu (např. indikátory ETIS)</w:t>
            </w:r>
          </w:p>
          <w:p w14:paraId="674F5B67" w14:textId="77777777" w:rsidR="00391907" w:rsidRPr="00EC2A1C" w:rsidRDefault="00391907" w:rsidP="00391907">
            <w:pPr>
              <w:pStyle w:val="Odstavecseseznamem"/>
              <w:numPr>
                <w:ilvl w:val="0"/>
                <w:numId w:val="150"/>
              </w:numPr>
              <w:spacing w:before="60" w:after="60"/>
              <w:jc w:val="both"/>
            </w:pPr>
            <w:r w:rsidRPr="00EC2A1C">
              <w:t xml:space="preserve">Zlepšení vnímání cestovního ruchu coby důležitého faktoru národního hospodářství </w:t>
            </w:r>
          </w:p>
          <w:p w14:paraId="6A7277B9" w14:textId="77777777" w:rsidR="00391907" w:rsidRPr="00EC2A1C" w:rsidRDefault="00391907" w:rsidP="00391907">
            <w:pPr>
              <w:pStyle w:val="Odstavecseseznamem"/>
              <w:numPr>
                <w:ilvl w:val="0"/>
                <w:numId w:val="150"/>
              </w:numPr>
              <w:spacing w:before="60" w:after="60"/>
              <w:jc w:val="both"/>
              <w:rPr>
                <w:rFonts w:eastAsiaTheme="majorEastAsia"/>
                <w:i/>
                <w:u w:val="single"/>
              </w:rPr>
            </w:pPr>
            <w:r w:rsidRPr="00EC2A1C">
              <w:t>Zvýšení podílu ekogického způsobu dopravy v regionech a využití OZE ve službách cestovního ruchu.</w:t>
            </w:r>
          </w:p>
        </w:tc>
        <w:tc>
          <w:tcPr>
            <w:tcW w:w="222" w:type="dxa"/>
            <w:tcBorders>
              <w:top w:val="nil"/>
              <w:bottom w:val="nil"/>
            </w:tcBorders>
            <w:shd w:val="clear" w:color="auto" w:fill="66CCFF"/>
          </w:tcPr>
          <w:p w14:paraId="4467F755" w14:textId="77777777" w:rsidR="00391907" w:rsidRPr="00EC2A1C" w:rsidRDefault="00391907" w:rsidP="00B15ECB">
            <w:pPr>
              <w:rPr>
                <w:b/>
              </w:rPr>
            </w:pPr>
          </w:p>
        </w:tc>
      </w:tr>
      <w:tr w:rsidR="00391907" w:rsidRPr="00EC2A1C" w14:paraId="29097AC9" w14:textId="77777777" w:rsidTr="00B15ECB">
        <w:trPr>
          <w:trHeight w:val="1274"/>
        </w:trPr>
        <w:tc>
          <w:tcPr>
            <w:tcW w:w="222" w:type="dxa"/>
            <w:tcBorders>
              <w:top w:val="nil"/>
              <w:bottom w:val="nil"/>
            </w:tcBorders>
            <w:shd w:val="clear" w:color="auto" w:fill="66CCFF"/>
          </w:tcPr>
          <w:p w14:paraId="7EF61A0C"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4252418F" w14:textId="77777777" w:rsidR="00391907" w:rsidRPr="00EC2A1C" w:rsidRDefault="00391907" w:rsidP="00B15ECB">
            <w:pPr>
              <w:spacing w:before="60" w:after="60"/>
              <w:rPr>
                <w:rFonts w:eastAsiaTheme="majorEastAsia"/>
                <w:b/>
              </w:rPr>
            </w:pPr>
            <w:r w:rsidRPr="00EC2A1C">
              <w:rPr>
                <w:rFonts w:eastAsiaTheme="majorEastAsia"/>
                <w:b/>
              </w:rPr>
              <w:t>Definice předpokládaných výstupů/výsledků/dopadů</w:t>
            </w:r>
          </w:p>
        </w:tc>
        <w:tc>
          <w:tcPr>
            <w:tcW w:w="7342" w:type="dxa"/>
            <w:tcBorders>
              <w:bottom w:val="single" w:sz="4" w:space="0" w:color="auto"/>
            </w:tcBorders>
            <w:shd w:val="clear" w:color="auto" w:fill="FFFFFF" w:themeFill="background1"/>
          </w:tcPr>
          <w:p w14:paraId="68A9E6E2" w14:textId="324E70E6" w:rsidR="00391907" w:rsidRPr="00EC2A1C" w:rsidRDefault="00D26473" w:rsidP="00391907">
            <w:pPr>
              <w:pStyle w:val="Odstavecseseznamem"/>
              <w:numPr>
                <w:ilvl w:val="0"/>
                <w:numId w:val="150"/>
              </w:numPr>
              <w:spacing w:before="60" w:after="60"/>
              <w:jc w:val="both"/>
            </w:pPr>
            <w:r w:rsidRPr="00EC2A1C">
              <w:t xml:space="preserve">Počet vytvořených stálých pracovních míst </w:t>
            </w:r>
          </w:p>
          <w:p w14:paraId="590B676F" w14:textId="20C84F1F" w:rsidR="00391907" w:rsidRPr="00EC2A1C" w:rsidRDefault="00D26473" w:rsidP="00391907">
            <w:pPr>
              <w:pStyle w:val="Odstavecseseznamem"/>
              <w:numPr>
                <w:ilvl w:val="0"/>
                <w:numId w:val="150"/>
              </w:numPr>
              <w:spacing w:before="60" w:after="60"/>
              <w:jc w:val="both"/>
            </w:pPr>
            <w:r w:rsidRPr="00EC2A1C">
              <w:t>Počet zaměstnaných absolventů oborů cestovního ruchu</w:t>
            </w:r>
          </w:p>
          <w:p w14:paraId="258BE66A" w14:textId="5D51808B" w:rsidR="00391907" w:rsidRPr="00EC2A1C" w:rsidRDefault="00D26473" w:rsidP="00391907">
            <w:pPr>
              <w:pStyle w:val="Odstavecseseznamem"/>
              <w:numPr>
                <w:ilvl w:val="0"/>
                <w:numId w:val="150"/>
              </w:numPr>
              <w:spacing w:before="60" w:after="60"/>
              <w:jc w:val="both"/>
            </w:pPr>
            <w:r w:rsidRPr="00EC2A1C">
              <w:t>Počet rekvalifikovaných pracovníků</w:t>
            </w:r>
          </w:p>
          <w:p w14:paraId="0313493A" w14:textId="1FA8DCE0" w:rsidR="00391907" w:rsidRPr="00EC2A1C" w:rsidRDefault="00D26473" w:rsidP="00391907">
            <w:pPr>
              <w:pStyle w:val="Odstavecseseznamem"/>
              <w:numPr>
                <w:ilvl w:val="0"/>
                <w:numId w:val="150"/>
              </w:numPr>
              <w:spacing w:before="60" w:after="60"/>
              <w:jc w:val="both"/>
            </w:pPr>
            <w:r w:rsidRPr="00EC2A1C">
              <w:t>Počet nových stezek a tras, které napomáhají prostupnosti krajiny (kilometráž, počet směrovek a informačních panelů)</w:t>
            </w:r>
          </w:p>
          <w:p w14:paraId="15ECEBF2" w14:textId="000909DD" w:rsidR="00391907" w:rsidRPr="00EC2A1C" w:rsidRDefault="00D26473" w:rsidP="00391907">
            <w:pPr>
              <w:pStyle w:val="Odstavecseseznamem"/>
              <w:numPr>
                <w:ilvl w:val="0"/>
                <w:numId w:val="150"/>
              </w:numPr>
              <w:spacing w:before="60" w:after="60"/>
              <w:jc w:val="both"/>
            </w:pPr>
            <w:r w:rsidRPr="00EC2A1C">
              <w:t>Počet elektrobusů, cyklobusů, skibusů, počet přívozů, počet plavidel využívaných pro účely cestovního ruchu, počet přístavišť pro účely cestovního ruchu, počet, odpočívadel, dobíjecích stanic</w:t>
            </w:r>
          </w:p>
          <w:p w14:paraId="3D246D65" w14:textId="5955C370" w:rsidR="00391907" w:rsidRPr="00EC2A1C" w:rsidRDefault="00D26473" w:rsidP="00391907">
            <w:pPr>
              <w:pStyle w:val="Odstavecseseznamem"/>
              <w:numPr>
                <w:ilvl w:val="0"/>
                <w:numId w:val="150"/>
              </w:numPr>
              <w:spacing w:before="60" w:after="60"/>
              <w:jc w:val="both"/>
            </w:pPr>
            <w:r w:rsidRPr="00EC2A1C">
              <w:t>Počet budov či provozoven v oblasti služeb cestovního ruchu, které prošly zateplením, výměnou kotle, v nichž pořídili kompostéry, nebo třídí odpad, Počet zařízení se solárním panelem, zařízením na úsporu/ recyklaci vody ve spojitosti s cestovním ruchem</w:t>
            </w:r>
          </w:p>
          <w:p w14:paraId="39859B4D" w14:textId="46C1BB6F" w:rsidR="00391907" w:rsidRPr="00EC2A1C" w:rsidRDefault="00D26473" w:rsidP="00391907">
            <w:pPr>
              <w:pStyle w:val="Odstavecseseznamem"/>
              <w:numPr>
                <w:ilvl w:val="0"/>
                <w:numId w:val="150"/>
              </w:numPr>
              <w:spacing w:before="60" w:after="60"/>
              <w:jc w:val="both"/>
            </w:pPr>
            <w:r w:rsidRPr="00EC2A1C">
              <w:t xml:space="preserve">Počet nových prvků infrastruktury udržitelného cestovního ruchu </w:t>
            </w:r>
          </w:p>
          <w:p w14:paraId="55A3AA1E" w14:textId="24D384A3" w:rsidR="00391907" w:rsidRPr="00EC2A1C" w:rsidRDefault="00D26473" w:rsidP="00391907">
            <w:pPr>
              <w:pStyle w:val="Odstavecseseznamem"/>
              <w:numPr>
                <w:ilvl w:val="0"/>
                <w:numId w:val="150"/>
              </w:numPr>
              <w:spacing w:before="60" w:after="60"/>
              <w:jc w:val="both"/>
            </w:pPr>
            <w:r w:rsidRPr="00EC2A1C">
              <w:t>Počet realizovaných průzkumů návštěvnosti, počet instalovaných sčítačů návštěvnosti, počet realizovaných marketingových průzkumů</w:t>
            </w:r>
          </w:p>
          <w:p w14:paraId="02C2363D" w14:textId="302CDF6E" w:rsidR="00391907" w:rsidRPr="00EC2A1C" w:rsidRDefault="00D26473" w:rsidP="00391907">
            <w:pPr>
              <w:pStyle w:val="Odstavecseseznamem"/>
              <w:numPr>
                <w:ilvl w:val="0"/>
                <w:numId w:val="150"/>
              </w:numPr>
              <w:spacing w:before="60" w:after="60"/>
              <w:jc w:val="both"/>
            </w:pPr>
            <w:r w:rsidRPr="00EC2A1C">
              <w:t>Počet certifikovaných DMO řešících aktivně rozvoj udržitelného cestovního ruchu na svém území (sledují indikátory udržitelného cestovního ruchu ETIS)</w:t>
            </w:r>
          </w:p>
          <w:p w14:paraId="6FA786DE" w14:textId="2AEAF437" w:rsidR="00391907" w:rsidRPr="00EC2A1C" w:rsidRDefault="00D26473" w:rsidP="00391907">
            <w:pPr>
              <w:pStyle w:val="Odstavecseseznamem"/>
              <w:numPr>
                <w:ilvl w:val="0"/>
                <w:numId w:val="150"/>
              </w:numPr>
              <w:spacing w:before="60" w:after="60"/>
              <w:jc w:val="both"/>
            </w:pPr>
            <w:r w:rsidRPr="00EC2A1C">
              <w:t>Počet realizovaných kampaní na podporu propagace nabídky udržitelných forem cestovního ruchu v ČR (na národní a krajské úrovni)</w:t>
            </w:r>
          </w:p>
        </w:tc>
        <w:tc>
          <w:tcPr>
            <w:tcW w:w="222" w:type="dxa"/>
            <w:tcBorders>
              <w:top w:val="nil"/>
              <w:bottom w:val="nil"/>
            </w:tcBorders>
            <w:shd w:val="clear" w:color="auto" w:fill="66CCFF"/>
          </w:tcPr>
          <w:p w14:paraId="08EDE226" w14:textId="77777777" w:rsidR="00391907" w:rsidRPr="00EC2A1C" w:rsidRDefault="00391907" w:rsidP="00B15ECB">
            <w:pPr>
              <w:rPr>
                <w:b/>
              </w:rPr>
            </w:pPr>
          </w:p>
        </w:tc>
      </w:tr>
      <w:tr w:rsidR="00391907" w:rsidRPr="00EC2A1C" w14:paraId="10023D37" w14:textId="77777777" w:rsidTr="00B15ECB">
        <w:trPr>
          <w:trHeight w:val="1274"/>
        </w:trPr>
        <w:tc>
          <w:tcPr>
            <w:tcW w:w="222" w:type="dxa"/>
            <w:tcBorders>
              <w:top w:val="nil"/>
              <w:bottom w:val="nil"/>
            </w:tcBorders>
            <w:shd w:val="clear" w:color="auto" w:fill="66CCFF"/>
          </w:tcPr>
          <w:p w14:paraId="6BB84696"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1778D2F8" w14:textId="77777777" w:rsidR="00391907" w:rsidRPr="00EC2A1C" w:rsidRDefault="00391907" w:rsidP="00B15ECB">
            <w:pPr>
              <w:spacing w:before="60" w:after="60"/>
              <w:rPr>
                <w:rFonts w:eastAsiaTheme="majorEastAsia"/>
                <w:b/>
              </w:rPr>
            </w:pPr>
            <w:r w:rsidRPr="00EC2A1C">
              <w:rPr>
                <w:rFonts w:eastAsiaTheme="majorEastAsia"/>
                <w:b/>
              </w:rPr>
              <w:t>Stanovení předpokládaného podílu ESIF na plnění specifického cíle NKR</w:t>
            </w:r>
          </w:p>
        </w:tc>
        <w:tc>
          <w:tcPr>
            <w:tcW w:w="7342" w:type="dxa"/>
            <w:tcBorders>
              <w:bottom w:val="single" w:sz="4" w:space="0" w:color="auto"/>
            </w:tcBorders>
            <w:shd w:val="clear" w:color="auto" w:fill="FFFFFF" w:themeFill="background1"/>
          </w:tcPr>
          <w:p w14:paraId="11422BEB" w14:textId="45301048" w:rsidR="00391907" w:rsidRPr="00EC2A1C" w:rsidRDefault="00D26473" w:rsidP="00B15ECB">
            <w:pPr>
              <w:spacing w:before="60" w:after="60"/>
              <w:rPr>
                <w:rFonts w:eastAsiaTheme="majorEastAsia"/>
              </w:rPr>
            </w:pPr>
            <w:r w:rsidRPr="00EC2A1C">
              <w:rPr>
                <w:rFonts w:eastAsiaTheme="majorEastAsia"/>
              </w:rPr>
              <w:t>Předpokládá</w:t>
            </w:r>
            <w:r w:rsidR="00391907" w:rsidRPr="00EC2A1C">
              <w:rPr>
                <w:rFonts w:eastAsiaTheme="majorEastAsia"/>
              </w:rPr>
              <w:t xml:space="preserve"> se, že finanční prostředky z ESIF budou odpovídat cca 70 % plnění specifického cíle NKR.</w:t>
            </w:r>
          </w:p>
          <w:p w14:paraId="329B9636" w14:textId="77777777" w:rsidR="00391907" w:rsidRPr="00EC2A1C" w:rsidRDefault="00391907" w:rsidP="00B15ECB">
            <w:pPr>
              <w:spacing w:before="60" w:after="60"/>
              <w:rPr>
                <w:rFonts w:eastAsiaTheme="majorEastAsia"/>
                <w:u w:val="single"/>
              </w:rPr>
            </w:pPr>
          </w:p>
        </w:tc>
        <w:tc>
          <w:tcPr>
            <w:tcW w:w="222" w:type="dxa"/>
            <w:tcBorders>
              <w:top w:val="nil"/>
              <w:bottom w:val="nil"/>
            </w:tcBorders>
            <w:shd w:val="clear" w:color="auto" w:fill="66CCFF"/>
          </w:tcPr>
          <w:p w14:paraId="15DE662B" w14:textId="77777777" w:rsidR="00391907" w:rsidRPr="00EC2A1C" w:rsidRDefault="00391907" w:rsidP="00B15ECB">
            <w:pPr>
              <w:rPr>
                <w:b/>
              </w:rPr>
            </w:pPr>
          </w:p>
        </w:tc>
      </w:tr>
      <w:tr w:rsidR="00391907" w:rsidRPr="00EC2A1C" w14:paraId="066E14CD" w14:textId="77777777" w:rsidTr="00B15ECB">
        <w:trPr>
          <w:trHeight w:val="1274"/>
        </w:trPr>
        <w:tc>
          <w:tcPr>
            <w:tcW w:w="222" w:type="dxa"/>
            <w:tcBorders>
              <w:top w:val="nil"/>
              <w:bottom w:val="nil"/>
            </w:tcBorders>
            <w:shd w:val="clear" w:color="auto" w:fill="66CCFF"/>
          </w:tcPr>
          <w:p w14:paraId="40F3264C"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4B10F7BE" w14:textId="77777777" w:rsidR="00391907" w:rsidRPr="00EC2A1C" w:rsidRDefault="00391907" w:rsidP="00B15ECB">
            <w:pPr>
              <w:spacing w:before="60" w:after="60"/>
              <w:rPr>
                <w:rFonts w:eastAsiaTheme="majorEastAsia"/>
                <w:b/>
              </w:rPr>
            </w:pPr>
            <w:r w:rsidRPr="00EC2A1C">
              <w:rPr>
                <w:rFonts w:eastAsiaTheme="majorEastAsia"/>
                <w:b/>
              </w:rPr>
              <w:t>Posun intervencí oproti dosavadním obdobím</w:t>
            </w:r>
          </w:p>
        </w:tc>
        <w:tc>
          <w:tcPr>
            <w:tcW w:w="7342" w:type="dxa"/>
            <w:tcBorders>
              <w:bottom w:val="single" w:sz="4" w:space="0" w:color="auto"/>
            </w:tcBorders>
            <w:shd w:val="clear" w:color="auto" w:fill="FFFFFF" w:themeFill="background1"/>
          </w:tcPr>
          <w:p w14:paraId="64FD0E76"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současné období neexistuje samostatný program v rámci ESIF na podporu rozvoje cestovního ruchu, respektive udržitelných forem cestovního ruchu. Subjekty realizují některé aktivity v rámci příbuzných programů, nebo takových, které oblast cestovního ruchu nevylučují. V konkurenci s ostatními odvětvími však často neobstojí. Většina podnikatelů v oblasti cestovního ruchu se řadí do kategorie MSP, velké procento patří rovněž mezi mikropodniky, které často na dotační tituly nedosáhnou. Zejména v oblasti OZE, rozvoje nízkouhlíkového hospodářství či odpadového hospodářství. Provozovatelé zařízení cestovního ruchu mají celou řadu specifik, jimž stávající nastavení programů nevyhovuje. Jediný investiční dotační titul z EU fondů pro oblast čistě cestovního ruchu je v současné době Opatření 6.4.2. Podpora agroturistiky v rámci Programu rozvoje venkova (v gesci MZe). Oprávněným žadatelem jsou však pouze zemědělci, kteří prostřednictvím malokapacitních ubytovacích zařízení diverzifikují svou zemědělskou činnost a tedy i příjmy. V rámci tohoto opatření však je zcela zřejmý vysoký zájem ze strany žadatelů.</w:t>
            </w:r>
          </w:p>
          <w:p w14:paraId="5B20A7EC"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Podpora cestovního ruchu (resp. obnova kulturního dědictví) prostřednictvím IROP:</w:t>
            </w:r>
          </w:p>
          <w:tbl>
            <w:tblPr>
              <w:tblW w:w="5000" w:type="pct"/>
              <w:tblCellMar>
                <w:left w:w="70" w:type="dxa"/>
                <w:right w:w="70" w:type="dxa"/>
              </w:tblCellMar>
              <w:tblLook w:val="04A0" w:firstRow="1" w:lastRow="0" w:firstColumn="1" w:lastColumn="0" w:noHBand="0" w:noVBand="1"/>
            </w:tblPr>
            <w:tblGrid>
              <w:gridCol w:w="2230"/>
              <w:gridCol w:w="1293"/>
              <w:gridCol w:w="1542"/>
              <w:gridCol w:w="1832"/>
            </w:tblGrid>
            <w:tr w:rsidR="00391907" w:rsidRPr="00EC2A1C" w14:paraId="4C43F436" w14:textId="77777777" w:rsidTr="00B15ECB">
              <w:trPr>
                <w:trHeight w:val="765"/>
              </w:trPr>
              <w:tc>
                <w:tcPr>
                  <w:tcW w:w="1616" w:type="pct"/>
                  <w:vMerge w:val="restart"/>
                  <w:tcBorders>
                    <w:top w:val="single" w:sz="4" w:space="0" w:color="auto"/>
                    <w:left w:val="single" w:sz="4" w:space="0" w:color="auto"/>
                    <w:bottom w:val="single" w:sz="4" w:space="0" w:color="auto"/>
                    <w:right w:val="single" w:sz="4" w:space="0" w:color="auto"/>
                  </w:tcBorders>
                  <w:shd w:val="clear" w:color="000000" w:fill="00AF3F"/>
                  <w:noWrap/>
                  <w:hideMark/>
                </w:tcPr>
                <w:p w14:paraId="0ED6E786"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IROP</w:t>
                  </w:r>
                </w:p>
              </w:tc>
              <w:tc>
                <w:tcPr>
                  <w:tcW w:w="937" w:type="pct"/>
                  <w:tcBorders>
                    <w:top w:val="single" w:sz="4" w:space="0" w:color="auto"/>
                    <w:left w:val="nil"/>
                    <w:bottom w:val="single" w:sz="4" w:space="0" w:color="auto"/>
                    <w:right w:val="single" w:sz="4" w:space="0" w:color="auto"/>
                  </w:tcBorders>
                  <w:shd w:val="clear" w:color="000000" w:fill="00AF3F"/>
                  <w:hideMark/>
                </w:tcPr>
                <w:p w14:paraId="657CAA89"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Počet podpořených projektů</w:t>
                  </w:r>
                </w:p>
              </w:tc>
              <w:tc>
                <w:tcPr>
                  <w:tcW w:w="1118" w:type="pct"/>
                  <w:tcBorders>
                    <w:top w:val="single" w:sz="4" w:space="0" w:color="auto"/>
                    <w:left w:val="nil"/>
                    <w:bottom w:val="single" w:sz="4" w:space="0" w:color="auto"/>
                    <w:right w:val="single" w:sz="4" w:space="0" w:color="auto"/>
                  </w:tcBorders>
                  <w:shd w:val="clear" w:color="000000" w:fill="00AF3F"/>
                  <w:hideMark/>
                </w:tcPr>
                <w:p w14:paraId="7AA74613"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Výše poskytnuté dotace (EU)</w:t>
                  </w:r>
                </w:p>
              </w:tc>
              <w:tc>
                <w:tcPr>
                  <w:tcW w:w="1328" w:type="pct"/>
                  <w:tcBorders>
                    <w:top w:val="single" w:sz="4" w:space="0" w:color="auto"/>
                    <w:left w:val="nil"/>
                    <w:bottom w:val="single" w:sz="4" w:space="0" w:color="auto"/>
                    <w:right w:val="single" w:sz="4" w:space="0" w:color="auto"/>
                  </w:tcBorders>
                  <w:shd w:val="clear" w:color="000000" w:fill="00AF3F"/>
                  <w:hideMark/>
                </w:tcPr>
                <w:p w14:paraId="7E382DDA"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Celková alokace podpořených projektů</w:t>
                  </w:r>
                </w:p>
              </w:tc>
            </w:tr>
            <w:tr w:rsidR="00391907" w:rsidRPr="00EC2A1C" w14:paraId="3F3B5303" w14:textId="77777777" w:rsidTr="00B15ECB">
              <w:trPr>
                <w:trHeight w:val="300"/>
              </w:trPr>
              <w:tc>
                <w:tcPr>
                  <w:tcW w:w="1616" w:type="pct"/>
                  <w:vMerge/>
                  <w:tcBorders>
                    <w:top w:val="single" w:sz="4" w:space="0" w:color="auto"/>
                    <w:left w:val="single" w:sz="4" w:space="0" w:color="auto"/>
                    <w:bottom w:val="single" w:sz="4" w:space="0" w:color="auto"/>
                    <w:right w:val="single" w:sz="4" w:space="0" w:color="auto"/>
                  </w:tcBorders>
                  <w:vAlign w:val="center"/>
                  <w:hideMark/>
                </w:tcPr>
                <w:p w14:paraId="65FCAABC" w14:textId="77777777" w:rsidR="00391907" w:rsidRPr="00EC2A1C" w:rsidRDefault="00391907" w:rsidP="00B15ECB">
                  <w:pPr>
                    <w:spacing w:after="0" w:line="240" w:lineRule="auto"/>
                    <w:rPr>
                      <w:rFonts w:ascii="Times New Roman" w:eastAsia="Times New Roman" w:hAnsi="Times New Roman" w:cs="Times New Roman"/>
                      <w:b/>
                      <w:bCs/>
                      <w:color w:val="FFFFFF"/>
                      <w:sz w:val="20"/>
                      <w:szCs w:val="20"/>
                      <w:lang w:eastAsia="cs-CZ"/>
                    </w:rPr>
                  </w:pPr>
                </w:p>
              </w:tc>
              <w:tc>
                <w:tcPr>
                  <w:tcW w:w="937" w:type="pct"/>
                  <w:tcBorders>
                    <w:top w:val="nil"/>
                    <w:left w:val="nil"/>
                    <w:bottom w:val="single" w:sz="4" w:space="0" w:color="auto"/>
                    <w:right w:val="single" w:sz="4" w:space="0" w:color="auto"/>
                  </w:tcBorders>
                  <w:shd w:val="clear" w:color="auto" w:fill="auto"/>
                  <w:noWrap/>
                  <w:hideMark/>
                </w:tcPr>
                <w:p w14:paraId="292ED673"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16 - 17</w:t>
                  </w:r>
                </w:p>
              </w:tc>
              <w:tc>
                <w:tcPr>
                  <w:tcW w:w="1118" w:type="pct"/>
                  <w:tcBorders>
                    <w:top w:val="nil"/>
                    <w:left w:val="nil"/>
                    <w:bottom w:val="single" w:sz="4" w:space="0" w:color="auto"/>
                    <w:right w:val="single" w:sz="4" w:space="0" w:color="auto"/>
                  </w:tcBorders>
                  <w:shd w:val="clear" w:color="auto" w:fill="auto"/>
                  <w:noWrap/>
                  <w:hideMark/>
                </w:tcPr>
                <w:p w14:paraId="04E5BFB0"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16 - 17</w:t>
                  </w:r>
                </w:p>
              </w:tc>
              <w:tc>
                <w:tcPr>
                  <w:tcW w:w="1328" w:type="pct"/>
                  <w:tcBorders>
                    <w:top w:val="nil"/>
                    <w:left w:val="nil"/>
                    <w:bottom w:val="single" w:sz="4" w:space="0" w:color="auto"/>
                    <w:right w:val="single" w:sz="4" w:space="0" w:color="auto"/>
                  </w:tcBorders>
                  <w:shd w:val="clear" w:color="auto" w:fill="auto"/>
                  <w:noWrap/>
                  <w:hideMark/>
                </w:tcPr>
                <w:p w14:paraId="7CF78878"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16 - 17</w:t>
                  </w:r>
                </w:p>
              </w:tc>
            </w:tr>
            <w:tr w:rsidR="00391907" w:rsidRPr="00EC2A1C" w14:paraId="526F7531" w14:textId="77777777" w:rsidTr="00B15ECB">
              <w:trPr>
                <w:trHeight w:val="510"/>
              </w:trPr>
              <w:tc>
                <w:tcPr>
                  <w:tcW w:w="1616" w:type="pct"/>
                  <w:tcBorders>
                    <w:top w:val="nil"/>
                    <w:left w:val="single" w:sz="4" w:space="0" w:color="auto"/>
                    <w:bottom w:val="single" w:sz="4" w:space="0" w:color="auto"/>
                    <w:right w:val="single" w:sz="4" w:space="0" w:color="auto"/>
                  </w:tcBorders>
                  <w:shd w:val="clear" w:color="auto" w:fill="auto"/>
                  <w:hideMark/>
                </w:tcPr>
                <w:p w14:paraId="61EC77D3"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Revitalizace souboru vybraných památek</w:t>
                  </w:r>
                </w:p>
              </w:tc>
              <w:tc>
                <w:tcPr>
                  <w:tcW w:w="937" w:type="pct"/>
                  <w:tcBorders>
                    <w:top w:val="nil"/>
                    <w:left w:val="nil"/>
                    <w:bottom w:val="single" w:sz="4" w:space="0" w:color="auto"/>
                    <w:right w:val="single" w:sz="4" w:space="0" w:color="auto"/>
                  </w:tcBorders>
                  <w:shd w:val="clear" w:color="auto" w:fill="auto"/>
                  <w:noWrap/>
                  <w:hideMark/>
                </w:tcPr>
                <w:p w14:paraId="47BDBC68"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97</w:t>
                  </w:r>
                </w:p>
              </w:tc>
              <w:tc>
                <w:tcPr>
                  <w:tcW w:w="1118" w:type="pct"/>
                  <w:tcBorders>
                    <w:top w:val="nil"/>
                    <w:left w:val="nil"/>
                    <w:bottom w:val="single" w:sz="4" w:space="0" w:color="auto"/>
                    <w:right w:val="single" w:sz="4" w:space="0" w:color="auto"/>
                  </w:tcBorders>
                  <w:shd w:val="clear" w:color="auto" w:fill="auto"/>
                  <w:noWrap/>
                  <w:hideMark/>
                </w:tcPr>
                <w:p w14:paraId="54F1CB0E"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5,9 mld. Kč</w:t>
                  </w:r>
                </w:p>
              </w:tc>
              <w:tc>
                <w:tcPr>
                  <w:tcW w:w="1328" w:type="pct"/>
                  <w:tcBorders>
                    <w:top w:val="nil"/>
                    <w:left w:val="nil"/>
                    <w:bottom w:val="single" w:sz="4" w:space="0" w:color="auto"/>
                    <w:right w:val="single" w:sz="4" w:space="0" w:color="auto"/>
                  </w:tcBorders>
                  <w:shd w:val="clear" w:color="auto" w:fill="auto"/>
                  <w:noWrap/>
                  <w:hideMark/>
                </w:tcPr>
                <w:p w14:paraId="5B07B9CB"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3 886 190 207 Kč</w:t>
                  </w:r>
                </w:p>
              </w:tc>
            </w:tr>
            <w:tr w:rsidR="00391907" w:rsidRPr="00EC2A1C" w14:paraId="17C7C89C" w14:textId="77777777" w:rsidTr="00B15ECB">
              <w:trPr>
                <w:trHeight w:val="1020"/>
              </w:trPr>
              <w:tc>
                <w:tcPr>
                  <w:tcW w:w="1616" w:type="pct"/>
                  <w:tcBorders>
                    <w:top w:val="nil"/>
                    <w:left w:val="single" w:sz="4" w:space="0" w:color="auto"/>
                    <w:bottom w:val="single" w:sz="4" w:space="0" w:color="auto"/>
                    <w:right w:val="single" w:sz="4" w:space="0" w:color="auto"/>
                  </w:tcBorders>
                  <w:shd w:val="clear" w:color="auto" w:fill="auto"/>
                  <w:hideMark/>
                </w:tcPr>
                <w:p w14:paraId="18EFA77A"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Zefektivnění ochrany a využívání sbírkových a knihovních fondů a jejich zpřístupnění (projekty pouze za oblast muzeí)</w:t>
                  </w:r>
                </w:p>
              </w:tc>
              <w:tc>
                <w:tcPr>
                  <w:tcW w:w="937" w:type="pct"/>
                  <w:tcBorders>
                    <w:top w:val="nil"/>
                    <w:left w:val="nil"/>
                    <w:bottom w:val="single" w:sz="4" w:space="0" w:color="auto"/>
                    <w:right w:val="single" w:sz="4" w:space="0" w:color="auto"/>
                  </w:tcBorders>
                  <w:shd w:val="clear" w:color="auto" w:fill="auto"/>
                  <w:noWrap/>
                  <w:hideMark/>
                </w:tcPr>
                <w:p w14:paraId="3CF8C285"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52</w:t>
                  </w:r>
                </w:p>
              </w:tc>
              <w:tc>
                <w:tcPr>
                  <w:tcW w:w="1118" w:type="pct"/>
                  <w:tcBorders>
                    <w:top w:val="nil"/>
                    <w:left w:val="nil"/>
                    <w:bottom w:val="single" w:sz="4" w:space="0" w:color="auto"/>
                    <w:right w:val="single" w:sz="4" w:space="0" w:color="auto"/>
                  </w:tcBorders>
                  <w:shd w:val="clear" w:color="auto" w:fill="auto"/>
                  <w:noWrap/>
                  <w:hideMark/>
                </w:tcPr>
                <w:p w14:paraId="2E4B41EF"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2,3 mld. Kč</w:t>
                  </w:r>
                </w:p>
              </w:tc>
              <w:tc>
                <w:tcPr>
                  <w:tcW w:w="1328" w:type="pct"/>
                  <w:tcBorders>
                    <w:top w:val="nil"/>
                    <w:left w:val="nil"/>
                    <w:bottom w:val="single" w:sz="4" w:space="0" w:color="auto"/>
                    <w:right w:val="single" w:sz="4" w:space="0" w:color="auto"/>
                  </w:tcBorders>
                  <w:shd w:val="clear" w:color="auto" w:fill="auto"/>
                  <w:noWrap/>
                  <w:hideMark/>
                </w:tcPr>
                <w:p w14:paraId="182D2A98"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1 648 616 326 Kč</w:t>
                  </w:r>
                </w:p>
              </w:tc>
            </w:tr>
            <w:tr w:rsidR="00391907" w:rsidRPr="00EC2A1C" w14:paraId="7A57EBEA" w14:textId="77777777" w:rsidTr="00B15ECB">
              <w:trPr>
                <w:trHeight w:val="1516"/>
              </w:trPr>
              <w:tc>
                <w:tcPr>
                  <w:tcW w:w="1616" w:type="pct"/>
                  <w:tcBorders>
                    <w:top w:val="nil"/>
                    <w:left w:val="single" w:sz="4" w:space="0" w:color="auto"/>
                    <w:bottom w:val="single" w:sz="4" w:space="0" w:color="auto"/>
                    <w:right w:val="single" w:sz="4" w:space="0" w:color="auto"/>
                  </w:tcBorders>
                  <w:shd w:val="clear" w:color="auto" w:fill="auto"/>
                  <w:hideMark/>
                </w:tcPr>
                <w:p w14:paraId="6667D5C5"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Posílení komunitně vedeného místního rozvoje za účelem zvýšení kvality života ve venkovských oblastech a aktivizace místního potenciálu (projekty v MAS zaměřené na obnovu kulturního dědictví)</w:t>
                  </w:r>
                </w:p>
              </w:tc>
              <w:tc>
                <w:tcPr>
                  <w:tcW w:w="937" w:type="pct"/>
                  <w:tcBorders>
                    <w:top w:val="nil"/>
                    <w:left w:val="nil"/>
                    <w:bottom w:val="single" w:sz="4" w:space="0" w:color="auto"/>
                    <w:right w:val="single" w:sz="4" w:space="0" w:color="auto"/>
                  </w:tcBorders>
                  <w:shd w:val="clear" w:color="auto" w:fill="auto"/>
                  <w:noWrap/>
                  <w:hideMark/>
                </w:tcPr>
                <w:p w14:paraId="3880E33F"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20</w:t>
                  </w:r>
                </w:p>
              </w:tc>
              <w:tc>
                <w:tcPr>
                  <w:tcW w:w="1118" w:type="pct"/>
                  <w:tcBorders>
                    <w:top w:val="nil"/>
                    <w:left w:val="nil"/>
                    <w:bottom w:val="single" w:sz="4" w:space="0" w:color="auto"/>
                    <w:right w:val="single" w:sz="4" w:space="0" w:color="auto"/>
                  </w:tcBorders>
                  <w:shd w:val="clear" w:color="auto" w:fill="auto"/>
                  <w:noWrap/>
                  <w:hideMark/>
                </w:tcPr>
                <w:p w14:paraId="439ACB51"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64 mil. Kč</w:t>
                  </w:r>
                </w:p>
              </w:tc>
              <w:tc>
                <w:tcPr>
                  <w:tcW w:w="1328" w:type="pct"/>
                  <w:tcBorders>
                    <w:top w:val="nil"/>
                    <w:left w:val="nil"/>
                    <w:bottom w:val="single" w:sz="4" w:space="0" w:color="auto"/>
                    <w:right w:val="single" w:sz="4" w:space="0" w:color="auto"/>
                  </w:tcBorders>
                  <w:shd w:val="clear" w:color="auto" w:fill="auto"/>
                  <w:noWrap/>
                  <w:hideMark/>
                </w:tcPr>
                <w:p w14:paraId="2476BDB1"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15 336 288</w:t>
                  </w:r>
                </w:p>
              </w:tc>
            </w:tr>
            <w:tr w:rsidR="00391907" w:rsidRPr="00EC2A1C" w14:paraId="5640EDD2" w14:textId="77777777" w:rsidTr="00B15ECB">
              <w:trPr>
                <w:trHeight w:val="300"/>
              </w:trPr>
              <w:tc>
                <w:tcPr>
                  <w:tcW w:w="1616" w:type="pct"/>
                  <w:tcBorders>
                    <w:top w:val="nil"/>
                    <w:left w:val="single" w:sz="4" w:space="0" w:color="auto"/>
                    <w:bottom w:val="single" w:sz="4" w:space="0" w:color="auto"/>
                    <w:right w:val="single" w:sz="4" w:space="0" w:color="auto"/>
                  </w:tcBorders>
                  <w:shd w:val="clear" w:color="000000" w:fill="D9D9D9"/>
                  <w:hideMark/>
                </w:tcPr>
                <w:p w14:paraId="1A026E31" w14:textId="77777777" w:rsidR="00391907" w:rsidRPr="00EC2A1C" w:rsidRDefault="00391907" w:rsidP="00B15ECB">
                  <w:pPr>
                    <w:spacing w:after="0" w:line="240" w:lineRule="auto"/>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IROP celkem</w:t>
                  </w:r>
                </w:p>
              </w:tc>
              <w:tc>
                <w:tcPr>
                  <w:tcW w:w="937" w:type="pct"/>
                  <w:tcBorders>
                    <w:top w:val="nil"/>
                    <w:left w:val="nil"/>
                    <w:bottom w:val="single" w:sz="4" w:space="0" w:color="auto"/>
                    <w:right w:val="single" w:sz="4" w:space="0" w:color="auto"/>
                  </w:tcBorders>
                  <w:shd w:val="clear" w:color="000000" w:fill="D9D9D9"/>
                </w:tcPr>
                <w:p w14:paraId="6A49FCC7"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p>
              </w:tc>
              <w:tc>
                <w:tcPr>
                  <w:tcW w:w="1118" w:type="pct"/>
                  <w:tcBorders>
                    <w:top w:val="nil"/>
                    <w:left w:val="nil"/>
                    <w:bottom w:val="single" w:sz="4" w:space="0" w:color="auto"/>
                    <w:right w:val="single" w:sz="4" w:space="0" w:color="auto"/>
                  </w:tcBorders>
                  <w:shd w:val="clear" w:color="000000" w:fill="D9D9D9"/>
                </w:tcPr>
                <w:p w14:paraId="33735A3A"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p>
              </w:tc>
              <w:tc>
                <w:tcPr>
                  <w:tcW w:w="1328" w:type="pct"/>
                  <w:tcBorders>
                    <w:top w:val="nil"/>
                    <w:left w:val="nil"/>
                    <w:bottom w:val="single" w:sz="4" w:space="0" w:color="auto"/>
                    <w:right w:val="single" w:sz="4" w:space="0" w:color="auto"/>
                  </w:tcBorders>
                  <w:shd w:val="clear" w:color="000000" w:fill="D9D9D9"/>
                </w:tcPr>
                <w:p w14:paraId="6B59272E"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p>
              </w:tc>
            </w:tr>
          </w:tbl>
          <w:p w14:paraId="13F07087"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Data k 1/2019</w:t>
            </w:r>
          </w:p>
          <w:p w14:paraId="131CCEEA"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Podpora cestovního ruchu prostřednictvím projektů přeshraniční spolupráce (INTERREG):</w:t>
            </w:r>
          </w:p>
          <w:tbl>
            <w:tblPr>
              <w:tblStyle w:val="Mkatabulky"/>
              <w:tblW w:w="5000" w:type="pct"/>
              <w:tblInd w:w="0" w:type="dxa"/>
              <w:tblLook w:val="04A0" w:firstRow="1" w:lastRow="0" w:firstColumn="1" w:lastColumn="0" w:noHBand="0" w:noVBand="1"/>
            </w:tblPr>
            <w:tblGrid>
              <w:gridCol w:w="2479"/>
              <w:gridCol w:w="2279"/>
              <w:gridCol w:w="2139"/>
            </w:tblGrid>
            <w:tr w:rsidR="00391907" w:rsidRPr="00EC2A1C" w14:paraId="6A3E7D7E" w14:textId="77777777" w:rsidTr="00B15ECB">
              <w:tc>
                <w:tcPr>
                  <w:tcW w:w="1797" w:type="pct"/>
                  <w:shd w:val="clear" w:color="auto" w:fill="00AF3F"/>
                </w:tcPr>
                <w:p w14:paraId="533AA9D8" w14:textId="77777777" w:rsidR="00391907" w:rsidRPr="00EC2A1C" w:rsidRDefault="00391907" w:rsidP="00B15ECB">
                  <w:pPr>
                    <w:spacing w:before="120"/>
                    <w:rPr>
                      <w:b/>
                      <w:color w:val="FFFFFF" w:themeColor="background1"/>
                    </w:rPr>
                  </w:pPr>
                  <w:r w:rsidRPr="00EC2A1C">
                    <w:rPr>
                      <w:b/>
                      <w:color w:val="FFFFFF" w:themeColor="background1"/>
                    </w:rPr>
                    <w:t>OP Přeshraniční spolupráce</w:t>
                  </w:r>
                </w:p>
              </w:tc>
              <w:tc>
                <w:tcPr>
                  <w:tcW w:w="1652" w:type="pct"/>
                  <w:shd w:val="clear" w:color="auto" w:fill="00AF3F"/>
                </w:tcPr>
                <w:p w14:paraId="0C929E36" w14:textId="77777777" w:rsidR="00391907" w:rsidRPr="00EC2A1C" w:rsidRDefault="00391907" w:rsidP="00B15ECB">
                  <w:pPr>
                    <w:jc w:val="center"/>
                    <w:rPr>
                      <w:b/>
                      <w:color w:val="FFFFFF" w:themeColor="background1"/>
                    </w:rPr>
                  </w:pPr>
                  <w:r w:rsidRPr="00EC2A1C">
                    <w:rPr>
                      <w:b/>
                      <w:color w:val="FFFFFF" w:themeColor="background1"/>
                    </w:rPr>
                    <w:t>Počet projektů</w:t>
                  </w:r>
                </w:p>
                <w:p w14:paraId="6FCC2FD1" w14:textId="77777777" w:rsidR="00391907" w:rsidRPr="00EC2A1C" w:rsidRDefault="00391907" w:rsidP="00B15ECB">
                  <w:pPr>
                    <w:jc w:val="center"/>
                    <w:rPr>
                      <w:b/>
                      <w:color w:val="FFFFFF" w:themeColor="background1"/>
                    </w:rPr>
                  </w:pPr>
                  <w:r w:rsidRPr="00EC2A1C">
                    <w:rPr>
                      <w:b/>
                      <w:color w:val="FFFFFF" w:themeColor="background1"/>
                    </w:rPr>
                    <w:t>(2016 – 2017)</w:t>
                  </w:r>
                </w:p>
              </w:tc>
              <w:tc>
                <w:tcPr>
                  <w:tcW w:w="1551" w:type="pct"/>
                  <w:shd w:val="clear" w:color="auto" w:fill="00AF3F"/>
                </w:tcPr>
                <w:p w14:paraId="07535998" w14:textId="77777777" w:rsidR="00391907" w:rsidRPr="00EC2A1C" w:rsidRDefault="00391907" w:rsidP="00B15ECB">
                  <w:pPr>
                    <w:jc w:val="center"/>
                    <w:rPr>
                      <w:b/>
                      <w:color w:val="FFFFFF" w:themeColor="background1"/>
                    </w:rPr>
                  </w:pPr>
                  <w:r w:rsidRPr="00EC2A1C">
                    <w:rPr>
                      <w:b/>
                      <w:color w:val="FFFFFF" w:themeColor="background1"/>
                    </w:rPr>
                    <w:t>Výše podpory v EUR</w:t>
                  </w:r>
                </w:p>
                <w:p w14:paraId="23A0C8A7" w14:textId="77777777" w:rsidR="00391907" w:rsidRPr="00EC2A1C" w:rsidRDefault="00391907" w:rsidP="00B15ECB">
                  <w:pPr>
                    <w:jc w:val="center"/>
                    <w:rPr>
                      <w:b/>
                      <w:color w:val="FFFFFF" w:themeColor="background1"/>
                    </w:rPr>
                  </w:pPr>
                  <w:r w:rsidRPr="00EC2A1C">
                    <w:rPr>
                      <w:b/>
                      <w:color w:val="FFFFFF" w:themeColor="background1"/>
                    </w:rPr>
                    <w:t>(2016 – 2017)</w:t>
                  </w:r>
                </w:p>
              </w:tc>
            </w:tr>
            <w:tr w:rsidR="00391907" w:rsidRPr="00EC2A1C" w14:paraId="39382368" w14:textId="77777777" w:rsidTr="00B15ECB">
              <w:tc>
                <w:tcPr>
                  <w:tcW w:w="1797" w:type="pct"/>
                </w:tcPr>
                <w:p w14:paraId="7A6127E8" w14:textId="77777777" w:rsidR="00391907" w:rsidRPr="00EC2A1C" w:rsidRDefault="00391907" w:rsidP="00B15ECB">
                  <w:pPr>
                    <w:rPr>
                      <w:b/>
                    </w:rPr>
                  </w:pPr>
                  <w:r w:rsidRPr="00EC2A1C">
                    <w:t>Česko – Polsko</w:t>
                  </w:r>
                </w:p>
              </w:tc>
              <w:tc>
                <w:tcPr>
                  <w:tcW w:w="1652" w:type="pct"/>
                </w:tcPr>
                <w:p w14:paraId="7C44E703" w14:textId="77777777" w:rsidR="00391907" w:rsidRPr="00EC2A1C" w:rsidRDefault="00391907" w:rsidP="00B15ECB">
                  <w:pPr>
                    <w:jc w:val="center"/>
                    <w:rPr>
                      <w:b/>
                    </w:rPr>
                  </w:pPr>
                  <w:r w:rsidRPr="00EC2A1C">
                    <w:t>230</w:t>
                  </w:r>
                </w:p>
              </w:tc>
              <w:tc>
                <w:tcPr>
                  <w:tcW w:w="1551" w:type="pct"/>
                  <w:vAlign w:val="center"/>
                </w:tcPr>
                <w:p w14:paraId="7A5F687B" w14:textId="77777777" w:rsidR="00391907" w:rsidRPr="00EC2A1C" w:rsidRDefault="00391907" w:rsidP="00B15ECB">
                  <w:pPr>
                    <w:jc w:val="right"/>
                    <w:rPr>
                      <w:b/>
                    </w:rPr>
                  </w:pPr>
                  <w:r w:rsidRPr="00EC2A1C">
                    <w:t>65 961 066,64 Kč</w:t>
                  </w:r>
                </w:p>
              </w:tc>
            </w:tr>
            <w:tr w:rsidR="00391907" w:rsidRPr="00EC2A1C" w14:paraId="53200749" w14:textId="77777777" w:rsidTr="00B15ECB">
              <w:tc>
                <w:tcPr>
                  <w:tcW w:w="1797" w:type="pct"/>
                </w:tcPr>
                <w:p w14:paraId="39B315D6" w14:textId="77777777" w:rsidR="00391907" w:rsidRPr="00EC2A1C" w:rsidRDefault="00391907" w:rsidP="00B15ECB">
                  <w:pPr>
                    <w:rPr>
                      <w:b/>
                    </w:rPr>
                  </w:pPr>
                  <w:r w:rsidRPr="00EC2A1C">
                    <w:t>Rakousko – Česko</w:t>
                  </w:r>
                </w:p>
              </w:tc>
              <w:tc>
                <w:tcPr>
                  <w:tcW w:w="1652" w:type="pct"/>
                </w:tcPr>
                <w:p w14:paraId="26599068" w14:textId="77777777" w:rsidR="00391907" w:rsidRPr="00EC2A1C" w:rsidRDefault="00391907" w:rsidP="00B15ECB">
                  <w:pPr>
                    <w:jc w:val="center"/>
                    <w:rPr>
                      <w:b/>
                    </w:rPr>
                  </w:pPr>
                  <w:r w:rsidRPr="00EC2A1C">
                    <w:t>6</w:t>
                  </w:r>
                </w:p>
              </w:tc>
              <w:tc>
                <w:tcPr>
                  <w:tcW w:w="1551" w:type="pct"/>
                  <w:vAlign w:val="center"/>
                </w:tcPr>
                <w:p w14:paraId="55059B34" w14:textId="77777777" w:rsidR="00391907" w:rsidRPr="00EC2A1C" w:rsidRDefault="00391907" w:rsidP="00B15ECB">
                  <w:pPr>
                    <w:jc w:val="right"/>
                    <w:rPr>
                      <w:b/>
                    </w:rPr>
                  </w:pPr>
                  <w:r w:rsidRPr="00EC2A1C">
                    <w:t>8 119 514,53 Kč</w:t>
                  </w:r>
                </w:p>
              </w:tc>
            </w:tr>
            <w:tr w:rsidR="00391907" w:rsidRPr="00EC2A1C" w14:paraId="77561AAC" w14:textId="77777777" w:rsidTr="00B15ECB">
              <w:tc>
                <w:tcPr>
                  <w:tcW w:w="1797" w:type="pct"/>
                </w:tcPr>
                <w:p w14:paraId="0EC45CDB" w14:textId="77777777" w:rsidR="00391907" w:rsidRPr="00EC2A1C" w:rsidRDefault="00391907" w:rsidP="00B15ECB">
                  <w:pPr>
                    <w:rPr>
                      <w:b/>
                    </w:rPr>
                  </w:pPr>
                  <w:r w:rsidRPr="00EC2A1C">
                    <w:t>Sasko – Česko</w:t>
                  </w:r>
                </w:p>
              </w:tc>
              <w:tc>
                <w:tcPr>
                  <w:tcW w:w="1652" w:type="pct"/>
                </w:tcPr>
                <w:p w14:paraId="1E2AEF2A" w14:textId="77777777" w:rsidR="00391907" w:rsidRPr="00EC2A1C" w:rsidRDefault="00391907" w:rsidP="00B15ECB">
                  <w:pPr>
                    <w:jc w:val="center"/>
                    <w:rPr>
                      <w:b/>
                    </w:rPr>
                  </w:pPr>
                  <w:r w:rsidRPr="00EC2A1C">
                    <w:t>19</w:t>
                  </w:r>
                </w:p>
              </w:tc>
              <w:tc>
                <w:tcPr>
                  <w:tcW w:w="1551" w:type="pct"/>
                  <w:vAlign w:val="center"/>
                </w:tcPr>
                <w:p w14:paraId="7025DB2C" w14:textId="77777777" w:rsidR="00391907" w:rsidRPr="00EC2A1C" w:rsidRDefault="00391907" w:rsidP="00B15ECB">
                  <w:pPr>
                    <w:jc w:val="right"/>
                    <w:rPr>
                      <w:b/>
                    </w:rPr>
                  </w:pPr>
                  <w:r w:rsidRPr="00EC2A1C">
                    <w:t>34 056 841,09 Kč</w:t>
                  </w:r>
                </w:p>
              </w:tc>
            </w:tr>
            <w:tr w:rsidR="00391907" w:rsidRPr="00EC2A1C" w14:paraId="50C88827" w14:textId="77777777" w:rsidTr="00B15ECB">
              <w:tc>
                <w:tcPr>
                  <w:tcW w:w="1797" w:type="pct"/>
                </w:tcPr>
                <w:p w14:paraId="3D4A23B5" w14:textId="77777777" w:rsidR="00391907" w:rsidRPr="00EC2A1C" w:rsidRDefault="00391907" w:rsidP="00B15ECB">
                  <w:pPr>
                    <w:rPr>
                      <w:b/>
                    </w:rPr>
                  </w:pPr>
                  <w:r w:rsidRPr="00EC2A1C">
                    <w:t>Bavorsko – Česko</w:t>
                  </w:r>
                </w:p>
              </w:tc>
              <w:tc>
                <w:tcPr>
                  <w:tcW w:w="1652" w:type="pct"/>
                </w:tcPr>
                <w:p w14:paraId="6048ADE5" w14:textId="77777777" w:rsidR="00391907" w:rsidRPr="00EC2A1C" w:rsidRDefault="00391907" w:rsidP="00B15ECB">
                  <w:pPr>
                    <w:jc w:val="center"/>
                    <w:rPr>
                      <w:b/>
                    </w:rPr>
                  </w:pPr>
                  <w:r w:rsidRPr="00EC2A1C">
                    <w:t>26</w:t>
                  </w:r>
                </w:p>
              </w:tc>
              <w:tc>
                <w:tcPr>
                  <w:tcW w:w="1551" w:type="pct"/>
                  <w:vAlign w:val="center"/>
                </w:tcPr>
                <w:p w14:paraId="5F440D8B" w14:textId="77777777" w:rsidR="00391907" w:rsidRPr="00EC2A1C" w:rsidRDefault="00391907" w:rsidP="00B15ECB">
                  <w:pPr>
                    <w:jc w:val="right"/>
                    <w:rPr>
                      <w:b/>
                    </w:rPr>
                  </w:pPr>
                  <w:r w:rsidRPr="00EC2A1C">
                    <w:t>21 304 459,08 Kč</w:t>
                  </w:r>
                </w:p>
              </w:tc>
            </w:tr>
            <w:tr w:rsidR="00391907" w:rsidRPr="00EC2A1C" w14:paraId="3274C188" w14:textId="77777777" w:rsidTr="00B15ECB">
              <w:tc>
                <w:tcPr>
                  <w:tcW w:w="1797" w:type="pct"/>
                </w:tcPr>
                <w:p w14:paraId="381C2745" w14:textId="77777777" w:rsidR="00391907" w:rsidRPr="00EC2A1C" w:rsidRDefault="00391907" w:rsidP="00B15ECB">
                  <w:pPr>
                    <w:rPr>
                      <w:b/>
                    </w:rPr>
                  </w:pPr>
                  <w:r w:rsidRPr="00EC2A1C">
                    <w:t>Slovensko – Česko</w:t>
                  </w:r>
                </w:p>
              </w:tc>
              <w:tc>
                <w:tcPr>
                  <w:tcW w:w="1652" w:type="pct"/>
                </w:tcPr>
                <w:p w14:paraId="2B1B5982" w14:textId="77777777" w:rsidR="00391907" w:rsidRPr="00EC2A1C" w:rsidRDefault="00391907" w:rsidP="00B15ECB">
                  <w:pPr>
                    <w:jc w:val="center"/>
                    <w:rPr>
                      <w:b/>
                    </w:rPr>
                  </w:pPr>
                  <w:r w:rsidRPr="00EC2A1C">
                    <w:t>21</w:t>
                  </w:r>
                </w:p>
              </w:tc>
              <w:tc>
                <w:tcPr>
                  <w:tcW w:w="1551" w:type="pct"/>
                  <w:vAlign w:val="center"/>
                </w:tcPr>
                <w:p w14:paraId="5345A917" w14:textId="77777777" w:rsidR="00391907" w:rsidRPr="00EC2A1C" w:rsidRDefault="00391907" w:rsidP="00B15ECB">
                  <w:pPr>
                    <w:jc w:val="right"/>
                    <w:rPr>
                      <w:b/>
                    </w:rPr>
                  </w:pPr>
                  <w:r w:rsidRPr="00EC2A1C">
                    <w:t>22 183 242,74 Kč</w:t>
                  </w:r>
                </w:p>
              </w:tc>
            </w:tr>
            <w:tr w:rsidR="00391907" w:rsidRPr="00EC2A1C" w14:paraId="591B7CF5" w14:textId="77777777" w:rsidTr="00B15ECB">
              <w:tc>
                <w:tcPr>
                  <w:tcW w:w="1797" w:type="pct"/>
                  <w:shd w:val="clear" w:color="auto" w:fill="D9D9D9" w:themeFill="background1" w:themeFillShade="D9"/>
                </w:tcPr>
                <w:p w14:paraId="443140A5" w14:textId="77777777" w:rsidR="00391907" w:rsidRPr="00EC2A1C" w:rsidRDefault="00391907" w:rsidP="00B15ECB">
                  <w:pPr>
                    <w:rPr>
                      <w:b/>
                    </w:rPr>
                  </w:pPr>
                  <w:r w:rsidRPr="00EC2A1C">
                    <w:rPr>
                      <w:b/>
                    </w:rPr>
                    <w:t>Součet</w:t>
                  </w:r>
                </w:p>
              </w:tc>
              <w:tc>
                <w:tcPr>
                  <w:tcW w:w="1652" w:type="pct"/>
                  <w:shd w:val="clear" w:color="auto" w:fill="D9D9D9" w:themeFill="background1" w:themeFillShade="D9"/>
                  <w:vAlign w:val="bottom"/>
                </w:tcPr>
                <w:p w14:paraId="3089C34C" w14:textId="77777777" w:rsidR="00391907" w:rsidRPr="00EC2A1C" w:rsidRDefault="00391907" w:rsidP="00B15ECB">
                  <w:pPr>
                    <w:jc w:val="center"/>
                    <w:rPr>
                      <w:b/>
                    </w:rPr>
                  </w:pPr>
                  <w:r w:rsidRPr="00EC2A1C">
                    <w:rPr>
                      <w:b/>
                      <w:color w:val="000000"/>
                    </w:rPr>
                    <w:t>302</w:t>
                  </w:r>
                </w:p>
              </w:tc>
              <w:tc>
                <w:tcPr>
                  <w:tcW w:w="1551" w:type="pct"/>
                  <w:shd w:val="clear" w:color="auto" w:fill="D9D9D9" w:themeFill="background1" w:themeFillShade="D9"/>
                  <w:vAlign w:val="bottom"/>
                </w:tcPr>
                <w:p w14:paraId="30160DC8" w14:textId="77777777" w:rsidR="00391907" w:rsidRPr="00EC2A1C" w:rsidRDefault="00391907" w:rsidP="00B15ECB">
                  <w:pPr>
                    <w:jc w:val="right"/>
                    <w:rPr>
                      <w:b/>
                    </w:rPr>
                  </w:pPr>
                  <w:r w:rsidRPr="00EC2A1C">
                    <w:rPr>
                      <w:b/>
                      <w:color w:val="000000"/>
                    </w:rPr>
                    <w:t>151 625 124,08 Kč</w:t>
                  </w:r>
                </w:p>
              </w:tc>
            </w:tr>
          </w:tbl>
          <w:p w14:paraId="0E95B1E7"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p>
          <w:p w14:paraId="1FD697CD"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Objem prostředků v rámci Národního programu podpory cestovního ruchu v regionech je limitován a zároveň tento program není vhodný pro realizaci dlouhodobých a opakujících se aktivit. Vzhledem k výši alokace a spolufinancování ze strany žadatele (50 % / 50 %) a limitu minimální výše uznatelných nákladů není program vhodný ani pro větší investice. Má však nezastupitelné místo ve financování rozvoje cestovního ruchu v regionech. </w:t>
            </w:r>
          </w:p>
        </w:tc>
        <w:tc>
          <w:tcPr>
            <w:tcW w:w="222" w:type="dxa"/>
            <w:tcBorders>
              <w:top w:val="nil"/>
              <w:bottom w:val="nil"/>
            </w:tcBorders>
            <w:shd w:val="clear" w:color="auto" w:fill="66CCFF"/>
          </w:tcPr>
          <w:p w14:paraId="068A65BF" w14:textId="77777777" w:rsidR="00391907" w:rsidRPr="00EC2A1C" w:rsidRDefault="00391907" w:rsidP="00B15ECB">
            <w:pPr>
              <w:rPr>
                <w:b/>
              </w:rPr>
            </w:pPr>
          </w:p>
        </w:tc>
      </w:tr>
      <w:tr w:rsidR="00391907" w:rsidRPr="00EC2A1C" w14:paraId="4388E575" w14:textId="77777777" w:rsidTr="00B15ECB">
        <w:trPr>
          <w:trHeight w:val="272"/>
        </w:trPr>
        <w:tc>
          <w:tcPr>
            <w:tcW w:w="222" w:type="dxa"/>
            <w:tcBorders>
              <w:top w:val="nil"/>
              <w:bottom w:val="nil"/>
              <w:right w:val="nil"/>
            </w:tcBorders>
            <w:shd w:val="clear" w:color="auto" w:fill="66CCFF"/>
          </w:tcPr>
          <w:p w14:paraId="4820A9BB" w14:textId="77777777" w:rsidR="00391907" w:rsidRPr="00EC2A1C" w:rsidRDefault="00391907" w:rsidP="00B15ECB">
            <w:pPr>
              <w:rPr>
                <w:b/>
              </w:rPr>
            </w:pPr>
          </w:p>
        </w:tc>
        <w:tc>
          <w:tcPr>
            <w:tcW w:w="2188" w:type="dxa"/>
            <w:tcBorders>
              <w:top w:val="single" w:sz="4" w:space="0" w:color="auto"/>
              <w:left w:val="nil"/>
              <w:bottom w:val="single" w:sz="4" w:space="0" w:color="auto"/>
              <w:right w:val="nil"/>
            </w:tcBorders>
            <w:shd w:val="clear" w:color="auto" w:fill="66CCFF"/>
          </w:tcPr>
          <w:p w14:paraId="281C39AF" w14:textId="77777777" w:rsidR="00391907" w:rsidRPr="00EC2A1C" w:rsidRDefault="00391907" w:rsidP="00B15ECB">
            <w:pPr>
              <w:spacing w:before="60" w:after="60"/>
              <w:rPr>
                <w:rFonts w:eastAsiaTheme="majorEastAsia"/>
                <w:b/>
              </w:rPr>
            </w:pPr>
          </w:p>
        </w:tc>
        <w:tc>
          <w:tcPr>
            <w:tcW w:w="7342" w:type="dxa"/>
            <w:tcBorders>
              <w:top w:val="single" w:sz="4" w:space="0" w:color="auto"/>
              <w:left w:val="nil"/>
              <w:bottom w:val="single" w:sz="4" w:space="0" w:color="auto"/>
              <w:right w:val="nil"/>
            </w:tcBorders>
            <w:shd w:val="clear" w:color="auto" w:fill="66CCFF"/>
          </w:tcPr>
          <w:p w14:paraId="5DDDC4BE" w14:textId="77777777" w:rsidR="00391907" w:rsidRPr="00EC2A1C" w:rsidRDefault="00391907" w:rsidP="00B15ECB">
            <w:pPr>
              <w:spacing w:before="60" w:after="60"/>
              <w:rPr>
                <w:rFonts w:eastAsiaTheme="majorEastAsia"/>
                <w:i/>
                <w:u w:val="single"/>
              </w:rPr>
            </w:pPr>
          </w:p>
        </w:tc>
        <w:tc>
          <w:tcPr>
            <w:tcW w:w="222" w:type="dxa"/>
            <w:tcBorders>
              <w:top w:val="nil"/>
              <w:left w:val="nil"/>
              <w:bottom w:val="nil"/>
            </w:tcBorders>
            <w:shd w:val="clear" w:color="auto" w:fill="66CCFF"/>
          </w:tcPr>
          <w:p w14:paraId="1FD18285" w14:textId="77777777" w:rsidR="00391907" w:rsidRPr="00EC2A1C" w:rsidRDefault="00391907" w:rsidP="00B15ECB">
            <w:pPr>
              <w:rPr>
                <w:b/>
              </w:rPr>
            </w:pPr>
          </w:p>
        </w:tc>
      </w:tr>
      <w:tr w:rsidR="00391907" w:rsidRPr="00EC2A1C" w14:paraId="2097AF98" w14:textId="77777777" w:rsidTr="00B15ECB">
        <w:trPr>
          <w:trHeight w:val="835"/>
        </w:trPr>
        <w:tc>
          <w:tcPr>
            <w:tcW w:w="222" w:type="dxa"/>
            <w:tcBorders>
              <w:top w:val="nil"/>
              <w:bottom w:val="nil"/>
            </w:tcBorders>
            <w:shd w:val="clear" w:color="auto" w:fill="66CCFF"/>
          </w:tcPr>
          <w:p w14:paraId="75D79BBB" w14:textId="77777777" w:rsidR="00391907" w:rsidRPr="00EC2A1C" w:rsidRDefault="00391907" w:rsidP="00B15ECB">
            <w:pPr>
              <w:rPr>
                <w:b/>
              </w:rPr>
            </w:pPr>
          </w:p>
        </w:tc>
        <w:tc>
          <w:tcPr>
            <w:tcW w:w="2188" w:type="dxa"/>
            <w:tcBorders>
              <w:top w:val="single" w:sz="4" w:space="0" w:color="auto"/>
              <w:bottom w:val="single" w:sz="4" w:space="0" w:color="auto"/>
            </w:tcBorders>
            <w:shd w:val="clear" w:color="auto" w:fill="auto"/>
          </w:tcPr>
          <w:p w14:paraId="6B7E5A27" w14:textId="77777777" w:rsidR="00391907" w:rsidRPr="00EC2A1C" w:rsidRDefault="00391907" w:rsidP="00B15ECB">
            <w:pPr>
              <w:spacing w:before="60" w:after="60"/>
              <w:rPr>
                <w:rFonts w:eastAsiaTheme="majorEastAsia"/>
                <w:b/>
              </w:rPr>
            </w:pPr>
            <w:r w:rsidRPr="00EC2A1C">
              <w:rPr>
                <w:rFonts w:eastAsiaTheme="majorEastAsia"/>
                <w:b/>
              </w:rPr>
              <w:t>Dílčí cíle podpory</w:t>
            </w:r>
          </w:p>
          <w:p w14:paraId="695588DF" w14:textId="77777777" w:rsidR="00391907" w:rsidRPr="00EC2A1C" w:rsidRDefault="00391907" w:rsidP="00B15ECB">
            <w:pPr>
              <w:spacing w:before="60" w:after="60"/>
              <w:rPr>
                <w:rFonts w:eastAsiaTheme="majorEastAsia"/>
                <w:b/>
              </w:rPr>
            </w:pPr>
          </w:p>
        </w:tc>
        <w:tc>
          <w:tcPr>
            <w:tcW w:w="7342" w:type="dxa"/>
            <w:tcBorders>
              <w:top w:val="single" w:sz="4" w:space="0" w:color="auto"/>
              <w:bottom w:val="single" w:sz="4" w:space="0" w:color="auto"/>
            </w:tcBorders>
            <w:shd w:val="clear" w:color="auto" w:fill="auto"/>
          </w:tcPr>
          <w:p w14:paraId="1170B2D9"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Zvýšení kvality služeb cestovního ruchu</w:t>
            </w:r>
          </w:p>
          <w:p w14:paraId="2B89EE86"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Podpora vzniku kvalifikovaných i nekvalifikovaných pracovních míst v cestovním ruchu</w:t>
            </w:r>
          </w:p>
          <w:p w14:paraId="65904D4A"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Podpora uplatnitelnosti absolventů v oblasti cestovního ruchu</w:t>
            </w:r>
          </w:p>
          <w:p w14:paraId="6BF1FC14"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Zvýšení ekologičnosti provozoven v oblasti cestovního ruchu</w:t>
            </w:r>
          </w:p>
          <w:p w14:paraId="3D607032"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Rozvoj digitalizace a smart řešení v oblasti udržitelného cestovního ruchu včetně CRM</w:t>
            </w:r>
          </w:p>
          <w:p w14:paraId="37BCFB6A"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Rozvoj nízkoemisní, respektive ekologické dopravy v destinacích</w:t>
            </w:r>
          </w:p>
          <w:p w14:paraId="6805F5C2"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Rozvoj systému monitoringu indikátorů udržitelného cestovního ruchu v turistických destinacích (např. včetně zavádění indikátorů ETIS v regionech)</w:t>
            </w:r>
          </w:p>
          <w:p w14:paraId="47B21507"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Rozvoj veřejné infrastruktury udržitelného cestovního ruchu. Podpora vzniku navazujících investic a služeb</w:t>
            </w:r>
          </w:p>
          <w:p w14:paraId="15DD898F"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Rozvoj inovativních produktů udržitelného cestovního ruchu</w:t>
            </w:r>
          </w:p>
          <w:p w14:paraId="6EF2E885"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Rozvoj marketingových aktivit na podporu udržitelných forem cestovního ruchu v destinacích s certifikovanými DMO</w:t>
            </w:r>
          </w:p>
          <w:p w14:paraId="77CF31A5"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Zachování nebo zvýšení kvality života místních obyvatel v souvislosti s rozvojem udržitelného cestovního ruchu</w:t>
            </w:r>
          </w:p>
          <w:p w14:paraId="62B0868B" w14:textId="77777777" w:rsidR="00391907" w:rsidRPr="00EC2A1C" w:rsidRDefault="00391907" w:rsidP="00391907">
            <w:pPr>
              <w:pStyle w:val="Odstavecseseznamem"/>
              <w:numPr>
                <w:ilvl w:val="0"/>
                <w:numId w:val="150"/>
              </w:numPr>
              <w:spacing w:before="60" w:after="60"/>
              <w:jc w:val="both"/>
              <w:rPr>
                <w:rFonts w:eastAsiaTheme="majorEastAsia"/>
              </w:rPr>
            </w:pPr>
            <w:r w:rsidRPr="00EC2A1C">
              <w:rPr>
                <w:rFonts w:eastAsiaTheme="majorEastAsia"/>
              </w:rPr>
              <w:t>Zajištění realizace výzkumu pro potřeby monitoringu návštěvnosti destinací ČR (včetně fyzického monitoringu, monitotingu individuálních ubytovacích kapacit a jejich vytíženosti)</w:t>
            </w:r>
          </w:p>
          <w:p w14:paraId="29266939" w14:textId="77777777" w:rsidR="00391907" w:rsidRPr="00EC2A1C" w:rsidRDefault="00391907" w:rsidP="00B15ECB">
            <w:pPr>
              <w:spacing w:before="60" w:after="60"/>
              <w:rPr>
                <w:rFonts w:eastAsiaTheme="majorEastAsia"/>
                <w:i/>
              </w:rPr>
            </w:pPr>
          </w:p>
        </w:tc>
        <w:tc>
          <w:tcPr>
            <w:tcW w:w="222" w:type="dxa"/>
            <w:tcBorders>
              <w:top w:val="nil"/>
              <w:bottom w:val="nil"/>
            </w:tcBorders>
            <w:shd w:val="clear" w:color="auto" w:fill="66CCFF"/>
          </w:tcPr>
          <w:p w14:paraId="419F8AAC" w14:textId="77777777" w:rsidR="00391907" w:rsidRPr="00EC2A1C" w:rsidRDefault="00391907" w:rsidP="00B15ECB">
            <w:pPr>
              <w:rPr>
                <w:b/>
              </w:rPr>
            </w:pPr>
          </w:p>
        </w:tc>
      </w:tr>
      <w:tr w:rsidR="00391907" w:rsidRPr="00EC2A1C" w14:paraId="5E62E320" w14:textId="77777777" w:rsidTr="00B15ECB">
        <w:trPr>
          <w:trHeight w:val="377"/>
        </w:trPr>
        <w:tc>
          <w:tcPr>
            <w:tcW w:w="222" w:type="dxa"/>
            <w:tcBorders>
              <w:top w:val="nil"/>
              <w:bottom w:val="nil"/>
              <w:right w:val="nil"/>
            </w:tcBorders>
            <w:shd w:val="clear" w:color="auto" w:fill="66CCFF"/>
          </w:tcPr>
          <w:p w14:paraId="76381C27" w14:textId="77777777" w:rsidR="00391907" w:rsidRPr="00EC2A1C" w:rsidRDefault="00391907" w:rsidP="00B15ECB">
            <w:pPr>
              <w:rPr>
                <w:b/>
              </w:rPr>
            </w:pPr>
          </w:p>
        </w:tc>
        <w:tc>
          <w:tcPr>
            <w:tcW w:w="2188" w:type="dxa"/>
            <w:tcBorders>
              <w:top w:val="single" w:sz="4" w:space="0" w:color="auto"/>
              <w:left w:val="nil"/>
              <w:bottom w:val="single" w:sz="4" w:space="0" w:color="auto"/>
              <w:right w:val="nil"/>
            </w:tcBorders>
            <w:shd w:val="clear" w:color="auto" w:fill="66CCFF"/>
          </w:tcPr>
          <w:p w14:paraId="619CFE60" w14:textId="77777777" w:rsidR="00391907" w:rsidRPr="00EC2A1C" w:rsidRDefault="00391907" w:rsidP="00B15ECB">
            <w:pPr>
              <w:spacing w:before="60" w:after="60"/>
              <w:rPr>
                <w:rFonts w:eastAsiaTheme="majorEastAsia"/>
                <w:b/>
              </w:rPr>
            </w:pPr>
          </w:p>
        </w:tc>
        <w:tc>
          <w:tcPr>
            <w:tcW w:w="7342" w:type="dxa"/>
            <w:tcBorders>
              <w:top w:val="single" w:sz="4" w:space="0" w:color="auto"/>
              <w:left w:val="nil"/>
              <w:bottom w:val="single" w:sz="4" w:space="0" w:color="auto"/>
              <w:right w:val="nil"/>
            </w:tcBorders>
            <w:shd w:val="clear" w:color="auto" w:fill="66CCFF"/>
          </w:tcPr>
          <w:p w14:paraId="5ED78C9A" w14:textId="77777777" w:rsidR="00391907" w:rsidRPr="00EC2A1C" w:rsidRDefault="00391907" w:rsidP="00B15ECB">
            <w:pPr>
              <w:spacing w:before="60" w:after="60"/>
              <w:rPr>
                <w:rFonts w:eastAsiaTheme="majorEastAsia"/>
                <w:i/>
              </w:rPr>
            </w:pPr>
          </w:p>
        </w:tc>
        <w:tc>
          <w:tcPr>
            <w:tcW w:w="222" w:type="dxa"/>
            <w:tcBorders>
              <w:top w:val="nil"/>
              <w:left w:val="nil"/>
              <w:bottom w:val="nil"/>
            </w:tcBorders>
            <w:shd w:val="clear" w:color="auto" w:fill="66CCFF"/>
          </w:tcPr>
          <w:p w14:paraId="0E39E716" w14:textId="77777777" w:rsidR="00391907" w:rsidRPr="00EC2A1C" w:rsidRDefault="00391907" w:rsidP="00B15ECB">
            <w:pPr>
              <w:rPr>
                <w:b/>
              </w:rPr>
            </w:pPr>
          </w:p>
        </w:tc>
      </w:tr>
      <w:tr w:rsidR="00391907" w:rsidRPr="00EC2A1C" w14:paraId="1463DED5" w14:textId="77777777" w:rsidTr="00B15ECB">
        <w:trPr>
          <w:trHeight w:val="1202"/>
        </w:trPr>
        <w:tc>
          <w:tcPr>
            <w:tcW w:w="222" w:type="dxa"/>
            <w:tcBorders>
              <w:top w:val="nil"/>
              <w:bottom w:val="nil"/>
            </w:tcBorders>
            <w:shd w:val="clear" w:color="auto" w:fill="66CCFF"/>
          </w:tcPr>
          <w:p w14:paraId="12B01BF1" w14:textId="77777777" w:rsidR="00391907" w:rsidRPr="00EC2A1C" w:rsidRDefault="00391907" w:rsidP="00B15ECB">
            <w:pPr>
              <w:rPr>
                <w:b/>
              </w:rPr>
            </w:pPr>
          </w:p>
        </w:tc>
        <w:tc>
          <w:tcPr>
            <w:tcW w:w="9530" w:type="dxa"/>
            <w:gridSpan w:val="2"/>
            <w:tcBorders>
              <w:top w:val="single" w:sz="4" w:space="0" w:color="auto"/>
              <w:bottom w:val="single" w:sz="4" w:space="0" w:color="auto"/>
            </w:tcBorders>
            <w:shd w:val="clear" w:color="auto" w:fill="FFFFFF" w:themeFill="background1"/>
          </w:tcPr>
          <w:p w14:paraId="092CB3D0" w14:textId="77777777" w:rsidR="00391907" w:rsidRPr="00EC2A1C" w:rsidRDefault="00391907" w:rsidP="00B15ECB">
            <w:pPr>
              <w:spacing w:before="60" w:after="60"/>
              <w:rPr>
                <w:rFonts w:eastAsiaTheme="majorEastAsia"/>
                <w:b/>
              </w:rPr>
            </w:pPr>
            <w:r w:rsidRPr="00EC2A1C">
              <w:rPr>
                <w:rFonts w:eastAsiaTheme="majorEastAsia"/>
                <w:b/>
              </w:rPr>
              <w:t>Průřezová témata a souvislosti:</w:t>
            </w:r>
          </w:p>
          <w:p w14:paraId="12FADC13" w14:textId="77777777" w:rsidR="00391907" w:rsidRPr="00EC2A1C" w:rsidRDefault="00391907" w:rsidP="00B15ECB">
            <w:pPr>
              <w:spacing w:before="60" w:after="60"/>
              <w:rPr>
                <w:rFonts w:eastAsiaTheme="majorEastAsia"/>
                <w:i/>
              </w:rPr>
            </w:pPr>
            <w:r w:rsidRPr="00EC2A1C">
              <w:rPr>
                <w:rFonts w:eastAsiaTheme="majorEastAsia"/>
                <w:i/>
              </w:rPr>
              <w:t>Popsat konkrétně souvislost cíle s uvedenými tématy.</w:t>
            </w:r>
          </w:p>
          <w:p w14:paraId="3CD99081" w14:textId="77777777" w:rsidR="00391907" w:rsidRPr="00EC2A1C" w:rsidRDefault="00391907" w:rsidP="00B15ECB">
            <w:pPr>
              <w:spacing w:before="60" w:after="60"/>
              <w:rPr>
                <w:rFonts w:eastAsiaTheme="majorEastAsia"/>
                <w:i/>
                <w:u w:val="single"/>
              </w:rPr>
            </w:pPr>
            <w:r w:rsidRPr="00EC2A1C">
              <w:rPr>
                <w:rFonts w:eastAsiaTheme="majorEastAsia"/>
                <w:i/>
                <w:u w:val="single"/>
              </w:rPr>
              <w:t>Částečně lze převzít z předchozí karty. Většinou je třeba doplnit megatrendy,  SDR, jasnější popis ÚD…</w:t>
            </w:r>
          </w:p>
        </w:tc>
        <w:tc>
          <w:tcPr>
            <w:tcW w:w="222" w:type="dxa"/>
            <w:tcBorders>
              <w:top w:val="nil"/>
              <w:bottom w:val="nil"/>
            </w:tcBorders>
            <w:shd w:val="clear" w:color="auto" w:fill="66CCFF"/>
          </w:tcPr>
          <w:p w14:paraId="01898945" w14:textId="77777777" w:rsidR="00391907" w:rsidRPr="00EC2A1C" w:rsidRDefault="00391907" w:rsidP="00B15ECB">
            <w:pPr>
              <w:rPr>
                <w:b/>
              </w:rPr>
            </w:pPr>
          </w:p>
        </w:tc>
      </w:tr>
      <w:tr w:rsidR="00391907" w:rsidRPr="00EC2A1C" w14:paraId="52B85AF7" w14:textId="77777777" w:rsidTr="00B15ECB">
        <w:trPr>
          <w:trHeight w:val="1202"/>
        </w:trPr>
        <w:tc>
          <w:tcPr>
            <w:tcW w:w="222" w:type="dxa"/>
            <w:tcBorders>
              <w:top w:val="nil"/>
              <w:bottom w:val="nil"/>
            </w:tcBorders>
            <w:shd w:val="clear" w:color="auto" w:fill="66CCFF"/>
          </w:tcPr>
          <w:p w14:paraId="56683EC9"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783D8D34" w14:textId="77777777" w:rsidR="00391907" w:rsidRPr="00EC2A1C" w:rsidRDefault="00391907" w:rsidP="00391907">
            <w:pPr>
              <w:pStyle w:val="Odstavecseseznamem"/>
              <w:numPr>
                <w:ilvl w:val="0"/>
                <w:numId w:val="2"/>
              </w:numPr>
              <w:spacing w:before="60" w:after="60"/>
              <w:rPr>
                <w:rFonts w:eastAsiaTheme="majorEastAsia"/>
                <w:b/>
              </w:rPr>
            </w:pPr>
            <w:r w:rsidRPr="00EC2A1C">
              <w:rPr>
                <w:rFonts w:eastAsiaTheme="majorEastAsia"/>
                <w:b/>
              </w:rPr>
              <w:t>Územní dimenze</w:t>
            </w:r>
          </w:p>
          <w:p w14:paraId="6C5F06DD"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1497399C" w14:textId="53C16FE6" w:rsidR="00391907" w:rsidRPr="00EC2A1C" w:rsidRDefault="00391907" w:rsidP="00B15ECB">
            <w:pPr>
              <w:spacing w:before="60" w:after="60"/>
              <w:rPr>
                <w:rFonts w:eastAsiaTheme="majorEastAsia"/>
              </w:rPr>
            </w:pPr>
            <w:r w:rsidRPr="00EC2A1C">
              <w:rPr>
                <w:rFonts w:eastAsiaTheme="majorEastAsia"/>
              </w:rPr>
              <w:t>Udržitelný cestovní ruch je efektivním nástrojem regionálního rozvoje ve všech typech území s dostupným potenciálem rozvoje cestovního ruchu (metropole, aglomerace, regionální centra i venkova). Základní východiska a principy jsou pro všechny typy území stejné, nicméně se liší okruhem témat, která musí stakeholdeři v rámci těchto území řešit. V podstatě se liší potřeby i v rámci jedné kategorie území, např. v případě metropolí je intenzita, rozvoj a výkonnost cestovního ruchu odlišná i s ohledem na potřeby zastoupených měst. Lze konstatovat, že Praha, respektive historické jádro, je zejména v hlavní turistické sezóně na hranici únosné kapacity a spíše než zvyšování příjezdů by se mělo akcentovat prodloužení délky pobytu, ro</w:t>
            </w:r>
            <w:r w:rsidR="00D26473" w:rsidRPr="00EC2A1C">
              <w:rPr>
                <w:rFonts w:eastAsiaTheme="majorEastAsia"/>
              </w:rPr>
              <w:t xml:space="preserve">zprostření návštěvnosti jak do </w:t>
            </w:r>
            <w:r w:rsidRPr="00EC2A1C">
              <w:rPr>
                <w:rFonts w:eastAsiaTheme="majorEastAsia"/>
              </w:rPr>
              <w:t>širšího centra a dalších částí Prahy, tak i ve spolupráci se sousedními destinacemi do regionů ČR. Naopak v Brně či Ostravě i z pohledu využití hromadných ubytovacích zařízení jsou kapacity i pro nárůst návštěvnosti. Proto je třeba umožnit realizaci aktivit všem, nicméně dle specifických místních podmínek, které není možné jednoznačně z národní úrovně stanovit (ITI, IPRÚ, CLLD). Realizované aktivity by měly být koordinovány, měla by být podpořena komplexní řešení, která nejsou pouze investicí do infrastruktury cestovního ruchu, ale mají možný pozitivní vliv i na místní obyvatele (doprava, životní prostředí, kultura, školství atd.)</w:t>
            </w:r>
          </w:p>
          <w:p w14:paraId="0889C9C0" w14:textId="77777777" w:rsidR="00391907" w:rsidRPr="00EC2A1C" w:rsidRDefault="00391907" w:rsidP="00B15ECB">
            <w:pPr>
              <w:spacing w:before="60" w:after="60"/>
              <w:rPr>
                <w:rFonts w:eastAsiaTheme="majorEastAsia"/>
              </w:rPr>
            </w:pPr>
            <w:r w:rsidRPr="00EC2A1C">
              <w:rPr>
                <w:rFonts w:eastAsiaTheme="majorEastAsia"/>
              </w:rPr>
              <w:t>Intervence v oblasti udržitelného cestovního ruchu je však z hlediska územního rozvoje nutné směřovat zejména do příhraničních regionů, venkovských regionů a vnitřních periférií, kde často cestovní ruch představuje jediný významný nástroj ekonomického rozvoje. V těchto oblastech by mělo docházet k prohloubení přeshraniční spolupráce (i v rámci hranic krajů) v oblasti destinačního managementu a rozvoje a propojení infrastruktury cestovního ruchu umožňující konzumaci služeb cestovního ruchu po obou stranách hranice.</w:t>
            </w:r>
          </w:p>
          <w:p w14:paraId="290D8772" w14:textId="4D6BDB05" w:rsidR="00391907" w:rsidRPr="00EC2A1C" w:rsidRDefault="00391907" w:rsidP="00B15ECB">
            <w:pPr>
              <w:spacing w:before="60" w:after="60"/>
              <w:rPr>
                <w:rFonts w:eastAsiaTheme="majorEastAsia"/>
              </w:rPr>
            </w:pPr>
            <w:r w:rsidRPr="00EC2A1C">
              <w:rPr>
                <w:rFonts w:eastAsiaTheme="majorEastAsia"/>
              </w:rPr>
              <w:t>Z dlouhodobého hlediska je však třeba přistupovat k rozvoji cestovního ruchu v regionech opat</w:t>
            </w:r>
            <w:r w:rsidR="00D26473" w:rsidRPr="00EC2A1C">
              <w:rPr>
                <w:rFonts w:eastAsiaTheme="majorEastAsia"/>
              </w:rPr>
              <w:t>r</w:t>
            </w:r>
            <w:r w:rsidRPr="00EC2A1C">
              <w:rPr>
                <w:rFonts w:eastAsiaTheme="majorEastAsia"/>
              </w:rPr>
              <w:t xml:space="preserve">ně a důsledně aplikovat strategické plánování se zapojením širokého spektra partnerů, aby se co nejvíce využil potenciál území. Rozvoj cestovního ruchu ve venkovském prostoru je třeba brát i ve vztahu k vazbě na regionální centra (rozvoj volnočasových aktivit rezidentů i potenciál příměstského cestovního ruchu). Spolupráce mezi veřejnou správou, podnikatelskými subjekty a neziskovým sektorem musí tvořit základní kámen realizace průřezových opatření. </w:t>
            </w:r>
          </w:p>
        </w:tc>
        <w:tc>
          <w:tcPr>
            <w:tcW w:w="222" w:type="dxa"/>
            <w:tcBorders>
              <w:top w:val="nil"/>
              <w:bottom w:val="nil"/>
            </w:tcBorders>
            <w:shd w:val="clear" w:color="auto" w:fill="66CCFF"/>
          </w:tcPr>
          <w:p w14:paraId="0711D8D7" w14:textId="77777777" w:rsidR="00391907" w:rsidRPr="00EC2A1C" w:rsidRDefault="00391907" w:rsidP="00B15ECB">
            <w:pPr>
              <w:rPr>
                <w:b/>
              </w:rPr>
            </w:pPr>
          </w:p>
        </w:tc>
      </w:tr>
      <w:tr w:rsidR="00391907" w:rsidRPr="00EC2A1C" w14:paraId="7940A578" w14:textId="77777777" w:rsidTr="00B15ECB">
        <w:trPr>
          <w:trHeight w:val="1202"/>
        </w:trPr>
        <w:tc>
          <w:tcPr>
            <w:tcW w:w="222" w:type="dxa"/>
            <w:tcBorders>
              <w:top w:val="nil"/>
              <w:bottom w:val="nil"/>
            </w:tcBorders>
            <w:shd w:val="clear" w:color="auto" w:fill="66CCFF"/>
          </w:tcPr>
          <w:p w14:paraId="05868BAD"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15A92C70" w14:textId="77777777" w:rsidR="00391907" w:rsidRPr="00EC2A1C" w:rsidRDefault="00391907" w:rsidP="00391907">
            <w:pPr>
              <w:pStyle w:val="Odstavecseseznamem"/>
              <w:numPr>
                <w:ilvl w:val="0"/>
                <w:numId w:val="2"/>
              </w:numPr>
              <w:spacing w:before="60" w:after="60"/>
              <w:rPr>
                <w:rFonts w:eastAsiaTheme="majorEastAsia"/>
                <w:b/>
              </w:rPr>
            </w:pPr>
            <w:r w:rsidRPr="00EC2A1C">
              <w:rPr>
                <w:rFonts w:eastAsiaTheme="majorEastAsia"/>
                <w:b/>
              </w:rPr>
              <w:t>Adaptace na změnu klimatu</w:t>
            </w:r>
          </w:p>
          <w:p w14:paraId="161A8E32"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13CDCEE9" w14:textId="1DDA83AE" w:rsidR="00391907" w:rsidRPr="00EC2A1C" w:rsidRDefault="00391907" w:rsidP="00B15ECB">
            <w:pPr>
              <w:spacing w:before="60" w:after="60"/>
              <w:rPr>
                <w:rFonts w:eastAsiaTheme="majorEastAsia"/>
              </w:rPr>
            </w:pPr>
            <w:r w:rsidRPr="00EC2A1C">
              <w:rPr>
                <w:rFonts w:eastAsiaTheme="majorEastAsia"/>
              </w:rPr>
              <w:t xml:space="preserve">Vybraná opatření udržitelného cestovního ruchu reagují rovněž na klimatickou změnu, zejména se jedná o opatření podporující změnu orientace destinace na jiný segment cestovního ruchu, případně na využití nových technologií pro zachování konkurenceschopnosti destinace i dílčích subjektů v návaznosti např. na možný pokles sněhové pokrývky v horských střediscích, či </w:t>
            </w:r>
            <w:r w:rsidR="00D26473" w:rsidRPr="00EC2A1C">
              <w:rPr>
                <w:rFonts w:eastAsiaTheme="majorEastAsia"/>
              </w:rPr>
              <w:t>nedostatek</w:t>
            </w:r>
            <w:r w:rsidRPr="00EC2A1C">
              <w:rPr>
                <w:rFonts w:eastAsiaTheme="majorEastAsia"/>
              </w:rPr>
              <w:t xml:space="preserve"> vody a špatnou kvalitu vody ve střediscích vodácké a vodní turistiky v období sucha. Dále budou realizována opatření vedoucí k úsporám elektrické energie, energie vytápění objektů, úsporám vody a uplatnění některých adaptačních opatření v rámci managementu vody provozoven cestovního ruchu. Důraz bude také kladen na řešení odpadového hospodářství provozoven cestovního ruchu, aby se co možná nejvíce eliminoval objem komunálního odpadu a naopak aby provozy participovaly na třídění bio odpadu a jeho následném využití. Z hlediska řízení nabídky cestovního ruchu v destinacích povedou opatření k tvorbě produktů udržitelného cestovního ruchu, které budou reagovat na aktuální klimatické změny a jejichž cílem bude rovnoměrnější rozložení návštěvnosti v turisticky exponovaných oblastech, rovněž zajištění konkurenceschopnosti destinace navzdory klimatickým změnám. Výše uvedené přispěje ke stabilizaci životního prostředí v daných lokalitách a sníží tlak jak na místní obyvatele, tak i na faunu a floru. </w:t>
            </w:r>
          </w:p>
          <w:p w14:paraId="598783B4" w14:textId="77777777" w:rsidR="00391907" w:rsidRPr="00EC2A1C" w:rsidRDefault="00391907" w:rsidP="00B15ECB">
            <w:pPr>
              <w:spacing w:before="60" w:after="60"/>
              <w:rPr>
                <w:rFonts w:eastAsiaTheme="majorEastAsia"/>
              </w:rPr>
            </w:pPr>
            <w:r w:rsidRPr="00EC2A1C">
              <w:rPr>
                <w:rFonts w:eastAsiaTheme="majorEastAsia"/>
              </w:rPr>
              <w:t xml:space="preserve">Při realizaci opatření na podporu adaptace na změnu klimatu je vhodné je posuzovat z hlediska jejich možného dopadu na konkurenceschopnost a atraktivitu destinace. Zároveň je však třeba brát v potaz přínos či zátěž, kterou bude dané opatření představovat pro místní obyvatele. Udržitelný rozvoj cestovního ruchu musí respektovat potřeby místních obyvatel. </w:t>
            </w:r>
          </w:p>
        </w:tc>
        <w:tc>
          <w:tcPr>
            <w:tcW w:w="222" w:type="dxa"/>
            <w:tcBorders>
              <w:top w:val="nil"/>
              <w:bottom w:val="nil"/>
            </w:tcBorders>
            <w:shd w:val="clear" w:color="auto" w:fill="66CCFF"/>
          </w:tcPr>
          <w:p w14:paraId="3ED48009" w14:textId="77777777" w:rsidR="00391907" w:rsidRPr="00EC2A1C" w:rsidRDefault="00391907" w:rsidP="00B15ECB">
            <w:pPr>
              <w:rPr>
                <w:b/>
              </w:rPr>
            </w:pPr>
          </w:p>
        </w:tc>
      </w:tr>
      <w:tr w:rsidR="00391907" w:rsidRPr="00EC2A1C" w14:paraId="705F9E32" w14:textId="77777777" w:rsidTr="00B15ECB">
        <w:trPr>
          <w:trHeight w:val="1202"/>
        </w:trPr>
        <w:tc>
          <w:tcPr>
            <w:tcW w:w="222" w:type="dxa"/>
            <w:tcBorders>
              <w:top w:val="nil"/>
              <w:bottom w:val="nil"/>
            </w:tcBorders>
            <w:shd w:val="clear" w:color="auto" w:fill="66CCFF"/>
          </w:tcPr>
          <w:p w14:paraId="4018E262"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15B191C3" w14:textId="77777777" w:rsidR="00391907" w:rsidRPr="00EC2A1C" w:rsidRDefault="00391907" w:rsidP="00391907">
            <w:pPr>
              <w:pStyle w:val="Odstavecseseznamem"/>
              <w:numPr>
                <w:ilvl w:val="0"/>
                <w:numId w:val="2"/>
              </w:numPr>
              <w:spacing w:before="60" w:after="60"/>
              <w:rPr>
                <w:rFonts w:eastAsiaTheme="majorEastAsia"/>
                <w:b/>
              </w:rPr>
            </w:pPr>
            <w:r w:rsidRPr="00EC2A1C">
              <w:rPr>
                <w:rFonts w:eastAsiaTheme="majorEastAsia"/>
                <w:b/>
              </w:rPr>
              <w:t>Společnost 4.0.</w:t>
            </w:r>
          </w:p>
          <w:p w14:paraId="5831963E"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015DAF67" w14:textId="77777777" w:rsidR="00391907" w:rsidRPr="00EC2A1C" w:rsidRDefault="00391907" w:rsidP="00B15ECB">
            <w:pPr>
              <w:spacing w:before="60" w:after="60"/>
              <w:rPr>
                <w:rFonts w:eastAsiaTheme="majorEastAsia"/>
              </w:rPr>
            </w:pPr>
            <w:r w:rsidRPr="00EC2A1C">
              <w:rPr>
                <w:rFonts w:eastAsiaTheme="majorEastAsia"/>
              </w:rPr>
              <w:t>V rámci opatření bude kladen důraz na využívání smart technologií, např. chytré systémy na monitoring spotřeby vody a elektřiny, zadržování a využití dešťové vody v chytrých budovách (ubytovací, stravovací zařízení, návštěvnická centra, půjčovny sportovního vybavení, expozice, muzea apod.). Smart řešení budou podporována rovněž v rámci CRM</w:t>
            </w:r>
            <w:r w:rsidRPr="00EC2A1C">
              <w:rPr>
                <w:rStyle w:val="Znakapoznpodarou"/>
                <w:rFonts w:eastAsiaTheme="majorEastAsia"/>
              </w:rPr>
              <w:footnoteReference w:id="63"/>
            </w:r>
            <w:r w:rsidRPr="00EC2A1C">
              <w:rPr>
                <w:rFonts w:eastAsiaTheme="majorEastAsia"/>
              </w:rPr>
              <w:t xml:space="preserve"> Bude podpořen i rozvoj chytrých řešení v oblasti dopravy v turisticky exponovaných oblastech či turisticky atraktivních zvláště chráněných uzemích.Velký důraz bude kladen na spolupráci mezi veřejnou správou, podnikateli a neziskovou sférou, a to zejména v oblasti destinačního managementu a marketingu. </w:t>
            </w:r>
          </w:p>
        </w:tc>
        <w:tc>
          <w:tcPr>
            <w:tcW w:w="222" w:type="dxa"/>
            <w:tcBorders>
              <w:top w:val="nil"/>
              <w:bottom w:val="nil"/>
            </w:tcBorders>
            <w:shd w:val="clear" w:color="auto" w:fill="66CCFF"/>
          </w:tcPr>
          <w:p w14:paraId="7176A9DE" w14:textId="77777777" w:rsidR="00391907" w:rsidRPr="00EC2A1C" w:rsidRDefault="00391907" w:rsidP="00B15ECB">
            <w:pPr>
              <w:rPr>
                <w:b/>
              </w:rPr>
            </w:pPr>
          </w:p>
        </w:tc>
      </w:tr>
      <w:tr w:rsidR="00391907" w:rsidRPr="00EC2A1C" w14:paraId="406E7622" w14:textId="77777777" w:rsidTr="00B15ECB">
        <w:trPr>
          <w:trHeight w:val="699"/>
        </w:trPr>
        <w:tc>
          <w:tcPr>
            <w:tcW w:w="222" w:type="dxa"/>
            <w:tcBorders>
              <w:top w:val="nil"/>
              <w:bottom w:val="nil"/>
            </w:tcBorders>
            <w:shd w:val="clear" w:color="auto" w:fill="66CCFF"/>
          </w:tcPr>
          <w:p w14:paraId="1F44CF17"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2DC960A0" w14:textId="77777777" w:rsidR="00391907" w:rsidRPr="00EC2A1C" w:rsidRDefault="00391907" w:rsidP="00391907">
            <w:pPr>
              <w:pStyle w:val="Odstavecseseznamem"/>
              <w:numPr>
                <w:ilvl w:val="0"/>
                <w:numId w:val="2"/>
              </w:numPr>
              <w:spacing w:before="60" w:after="60"/>
              <w:rPr>
                <w:rFonts w:eastAsiaTheme="majorEastAsia"/>
                <w:b/>
              </w:rPr>
            </w:pPr>
            <w:r w:rsidRPr="00EC2A1C">
              <w:rPr>
                <w:rFonts w:eastAsiaTheme="majorEastAsia"/>
                <w:b/>
              </w:rPr>
              <w:t>Vazba na megatrendy</w:t>
            </w:r>
          </w:p>
          <w:p w14:paraId="218CA79A"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2C0691BE" w14:textId="77777777" w:rsidR="00391907" w:rsidRPr="00EC2A1C" w:rsidRDefault="00391907" w:rsidP="00B15ECB">
            <w:pPr>
              <w:spacing w:before="60" w:after="60"/>
              <w:rPr>
                <w:rFonts w:eastAsiaTheme="majorEastAsia"/>
              </w:rPr>
            </w:pPr>
            <w:r w:rsidRPr="00EC2A1C">
              <w:rPr>
                <w:rFonts w:eastAsiaTheme="majorEastAsia"/>
              </w:rPr>
              <w:t>Udržitelný cestovní ruch může pozitivně přispívat k eliminaci, nebo naopak rozvoji zejména těchto globálních trendů:</w:t>
            </w:r>
          </w:p>
          <w:p w14:paraId="1311F4DA"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Civilizační choroby</w:t>
            </w:r>
            <w:r w:rsidRPr="00EC2A1C">
              <w:rPr>
                <w:rFonts w:eastAsiaTheme="majorEastAsia"/>
              </w:rPr>
              <w:t xml:space="preserve"> – šetrné formy cestovního ruchu podporují zdravý životní styl </w:t>
            </w:r>
          </w:p>
          <w:p w14:paraId="32EB05F8"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Degradace ekosystémů</w:t>
            </w:r>
            <w:r w:rsidRPr="00EC2A1C">
              <w:rPr>
                <w:rFonts w:eastAsiaTheme="majorEastAsia"/>
              </w:rPr>
              <w:t xml:space="preserve"> – uplatňování principů udržitelného rozvoje v CR může pomoci buď eliminovat stávající narušení prostředí, nebo předcházet vzniku trvalých škod</w:t>
            </w:r>
          </w:p>
          <w:p w14:paraId="7D50CC76"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Globální ekonomický růst</w:t>
            </w:r>
            <w:r w:rsidRPr="00EC2A1C">
              <w:rPr>
                <w:rFonts w:eastAsiaTheme="majorEastAsia"/>
              </w:rPr>
              <w:t xml:space="preserve"> – rozvoj služeb cestovního ruchu podporuje ekonomický růst jak na lokální, regionální tak na národní a mezinárodní úrovni</w:t>
            </w:r>
          </w:p>
          <w:p w14:paraId="1FC0D51D"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Globální stárnutí</w:t>
            </w:r>
            <w:r w:rsidRPr="00EC2A1C">
              <w:rPr>
                <w:rFonts w:eastAsiaTheme="majorEastAsia"/>
              </w:rPr>
              <w:t xml:space="preserve"> – šetrné formy cestovního ruchu podporují zdravý životní styl i zapojení seniorů</w:t>
            </w:r>
          </w:p>
          <w:p w14:paraId="43BC71F5"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Nárůst významu nestátních aktérů</w:t>
            </w:r>
            <w:r w:rsidRPr="00EC2A1C">
              <w:rPr>
                <w:rFonts w:eastAsiaTheme="majorEastAsia"/>
              </w:rPr>
              <w:t xml:space="preserve"> – role NNO je v oblasti regionálního rozvoje, respektive rozvoje cestovního ruchu v regionech, nezastupitelná. Destinace by měly být řízeny na principu partnerství veřejné, privátní i neziskové sféry. NNO je vhodnou platformou pro tyto aktivity.</w:t>
            </w:r>
          </w:p>
          <w:p w14:paraId="2F6C953A"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Potravinová bezpečnost</w:t>
            </w:r>
            <w:r w:rsidRPr="00EC2A1C">
              <w:rPr>
                <w:rFonts w:eastAsiaTheme="majorEastAsia"/>
              </w:rPr>
              <w:t xml:space="preserve"> – Jedním ze základních stavebních kamenů produktové nabídky destinace je gastronomie, v rámci rozvoje udržitelného cestovního ruchu lze iniciovat bližší propojení lokální produkce na poskytovatele služeb. Zároveň je obecným trendem zájem o kvalitní potraviny, lokální produkci.</w:t>
            </w:r>
          </w:p>
          <w:p w14:paraId="73A5A803"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Rostoucí individualismus a síla jednotlivců</w:t>
            </w:r>
            <w:r w:rsidRPr="00EC2A1C">
              <w:rPr>
                <w:rFonts w:eastAsiaTheme="majorEastAsia"/>
              </w:rPr>
              <w:t xml:space="preserve"> – obecným trendem cestovního ruchu je odklon od masových zájezdů a spíše využití aktivních a individuálních forem rekreace.</w:t>
            </w:r>
          </w:p>
          <w:p w14:paraId="352B620B"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Rostoucí mobilita</w:t>
            </w:r>
            <w:r w:rsidRPr="00EC2A1C">
              <w:rPr>
                <w:rFonts w:eastAsiaTheme="majorEastAsia"/>
              </w:rPr>
              <w:t xml:space="preserve"> – rozvoj cestovního ruch přímo ovlivňuje rozvoj mobility a naopak. V rámci udržitelného cestovního ruchu je to především akcent na ekologické formy dopravy, zefektivnění využití hromadné dopravy atd.</w:t>
            </w:r>
          </w:p>
          <w:p w14:paraId="5C5D09A6"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Rostoucí objem regulací</w:t>
            </w:r>
            <w:r w:rsidRPr="00EC2A1C">
              <w:rPr>
                <w:rFonts w:eastAsiaTheme="majorEastAsia"/>
              </w:rPr>
              <w:t xml:space="preserve"> – zejména v souvislosti s udržitelným rozvojem regionů a jednotlivých destinací je nutné aplikovat různé formy regulace s cílem zachování udržitelných podmínek jak pro místní obyvatelstvo, tak přírodní a kulturní dědictví tak, aby bylo uchováno i pro další generace. Regulace úzce souvisí s důsledným monitoringem a vyhodnocováním informací, aby bylo možné nastavit optimální režim návštěvnického managementu. </w:t>
            </w:r>
          </w:p>
          <w:p w14:paraId="78481458"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Rostoucí populace</w:t>
            </w:r>
            <w:r w:rsidRPr="00EC2A1C">
              <w:rPr>
                <w:rFonts w:eastAsiaTheme="majorEastAsia"/>
              </w:rPr>
              <w:t xml:space="preserve"> – principy udržitelného cestovního ruchu mimo jiné souvisí i s rovnoměrným rozložením návštěvnosti v destinacích a s regulací vstupu návštěvníků do vybraných lokalit/ objektů. To souvisí s rostoucí populací, čím více je lidí, tím více je i turistů, kteří chtějí destinace navštěvovat. </w:t>
            </w:r>
          </w:p>
          <w:p w14:paraId="00417B85"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Rostoucí spotřeba zdrojů</w:t>
            </w:r>
            <w:r w:rsidRPr="00EC2A1C">
              <w:rPr>
                <w:rFonts w:eastAsiaTheme="majorEastAsia"/>
              </w:rPr>
              <w:t xml:space="preserve"> – udržitelný cestovní ruch v rámci své metodiky nastavuje i principy úsporných opatření v oblasti spotřeby enegie, vody, využití přírodních léčivých zdrojů v lázeňství</w:t>
            </w:r>
            <w:r w:rsidRPr="00EC2A1C">
              <w:rPr>
                <w:rFonts w:eastAsiaTheme="majorEastAsia"/>
                <w:color w:val="FF0000"/>
              </w:rPr>
              <w:t xml:space="preserve"> </w:t>
            </w:r>
            <w:r w:rsidRPr="00EC2A1C">
              <w:rPr>
                <w:rFonts w:eastAsiaTheme="majorEastAsia"/>
              </w:rPr>
              <w:t>a produkce odpadu v rámci provozoven cestovního ruchu.</w:t>
            </w:r>
          </w:p>
          <w:p w14:paraId="6B2C410E"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Rostoucí spotřeba energie</w:t>
            </w:r>
            <w:r w:rsidRPr="00EC2A1C">
              <w:rPr>
                <w:rFonts w:eastAsiaTheme="majorEastAsia"/>
              </w:rPr>
              <w:t xml:space="preserve"> - udržitelný cestovní ruch v rámci své metodiky nastavuje i principy úsporných opatření v oblasti spotřeby enegie, vody a produkce odpadu v rámci provozoven cestovního ruchu.</w:t>
            </w:r>
          </w:p>
          <w:p w14:paraId="1BC8A895"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Snižování diskriminace</w:t>
            </w:r>
            <w:r w:rsidRPr="00EC2A1C">
              <w:rPr>
                <w:rFonts w:eastAsiaTheme="majorEastAsia"/>
              </w:rPr>
              <w:t xml:space="preserve"> – cestovní ruch obecně přispívá ke snižování xenofobie, jelikož umožňuje poznávání cizích kultur a zvyklostí. V další linii generuje široké spektrum pracovních míst, kde se najde uplatnění pro celou řadu diskriminovaných skupin obyvatelstva</w:t>
            </w:r>
          </w:p>
          <w:p w14:paraId="7BF80C9B"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Zdravý životní styl</w:t>
            </w:r>
            <w:r w:rsidRPr="00EC2A1C">
              <w:rPr>
                <w:rFonts w:eastAsiaTheme="majorEastAsia"/>
              </w:rPr>
              <w:t xml:space="preserve"> - šetrné formy cestovního ruchu podporují zdravý životní styl. Specifické formy cestovního ruchu umožňují i zapojení hendikepovaných. </w:t>
            </w:r>
          </w:p>
          <w:p w14:paraId="76088427"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Změna klimatu a její dopady</w:t>
            </w:r>
            <w:r w:rsidRPr="00EC2A1C">
              <w:rPr>
                <w:rFonts w:eastAsiaTheme="majorEastAsia"/>
              </w:rPr>
              <w:t xml:space="preserve"> - udržitelný cestovní ruch v rámci své metodiky nastavuje i principy úsporných opatření v oblasti spotřeby enegie, vody a produkce odpadu v rámci provozoven cestovního ruchu.</w:t>
            </w:r>
          </w:p>
          <w:p w14:paraId="3FC2B119" w14:textId="77777777" w:rsidR="00391907" w:rsidRPr="00EC2A1C" w:rsidRDefault="00391907" w:rsidP="00391907">
            <w:pPr>
              <w:pStyle w:val="Odstavecseseznamem"/>
              <w:numPr>
                <w:ilvl w:val="0"/>
                <w:numId w:val="136"/>
              </w:numPr>
              <w:spacing w:before="60" w:after="60"/>
              <w:jc w:val="both"/>
              <w:rPr>
                <w:rFonts w:eastAsiaTheme="majorEastAsia"/>
              </w:rPr>
            </w:pPr>
            <w:r w:rsidRPr="00EC2A1C">
              <w:rPr>
                <w:rFonts w:eastAsiaTheme="majorEastAsia"/>
                <w:b/>
              </w:rPr>
              <w:t>Zvyšující se soutěž o zdroje</w:t>
            </w:r>
            <w:r w:rsidRPr="00EC2A1C">
              <w:rPr>
                <w:rFonts w:eastAsiaTheme="majorEastAsia"/>
              </w:rPr>
              <w:t xml:space="preserve"> - udržitelný cestovní ruch v rámci své metodiky nastavuje i principy úsporných opatření v oblasti spotřeby enegie, vody a produkce odpadu v rámci provozoven cestovního ruchu.</w:t>
            </w:r>
          </w:p>
        </w:tc>
        <w:tc>
          <w:tcPr>
            <w:tcW w:w="222" w:type="dxa"/>
            <w:tcBorders>
              <w:top w:val="nil"/>
              <w:bottom w:val="nil"/>
            </w:tcBorders>
            <w:shd w:val="clear" w:color="auto" w:fill="66CCFF"/>
          </w:tcPr>
          <w:p w14:paraId="2B10D956" w14:textId="77777777" w:rsidR="00391907" w:rsidRPr="00EC2A1C" w:rsidRDefault="00391907" w:rsidP="00B15ECB">
            <w:pPr>
              <w:rPr>
                <w:b/>
              </w:rPr>
            </w:pPr>
          </w:p>
        </w:tc>
      </w:tr>
      <w:tr w:rsidR="00391907" w:rsidRPr="00EC2A1C" w14:paraId="13D27247" w14:textId="77777777" w:rsidTr="00B15ECB">
        <w:trPr>
          <w:trHeight w:val="1202"/>
        </w:trPr>
        <w:tc>
          <w:tcPr>
            <w:tcW w:w="222" w:type="dxa"/>
            <w:tcBorders>
              <w:top w:val="nil"/>
              <w:bottom w:val="nil"/>
            </w:tcBorders>
            <w:shd w:val="clear" w:color="auto" w:fill="66CCFF"/>
          </w:tcPr>
          <w:p w14:paraId="68B6D18A" w14:textId="77777777" w:rsidR="00391907" w:rsidRPr="00EC2A1C" w:rsidRDefault="00391907" w:rsidP="00B15ECB">
            <w:pPr>
              <w:rPr>
                <w:b/>
              </w:rPr>
            </w:pPr>
            <w:r w:rsidRPr="00EC2A1C">
              <w:rPr>
                <w:b/>
              </w:rPr>
              <w:t xml:space="preserve"> </w:t>
            </w:r>
          </w:p>
        </w:tc>
        <w:tc>
          <w:tcPr>
            <w:tcW w:w="2188" w:type="dxa"/>
            <w:tcBorders>
              <w:bottom w:val="single" w:sz="4" w:space="0" w:color="auto"/>
            </w:tcBorders>
            <w:shd w:val="clear" w:color="auto" w:fill="FFFFFF" w:themeFill="background1"/>
          </w:tcPr>
          <w:p w14:paraId="48917725" w14:textId="77777777" w:rsidR="00391907" w:rsidRPr="00EC2A1C" w:rsidRDefault="00391907" w:rsidP="00391907">
            <w:pPr>
              <w:pStyle w:val="Odstavecseseznamem"/>
              <w:numPr>
                <w:ilvl w:val="0"/>
                <w:numId w:val="5"/>
              </w:numPr>
              <w:spacing w:before="60" w:after="60"/>
              <w:rPr>
                <w:rFonts w:eastAsiaTheme="majorEastAsia"/>
                <w:b/>
              </w:rPr>
            </w:pPr>
            <w:r w:rsidRPr="00EC2A1C">
              <w:rPr>
                <w:rFonts w:eastAsiaTheme="majorEastAsia"/>
                <w:b/>
              </w:rPr>
              <w:t>politické cíle ON, specifické cíle nařízení k jednotlivým relevantním fondům</w:t>
            </w:r>
          </w:p>
        </w:tc>
        <w:tc>
          <w:tcPr>
            <w:tcW w:w="7342" w:type="dxa"/>
            <w:tcBorders>
              <w:bottom w:val="single" w:sz="4" w:space="0" w:color="auto"/>
            </w:tcBorders>
            <w:shd w:val="clear" w:color="auto" w:fill="FFFFFF" w:themeFill="background1"/>
          </w:tcPr>
          <w:p w14:paraId="0F94A262" w14:textId="77777777" w:rsidR="00391907" w:rsidRPr="00EC2A1C" w:rsidRDefault="00391907" w:rsidP="00B15ECB">
            <w:pPr>
              <w:rPr>
                <w:rFonts w:eastAsiaTheme="majorEastAsia"/>
                <w:b/>
              </w:rPr>
            </w:pPr>
            <w:r w:rsidRPr="00EC2A1C">
              <w:rPr>
                <w:rFonts w:eastAsiaTheme="majorEastAsia"/>
                <w:b/>
              </w:rPr>
              <w:t>CP1: Inteligentnější Evropa</w:t>
            </w:r>
          </w:p>
          <w:p w14:paraId="54263835" w14:textId="77777777" w:rsidR="00391907" w:rsidRPr="00EC2A1C" w:rsidRDefault="00391907" w:rsidP="00B15ECB">
            <w:pPr>
              <w:rPr>
                <w:rFonts w:eastAsiaTheme="majorEastAsia"/>
              </w:rPr>
            </w:pPr>
            <w:r w:rsidRPr="00EC2A1C">
              <w:rPr>
                <w:rFonts w:eastAsiaTheme="majorEastAsia"/>
              </w:rPr>
              <w:t>spec. cíl: posílení růstu a konkurenceschopnosti malých a středních podniků</w:t>
            </w:r>
          </w:p>
          <w:p w14:paraId="59472258" w14:textId="77777777" w:rsidR="00391907" w:rsidRPr="00EC2A1C" w:rsidRDefault="00391907" w:rsidP="00B15ECB">
            <w:pPr>
              <w:rPr>
                <w:rFonts w:eastAsiaTheme="majorEastAsia"/>
                <w:b/>
              </w:rPr>
            </w:pPr>
            <w:r w:rsidRPr="00EC2A1C">
              <w:rPr>
                <w:rFonts w:eastAsiaTheme="majorEastAsia"/>
                <w:b/>
              </w:rPr>
              <w:t>CP2: Zelenější, nízkouhlíková Evropa</w:t>
            </w:r>
          </w:p>
          <w:p w14:paraId="18FD62B0" w14:textId="77777777" w:rsidR="00391907" w:rsidRPr="00EC2A1C" w:rsidRDefault="00391907" w:rsidP="00B15ECB">
            <w:pPr>
              <w:rPr>
                <w:rFonts w:eastAsiaTheme="majorEastAsia"/>
              </w:rPr>
            </w:pPr>
            <w:r w:rsidRPr="00EC2A1C">
              <w:rPr>
                <w:rFonts w:eastAsiaTheme="majorEastAsia"/>
              </w:rPr>
              <w:t>spec. cíl:</w:t>
            </w:r>
            <w:r w:rsidRPr="00EC2A1C">
              <w:t xml:space="preserve"> </w:t>
            </w:r>
            <w:r w:rsidRPr="00EC2A1C">
              <w:rPr>
                <w:rFonts w:eastAsiaTheme="majorEastAsia"/>
              </w:rPr>
              <w:t>podpora opatření v oblasti energetické účinnosti</w:t>
            </w:r>
          </w:p>
          <w:p w14:paraId="4BBFAFD0" w14:textId="77777777" w:rsidR="00391907" w:rsidRPr="00EC2A1C" w:rsidRDefault="00391907" w:rsidP="00B15ECB">
            <w:pPr>
              <w:rPr>
                <w:rFonts w:eastAsiaTheme="majorEastAsia"/>
              </w:rPr>
            </w:pPr>
            <w:r w:rsidRPr="00EC2A1C">
              <w:rPr>
                <w:rFonts w:eastAsiaTheme="majorEastAsia"/>
              </w:rPr>
              <w:t>spec. cíl: podpora přizpůsobení se změně klimatu, prevence rizik a odolnosti vůči katastrofám</w:t>
            </w:r>
          </w:p>
          <w:p w14:paraId="13C8890B" w14:textId="77777777" w:rsidR="00391907" w:rsidRPr="00EC2A1C" w:rsidRDefault="00391907" w:rsidP="00B15ECB">
            <w:pPr>
              <w:rPr>
                <w:rFonts w:eastAsiaTheme="majorEastAsia"/>
              </w:rPr>
            </w:pPr>
            <w:r w:rsidRPr="00EC2A1C">
              <w:rPr>
                <w:rFonts w:eastAsiaTheme="majorEastAsia"/>
              </w:rPr>
              <w:t>spec. cíl: podpora udržitelného hospodaření s vodou</w:t>
            </w:r>
          </w:p>
          <w:p w14:paraId="0F3E339B" w14:textId="77777777" w:rsidR="00391907" w:rsidRPr="00EC2A1C" w:rsidRDefault="00391907" w:rsidP="00B15ECB">
            <w:pPr>
              <w:rPr>
                <w:rFonts w:eastAsiaTheme="majorEastAsia"/>
              </w:rPr>
            </w:pPr>
            <w:r w:rsidRPr="00EC2A1C">
              <w:rPr>
                <w:rFonts w:eastAsiaTheme="majorEastAsia"/>
              </w:rPr>
              <w:t>spec. cíl: podpora přechodu k oběhovému hospodářství</w:t>
            </w:r>
          </w:p>
          <w:p w14:paraId="604E7528" w14:textId="77777777" w:rsidR="00391907" w:rsidRPr="00EC2A1C" w:rsidRDefault="00391907" w:rsidP="00B15ECB">
            <w:pPr>
              <w:spacing w:before="60" w:after="60"/>
              <w:rPr>
                <w:rFonts w:eastAsiaTheme="majorEastAsia"/>
                <w:b/>
              </w:rPr>
            </w:pPr>
            <w:r w:rsidRPr="00EC2A1C">
              <w:rPr>
                <w:rFonts w:eastAsiaTheme="majorEastAsia"/>
                <w:b/>
              </w:rPr>
              <w:t>CP3: Propojenější Evropa</w:t>
            </w:r>
          </w:p>
          <w:p w14:paraId="3CF1740C" w14:textId="77777777" w:rsidR="00391907" w:rsidRPr="00EC2A1C" w:rsidRDefault="00391907" w:rsidP="00B15ECB">
            <w:pPr>
              <w:spacing w:before="60" w:after="60"/>
              <w:rPr>
                <w:rFonts w:eastAsiaTheme="majorEastAsia"/>
              </w:rPr>
            </w:pPr>
            <w:r w:rsidRPr="00EC2A1C">
              <w:rPr>
                <w:rFonts w:eastAsiaTheme="majorEastAsia"/>
              </w:rPr>
              <w:t>spec. cíl: podpora udržitelné multimodální městské mobility</w:t>
            </w:r>
          </w:p>
          <w:p w14:paraId="15FDB525" w14:textId="77777777" w:rsidR="00391907" w:rsidRPr="00EC2A1C" w:rsidRDefault="00391907" w:rsidP="00B15ECB">
            <w:pPr>
              <w:spacing w:before="60" w:after="60"/>
              <w:rPr>
                <w:rFonts w:eastAsiaTheme="majorEastAsia"/>
                <w:b/>
              </w:rPr>
            </w:pPr>
            <w:r w:rsidRPr="00EC2A1C">
              <w:rPr>
                <w:rFonts w:eastAsiaTheme="majorEastAsia"/>
                <w:b/>
              </w:rPr>
              <w:t>CP4: Sociálnější Evropa</w:t>
            </w:r>
          </w:p>
          <w:p w14:paraId="411B1C8A" w14:textId="77777777" w:rsidR="00391907" w:rsidRPr="00EC2A1C" w:rsidRDefault="00391907" w:rsidP="00B15ECB">
            <w:pPr>
              <w:spacing w:before="60" w:after="60"/>
              <w:rPr>
                <w:rFonts w:eastAsiaTheme="majorEastAsia"/>
              </w:rPr>
            </w:pPr>
            <w:r w:rsidRPr="00EC2A1C">
              <w:rPr>
                <w:rFonts w:eastAsiaTheme="majorEastAsia"/>
              </w:rPr>
              <w:t>spec. cíl: zlepšit přístup k zaměstnání pro všechny uchazeče o zaměstnání, zejména mladé lidi a dlouhodobě nezaměstnané a neaktivní osoby, podporovat samostatně výdělečné činnosti a sociální ekonomiku</w:t>
            </w:r>
          </w:p>
          <w:p w14:paraId="4822BAA4" w14:textId="77777777" w:rsidR="00391907" w:rsidRPr="00EC2A1C" w:rsidRDefault="00391907" w:rsidP="00B15ECB">
            <w:pPr>
              <w:spacing w:before="60" w:after="60"/>
              <w:rPr>
                <w:rFonts w:eastAsiaTheme="majorEastAsia"/>
              </w:rPr>
            </w:pPr>
            <w:r w:rsidRPr="00EC2A1C">
              <w:rPr>
                <w:rFonts w:eastAsiaTheme="majorEastAsia"/>
              </w:rPr>
              <w:t>spec. cíl: prosazovat účast žen na trhu práce, lepší rovnováhu mezi prací a osobním životem – včetně přístupu k péči o děti, zdravého a přiměřeného pracovního prostředí s ohledem na zdravotní rizika a přizpůsobení pracovníků, podniků a podnikatelů změnám – a aktivní a zdravé stárnutí</w:t>
            </w:r>
          </w:p>
          <w:p w14:paraId="775EFD9E" w14:textId="77777777" w:rsidR="00391907" w:rsidRPr="00EC2A1C" w:rsidRDefault="00391907" w:rsidP="00B15ECB">
            <w:pPr>
              <w:spacing w:before="60" w:after="60"/>
              <w:rPr>
                <w:rFonts w:eastAsiaTheme="majorEastAsia"/>
              </w:rPr>
            </w:pPr>
            <w:r w:rsidRPr="00EC2A1C">
              <w:rPr>
                <w:rFonts w:eastAsiaTheme="majorEastAsia"/>
              </w:rPr>
              <w:t>spec. cíl: zvýšit kvalitu, účinnost a relevantnost systémů vzdělávání a odborné přípravy na trhu práce, aby se podpořilo získávání klíčových kompetencí včetně digitálních dovedností</w:t>
            </w:r>
          </w:p>
          <w:p w14:paraId="123480A6" w14:textId="77777777" w:rsidR="00391907" w:rsidRPr="00EC2A1C" w:rsidRDefault="00391907" w:rsidP="00B15ECB">
            <w:pPr>
              <w:rPr>
                <w:rFonts w:eastAsiaTheme="majorEastAsia"/>
              </w:rPr>
            </w:pPr>
            <w:r w:rsidRPr="00EC2A1C">
              <w:rPr>
                <w:rFonts w:eastAsiaTheme="majorEastAsia"/>
              </w:rPr>
              <w:t xml:space="preserve">spec. cíl: podporovat rovný přístup ke kvalitnímu a inkluzivnímu vzdělávání a odborné přípravě a jejich úspěšnému ukončení, a to zejména pro znevýhodněné skupiny, od předškolního vzdělávání a péče, přes všeobecné vzdělávání a odborné vzdělávání a přípravu až po terciární úroveň, jakož i vzdělávání a studium dospělých, včetně usnadnění vzdělávací mobility pro všechny; </w:t>
            </w:r>
          </w:p>
          <w:p w14:paraId="033829AA" w14:textId="77777777" w:rsidR="00391907" w:rsidRPr="00EC2A1C" w:rsidRDefault="00391907" w:rsidP="00B15ECB">
            <w:pPr>
              <w:spacing w:before="60" w:after="60"/>
              <w:rPr>
                <w:rFonts w:eastAsiaTheme="majorEastAsia"/>
                <w:b/>
              </w:rPr>
            </w:pPr>
            <w:r w:rsidRPr="00EC2A1C">
              <w:rPr>
                <w:rFonts w:eastAsiaTheme="majorEastAsia"/>
                <w:b/>
              </w:rPr>
              <w:t>CP5: Evropa bližší občanům</w:t>
            </w:r>
          </w:p>
          <w:p w14:paraId="1CA30B91" w14:textId="77777777" w:rsidR="00391907" w:rsidRPr="00EC2A1C" w:rsidRDefault="00391907" w:rsidP="00B15ECB">
            <w:pPr>
              <w:spacing w:before="60" w:after="60"/>
              <w:rPr>
                <w:rFonts w:eastAsiaTheme="majorEastAsia"/>
              </w:rPr>
            </w:pPr>
            <w:r w:rsidRPr="00EC2A1C">
              <w:rPr>
                <w:rFonts w:eastAsiaTheme="majorEastAsia"/>
              </w:rPr>
              <w:t>spec. cíl: podpora integrovaného sociálního, hospodářského a environmentálního rozvoje, kulturního dědictví a bezpečnosti v městských oblastech</w:t>
            </w:r>
          </w:p>
          <w:p w14:paraId="35FF84FB" w14:textId="77777777" w:rsidR="00391907" w:rsidRPr="00EC2A1C" w:rsidRDefault="00391907" w:rsidP="00B15ECB">
            <w:pPr>
              <w:spacing w:before="60" w:after="60"/>
              <w:rPr>
                <w:rFonts w:eastAsiaTheme="majorEastAsia"/>
              </w:rPr>
            </w:pPr>
            <w:r w:rsidRPr="00EC2A1C">
              <w:rPr>
                <w:rFonts w:eastAsiaTheme="majorEastAsia"/>
              </w:rPr>
              <w:t xml:space="preserve">spec. cíl: podpora integrovaného sociálního, hospodářského a environmentálního místního rozvoje, kulturního dědictví a bezpečnosti a v případě venkovských a pobřežních oblastí také prostřednictvím komunitně vedeného místního rozvoje. </w:t>
            </w:r>
          </w:p>
          <w:p w14:paraId="269D70B8" w14:textId="77777777" w:rsidR="00391907" w:rsidRPr="00EC2A1C" w:rsidRDefault="00391907" w:rsidP="00B15ECB">
            <w:pPr>
              <w:spacing w:before="60" w:after="60"/>
              <w:rPr>
                <w:rFonts w:eastAsiaTheme="majorEastAsia"/>
              </w:rPr>
            </w:pPr>
          </w:p>
        </w:tc>
        <w:tc>
          <w:tcPr>
            <w:tcW w:w="222" w:type="dxa"/>
            <w:tcBorders>
              <w:top w:val="nil"/>
              <w:bottom w:val="nil"/>
            </w:tcBorders>
            <w:shd w:val="clear" w:color="auto" w:fill="66CCFF"/>
          </w:tcPr>
          <w:p w14:paraId="00FA0D07" w14:textId="77777777" w:rsidR="00391907" w:rsidRPr="00EC2A1C" w:rsidRDefault="00391907" w:rsidP="00B15ECB">
            <w:pPr>
              <w:rPr>
                <w:b/>
              </w:rPr>
            </w:pPr>
          </w:p>
        </w:tc>
      </w:tr>
      <w:tr w:rsidR="00391907" w:rsidRPr="00EC2A1C" w14:paraId="14C8CC65" w14:textId="77777777" w:rsidTr="00B15ECB">
        <w:trPr>
          <w:trHeight w:val="1202"/>
        </w:trPr>
        <w:tc>
          <w:tcPr>
            <w:tcW w:w="222" w:type="dxa"/>
            <w:tcBorders>
              <w:top w:val="nil"/>
              <w:bottom w:val="nil"/>
            </w:tcBorders>
            <w:shd w:val="clear" w:color="auto" w:fill="66CCFF"/>
          </w:tcPr>
          <w:p w14:paraId="0B76D222"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68681424" w14:textId="77777777" w:rsidR="00391907" w:rsidRPr="00EC2A1C" w:rsidRDefault="00391907" w:rsidP="00391907">
            <w:pPr>
              <w:pStyle w:val="Odstavecseseznamem"/>
              <w:numPr>
                <w:ilvl w:val="0"/>
                <w:numId w:val="5"/>
              </w:numPr>
              <w:spacing w:before="60" w:after="60"/>
              <w:rPr>
                <w:rFonts w:eastAsiaTheme="majorEastAsia"/>
                <w:b/>
              </w:rPr>
            </w:pPr>
            <w:r w:rsidRPr="00EC2A1C">
              <w:rPr>
                <w:rFonts w:eastAsiaTheme="majorEastAsia"/>
                <w:b/>
              </w:rPr>
              <w:t>SDR</w:t>
            </w:r>
          </w:p>
        </w:tc>
        <w:tc>
          <w:tcPr>
            <w:tcW w:w="7342" w:type="dxa"/>
            <w:tcBorders>
              <w:bottom w:val="single" w:sz="4" w:space="0" w:color="auto"/>
            </w:tcBorders>
            <w:shd w:val="clear" w:color="auto" w:fill="FFFFFF" w:themeFill="background1"/>
          </w:tcPr>
          <w:p w14:paraId="7BD98A98" w14:textId="77777777" w:rsidR="00391907" w:rsidRPr="00EC2A1C" w:rsidRDefault="00391907" w:rsidP="00B15ECB">
            <w:pPr>
              <w:spacing w:before="60" w:after="60"/>
              <w:rPr>
                <w:rFonts w:eastAsiaTheme="majorEastAsia"/>
              </w:rPr>
            </w:pPr>
            <w:r w:rsidRPr="00EC2A1C">
              <w:rPr>
                <w:rFonts w:eastAsiaTheme="majorEastAsia"/>
              </w:rPr>
              <w:t xml:space="preserve">Specifický cíl udržitelný cestovní ruch, respektive opatření k jeho naplňování reagují zejména na doporučení </w:t>
            </w:r>
            <w:r w:rsidRPr="00EC2A1C">
              <w:rPr>
                <w:rFonts w:eastAsiaTheme="majorEastAsia"/>
                <w:b/>
              </w:rPr>
              <w:t>„Podporovat zaměstnávání žen, osob s nízkou kvalifikací a osob se zdravotním postižením“</w:t>
            </w:r>
            <w:r w:rsidRPr="00EC2A1C">
              <w:rPr>
                <w:rFonts w:eastAsiaTheme="majorEastAsia"/>
              </w:rPr>
              <w:t xml:space="preserve">. </w:t>
            </w:r>
          </w:p>
        </w:tc>
        <w:tc>
          <w:tcPr>
            <w:tcW w:w="222" w:type="dxa"/>
            <w:tcBorders>
              <w:top w:val="nil"/>
              <w:bottom w:val="nil"/>
            </w:tcBorders>
            <w:shd w:val="clear" w:color="auto" w:fill="66CCFF"/>
          </w:tcPr>
          <w:p w14:paraId="63A6E5BF" w14:textId="77777777" w:rsidR="00391907" w:rsidRPr="00EC2A1C" w:rsidRDefault="00391907" w:rsidP="00B15ECB">
            <w:pPr>
              <w:rPr>
                <w:b/>
              </w:rPr>
            </w:pPr>
          </w:p>
        </w:tc>
      </w:tr>
      <w:tr w:rsidR="00391907" w:rsidRPr="00EC2A1C" w14:paraId="49FDBBED" w14:textId="77777777" w:rsidTr="00B15ECB">
        <w:trPr>
          <w:trHeight w:val="180"/>
        </w:trPr>
        <w:tc>
          <w:tcPr>
            <w:tcW w:w="222" w:type="dxa"/>
            <w:tcBorders>
              <w:top w:val="nil"/>
              <w:bottom w:val="nil"/>
              <w:right w:val="nil"/>
            </w:tcBorders>
            <w:shd w:val="clear" w:color="auto" w:fill="66CCFF"/>
          </w:tcPr>
          <w:p w14:paraId="765609C4" w14:textId="77777777" w:rsidR="00391907" w:rsidRPr="00EC2A1C" w:rsidRDefault="00391907" w:rsidP="00B15ECB">
            <w:pPr>
              <w:rPr>
                <w:b/>
              </w:rPr>
            </w:pPr>
          </w:p>
        </w:tc>
        <w:tc>
          <w:tcPr>
            <w:tcW w:w="2188" w:type="dxa"/>
            <w:tcBorders>
              <w:left w:val="nil"/>
              <w:right w:val="nil"/>
            </w:tcBorders>
            <w:shd w:val="clear" w:color="auto" w:fill="66CCFF"/>
          </w:tcPr>
          <w:p w14:paraId="5DC1A48E" w14:textId="77777777" w:rsidR="00391907" w:rsidRPr="00EC2A1C" w:rsidRDefault="00391907" w:rsidP="00B15ECB">
            <w:pPr>
              <w:rPr>
                <w:b/>
              </w:rPr>
            </w:pPr>
          </w:p>
        </w:tc>
        <w:tc>
          <w:tcPr>
            <w:tcW w:w="7342" w:type="dxa"/>
            <w:tcBorders>
              <w:left w:val="nil"/>
              <w:right w:val="nil"/>
            </w:tcBorders>
            <w:shd w:val="clear" w:color="auto" w:fill="66CCFF"/>
          </w:tcPr>
          <w:p w14:paraId="68D2BB44" w14:textId="77777777" w:rsidR="00391907" w:rsidRPr="00EC2A1C" w:rsidRDefault="00391907" w:rsidP="00B15ECB">
            <w:pPr>
              <w:rPr>
                <w:b/>
              </w:rPr>
            </w:pPr>
          </w:p>
        </w:tc>
        <w:tc>
          <w:tcPr>
            <w:tcW w:w="222" w:type="dxa"/>
            <w:tcBorders>
              <w:top w:val="nil"/>
              <w:left w:val="nil"/>
              <w:bottom w:val="nil"/>
            </w:tcBorders>
            <w:shd w:val="clear" w:color="auto" w:fill="66CCFF"/>
          </w:tcPr>
          <w:p w14:paraId="77671E2E" w14:textId="77777777" w:rsidR="00391907" w:rsidRPr="00EC2A1C" w:rsidRDefault="00391907" w:rsidP="00B15ECB">
            <w:pPr>
              <w:rPr>
                <w:b/>
              </w:rPr>
            </w:pPr>
          </w:p>
        </w:tc>
      </w:tr>
      <w:tr w:rsidR="00391907" w:rsidRPr="00EC2A1C" w14:paraId="11DCD7E8" w14:textId="77777777" w:rsidTr="00B15ECB">
        <w:trPr>
          <w:trHeight w:val="938"/>
        </w:trPr>
        <w:tc>
          <w:tcPr>
            <w:tcW w:w="222" w:type="dxa"/>
            <w:tcBorders>
              <w:top w:val="nil"/>
              <w:bottom w:val="nil"/>
            </w:tcBorders>
            <w:shd w:val="clear" w:color="auto" w:fill="66CCFF"/>
          </w:tcPr>
          <w:p w14:paraId="261F5E9F"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1C7DC657" w14:textId="77777777" w:rsidR="00391907" w:rsidRPr="00EC2A1C" w:rsidRDefault="00391907" w:rsidP="00B15ECB">
            <w:pPr>
              <w:spacing w:before="60" w:after="60"/>
              <w:rPr>
                <w:rFonts w:eastAsiaTheme="majorEastAsia"/>
                <w:b/>
              </w:rPr>
            </w:pPr>
            <w:r w:rsidRPr="00EC2A1C">
              <w:rPr>
                <w:rFonts w:eastAsiaTheme="majorEastAsia"/>
                <w:b/>
              </w:rPr>
              <w:t>Strategický dokument pro daný cíl pro období 2020+; v případě více dokumentů identifikujte strategii dominantní ve vztahu k cíli.</w:t>
            </w:r>
          </w:p>
          <w:p w14:paraId="202EC383" w14:textId="77777777" w:rsidR="00391907" w:rsidRPr="00EC2A1C" w:rsidRDefault="00391907" w:rsidP="00B15ECB">
            <w:pPr>
              <w:pStyle w:val="Odstavecseseznamem"/>
              <w:spacing w:before="60" w:after="60"/>
              <w:ind w:left="360"/>
              <w:rPr>
                <w:rFonts w:eastAsiaTheme="majorEastAsia"/>
                <w:b/>
              </w:rPr>
            </w:pPr>
          </w:p>
        </w:tc>
        <w:tc>
          <w:tcPr>
            <w:tcW w:w="7342" w:type="dxa"/>
            <w:tcBorders>
              <w:bottom w:val="single" w:sz="4" w:space="0" w:color="auto"/>
            </w:tcBorders>
            <w:shd w:val="clear" w:color="auto" w:fill="FFFFFF" w:themeFill="background1"/>
          </w:tcPr>
          <w:p w14:paraId="3D0F2C24"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 tuto chvíli je stále v platnosti Koncepce státní politiky cestovního ruchu v České republice na období 2014 – 2020 (dále jen „Koncepce 2014+“). </w:t>
            </w:r>
          </w:p>
          <w:p w14:paraId="0A1D39B9"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 rámci realizovaných opatření je minimum těch, která by byla s konečnou platností hotova, respektive problémy rozvoje cestovního ruchu jsou dlouhodobé a jejich eliminace není otázkou jednoho programového období. Proto lze vycházet ze stávajícího vyhodnocení Akčního plánu (dále jen „AP“) ke Koncepci 2014+ na roky 2017 – 2018, jelikož uvádí, ve kterých opatřeních se bude s největší pravděpodobností pokračovat i v následujícím období. </w:t>
            </w:r>
          </w:p>
          <w:p w14:paraId="1E3C1D1D"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Ve stávající Koncepci je udržitelný cestovní ruch uveden v kontextu Priority 2 Management cestovního ruchu; Opatření 2.2. Posílení a inovace řízení destinace; konkrétně se jedná o aktivity:</w:t>
            </w:r>
          </w:p>
          <w:p w14:paraId="0335B024" w14:textId="77777777" w:rsidR="00391907" w:rsidRPr="00EC2A1C" w:rsidRDefault="00391907" w:rsidP="00391907">
            <w:pPr>
              <w:pStyle w:val="slovanodstavec"/>
              <w:numPr>
                <w:ilvl w:val="0"/>
                <w:numId w:val="137"/>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 xml:space="preserve">Zavádění a realizace managementu kvality </w:t>
            </w:r>
          </w:p>
          <w:p w14:paraId="3DB2F6F2" w14:textId="77777777" w:rsidR="00391907" w:rsidRPr="00EC2A1C" w:rsidRDefault="00391907" w:rsidP="00391907">
            <w:pPr>
              <w:pStyle w:val="slovanodstavec"/>
              <w:numPr>
                <w:ilvl w:val="0"/>
                <w:numId w:val="137"/>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Zavádění a realizace návštěvnického managementu</w:t>
            </w:r>
          </w:p>
          <w:p w14:paraId="15B87FA8" w14:textId="77777777" w:rsidR="00391907" w:rsidRPr="00EC2A1C" w:rsidRDefault="00391907" w:rsidP="00391907">
            <w:pPr>
              <w:pStyle w:val="slovanodstavec"/>
              <w:numPr>
                <w:ilvl w:val="0"/>
                <w:numId w:val="137"/>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Vytvoření manuálu udržitelného rozvoje cestovního ruchu</w:t>
            </w:r>
          </w:p>
          <w:p w14:paraId="6205FD10" w14:textId="77777777" w:rsidR="00391907" w:rsidRPr="00EC2A1C" w:rsidRDefault="00391907" w:rsidP="00391907">
            <w:pPr>
              <w:pStyle w:val="slovanodstavec"/>
              <w:numPr>
                <w:ilvl w:val="0"/>
                <w:numId w:val="137"/>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Monitoring a šetření udržitelného rozvoje cestovního ruchu</w:t>
            </w:r>
          </w:p>
          <w:p w14:paraId="1ACA2F06" w14:textId="77777777" w:rsidR="00391907" w:rsidRPr="00EC2A1C" w:rsidRDefault="00391907" w:rsidP="00391907">
            <w:pPr>
              <w:pStyle w:val="slovanodstavec"/>
              <w:numPr>
                <w:ilvl w:val="0"/>
                <w:numId w:val="137"/>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Zavádění nových technologií (inovací) do řízení destinace</w:t>
            </w:r>
          </w:p>
          <w:p w14:paraId="597AB559"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Nicméně potřeba rozvoje principů udržitelného cestovního ruchu se prolíná všemi prioritami a opatřeními a je součástí celé řady aktivit. </w:t>
            </w:r>
          </w:p>
          <w:p w14:paraId="538BEBB3"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30. 6. 2019 bude Vládě předložen AP na roky 2019 – 2020, včetně vyhodnocení AP na období 2017 - 2018. Jednou ze stěžejných aktivit nového AP bude práce na tvorbě Manuálu udržitelného cestovního ruchu, který se v následujícím období stane jedním z hlavních podpůrných strategických dokumentů v oblasti rozvoje cestovního ruchu v ČR.</w:t>
            </w:r>
          </w:p>
          <w:p w14:paraId="39DE2019"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 mezičase však již probíhají intenzivní práce na přípravě nové Koncepce státní politiky cestovního ruchu ČR na období 2021 – 2030, respektive na „Analýze vývoje cestovního ruchu pro zpracování Analytické části Koncepce státní politiky cestovního ruchu 2021 – 2030“. </w:t>
            </w:r>
          </w:p>
          <w:p w14:paraId="19823268"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tuto chvíli externí zpracovatel finalizuje první verzi dokumentu v níže uvedené struktuře:</w:t>
            </w:r>
          </w:p>
          <w:p w14:paraId="32D472A9" w14:textId="77777777" w:rsidR="00391907" w:rsidRPr="00EC2A1C" w:rsidRDefault="00391907" w:rsidP="00B15ECB">
            <w:pPr>
              <w:spacing w:line="256" w:lineRule="auto"/>
              <w:rPr>
                <w:u w:val="single"/>
              </w:rPr>
            </w:pPr>
            <w:r w:rsidRPr="00EC2A1C">
              <w:rPr>
                <w:u w:val="single"/>
              </w:rPr>
              <w:t>Kap. 1) Úvodní východiska</w:t>
            </w:r>
          </w:p>
          <w:p w14:paraId="1B3F7DB0" w14:textId="77777777" w:rsidR="00391907" w:rsidRPr="00EC2A1C" w:rsidRDefault="00391907" w:rsidP="00391907">
            <w:pPr>
              <w:numPr>
                <w:ilvl w:val="0"/>
                <w:numId w:val="138"/>
              </w:numPr>
              <w:spacing w:line="256" w:lineRule="auto"/>
              <w:contextualSpacing/>
            </w:pPr>
            <w:r w:rsidRPr="00EC2A1C">
              <w:t>Hlavní cíle a obsahová struktura zprávy o stavu odvětví CR</w:t>
            </w:r>
          </w:p>
          <w:p w14:paraId="6DC57691" w14:textId="77777777" w:rsidR="00391907" w:rsidRPr="00EC2A1C" w:rsidRDefault="00391907" w:rsidP="00B15ECB">
            <w:pPr>
              <w:spacing w:line="256" w:lineRule="auto"/>
              <w:rPr>
                <w:u w:val="single"/>
              </w:rPr>
            </w:pPr>
            <w:r w:rsidRPr="00EC2A1C">
              <w:rPr>
                <w:u w:val="single"/>
              </w:rPr>
              <w:t>Kap. 2) Analýza vnějšího prostředí</w:t>
            </w:r>
          </w:p>
          <w:p w14:paraId="4B628A44" w14:textId="77777777" w:rsidR="00391907" w:rsidRPr="00EC2A1C" w:rsidRDefault="00391907" w:rsidP="00391907">
            <w:pPr>
              <w:numPr>
                <w:ilvl w:val="0"/>
                <w:numId w:val="138"/>
              </w:numPr>
              <w:spacing w:line="256" w:lineRule="auto"/>
              <w:contextualSpacing/>
            </w:pPr>
            <w:r w:rsidRPr="00EC2A1C">
              <w:t>Globální megatrendy se vztahem k CR</w:t>
            </w:r>
          </w:p>
          <w:p w14:paraId="1E5F3AA2" w14:textId="77777777" w:rsidR="00391907" w:rsidRPr="00EC2A1C" w:rsidRDefault="00391907" w:rsidP="00391907">
            <w:pPr>
              <w:numPr>
                <w:ilvl w:val="0"/>
                <w:numId w:val="138"/>
              </w:numPr>
              <w:spacing w:line="256" w:lineRule="auto"/>
              <w:contextualSpacing/>
            </w:pPr>
            <w:r w:rsidRPr="00EC2A1C">
              <w:t>Faktory ovlivňující další rozvoj CR ve světě a v ČR (ekonomické, politické, sociální, demografické faktory, environmentální a technologické faktory)</w:t>
            </w:r>
          </w:p>
          <w:p w14:paraId="465909DB" w14:textId="77777777" w:rsidR="00391907" w:rsidRPr="00EC2A1C" w:rsidRDefault="00391907" w:rsidP="00391907">
            <w:pPr>
              <w:numPr>
                <w:ilvl w:val="0"/>
                <w:numId w:val="138"/>
              </w:numPr>
              <w:spacing w:line="256" w:lineRule="auto"/>
              <w:contextualSpacing/>
            </w:pPr>
            <w:r w:rsidRPr="00EC2A1C">
              <w:t>Globalizace a integrace v CR</w:t>
            </w:r>
          </w:p>
          <w:p w14:paraId="60DBE874" w14:textId="77777777" w:rsidR="00391907" w:rsidRPr="00EC2A1C" w:rsidRDefault="00391907" w:rsidP="00B15ECB">
            <w:pPr>
              <w:spacing w:line="256" w:lineRule="auto"/>
              <w:rPr>
                <w:u w:val="single"/>
              </w:rPr>
            </w:pPr>
            <w:r w:rsidRPr="00EC2A1C">
              <w:rPr>
                <w:u w:val="single"/>
              </w:rPr>
              <w:t>Kap. 3) Význam CR pro národní hospodářství</w:t>
            </w:r>
          </w:p>
          <w:p w14:paraId="6F71986F" w14:textId="77777777" w:rsidR="00391907" w:rsidRPr="00EC2A1C" w:rsidRDefault="00391907" w:rsidP="00391907">
            <w:pPr>
              <w:numPr>
                <w:ilvl w:val="0"/>
                <w:numId w:val="138"/>
              </w:numPr>
              <w:spacing w:line="256" w:lineRule="auto"/>
              <w:contextualSpacing/>
            </w:pPr>
            <w:r w:rsidRPr="00EC2A1C">
              <w:t>Význam CR v národním hospodářství včetně srovnání s vybranými odvětvími NACE</w:t>
            </w:r>
          </w:p>
          <w:p w14:paraId="73F1C28C" w14:textId="77777777" w:rsidR="00391907" w:rsidRPr="00EC2A1C" w:rsidRDefault="00391907" w:rsidP="00391907">
            <w:pPr>
              <w:numPr>
                <w:ilvl w:val="0"/>
                <w:numId w:val="138"/>
              </w:numPr>
              <w:spacing w:line="256" w:lineRule="auto"/>
              <w:contextualSpacing/>
            </w:pPr>
            <w:r w:rsidRPr="00EC2A1C">
              <w:t xml:space="preserve">Postavení ČR v mezinárodním srovnání – včetně nepřímých efektů </w:t>
            </w:r>
          </w:p>
          <w:p w14:paraId="1CC1682D" w14:textId="77777777" w:rsidR="00391907" w:rsidRPr="00EC2A1C" w:rsidRDefault="00391907" w:rsidP="00391907">
            <w:pPr>
              <w:numPr>
                <w:ilvl w:val="0"/>
                <w:numId w:val="138"/>
              </w:numPr>
              <w:spacing w:line="256" w:lineRule="auto"/>
              <w:contextualSpacing/>
            </w:pPr>
            <w:r w:rsidRPr="00EC2A1C">
              <w:t>Investice – Tvorba hrubého fixního kapitálu v CR</w:t>
            </w:r>
          </w:p>
          <w:p w14:paraId="42C64ECE" w14:textId="77777777" w:rsidR="00391907" w:rsidRPr="00EC2A1C" w:rsidRDefault="00391907" w:rsidP="00391907">
            <w:pPr>
              <w:numPr>
                <w:ilvl w:val="0"/>
                <w:numId w:val="138"/>
              </w:numPr>
              <w:spacing w:line="256" w:lineRule="auto"/>
              <w:contextualSpacing/>
            </w:pPr>
            <w:r w:rsidRPr="00EC2A1C">
              <w:t>Platební bilance a devizové příjmy</w:t>
            </w:r>
          </w:p>
          <w:p w14:paraId="4CCA011D" w14:textId="77777777" w:rsidR="00391907" w:rsidRPr="00EC2A1C" w:rsidRDefault="00391907" w:rsidP="00B15ECB">
            <w:pPr>
              <w:spacing w:line="256" w:lineRule="auto"/>
              <w:rPr>
                <w:u w:val="single"/>
              </w:rPr>
            </w:pPr>
            <w:r w:rsidRPr="00EC2A1C">
              <w:rPr>
                <w:u w:val="single"/>
              </w:rPr>
              <w:t>Kap. 4) Analýza poptávky CR</w:t>
            </w:r>
          </w:p>
          <w:p w14:paraId="7C998BED" w14:textId="77777777" w:rsidR="00391907" w:rsidRPr="00EC2A1C" w:rsidRDefault="00391907" w:rsidP="00391907">
            <w:pPr>
              <w:numPr>
                <w:ilvl w:val="0"/>
                <w:numId w:val="138"/>
              </w:numPr>
              <w:spacing w:line="256" w:lineRule="auto"/>
              <w:contextualSpacing/>
            </w:pPr>
            <w:r w:rsidRPr="00EC2A1C">
              <w:t>Základní vývoj návštěvnosti – DCR, PCR (HUZ, IUZ – spolupráce s ČSÚ</w:t>
            </w:r>
          </w:p>
          <w:p w14:paraId="2999ED7F" w14:textId="77777777" w:rsidR="00391907" w:rsidRPr="00EC2A1C" w:rsidRDefault="00391907" w:rsidP="00391907">
            <w:pPr>
              <w:numPr>
                <w:ilvl w:val="0"/>
                <w:numId w:val="138"/>
              </w:numPr>
              <w:spacing w:line="256" w:lineRule="auto"/>
              <w:contextualSpacing/>
            </w:pPr>
            <w:r w:rsidRPr="00EC2A1C">
              <w:t>Analýza zdrojových/ potenciálních trhů – návaznost na marketingovou strategii CzT</w:t>
            </w:r>
          </w:p>
          <w:p w14:paraId="1138F848" w14:textId="77777777" w:rsidR="00391907" w:rsidRPr="00EC2A1C" w:rsidRDefault="00391907" w:rsidP="00391907">
            <w:pPr>
              <w:numPr>
                <w:ilvl w:val="0"/>
                <w:numId w:val="138"/>
              </w:numPr>
              <w:spacing w:line="256" w:lineRule="auto"/>
              <w:contextualSpacing/>
            </w:pPr>
            <w:r w:rsidRPr="00EC2A1C">
              <w:t>Segmentace – orientace na motiv návštěv a provázanost s nabídkou</w:t>
            </w:r>
          </w:p>
          <w:p w14:paraId="51999F26" w14:textId="77777777" w:rsidR="00391907" w:rsidRPr="00EC2A1C" w:rsidRDefault="00391907" w:rsidP="00391907">
            <w:pPr>
              <w:numPr>
                <w:ilvl w:val="0"/>
                <w:numId w:val="138"/>
              </w:numPr>
              <w:spacing w:line="256" w:lineRule="auto"/>
              <w:contextualSpacing/>
            </w:pPr>
            <w:r w:rsidRPr="00EC2A1C">
              <w:t>Trendy v poptávce</w:t>
            </w:r>
          </w:p>
          <w:p w14:paraId="0D7B491A" w14:textId="77777777" w:rsidR="00391907" w:rsidRPr="00EC2A1C" w:rsidRDefault="00391907" w:rsidP="00391907">
            <w:pPr>
              <w:numPr>
                <w:ilvl w:val="0"/>
                <w:numId w:val="138"/>
              </w:numPr>
              <w:spacing w:line="256" w:lineRule="auto"/>
              <w:contextualSpacing/>
            </w:pPr>
            <w:r w:rsidRPr="00EC2A1C">
              <w:t>Výjezdový CR – analýza dostupných statistik</w:t>
            </w:r>
          </w:p>
          <w:p w14:paraId="4DB02B2F" w14:textId="77777777" w:rsidR="00391907" w:rsidRPr="00EC2A1C" w:rsidRDefault="00391907" w:rsidP="00B15ECB">
            <w:pPr>
              <w:spacing w:line="256" w:lineRule="auto"/>
              <w:rPr>
                <w:u w:val="single"/>
              </w:rPr>
            </w:pPr>
            <w:r w:rsidRPr="00EC2A1C">
              <w:rPr>
                <w:u w:val="single"/>
              </w:rPr>
              <w:t>Kap. 5) Analýza nabídky CR</w:t>
            </w:r>
          </w:p>
          <w:p w14:paraId="7A758183" w14:textId="77777777" w:rsidR="00391907" w:rsidRPr="00EC2A1C" w:rsidRDefault="00391907" w:rsidP="00391907">
            <w:pPr>
              <w:pStyle w:val="Odstavecseseznamem"/>
              <w:numPr>
                <w:ilvl w:val="0"/>
                <w:numId w:val="138"/>
              </w:numPr>
              <w:jc w:val="both"/>
            </w:pPr>
            <w:r w:rsidRPr="00EC2A1C">
              <w:t>Primární nabídka CR (přírodní a kulturně-historický potenciál, struktura krajiny)</w:t>
            </w:r>
          </w:p>
          <w:p w14:paraId="08F67DD2" w14:textId="77777777" w:rsidR="00391907" w:rsidRPr="00EC2A1C" w:rsidRDefault="00391907" w:rsidP="00391907">
            <w:pPr>
              <w:numPr>
                <w:ilvl w:val="0"/>
                <w:numId w:val="138"/>
              </w:numPr>
              <w:spacing w:line="256" w:lineRule="auto"/>
              <w:contextualSpacing/>
            </w:pPr>
            <w:r w:rsidRPr="00EC2A1C">
              <w:t>Sekundární nabídka CR (základní a doprovodná infrastruktura CR)</w:t>
            </w:r>
          </w:p>
          <w:p w14:paraId="7345A53F" w14:textId="77777777" w:rsidR="00391907" w:rsidRPr="00EC2A1C" w:rsidRDefault="00391907" w:rsidP="00391907">
            <w:pPr>
              <w:numPr>
                <w:ilvl w:val="0"/>
                <w:numId w:val="138"/>
              </w:numPr>
              <w:spacing w:line="256" w:lineRule="auto"/>
              <w:contextualSpacing/>
            </w:pPr>
            <w:r w:rsidRPr="00EC2A1C">
              <w:t>Nosné typy CR</w:t>
            </w:r>
          </w:p>
          <w:p w14:paraId="51E1586C" w14:textId="77777777" w:rsidR="00391907" w:rsidRPr="00EC2A1C" w:rsidRDefault="00391907" w:rsidP="00391907">
            <w:pPr>
              <w:numPr>
                <w:ilvl w:val="0"/>
                <w:numId w:val="138"/>
              </w:numPr>
              <w:spacing w:line="256" w:lineRule="auto"/>
              <w:contextualSpacing/>
            </w:pPr>
            <w:r w:rsidRPr="00EC2A1C">
              <w:t>Aktuální trendy vývoje nabídky</w:t>
            </w:r>
          </w:p>
          <w:p w14:paraId="4D0A0EDC" w14:textId="77777777" w:rsidR="00391907" w:rsidRPr="00EC2A1C" w:rsidRDefault="00391907" w:rsidP="00391907">
            <w:pPr>
              <w:numPr>
                <w:ilvl w:val="0"/>
                <w:numId w:val="138"/>
              </w:numPr>
              <w:spacing w:line="256" w:lineRule="auto"/>
              <w:contextualSpacing/>
            </w:pPr>
            <w:r w:rsidRPr="00EC2A1C">
              <w:t>Sdílená ekonomika v nabídce CR</w:t>
            </w:r>
          </w:p>
          <w:p w14:paraId="15E8EFC8" w14:textId="77777777" w:rsidR="00391907" w:rsidRPr="00EC2A1C" w:rsidRDefault="00391907" w:rsidP="00B15ECB">
            <w:pPr>
              <w:spacing w:line="256" w:lineRule="auto"/>
              <w:rPr>
                <w:u w:val="single"/>
              </w:rPr>
            </w:pPr>
            <w:r w:rsidRPr="00EC2A1C">
              <w:rPr>
                <w:u w:val="single"/>
              </w:rPr>
              <w:t>Kap. 6) Analýza konkurence</w:t>
            </w:r>
          </w:p>
          <w:p w14:paraId="244387AD" w14:textId="77777777" w:rsidR="00391907" w:rsidRPr="00EC2A1C" w:rsidRDefault="00391907" w:rsidP="00391907">
            <w:pPr>
              <w:numPr>
                <w:ilvl w:val="0"/>
                <w:numId w:val="138"/>
              </w:numPr>
              <w:spacing w:line="256" w:lineRule="auto"/>
              <w:contextualSpacing/>
            </w:pPr>
            <w:r w:rsidRPr="00EC2A1C">
              <w:t>Postavení destinace ČR v mezinárodním CR, TTCI, konkurence z hlediska incomingu</w:t>
            </w:r>
          </w:p>
          <w:p w14:paraId="4DB8BE48" w14:textId="77777777" w:rsidR="00391907" w:rsidRPr="00EC2A1C" w:rsidRDefault="00391907" w:rsidP="00391907">
            <w:pPr>
              <w:numPr>
                <w:ilvl w:val="0"/>
                <w:numId w:val="138"/>
              </w:numPr>
              <w:spacing w:line="256" w:lineRule="auto"/>
              <w:contextualSpacing/>
            </w:pPr>
            <w:r w:rsidRPr="00EC2A1C">
              <w:t>Konkurence z hlediska produktů a aktivit</w:t>
            </w:r>
          </w:p>
          <w:p w14:paraId="4368A01B" w14:textId="77777777" w:rsidR="00391907" w:rsidRPr="00EC2A1C" w:rsidRDefault="00391907" w:rsidP="00B15ECB">
            <w:pPr>
              <w:spacing w:line="256" w:lineRule="auto"/>
              <w:rPr>
                <w:u w:val="single"/>
              </w:rPr>
            </w:pPr>
            <w:r w:rsidRPr="00EC2A1C">
              <w:rPr>
                <w:u w:val="single"/>
              </w:rPr>
              <w:t>Kap. 7) Analýza systému CR</w:t>
            </w:r>
          </w:p>
          <w:p w14:paraId="1FD2FE62" w14:textId="77777777" w:rsidR="00391907" w:rsidRPr="00EC2A1C" w:rsidRDefault="00391907" w:rsidP="00391907">
            <w:pPr>
              <w:numPr>
                <w:ilvl w:val="0"/>
                <w:numId w:val="138"/>
              </w:numPr>
              <w:spacing w:line="256" w:lineRule="auto"/>
              <w:contextualSpacing/>
            </w:pPr>
            <w:r w:rsidRPr="00EC2A1C">
              <w:t>Rámec systému CR v ČR</w:t>
            </w:r>
          </w:p>
          <w:p w14:paraId="7C75AF85" w14:textId="77777777" w:rsidR="00391907" w:rsidRPr="00EC2A1C" w:rsidRDefault="00391907" w:rsidP="00391907">
            <w:pPr>
              <w:numPr>
                <w:ilvl w:val="2"/>
                <w:numId w:val="139"/>
              </w:numPr>
              <w:spacing w:line="256" w:lineRule="auto"/>
              <w:contextualSpacing/>
            </w:pPr>
            <w:r w:rsidRPr="00EC2A1C">
              <w:t>Současná politika CR v ČR</w:t>
            </w:r>
          </w:p>
          <w:p w14:paraId="49DB6AD1" w14:textId="77777777" w:rsidR="00391907" w:rsidRPr="00EC2A1C" w:rsidRDefault="00391907" w:rsidP="00391907">
            <w:pPr>
              <w:numPr>
                <w:ilvl w:val="2"/>
                <w:numId w:val="139"/>
              </w:numPr>
              <w:spacing w:line="256" w:lineRule="auto"/>
              <w:contextualSpacing/>
            </w:pPr>
            <w:r w:rsidRPr="00EC2A1C">
              <w:t>Provazba na sektorové politiky ČR</w:t>
            </w:r>
          </w:p>
          <w:p w14:paraId="019DA42E" w14:textId="77777777" w:rsidR="00391907" w:rsidRPr="00EC2A1C" w:rsidRDefault="00391907" w:rsidP="00391907">
            <w:pPr>
              <w:numPr>
                <w:ilvl w:val="2"/>
                <w:numId w:val="139"/>
              </w:numPr>
              <w:spacing w:line="256" w:lineRule="auto"/>
              <w:contextualSpacing/>
            </w:pPr>
            <w:r w:rsidRPr="00EC2A1C">
              <w:t>Provazba na politiku EU a její programové období</w:t>
            </w:r>
          </w:p>
          <w:p w14:paraId="17B01A6E" w14:textId="77777777" w:rsidR="00391907" w:rsidRPr="00EC2A1C" w:rsidRDefault="00391907" w:rsidP="00391907">
            <w:pPr>
              <w:numPr>
                <w:ilvl w:val="0"/>
                <w:numId w:val="138"/>
              </w:numPr>
              <w:spacing w:line="256" w:lineRule="auto"/>
              <w:contextualSpacing/>
            </w:pPr>
            <w:r w:rsidRPr="00EC2A1C">
              <w:t xml:space="preserve">Uspořádání systému CR v ČR </w:t>
            </w:r>
          </w:p>
          <w:p w14:paraId="59F2BDC2" w14:textId="77777777" w:rsidR="00391907" w:rsidRPr="00EC2A1C" w:rsidRDefault="00391907" w:rsidP="00391907">
            <w:pPr>
              <w:numPr>
                <w:ilvl w:val="2"/>
                <w:numId w:val="140"/>
              </w:numPr>
              <w:spacing w:line="256" w:lineRule="auto"/>
              <w:contextualSpacing/>
            </w:pPr>
            <w:r w:rsidRPr="00EC2A1C">
              <w:t xml:space="preserve">Současná organizace CR v ČR </w:t>
            </w:r>
          </w:p>
          <w:p w14:paraId="5066B1FA" w14:textId="77777777" w:rsidR="00391907" w:rsidRPr="00EC2A1C" w:rsidRDefault="00391907" w:rsidP="00391907">
            <w:pPr>
              <w:numPr>
                <w:ilvl w:val="2"/>
                <w:numId w:val="140"/>
              </w:numPr>
              <w:spacing w:line="256" w:lineRule="auto"/>
              <w:contextualSpacing/>
            </w:pPr>
            <w:r w:rsidRPr="00EC2A1C">
              <w:t>Trendy ve vývoji řízení a organizace systému CR</w:t>
            </w:r>
          </w:p>
          <w:p w14:paraId="0EC69499" w14:textId="77777777" w:rsidR="00391907" w:rsidRPr="00EC2A1C" w:rsidRDefault="00391907" w:rsidP="00391907">
            <w:pPr>
              <w:numPr>
                <w:ilvl w:val="0"/>
                <w:numId w:val="138"/>
              </w:numPr>
              <w:spacing w:line="256" w:lineRule="auto"/>
              <w:contextualSpacing/>
            </w:pPr>
            <w:r w:rsidRPr="00EC2A1C">
              <w:t xml:space="preserve">Spolupráce (vazby) v systému CR v ČR </w:t>
            </w:r>
          </w:p>
          <w:p w14:paraId="733F5DB6" w14:textId="77777777" w:rsidR="00391907" w:rsidRPr="00EC2A1C" w:rsidRDefault="00391907" w:rsidP="00391907">
            <w:pPr>
              <w:numPr>
                <w:ilvl w:val="2"/>
                <w:numId w:val="141"/>
              </w:numPr>
              <w:spacing w:line="256" w:lineRule="auto"/>
              <w:contextualSpacing/>
            </w:pPr>
            <w:r w:rsidRPr="00EC2A1C">
              <w:t>Analýza vertikální a horizontální spolupráce v systému</w:t>
            </w:r>
          </w:p>
          <w:p w14:paraId="60FB0ECB" w14:textId="77777777" w:rsidR="00391907" w:rsidRPr="00EC2A1C" w:rsidRDefault="00391907" w:rsidP="00B15ECB">
            <w:pPr>
              <w:spacing w:line="256" w:lineRule="auto"/>
            </w:pPr>
            <w:r w:rsidRPr="00EC2A1C">
              <w:t xml:space="preserve">Kap. 8) SWOT </w:t>
            </w:r>
          </w:p>
          <w:p w14:paraId="1A736F5E" w14:textId="77777777" w:rsidR="00391907" w:rsidRPr="00EC2A1C" w:rsidRDefault="00391907" w:rsidP="00B15ECB">
            <w:pPr>
              <w:spacing w:line="256" w:lineRule="auto"/>
            </w:pPr>
            <w:r w:rsidRPr="00EC2A1C">
              <w:t>Kap. 9) Aktéři CR</w:t>
            </w:r>
          </w:p>
          <w:p w14:paraId="59843905" w14:textId="77777777" w:rsidR="00391907" w:rsidRPr="00EC2A1C" w:rsidRDefault="00391907" w:rsidP="00391907">
            <w:pPr>
              <w:numPr>
                <w:ilvl w:val="0"/>
                <w:numId w:val="138"/>
              </w:numPr>
              <w:spacing w:line="256" w:lineRule="auto"/>
              <w:contextualSpacing/>
            </w:pPr>
            <w:r w:rsidRPr="00EC2A1C">
              <w:t>Postoje klíčových aktérů CR k problémům současné politiky CR</w:t>
            </w:r>
          </w:p>
          <w:p w14:paraId="408C66C8" w14:textId="77777777" w:rsidR="00391907" w:rsidRPr="00EC2A1C" w:rsidRDefault="00391907" w:rsidP="00391907">
            <w:pPr>
              <w:numPr>
                <w:ilvl w:val="0"/>
                <w:numId w:val="138"/>
              </w:numPr>
              <w:spacing w:line="256" w:lineRule="auto"/>
              <w:contextualSpacing/>
            </w:pPr>
            <w:r w:rsidRPr="00EC2A1C">
              <w:t>Zhodnocení plnění a zjištění problémů Koncepce 2014 – 2020</w:t>
            </w:r>
          </w:p>
          <w:p w14:paraId="654FEB0F" w14:textId="77777777" w:rsidR="00391907" w:rsidRPr="00EC2A1C" w:rsidRDefault="00391907" w:rsidP="00391907">
            <w:pPr>
              <w:numPr>
                <w:ilvl w:val="0"/>
                <w:numId w:val="138"/>
              </w:numPr>
              <w:spacing w:line="256" w:lineRule="auto"/>
              <w:contextualSpacing/>
            </w:pPr>
            <w:r w:rsidRPr="00EC2A1C">
              <w:t>Zjištění potřeb a priorit budoucí Koncepce 2021+ (anketní šetření, workshop, prac. skupina)</w:t>
            </w:r>
          </w:p>
          <w:p w14:paraId="45F98793" w14:textId="77777777" w:rsidR="00391907" w:rsidRPr="00EC2A1C" w:rsidRDefault="00391907" w:rsidP="00B15ECB">
            <w:pPr>
              <w:spacing w:line="256" w:lineRule="auto"/>
            </w:pPr>
            <w:r w:rsidRPr="00EC2A1C">
              <w:t>Kap. 10) Závěrečné zhodnocení</w:t>
            </w:r>
          </w:p>
          <w:p w14:paraId="10D2E62D" w14:textId="77777777" w:rsidR="00391907" w:rsidRPr="00EC2A1C" w:rsidRDefault="00391907" w:rsidP="00391907">
            <w:pPr>
              <w:numPr>
                <w:ilvl w:val="0"/>
                <w:numId w:val="138"/>
              </w:numPr>
              <w:spacing w:line="256" w:lineRule="auto"/>
              <w:contextualSpacing/>
            </w:pPr>
            <w:r w:rsidRPr="00EC2A1C">
              <w:t>Plnění cílů a priorit předchozích Koncepcí</w:t>
            </w:r>
          </w:p>
          <w:p w14:paraId="05D502AD" w14:textId="77777777" w:rsidR="00391907" w:rsidRPr="00EC2A1C" w:rsidRDefault="00391907" w:rsidP="00391907">
            <w:pPr>
              <w:numPr>
                <w:ilvl w:val="0"/>
                <w:numId w:val="138"/>
              </w:numPr>
              <w:spacing w:line="256" w:lineRule="auto"/>
              <w:contextualSpacing/>
            </w:pPr>
            <w:r w:rsidRPr="00EC2A1C">
              <w:t>Hodnocení nástrojů dosavadní podpory včetně monitoringu indikátorů</w:t>
            </w:r>
          </w:p>
          <w:p w14:paraId="57D44E69" w14:textId="77777777" w:rsidR="00391907" w:rsidRPr="00EC2A1C" w:rsidRDefault="00391907" w:rsidP="00391907">
            <w:pPr>
              <w:numPr>
                <w:ilvl w:val="0"/>
                <w:numId w:val="138"/>
              </w:numPr>
              <w:spacing w:line="256" w:lineRule="auto"/>
              <w:contextualSpacing/>
            </w:pPr>
            <w:r w:rsidRPr="00EC2A1C">
              <w:t>Návrh zaměření nástrojů podpory pro období 2021+</w:t>
            </w:r>
          </w:p>
          <w:p w14:paraId="06D0E864"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OCR je v úzkém kontaktu se zpracovatelem a ten zohlední přípravu nového programového období do zpracování podkladů. </w:t>
            </w:r>
          </w:p>
          <w:p w14:paraId="176FFA6E" w14:textId="77777777" w:rsidR="00391907" w:rsidRPr="00EC2A1C" w:rsidRDefault="00391907" w:rsidP="00B15ECB">
            <w:pPr>
              <w:pStyle w:val="slovanodstavec"/>
              <w:tabs>
                <w:tab w:val="clear" w:pos="567"/>
                <w:tab w:val="left" w:pos="284"/>
              </w:tabs>
              <w:suppressAutoHyphens/>
              <w:spacing w:line="240" w:lineRule="auto"/>
              <w:jc w:val="left"/>
              <w:rPr>
                <w:rFonts w:ascii="Times New Roman" w:hAnsi="Times New Roman"/>
                <w:b/>
                <w:u w:val="single"/>
              </w:rPr>
            </w:pPr>
            <w:r w:rsidRPr="00EC2A1C">
              <w:rPr>
                <w:rFonts w:ascii="Times New Roman" w:hAnsi="Times New Roman"/>
                <w:b/>
                <w:u w:val="single"/>
              </w:rPr>
              <w:t>Harmonogram prací na Koncepci 21+</w:t>
            </w:r>
          </w:p>
          <w:p w14:paraId="3DE706FB" w14:textId="77777777" w:rsidR="00391907" w:rsidRPr="00EC2A1C" w:rsidRDefault="00391907" w:rsidP="00B15ECB">
            <w:pPr>
              <w:pStyle w:val="slovanodstavec"/>
              <w:tabs>
                <w:tab w:val="left" w:pos="284"/>
              </w:tabs>
              <w:suppressAutoHyphens/>
              <w:spacing w:after="0" w:line="240" w:lineRule="auto"/>
              <w:jc w:val="left"/>
              <w:rPr>
                <w:rFonts w:ascii="Times New Roman" w:hAnsi="Times New Roman"/>
              </w:rPr>
            </w:pPr>
            <w:r w:rsidRPr="00EC2A1C">
              <w:rPr>
                <w:rFonts w:ascii="Times New Roman" w:hAnsi="Times New Roman"/>
                <w:b/>
              </w:rPr>
              <w:t>Analytická část Koncepce</w:t>
            </w:r>
            <w:r w:rsidRPr="00EC2A1C">
              <w:rPr>
                <w:rFonts w:ascii="Times New Roman" w:hAnsi="Times New Roman"/>
              </w:rPr>
              <w:t xml:space="preserve"> </w:t>
            </w:r>
            <w:r w:rsidRPr="00EC2A1C">
              <w:rPr>
                <w:rFonts w:ascii="Times New Roman" w:hAnsi="Times New Roman"/>
              </w:rPr>
              <w:tab/>
              <w:t>1. 9. 2018 – 30. 3. 2019</w:t>
            </w:r>
            <w:r w:rsidRPr="00EC2A1C">
              <w:rPr>
                <w:rFonts w:ascii="Times New Roman" w:hAnsi="Times New Roman"/>
              </w:rPr>
              <w:tab/>
            </w:r>
          </w:p>
          <w:p w14:paraId="6303ADCA" w14:textId="77777777" w:rsidR="00391907" w:rsidRPr="00EC2A1C" w:rsidRDefault="00391907"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b/>
              </w:rPr>
              <w:t>Návrhová část Koncepce</w:t>
            </w:r>
            <w:r w:rsidRPr="00EC2A1C">
              <w:rPr>
                <w:rFonts w:ascii="Times New Roman" w:hAnsi="Times New Roman"/>
              </w:rPr>
              <w:tab/>
              <w:t>1. 3. 2019 – 30. 6. 2019</w:t>
            </w:r>
          </w:p>
          <w:p w14:paraId="1F2EF9B9" w14:textId="77777777" w:rsidR="00391907" w:rsidRPr="00EC2A1C" w:rsidRDefault="00391907"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b/>
              </w:rPr>
              <w:t>Implementační část Koncepce</w:t>
            </w:r>
            <w:r w:rsidRPr="00EC2A1C">
              <w:rPr>
                <w:rFonts w:ascii="Times New Roman" w:hAnsi="Times New Roman"/>
              </w:rPr>
              <w:tab/>
              <w:t>1. 7. 2019 – 31. 8. 2019</w:t>
            </w:r>
          </w:p>
          <w:p w14:paraId="682EF1CA" w14:textId="77777777" w:rsidR="00391907" w:rsidRPr="00EC2A1C" w:rsidRDefault="00391907"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b/>
              </w:rPr>
              <w:t>Dokončení Koncepce</w:t>
            </w:r>
            <w:r w:rsidRPr="00EC2A1C">
              <w:rPr>
                <w:rFonts w:ascii="Times New Roman" w:hAnsi="Times New Roman"/>
              </w:rPr>
              <w:t xml:space="preserve"> </w:t>
            </w:r>
            <w:r w:rsidRPr="00EC2A1C">
              <w:rPr>
                <w:rFonts w:ascii="Times New Roman" w:hAnsi="Times New Roman"/>
              </w:rPr>
              <w:tab/>
              <w:t xml:space="preserve">              1. 9. 2019 – 30. 9. 2019</w:t>
            </w:r>
          </w:p>
          <w:p w14:paraId="6BFECC70" w14:textId="77777777" w:rsidR="00391907" w:rsidRPr="00EC2A1C" w:rsidRDefault="00391907" w:rsidP="00B15ECB">
            <w:pPr>
              <w:pStyle w:val="slovanodstavec"/>
              <w:tabs>
                <w:tab w:val="clear" w:pos="567"/>
                <w:tab w:val="left" w:pos="284"/>
              </w:tabs>
              <w:suppressAutoHyphens/>
              <w:spacing w:after="0" w:line="240" w:lineRule="auto"/>
              <w:jc w:val="left"/>
              <w:rPr>
                <w:rFonts w:ascii="Times New Roman" w:hAnsi="Times New Roman"/>
              </w:rPr>
            </w:pPr>
            <w:r w:rsidRPr="00EC2A1C">
              <w:rPr>
                <w:rFonts w:ascii="Times New Roman" w:hAnsi="Times New Roman"/>
                <w:b/>
              </w:rPr>
              <w:t>Závěrečná fáze</w:t>
            </w:r>
            <w:r w:rsidRPr="00EC2A1C">
              <w:rPr>
                <w:rFonts w:ascii="Times New Roman" w:hAnsi="Times New Roman"/>
              </w:rPr>
              <w:t xml:space="preserve">                             1. 10. 2019 – 30. 6. 2020</w:t>
            </w:r>
          </w:p>
          <w:p w14:paraId="28F5E0C5" w14:textId="77777777" w:rsidR="00391907" w:rsidRPr="00EC2A1C" w:rsidRDefault="00391907" w:rsidP="00B15ECB">
            <w:pPr>
              <w:pStyle w:val="slovanodstavec"/>
              <w:tabs>
                <w:tab w:val="left" w:pos="284"/>
              </w:tabs>
              <w:suppressAutoHyphens/>
              <w:spacing w:after="0" w:line="240" w:lineRule="auto"/>
              <w:rPr>
                <w:rFonts w:ascii="Times New Roman" w:hAnsi="Times New Roman"/>
                <w:i/>
                <w:u w:val="single"/>
              </w:rPr>
            </w:pPr>
            <w:r w:rsidRPr="00EC2A1C">
              <w:rPr>
                <w:rFonts w:ascii="Times New Roman" w:hAnsi="Times New Roman"/>
              </w:rPr>
              <w:t>Tato fáze zahrnuje vnitřní připomínkové řízení; vnější připomínkové řízení; předložení do vlády ČR 2. čtvrtletí 2020; implementaci Koncepce/úpravu Koncepce na základě připomínek vlády ČR.</w:t>
            </w:r>
          </w:p>
        </w:tc>
        <w:tc>
          <w:tcPr>
            <w:tcW w:w="222" w:type="dxa"/>
            <w:tcBorders>
              <w:top w:val="nil"/>
              <w:bottom w:val="nil"/>
            </w:tcBorders>
            <w:shd w:val="clear" w:color="auto" w:fill="66CCFF"/>
          </w:tcPr>
          <w:p w14:paraId="7BBCB79C" w14:textId="77777777" w:rsidR="00391907" w:rsidRPr="00EC2A1C" w:rsidRDefault="00391907" w:rsidP="00B15ECB">
            <w:pPr>
              <w:rPr>
                <w:b/>
              </w:rPr>
            </w:pPr>
          </w:p>
        </w:tc>
      </w:tr>
      <w:tr w:rsidR="00391907" w:rsidRPr="00EC2A1C" w14:paraId="31E6BFD6" w14:textId="77777777" w:rsidTr="00B15ECB">
        <w:trPr>
          <w:trHeight w:val="938"/>
        </w:trPr>
        <w:tc>
          <w:tcPr>
            <w:tcW w:w="222" w:type="dxa"/>
            <w:tcBorders>
              <w:top w:val="nil"/>
              <w:bottom w:val="nil"/>
            </w:tcBorders>
            <w:shd w:val="clear" w:color="auto" w:fill="66CCFF"/>
          </w:tcPr>
          <w:p w14:paraId="6053990D"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0223634A" w14:textId="77777777" w:rsidR="00391907" w:rsidRPr="00EC2A1C" w:rsidRDefault="00391907" w:rsidP="00391907">
            <w:pPr>
              <w:pStyle w:val="Odstavecseseznamem"/>
              <w:numPr>
                <w:ilvl w:val="0"/>
                <w:numId w:val="3"/>
              </w:numPr>
              <w:spacing w:before="60" w:after="60"/>
              <w:rPr>
                <w:rFonts w:eastAsiaTheme="majorEastAsia"/>
                <w:b/>
              </w:rPr>
            </w:pPr>
            <w:r w:rsidRPr="00EC2A1C">
              <w:rPr>
                <w:rFonts w:eastAsiaTheme="majorEastAsia"/>
                <w:b/>
              </w:rPr>
              <w:t>analýza problémů a potřeb</w:t>
            </w:r>
          </w:p>
          <w:p w14:paraId="22A4C003"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2566FA6D" w14:textId="77777777" w:rsidR="00391907" w:rsidRPr="00EC2A1C" w:rsidRDefault="00391907"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V rámci stávající Koncepce byly ve SWOT analýze identifikovány následující problémy:</w:t>
            </w:r>
          </w:p>
          <w:p w14:paraId="7AA1EF13" w14:textId="77777777" w:rsidR="00391907" w:rsidRPr="00EC2A1C" w:rsidRDefault="00391907" w:rsidP="00B15ECB">
            <w:pPr>
              <w:pStyle w:val="slovanodstavec"/>
              <w:tabs>
                <w:tab w:val="clear" w:pos="567"/>
                <w:tab w:val="left" w:pos="284"/>
              </w:tabs>
              <w:suppressAutoHyphens/>
              <w:spacing w:line="240" w:lineRule="auto"/>
              <w:jc w:val="left"/>
              <w:rPr>
                <w:rFonts w:ascii="Times New Roman" w:hAnsi="Times New Roman"/>
                <w:b/>
                <w:u w:val="single"/>
              </w:rPr>
            </w:pPr>
            <w:r w:rsidRPr="00EC2A1C">
              <w:rPr>
                <w:rFonts w:ascii="Times New Roman" w:hAnsi="Times New Roman"/>
                <w:b/>
                <w:u w:val="single"/>
              </w:rPr>
              <w:t>Slabé stránky:</w:t>
            </w:r>
          </w:p>
          <w:p w14:paraId="315DB70C"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přílišná sezónnost nabídky cestovního ruchu</w:t>
            </w:r>
          </w:p>
          <w:p w14:paraId="734406AC"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stagnace objemu domácí i zahraniční poptávky</w:t>
            </w:r>
          </w:p>
          <w:p w14:paraId="13C0E0FC"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zkracování délky pobytu domácích i zahraničních turistů</w:t>
            </w:r>
          </w:p>
          <w:p w14:paraId="6983D79F"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nízká kvalita poskytovaných služeb v cestovním ruchu</w:t>
            </w:r>
          </w:p>
          <w:p w14:paraId="01F3D1D2"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 xml:space="preserve">velmi výrazná koncentrace zahraničních návštěvníků do Prahy    </w:t>
            </w:r>
          </w:p>
          <w:p w14:paraId="01C51DB7"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ind w:left="714" w:hanging="357"/>
              <w:rPr>
                <w:rFonts w:ascii="Times New Roman" w:hAnsi="Times New Roman"/>
              </w:rPr>
            </w:pPr>
            <w:r w:rsidRPr="00EC2A1C">
              <w:rPr>
                <w:rFonts w:ascii="Times New Roman" w:hAnsi="Times New Roman"/>
              </w:rPr>
              <w:t>pokles návštěvnosti německých turistů</w:t>
            </w:r>
          </w:p>
          <w:p w14:paraId="0211A059"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ind w:left="714" w:hanging="357"/>
              <w:rPr>
                <w:rFonts w:ascii="Times New Roman" w:hAnsi="Times New Roman"/>
                <w:i/>
              </w:rPr>
            </w:pPr>
            <w:r w:rsidRPr="00EC2A1C">
              <w:rPr>
                <w:rFonts w:ascii="Times New Roman" w:hAnsi="Times New Roman"/>
              </w:rPr>
              <w:t>zaostávání za dynamickým rozvojem nabídky šetrných forem cestovního ruchu v konkurenčních destinacích (Rakousko, Německo, apod.)</w:t>
            </w:r>
          </w:p>
          <w:p w14:paraId="7941168B" w14:textId="77777777" w:rsidR="00391907" w:rsidRPr="00EC2A1C" w:rsidRDefault="00391907" w:rsidP="00B15ECB">
            <w:pPr>
              <w:pStyle w:val="slovanodstavec"/>
              <w:tabs>
                <w:tab w:val="clear" w:pos="567"/>
                <w:tab w:val="left" w:pos="284"/>
              </w:tabs>
              <w:suppressAutoHyphens/>
              <w:spacing w:after="0" w:line="240" w:lineRule="auto"/>
              <w:ind w:left="714"/>
              <w:rPr>
                <w:rFonts w:ascii="Times New Roman" w:hAnsi="Times New Roman"/>
                <w:i/>
              </w:rPr>
            </w:pPr>
          </w:p>
          <w:p w14:paraId="510ACF1E" w14:textId="77777777" w:rsidR="00391907" w:rsidRPr="00EC2A1C" w:rsidRDefault="00391907" w:rsidP="00B15ECB">
            <w:pPr>
              <w:pStyle w:val="slovanodstavec"/>
              <w:tabs>
                <w:tab w:val="clear" w:pos="567"/>
                <w:tab w:val="left" w:pos="284"/>
              </w:tabs>
              <w:suppressAutoHyphens/>
              <w:spacing w:after="0" w:line="240" w:lineRule="auto"/>
              <w:rPr>
                <w:rFonts w:ascii="Times New Roman" w:hAnsi="Times New Roman"/>
                <w:b/>
                <w:u w:val="single"/>
              </w:rPr>
            </w:pPr>
            <w:r w:rsidRPr="00EC2A1C">
              <w:rPr>
                <w:rFonts w:ascii="Times New Roman" w:hAnsi="Times New Roman"/>
                <w:b/>
                <w:u w:val="single"/>
              </w:rPr>
              <w:t>Ohrožení:</w:t>
            </w:r>
          </w:p>
          <w:p w14:paraId="26B895EE"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zhoršení image a značky destinace Česká republika</w:t>
            </w:r>
          </w:p>
          <w:p w14:paraId="125C91BF"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silná a aktivní konkurence v sousedních zemích, propad v kvalitě nabídky oproti těmto destinacím</w:t>
            </w:r>
          </w:p>
          <w:p w14:paraId="04500E67"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příchod další hospodářské krize, výraznější kolísání návštěvnosti ovlivňované aktuálními trendy, na které nebude schopna nabídka ČR reagovat</w:t>
            </w:r>
          </w:p>
          <w:p w14:paraId="0E4539DF"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zhoršení zahraničně-politické situace, zavádění restrikcí pro příjezdy zahraničních návštěvníků</w:t>
            </w:r>
          </w:p>
          <w:p w14:paraId="10C9D92F"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zhoršené legislativní prostředí pro cestovní ruch</w:t>
            </w:r>
          </w:p>
          <w:p w14:paraId="2A9DAA41"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nedostatek finančního kapitálu pro další rozvoj cestovního ruchu</w:t>
            </w:r>
          </w:p>
          <w:p w14:paraId="7D9952B5"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přetížení vybraných středisek cestovního ruchu jejich rostoucí návštěvností </w:t>
            </w:r>
          </w:p>
          <w:p w14:paraId="7E06D473"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prohlubující se rozdíl v návštěvnosti mezi Prahou a regiony ČR</w:t>
            </w:r>
          </w:p>
          <w:p w14:paraId="671132CA"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rPr>
            </w:pPr>
            <w:r w:rsidRPr="00EC2A1C">
              <w:rPr>
                <w:rFonts w:ascii="Times New Roman" w:hAnsi="Times New Roman"/>
              </w:rPr>
              <w:t>obecný růst daňového zatížení obyvatelstva, výraznější propady příjmů domácností</w:t>
            </w:r>
          </w:p>
          <w:p w14:paraId="19D668B2" w14:textId="77777777" w:rsidR="00391907" w:rsidRPr="00EC2A1C" w:rsidRDefault="00391907" w:rsidP="00391907">
            <w:pPr>
              <w:pStyle w:val="slovanodstavec"/>
              <w:numPr>
                <w:ilvl w:val="0"/>
                <w:numId w:val="138"/>
              </w:numPr>
              <w:tabs>
                <w:tab w:val="clear" w:pos="567"/>
                <w:tab w:val="left" w:pos="284"/>
              </w:tabs>
              <w:suppressAutoHyphens/>
              <w:spacing w:after="0" w:line="240" w:lineRule="auto"/>
              <w:rPr>
                <w:rFonts w:ascii="Times New Roman" w:hAnsi="Times New Roman"/>
                <w:i/>
              </w:rPr>
            </w:pPr>
            <w:r w:rsidRPr="00EC2A1C">
              <w:rPr>
                <w:rFonts w:ascii="Times New Roman" w:hAnsi="Times New Roman"/>
              </w:rPr>
              <w:t>nedostatečná kvalita, struktura a využití infrastruktury cestovního ruchu (zejména veřejné)</w:t>
            </w:r>
          </w:p>
          <w:p w14:paraId="517B2B10" w14:textId="77777777" w:rsidR="00391907" w:rsidRPr="00EC2A1C" w:rsidRDefault="00391907" w:rsidP="00B15ECB">
            <w:pPr>
              <w:pStyle w:val="slovanodstavec"/>
              <w:tabs>
                <w:tab w:val="clear" w:pos="567"/>
                <w:tab w:val="left" w:pos="284"/>
              </w:tabs>
              <w:suppressAutoHyphens/>
              <w:spacing w:after="0" w:line="240" w:lineRule="auto"/>
              <w:rPr>
                <w:rFonts w:ascii="Times New Roman" w:hAnsi="Times New Roman"/>
              </w:rPr>
            </w:pPr>
          </w:p>
          <w:p w14:paraId="7D2FD9B4" w14:textId="77777777" w:rsidR="00391907" w:rsidRPr="00EC2A1C" w:rsidRDefault="00391907"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 xml:space="preserve">Z výše uvedených problémů a ohrožení se část podařilo alespoň do jisté míry eliminovat, zejména oblast počtů návštěvníků nejen z Německa stoupá a zaznamenali jsme i nárůst poptávky domácího cestovního ruchu, tedy Češi sami rádi tráví dovolenou v ČR. Image a značka destinace Česká republika se rovněž zlepšil, aktuálně patříme mezi nejoblíbenější destinace Evropy. Pokrok v ostatních oblastech lze považovat za dílčí. Jednoznačně z nich však vyplývá potřeba řešit problematiku udržitelného rozvoje cestovního ruchu v České republice systematicky. </w:t>
            </w:r>
          </w:p>
          <w:p w14:paraId="2FBFC6E0" w14:textId="77777777" w:rsidR="00391907" w:rsidRPr="00EC2A1C" w:rsidRDefault="00391907"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 xml:space="preserve">Problémy rozvoje cestovního ruchu mají dlouhodobý charakter, na vině je dlouhodobé podfinancování sektoru a také obecné podcenění významu a hlavně potenciálu cestovního ruchu pro národní hospodářství. Díky průřezovému charakteru odvětví cestovního ruchu je koordinace resortních politik a strategického plánování naprosto klíčovým opatřením pro implementaci Koncepce cestovního ruchu v ČR. Do jisté míry je lze považovat za nejdůležitější, protože míra jeho naplňování přímo ovlivňuje úspěšnost/neúspěšnost Koncepce. Pomalá implementace může souviset i s faktem, že cestovní ruch nebyl zahrnut do priorit stávajícího programového období. </w:t>
            </w:r>
          </w:p>
          <w:p w14:paraId="6B3D5C35" w14:textId="77777777" w:rsidR="00391907" w:rsidRPr="00EC2A1C" w:rsidRDefault="00391907" w:rsidP="00B15ECB">
            <w:pPr>
              <w:pStyle w:val="slovanodstavec"/>
              <w:tabs>
                <w:tab w:val="left" w:pos="284"/>
              </w:tabs>
              <w:suppressAutoHyphens/>
              <w:spacing w:after="0" w:line="240" w:lineRule="auto"/>
              <w:rPr>
                <w:rFonts w:ascii="Times New Roman" w:hAnsi="Times New Roman"/>
                <w:i/>
              </w:rPr>
            </w:pPr>
          </w:p>
        </w:tc>
        <w:tc>
          <w:tcPr>
            <w:tcW w:w="222" w:type="dxa"/>
            <w:tcBorders>
              <w:top w:val="nil"/>
              <w:bottom w:val="nil"/>
            </w:tcBorders>
            <w:shd w:val="clear" w:color="auto" w:fill="66CCFF"/>
          </w:tcPr>
          <w:p w14:paraId="2C075F7B" w14:textId="77777777" w:rsidR="00391907" w:rsidRPr="00EC2A1C" w:rsidRDefault="00391907" w:rsidP="00B15ECB">
            <w:pPr>
              <w:rPr>
                <w:b/>
              </w:rPr>
            </w:pPr>
          </w:p>
        </w:tc>
      </w:tr>
      <w:tr w:rsidR="00391907" w:rsidRPr="00EC2A1C" w14:paraId="04D279DE" w14:textId="77777777" w:rsidTr="00B15ECB">
        <w:trPr>
          <w:trHeight w:val="938"/>
        </w:trPr>
        <w:tc>
          <w:tcPr>
            <w:tcW w:w="222" w:type="dxa"/>
            <w:tcBorders>
              <w:top w:val="nil"/>
              <w:bottom w:val="nil"/>
            </w:tcBorders>
            <w:shd w:val="clear" w:color="auto" w:fill="66CCFF"/>
          </w:tcPr>
          <w:p w14:paraId="7C5A3986"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2C5DC025" w14:textId="77777777" w:rsidR="00391907" w:rsidRPr="00EC2A1C" w:rsidRDefault="00391907" w:rsidP="00391907">
            <w:pPr>
              <w:pStyle w:val="Odstavecseseznamem"/>
              <w:numPr>
                <w:ilvl w:val="0"/>
                <w:numId w:val="3"/>
              </w:numPr>
              <w:spacing w:before="60" w:after="60"/>
              <w:rPr>
                <w:rFonts w:eastAsiaTheme="majorEastAsia"/>
                <w:b/>
              </w:rPr>
            </w:pPr>
            <w:r w:rsidRPr="00EC2A1C">
              <w:rPr>
                <w:rFonts w:eastAsiaTheme="majorEastAsia"/>
                <w:b/>
              </w:rPr>
              <w:t>jasně definované cíle a opatření</w:t>
            </w:r>
          </w:p>
          <w:p w14:paraId="23A105AA"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73630367"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Pro stávající období jsou v AP 2017 – 2018 definovány následující cíle:</w:t>
            </w:r>
          </w:p>
          <w:p w14:paraId="38866C8C"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b/>
              </w:rPr>
              <w:t>Globální cíl:</w:t>
            </w:r>
            <w:r w:rsidRPr="00EC2A1C">
              <w:rPr>
                <w:rFonts w:ascii="Times New Roman" w:hAnsi="Times New Roman"/>
              </w:rPr>
              <w:t xml:space="preserve"> „Zvýšení konkurenceschopnosti celého odvětví cestovního ruchu na národní i regionální úrovni a udržení jeho ekonomické výkonnosti jako důsledek dosažení rovnováhy mezi ekonomickým, socio-kulturním, environmentálním a regionálním rozvoje.“</w:t>
            </w:r>
          </w:p>
          <w:p w14:paraId="17FF0084"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b/>
              </w:rPr>
            </w:pPr>
            <w:r w:rsidRPr="00EC2A1C">
              <w:rPr>
                <w:rFonts w:ascii="Times New Roman" w:hAnsi="Times New Roman"/>
                <w:b/>
              </w:rPr>
              <w:t>Strategické cíle:</w:t>
            </w:r>
          </w:p>
          <w:p w14:paraId="2CC390A3" w14:textId="77777777" w:rsidR="00391907" w:rsidRPr="00EC2A1C" w:rsidRDefault="00391907" w:rsidP="00391907">
            <w:pPr>
              <w:pStyle w:val="slovanodstavec"/>
              <w:numPr>
                <w:ilvl w:val="0"/>
                <w:numId w:val="142"/>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posilování kvality nabídky cestovního ruchu včetně kultivace podnikatelského prostředí</w:t>
            </w:r>
          </w:p>
          <w:p w14:paraId="65907808" w14:textId="77777777" w:rsidR="00391907" w:rsidRPr="00EC2A1C" w:rsidRDefault="00391907" w:rsidP="00391907">
            <w:pPr>
              <w:pStyle w:val="slovanodstavec"/>
              <w:numPr>
                <w:ilvl w:val="0"/>
                <w:numId w:val="142"/>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vybudování struktury a kultivace institucí, které efektivně implementují politiku cestovního ruchu</w:t>
            </w:r>
          </w:p>
          <w:p w14:paraId="7259BB4C" w14:textId="77777777" w:rsidR="00391907" w:rsidRPr="00EC2A1C" w:rsidRDefault="00391907" w:rsidP="00391907">
            <w:pPr>
              <w:pStyle w:val="slovanodstavec"/>
              <w:numPr>
                <w:ilvl w:val="0"/>
                <w:numId w:val="142"/>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zvýšení kvality lidských zdrojů jako klíčového faktoru inovačních procesů</w:t>
            </w:r>
          </w:p>
          <w:p w14:paraId="77733E21" w14:textId="77777777" w:rsidR="00391907" w:rsidRPr="00EC2A1C" w:rsidRDefault="00391907" w:rsidP="00391907">
            <w:pPr>
              <w:pStyle w:val="slovanodstavec"/>
              <w:numPr>
                <w:ilvl w:val="0"/>
                <w:numId w:val="142"/>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zlepšení přístupu poskytovatelů služeb na trhy cestovního ruchu</w:t>
            </w:r>
          </w:p>
          <w:p w14:paraId="1B236B01" w14:textId="77777777" w:rsidR="00391907" w:rsidRPr="00EC2A1C" w:rsidRDefault="00391907" w:rsidP="00391907">
            <w:pPr>
              <w:pStyle w:val="slovanodstavec"/>
              <w:numPr>
                <w:ilvl w:val="0"/>
                <w:numId w:val="142"/>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v souladu se zásadami udržitelného rozvoje, intenzivnější využívání efektivních nástrojů a inovací v oblasti řízení a marketingu destinací cestovního ruchu</w:t>
            </w:r>
          </w:p>
          <w:p w14:paraId="38CCD84F" w14:textId="77777777" w:rsidR="00391907" w:rsidRPr="00EC2A1C" w:rsidRDefault="00391907" w:rsidP="00391907">
            <w:pPr>
              <w:pStyle w:val="slovanodstavec"/>
              <w:numPr>
                <w:ilvl w:val="0"/>
                <w:numId w:val="142"/>
              </w:numPr>
              <w:tabs>
                <w:tab w:val="clear" w:pos="567"/>
                <w:tab w:val="left" w:pos="284"/>
              </w:tabs>
              <w:suppressAutoHyphens/>
              <w:spacing w:after="120" w:line="240" w:lineRule="auto"/>
              <w:ind w:left="714" w:hanging="357"/>
              <w:jc w:val="left"/>
              <w:rPr>
                <w:rFonts w:ascii="Times New Roman" w:hAnsi="Times New Roman"/>
              </w:rPr>
            </w:pPr>
            <w:r w:rsidRPr="00EC2A1C">
              <w:rPr>
                <w:rFonts w:ascii="Times New Roman" w:hAnsi="Times New Roman"/>
              </w:rPr>
              <w:t>posílení role cestovního ruchu v hospodářské a sektorových politikách státu</w:t>
            </w:r>
          </w:p>
          <w:p w14:paraId="25932B76" w14:textId="77777777" w:rsidR="00391907" w:rsidRPr="00EC2A1C" w:rsidRDefault="00391907" w:rsidP="00B15ECB">
            <w:pPr>
              <w:pStyle w:val="slovanodstavec"/>
              <w:tabs>
                <w:tab w:val="clear" w:pos="567"/>
                <w:tab w:val="left" w:pos="284"/>
              </w:tabs>
              <w:suppressAutoHyphens/>
              <w:spacing w:line="240" w:lineRule="auto"/>
              <w:jc w:val="left"/>
              <w:rPr>
                <w:rFonts w:ascii="Times New Roman" w:hAnsi="Times New Roman"/>
              </w:rPr>
            </w:pPr>
            <w:r w:rsidRPr="00EC2A1C">
              <w:rPr>
                <w:rFonts w:ascii="Times New Roman" w:hAnsi="Times New Roman"/>
              </w:rPr>
              <w:t xml:space="preserve">Vzhledem k pokročilé fázi realizace Koncepce 2014+ a ve snaze uvést maximálně aktuální údaje uvádíme pouze </w:t>
            </w:r>
            <w:r w:rsidRPr="00EC2A1C">
              <w:rPr>
                <w:rFonts w:ascii="Times New Roman" w:hAnsi="Times New Roman"/>
                <w:b/>
              </w:rPr>
              <w:t>opatření</w:t>
            </w:r>
            <w:r w:rsidRPr="00EC2A1C">
              <w:rPr>
                <w:rFonts w:ascii="Times New Roman" w:hAnsi="Times New Roman"/>
              </w:rPr>
              <w:t>, která jsou realizována v aktuálně platném AP 2017 – 2018:</w:t>
            </w:r>
          </w:p>
          <w:p w14:paraId="19F722C3"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Další rozvoj systému kvality služeb CR</w:t>
            </w:r>
          </w:p>
          <w:p w14:paraId="38FD64F6"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Vytvoření systému organizace CR</w:t>
            </w:r>
          </w:p>
          <w:p w14:paraId="6C170E33"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Podpora sledování efektivity a přínosů realizovaných aktivit Koncepce státní politiky cestovního ruchu</w:t>
            </w:r>
          </w:p>
          <w:p w14:paraId="4B88BCC1"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Zabezpečení dat a podpory rozhodovacích procesů</w:t>
            </w:r>
          </w:p>
          <w:p w14:paraId="57BE0643"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Podpora zvyšování kvality lidských zdrojů</w:t>
            </w:r>
          </w:p>
          <w:p w14:paraId="3003237D"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b/>
              </w:rPr>
            </w:pPr>
            <w:r w:rsidRPr="00EC2A1C">
              <w:rPr>
                <w:rFonts w:ascii="Times New Roman" w:hAnsi="Times New Roman"/>
                <w:b/>
              </w:rPr>
              <w:t>Podpora udržitelného CR</w:t>
            </w:r>
          </w:p>
          <w:p w14:paraId="03754283"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Koordinace politiky CR</w:t>
            </w:r>
          </w:p>
          <w:p w14:paraId="448555BC" w14:textId="77777777" w:rsidR="00391907" w:rsidRPr="00EC2A1C" w:rsidRDefault="00391907" w:rsidP="00391907">
            <w:pPr>
              <w:pStyle w:val="slovanodstavec"/>
              <w:numPr>
                <w:ilvl w:val="0"/>
                <w:numId w:val="143"/>
              </w:numPr>
              <w:tabs>
                <w:tab w:val="clear" w:pos="567"/>
                <w:tab w:val="left" w:pos="284"/>
              </w:tabs>
              <w:suppressAutoHyphens/>
              <w:spacing w:after="120" w:line="240" w:lineRule="auto"/>
              <w:ind w:left="714" w:hanging="357"/>
              <w:rPr>
                <w:rFonts w:ascii="Times New Roman" w:hAnsi="Times New Roman"/>
              </w:rPr>
            </w:pPr>
            <w:r w:rsidRPr="00EC2A1C">
              <w:rPr>
                <w:rFonts w:ascii="Times New Roman" w:hAnsi="Times New Roman"/>
              </w:rPr>
              <w:t>Krizové řízení a bezpečnost</w:t>
            </w:r>
          </w:p>
          <w:p w14:paraId="4A36E556" w14:textId="77777777" w:rsidR="00391907" w:rsidRPr="00EC2A1C" w:rsidRDefault="00391907"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 xml:space="preserve">Většina opatření, respektive aktivit je ve fázi rozpracování, nebo se jedná o dlouhodobá opatření, která budou z důvodu strategického plánování převedeny i do další Koncepce 21+, aby byla zajištěna kontinuální realizace. </w:t>
            </w:r>
          </w:p>
          <w:p w14:paraId="3708FE7E" w14:textId="77777777" w:rsidR="00391907" w:rsidRPr="00EC2A1C" w:rsidRDefault="00391907" w:rsidP="00B15ECB">
            <w:pPr>
              <w:pStyle w:val="slovanodstavec"/>
              <w:tabs>
                <w:tab w:val="clear" w:pos="567"/>
                <w:tab w:val="left" w:pos="284"/>
              </w:tabs>
              <w:suppressAutoHyphens/>
              <w:spacing w:after="120" w:line="240" w:lineRule="auto"/>
              <w:rPr>
                <w:rFonts w:ascii="Times New Roman" w:hAnsi="Times New Roman"/>
              </w:rPr>
            </w:pPr>
            <w:r w:rsidRPr="00EC2A1C">
              <w:rPr>
                <w:rFonts w:ascii="Times New Roman" w:hAnsi="Times New Roman"/>
              </w:rPr>
              <w:t>Důraz bude kladen zejména na:</w:t>
            </w:r>
          </w:p>
          <w:p w14:paraId="6F17F0FA" w14:textId="77777777" w:rsidR="00391907" w:rsidRPr="00EC2A1C" w:rsidRDefault="00391907" w:rsidP="00391907">
            <w:pPr>
              <w:pStyle w:val="slovanodstavec"/>
              <w:numPr>
                <w:ilvl w:val="0"/>
                <w:numId w:val="138"/>
              </w:numPr>
              <w:tabs>
                <w:tab w:val="clear" w:pos="567"/>
                <w:tab w:val="left" w:pos="284"/>
              </w:tabs>
              <w:suppressAutoHyphens/>
              <w:spacing w:after="120" w:line="240" w:lineRule="auto"/>
              <w:rPr>
                <w:rFonts w:ascii="Times New Roman" w:hAnsi="Times New Roman"/>
              </w:rPr>
            </w:pPr>
            <w:r w:rsidRPr="00EC2A1C">
              <w:rPr>
                <w:rFonts w:ascii="Times New Roman" w:hAnsi="Times New Roman"/>
              </w:rPr>
              <w:t>Hledání stabilního nástroje pro kofinancování fungování certifikovaných DMO (vzhledem k systémovému a dlouhodobému charakteru opatření bude řešeno z národních zdrojů)</w:t>
            </w:r>
          </w:p>
          <w:p w14:paraId="0484926C" w14:textId="77777777" w:rsidR="00391907" w:rsidRPr="00EC2A1C" w:rsidRDefault="00391907" w:rsidP="00391907">
            <w:pPr>
              <w:pStyle w:val="slovanodstavec"/>
              <w:numPr>
                <w:ilvl w:val="0"/>
                <w:numId w:val="138"/>
              </w:numPr>
              <w:tabs>
                <w:tab w:val="clear" w:pos="567"/>
                <w:tab w:val="left" w:pos="284"/>
              </w:tabs>
              <w:suppressAutoHyphens/>
              <w:spacing w:after="120" w:line="240" w:lineRule="auto"/>
              <w:rPr>
                <w:rFonts w:ascii="Times New Roman" w:hAnsi="Times New Roman"/>
              </w:rPr>
            </w:pPr>
            <w:r w:rsidRPr="00EC2A1C">
              <w:rPr>
                <w:rFonts w:ascii="Times New Roman" w:hAnsi="Times New Roman"/>
              </w:rPr>
              <w:t>Zabezpečení stabilního nástroje financování sledování základních ukazatelů výkonnosti CR v rámci národního hospodářství (satelitní účet cestovního ruchu)</w:t>
            </w:r>
          </w:p>
          <w:p w14:paraId="6CF1E66A" w14:textId="77777777" w:rsidR="00391907" w:rsidRPr="00EC2A1C" w:rsidRDefault="00391907" w:rsidP="00391907">
            <w:pPr>
              <w:pStyle w:val="slovanodstavec"/>
              <w:numPr>
                <w:ilvl w:val="0"/>
                <w:numId w:val="138"/>
              </w:numPr>
              <w:tabs>
                <w:tab w:val="clear" w:pos="567"/>
                <w:tab w:val="left" w:pos="284"/>
              </w:tabs>
              <w:suppressAutoHyphens/>
              <w:spacing w:after="120" w:line="240" w:lineRule="auto"/>
              <w:rPr>
                <w:rFonts w:ascii="Times New Roman" w:hAnsi="Times New Roman"/>
              </w:rPr>
            </w:pPr>
            <w:r w:rsidRPr="00EC2A1C">
              <w:rPr>
                <w:rFonts w:ascii="Times New Roman" w:hAnsi="Times New Roman"/>
              </w:rPr>
              <w:t xml:space="preserve">Zvyšování kvalifikace zaměstnanců, uchazečů o zaměstnání a absolventů v oborech se zaměřením na cestovní ruch </w:t>
            </w:r>
          </w:p>
          <w:p w14:paraId="17215EA8" w14:textId="77777777" w:rsidR="00391907" w:rsidRPr="00EC2A1C" w:rsidRDefault="00391907" w:rsidP="00391907">
            <w:pPr>
              <w:pStyle w:val="slovanodstavec"/>
              <w:numPr>
                <w:ilvl w:val="0"/>
                <w:numId w:val="138"/>
              </w:numPr>
              <w:tabs>
                <w:tab w:val="clear" w:pos="567"/>
                <w:tab w:val="left" w:pos="284"/>
              </w:tabs>
              <w:suppressAutoHyphens/>
              <w:spacing w:after="120" w:line="240" w:lineRule="auto"/>
              <w:rPr>
                <w:rFonts w:ascii="Times New Roman" w:hAnsi="Times New Roman"/>
              </w:rPr>
            </w:pPr>
            <w:r w:rsidRPr="00EC2A1C">
              <w:rPr>
                <w:rFonts w:ascii="Times New Roman" w:hAnsi="Times New Roman"/>
              </w:rPr>
              <w:t>Rozvoj infrastruktury a monitoringu udržitelného cestovního ruchu</w:t>
            </w:r>
          </w:p>
        </w:tc>
        <w:tc>
          <w:tcPr>
            <w:tcW w:w="222" w:type="dxa"/>
            <w:tcBorders>
              <w:top w:val="nil"/>
              <w:bottom w:val="nil"/>
            </w:tcBorders>
            <w:shd w:val="clear" w:color="auto" w:fill="66CCFF"/>
          </w:tcPr>
          <w:p w14:paraId="7639071A" w14:textId="77777777" w:rsidR="00391907" w:rsidRPr="00EC2A1C" w:rsidRDefault="00391907" w:rsidP="00B15ECB">
            <w:pPr>
              <w:rPr>
                <w:b/>
              </w:rPr>
            </w:pPr>
          </w:p>
        </w:tc>
      </w:tr>
      <w:tr w:rsidR="00391907" w:rsidRPr="00EC2A1C" w14:paraId="1FA83B07" w14:textId="77777777" w:rsidTr="00B15ECB">
        <w:trPr>
          <w:trHeight w:val="938"/>
        </w:trPr>
        <w:tc>
          <w:tcPr>
            <w:tcW w:w="222" w:type="dxa"/>
            <w:tcBorders>
              <w:top w:val="nil"/>
              <w:bottom w:val="nil"/>
            </w:tcBorders>
            <w:shd w:val="clear" w:color="auto" w:fill="66CCFF"/>
          </w:tcPr>
          <w:p w14:paraId="1999F239"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41EE2D81" w14:textId="77777777" w:rsidR="00391907" w:rsidRPr="00EC2A1C" w:rsidRDefault="00391907" w:rsidP="00391907">
            <w:pPr>
              <w:pStyle w:val="Odstavecseseznamem"/>
              <w:numPr>
                <w:ilvl w:val="0"/>
                <w:numId w:val="3"/>
              </w:numPr>
              <w:spacing w:before="60" w:after="60"/>
              <w:rPr>
                <w:rFonts w:eastAsiaTheme="majorEastAsia"/>
                <w:b/>
              </w:rPr>
            </w:pPr>
            <w:r w:rsidRPr="00EC2A1C">
              <w:rPr>
                <w:rFonts w:eastAsiaTheme="majorEastAsia"/>
                <w:b/>
              </w:rPr>
              <w:t>implementační mechanismus</w:t>
            </w:r>
          </w:p>
          <w:p w14:paraId="69547B90" w14:textId="77777777" w:rsidR="00391907" w:rsidRPr="00EC2A1C" w:rsidRDefault="00391907" w:rsidP="00B15ECB">
            <w:pPr>
              <w:spacing w:before="60" w:after="60"/>
              <w:rPr>
                <w:rFonts w:eastAsiaTheme="majorEastAsia"/>
                <w:b/>
              </w:rPr>
            </w:pPr>
          </w:p>
        </w:tc>
        <w:tc>
          <w:tcPr>
            <w:tcW w:w="7342" w:type="dxa"/>
            <w:tcBorders>
              <w:bottom w:val="single" w:sz="4" w:space="0" w:color="auto"/>
            </w:tcBorders>
            <w:shd w:val="clear" w:color="auto" w:fill="FFFFFF" w:themeFill="background1"/>
          </w:tcPr>
          <w:p w14:paraId="69152B03" w14:textId="77777777" w:rsidR="00391907" w:rsidRPr="00EC2A1C" w:rsidRDefault="00391907" w:rsidP="00B15ECB">
            <w:pPr>
              <w:pStyle w:val="slovanodstavec"/>
              <w:tabs>
                <w:tab w:val="left" w:pos="284"/>
              </w:tabs>
              <w:suppressAutoHyphens/>
              <w:spacing w:after="0" w:line="240" w:lineRule="auto"/>
              <w:rPr>
                <w:rFonts w:ascii="Times New Roman" w:hAnsi="Times New Roman"/>
              </w:rPr>
            </w:pPr>
            <w:r w:rsidRPr="00EC2A1C">
              <w:rPr>
                <w:rFonts w:ascii="Times New Roman" w:hAnsi="Times New Roman"/>
              </w:rPr>
              <w:t xml:space="preserve">Implementace probíhá dle aktuálních dvouletých akčních plánů. Cestovní ruch je sice v kompetenci MMR, avšak řada dílčích aktivit v oblasti cestovního ruchu spadá do kompetence ostatních subjektů veřejné správy, profesních asociací, samotných podnikatelů a dalších subjektů. MMR není v pozici „nadřízeného ministerstva“, proto v rámci své kompetence nemůže orgánům veřejné správy, ani soukromým subjektům nařizovat z hlediska cestovního ruchu nic, co není podloženo legislativní normou a současně nemůže usměrňovat řadu faktorů ovlivňujících rozvoj cestovního ruchu. Proto je vstřícnost a spolupráce, respektive komunikace, kooperace a koordinace mezi jednotlivými resorty tolik důležitá pro implementaci jak stávající, tak budoucí Koncepce 21+. MMR počítá s širokým zapojením ostatních ministerstev, profesních sdružení i odborné veřejnosti do přípravy i implementace Koncepce 21+. Proto je zároveň nutné zahrnout aspekty rozvoje cestovního ruchu i do ostatních karet oblastí a podoblastí NKR. </w:t>
            </w:r>
          </w:p>
          <w:p w14:paraId="6C1FFAEA" w14:textId="77777777" w:rsidR="00391907" w:rsidRPr="00EC2A1C" w:rsidRDefault="00391907" w:rsidP="00B15ECB">
            <w:pPr>
              <w:pStyle w:val="slovanodstavec"/>
              <w:tabs>
                <w:tab w:val="clear" w:pos="567"/>
                <w:tab w:val="left" w:pos="284"/>
              </w:tabs>
              <w:suppressAutoHyphens/>
              <w:spacing w:line="240" w:lineRule="auto"/>
              <w:jc w:val="left"/>
              <w:rPr>
                <w:rFonts w:ascii="Times New Roman" w:hAnsi="Times New Roman"/>
                <w:i/>
              </w:rPr>
            </w:pPr>
          </w:p>
        </w:tc>
        <w:tc>
          <w:tcPr>
            <w:tcW w:w="222" w:type="dxa"/>
            <w:tcBorders>
              <w:top w:val="nil"/>
              <w:bottom w:val="nil"/>
            </w:tcBorders>
            <w:shd w:val="clear" w:color="auto" w:fill="66CCFF"/>
          </w:tcPr>
          <w:p w14:paraId="21E9C145" w14:textId="77777777" w:rsidR="00391907" w:rsidRPr="00EC2A1C" w:rsidRDefault="00391907" w:rsidP="00B15ECB">
            <w:pPr>
              <w:rPr>
                <w:b/>
              </w:rPr>
            </w:pPr>
          </w:p>
        </w:tc>
      </w:tr>
      <w:tr w:rsidR="00391907" w:rsidRPr="00EC2A1C" w14:paraId="432DFDAD" w14:textId="77777777" w:rsidTr="00B15ECB">
        <w:trPr>
          <w:trHeight w:val="938"/>
        </w:trPr>
        <w:tc>
          <w:tcPr>
            <w:tcW w:w="222" w:type="dxa"/>
            <w:tcBorders>
              <w:top w:val="nil"/>
              <w:bottom w:val="nil"/>
            </w:tcBorders>
            <w:shd w:val="clear" w:color="auto" w:fill="66CCFF"/>
          </w:tcPr>
          <w:p w14:paraId="13ED2F8C"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0D45C396" w14:textId="77777777" w:rsidR="00391907" w:rsidRPr="00EC2A1C" w:rsidRDefault="00391907" w:rsidP="00391907">
            <w:pPr>
              <w:pStyle w:val="Odstavecseseznamem"/>
              <w:numPr>
                <w:ilvl w:val="0"/>
                <w:numId w:val="5"/>
              </w:numPr>
              <w:spacing w:before="60" w:after="60"/>
              <w:rPr>
                <w:rFonts w:eastAsiaTheme="majorEastAsia"/>
                <w:b/>
              </w:rPr>
            </w:pPr>
            <w:r w:rsidRPr="00EC2A1C">
              <w:rPr>
                <w:rFonts w:eastAsiaTheme="majorEastAsia"/>
                <w:b/>
              </w:rPr>
              <w:t>monitoring a evaluace</w:t>
            </w:r>
          </w:p>
        </w:tc>
        <w:tc>
          <w:tcPr>
            <w:tcW w:w="7342" w:type="dxa"/>
            <w:tcBorders>
              <w:bottom w:val="single" w:sz="4" w:space="0" w:color="auto"/>
            </w:tcBorders>
            <w:shd w:val="clear" w:color="auto" w:fill="FFFFFF" w:themeFill="background1"/>
          </w:tcPr>
          <w:p w14:paraId="486D0E09" w14:textId="77777777" w:rsidR="00391907" w:rsidRPr="00EC2A1C" w:rsidRDefault="00391907" w:rsidP="00B15ECB">
            <w:pPr>
              <w:pStyle w:val="slovanodstavec"/>
              <w:tabs>
                <w:tab w:val="left" w:pos="284"/>
              </w:tabs>
              <w:suppressAutoHyphens/>
              <w:spacing w:line="240" w:lineRule="auto"/>
              <w:rPr>
                <w:rFonts w:ascii="Times New Roman" w:hAnsi="Times New Roman"/>
                <w:b/>
              </w:rPr>
            </w:pPr>
            <w:r w:rsidRPr="00EC2A1C">
              <w:rPr>
                <w:rFonts w:ascii="Times New Roman" w:hAnsi="Times New Roman"/>
                <w:b/>
              </w:rPr>
              <w:t xml:space="preserve">Kontextové indikátory Koncepce: </w:t>
            </w:r>
          </w:p>
          <w:p w14:paraId="1AC0401F"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Počet přenocování domácích návštěvníků v HUZ v České republice </w:t>
            </w:r>
          </w:p>
          <w:p w14:paraId="5C68985D"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Počet přenocování zahraničních návštěvníků v HUZ v České republice </w:t>
            </w:r>
          </w:p>
          <w:p w14:paraId="33A9FCFB"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Vytíženost lůžek </w:t>
            </w:r>
          </w:p>
          <w:p w14:paraId="1B5AF0D1"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Hodnota indexu konkurenceschopnosti cestovního ruchu v ČR dle WEF </w:t>
            </w:r>
          </w:p>
          <w:p w14:paraId="0AD54E48"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Počet zaměstnaných osob v cestovním ruchu v ČR (přepočet na plný úvazek) </w:t>
            </w:r>
          </w:p>
          <w:p w14:paraId="3428D728"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Hrubý domácí produkt cestovního ruchu </w:t>
            </w:r>
          </w:p>
          <w:p w14:paraId="1DD2D973"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Spotřeba příjezdového cestovního ruchu v ČR </w:t>
            </w:r>
          </w:p>
          <w:p w14:paraId="3CECC1EE"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Spotřeba domácího cestovního ruchu v ČR </w:t>
            </w:r>
          </w:p>
          <w:p w14:paraId="61D8A74B"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Devizové příjmy z cestovního ruchu v ČR </w:t>
            </w:r>
          </w:p>
          <w:p w14:paraId="4F96CE4C" w14:textId="77777777" w:rsidR="00391907" w:rsidRPr="00EC2A1C" w:rsidRDefault="00391907" w:rsidP="00391907">
            <w:pPr>
              <w:pStyle w:val="slovanodstavec"/>
              <w:numPr>
                <w:ilvl w:val="0"/>
                <w:numId w:val="144"/>
              </w:numPr>
              <w:tabs>
                <w:tab w:val="clear" w:pos="567"/>
                <w:tab w:val="left" w:pos="284"/>
              </w:tabs>
              <w:suppressAutoHyphens/>
              <w:spacing w:after="0" w:line="240" w:lineRule="auto"/>
              <w:rPr>
                <w:rFonts w:ascii="Times New Roman" w:hAnsi="Times New Roman"/>
                <w:i/>
              </w:rPr>
            </w:pPr>
            <w:r w:rsidRPr="00EC2A1C">
              <w:rPr>
                <w:rFonts w:ascii="Times New Roman" w:hAnsi="Times New Roman"/>
              </w:rPr>
              <w:t>Podíl devizových příjmů z cestovního ruchu na HDP v %</w:t>
            </w:r>
            <w:r w:rsidRPr="00EC2A1C">
              <w:rPr>
                <w:rFonts w:ascii="Times New Roman" w:hAnsi="Times New Roman"/>
                <w:i/>
              </w:rPr>
              <w:t xml:space="preserve"> </w:t>
            </w:r>
          </w:p>
          <w:p w14:paraId="67752295" w14:textId="77777777" w:rsidR="00391907" w:rsidRPr="00EC2A1C" w:rsidRDefault="00391907" w:rsidP="00B15ECB">
            <w:pPr>
              <w:pStyle w:val="slovanodstavec"/>
              <w:tabs>
                <w:tab w:val="clear" w:pos="567"/>
                <w:tab w:val="left" w:pos="284"/>
              </w:tabs>
              <w:suppressAutoHyphens/>
              <w:spacing w:after="0" w:line="240" w:lineRule="auto"/>
              <w:rPr>
                <w:rFonts w:ascii="Times New Roman" w:hAnsi="Times New Roman"/>
              </w:rPr>
            </w:pPr>
            <w:r w:rsidRPr="00EC2A1C">
              <w:rPr>
                <w:rFonts w:ascii="Times New Roman" w:hAnsi="Times New Roman"/>
              </w:rPr>
              <w:t>Sada indikátorů odpovídá metodice srovnatelných destinací cestovního ruchu ve světě a poskytují základní informace o naplňování cílů koncepce, respektive o postavení cestovního ruchu v národním hospodářství a o výkonnosti odvětví. Pro bližší rozklíčování a přesnější zjištění stavu je však třeba neustále zlepšovat systém sběru dat, jejich strukturu a rozsah. To vyžaduje nezanedbatelnou finanční částku. Pro potřeby důsledného monitoringu a evaluace rovněž třeba řešit výzkumné úkoly a šetření v oblasti cestovního ruchu, v tomto ohledu má Česká republika ve srovnání s okolními zeměmi značnou rezervu. Proto bude v následujícím období pozornost soustředěna na další rozvoj a stabilizaci sběru a vyhodnocení dat jak pro potřeby evaluace plnění koncepce, tak pro potřeby zjištění postavení cestovního ruchu v národním hospodářství i na podporu vyhodnocování dopadů cestovního ruchu v regionech. Velkou výzvou v oblasti monitoringu návštěvnosti v destinacích představuje fenomén sdílené ekonomiky (individuální ubytovací zařízení) a rovněž monitoring návštěvníků, kteří v destinacích nenavštěvují atraktivity, v nichž je zaveden monitoring (dle sčítačů či prodejem vstupenek), avšak se v destinaci pohybují a konzumují tak určitý rozsah služeb.</w:t>
            </w:r>
          </w:p>
          <w:p w14:paraId="13BC9A54" w14:textId="77777777" w:rsidR="00391907" w:rsidRPr="00EC2A1C" w:rsidRDefault="00391907" w:rsidP="00B15ECB">
            <w:pPr>
              <w:pStyle w:val="slovanodstavec"/>
              <w:tabs>
                <w:tab w:val="clear" w:pos="567"/>
                <w:tab w:val="left" w:pos="284"/>
              </w:tabs>
              <w:suppressAutoHyphens/>
              <w:spacing w:after="0" w:line="240" w:lineRule="auto"/>
              <w:rPr>
                <w:rFonts w:ascii="Times New Roman" w:hAnsi="Times New Roman"/>
              </w:rPr>
            </w:pPr>
            <w:r w:rsidRPr="00EC2A1C">
              <w:rPr>
                <w:rFonts w:ascii="Times New Roman" w:hAnsi="Times New Roman"/>
              </w:rPr>
              <w:t>V pravidelných intervalech je vyhodnocován tzv. Satelitní účet cestovního ruchu</w:t>
            </w:r>
          </w:p>
          <w:p w14:paraId="45794715" w14:textId="77777777" w:rsidR="00391907" w:rsidRPr="00EC2A1C" w:rsidRDefault="00391907" w:rsidP="00B15ECB">
            <w:pPr>
              <w:pStyle w:val="slovanodstavec"/>
              <w:tabs>
                <w:tab w:val="clear" w:pos="567"/>
                <w:tab w:val="left" w:pos="284"/>
              </w:tabs>
              <w:suppressAutoHyphens/>
              <w:spacing w:after="0" w:line="240" w:lineRule="auto"/>
              <w:rPr>
                <w:rFonts w:ascii="Times New Roman" w:hAnsi="Times New Roman"/>
              </w:rPr>
            </w:pPr>
            <w:r w:rsidRPr="00EC2A1C">
              <w:rPr>
                <w:rFonts w:ascii="Times New Roman" w:hAnsi="Times New Roman"/>
              </w:rPr>
              <w:t>(</w:t>
            </w:r>
            <w:hyperlink r:id="rId50" w:history="1">
              <w:r w:rsidRPr="00EC2A1C">
                <w:rPr>
                  <w:rStyle w:val="Hypertextovodkaz"/>
                  <w:rFonts w:ascii="Times New Roman" w:hAnsi="Times New Roman"/>
                </w:rPr>
                <w:t>https://www.czso.cz/csu/czso/satelitni_ucet_cestovniho_ruchu</w:t>
              </w:r>
            </w:hyperlink>
            <w:r w:rsidRPr="00EC2A1C">
              <w:rPr>
                <w:rFonts w:ascii="Times New Roman" w:hAnsi="Times New Roman"/>
              </w:rPr>
              <w:t xml:space="preserve">) </w:t>
            </w:r>
          </w:p>
          <w:p w14:paraId="58A8BDCE" w14:textId="77777777" w:rsidR="00391907" w:rsidRPr="00EC2A1C" w:rsidRDefault="00391907" w:rsidP="00B15ECB">
            <w:pPr>
              <w:pStyle w:val="slovanodstavec"/>
              <w:tabs>
                <w:tab w:val="clear" w:pos="567"/>
                <w:tab w:val="left" w:pos="284"/>
              </w:tabs>
              <w:suppressAutoHyphens/>
              <w:spacing w:after="0" w:line="240" w:lineRule="auto"/>
              <w:rPr>
                <w:rFonts w:ascii="Times New Roman" w:hAnsi="Times New Roman"/>
              </w:rPr>
            </w:pPr>
            <w:r w:rsidRPr="00EC2A1C">
              <w:rPr>
                <w:rFonts w:ascii="Times New Roman" w:hAnsi="Times New Roman"/>
              </w:rPr>
              <w:t xml:space="preserve">Plnění Koncepce je jednak monitorováno v rámci vyhodnocení AP a zároveň je ve dvouletých intervalech vyhotovena Zpráva o plnění Koncepce, která obsahuje detailnější informace a analýzu postupu prací. Oba dokumenty jsou vždy předloženy Vládě ČR. </w:t>
            </w:r>
          </w:p>
          <w:p w14:paraId="5C86651F" w14:textId="77777777" w:rsidR="00391907" w:rsidRPr="00EC2A1C" w:rsidRDefault="00391907" w:rsidP="00B15ECB">
            <w:pPr>
              <w:pStyle w:val="slovanodstavec"/>
              <w:tabs>
                <w:tab w:val="clear" w:pos="567"/>
                <w:tab w:val="left" w:pos="284"/>
              </w:tabs>
              <w:suppressAutoHyphens/>
              <w:spacing w:after="0" w:line="240" w:lineRule="auto"/>
              <w:rPr>
                <w:rFonts w:ascii="Times New Roman" w:hAnsi="Times New Roman"/>
                <w:i/>
              </w:rPr>
            </w:pPr>
          </w:p>
        </w:tc>
        <w:tc>
          <w:tcPr>
            <w:tcW w:w="222" w:type="dxa"/>
            <w:tcBorders>
              <w:top w:val="nil"/>
              <w:bottom w:val="nil"/>
            </w:tcBorders>
            <w:shd w:val="clear" w:color="auto" w:fill="66CCFF"/>
          </w:tcPr>
          <w:p w14:paraId="2AE23592" w14:textId="77777777" w:rsidR="00391907" w:rsidRPr="00EC2A1C" w:rsidRDefault="00391907" w:rsidP="00B15ECB">
            <w:pPr>
              <w:rPr>
                <w:b/>
              </w:rPr>
            </w:pPr>
          </w:p>
        </w:tc>
      </w:tr>
      <w:tr w:rsidR="00391907" w:rsidRPr="00EC2A1C" w14:paraId="716BA60F" w14:textId="77777777" w:rsidTr="00B15ECB">
        <w:trPr>
          <w:trHeight w:val="130"/>
        </w:trPr>
        <w:tc>
          <w:tcPr>
            <w:tcW w:w="222" w:type="dxa"/>
            <w:tcBorders>
              <w:top w:val="nil"/>
              <w:bottom w:val="nil"/>
              <w:right w:val="nil"/>
            </w:tcBorders>
            <w:shd w:val="clear" w:color="auto" w:fill="66CCFF"/>
          </w:tcPr>
          <w:p w14:paraId="5669B54E" w14:textId="77777777" w:rsidR="00391907" w:rsidRPr="00EC2A1C" w:rsidRDefault="00391907" w:rsidP="00B15ECB">
            <w:pPr>
              <w:rPr>
                <w:b/>
              </w:rPr>
            </w:pPr>
          </w:p>
        </w:tc>
        <w:tc>
          <w:tcPr>
            <w:tcW w:w="2188" w:type="dxa"/>
            <w:tcBorders>
              <w:left w:val="nil"/>
              <w:right w:val="nil"/>
            </w:tcBorders>
            <w:shd w:val="clear" w:color="auto" w:fill="66CCFF"/>
          </w:tcPr>
          <w:p w14:paraId="305D5AE9" w14:textId="77777777" w:rsidR="00391907" w:rsidRPr="00EC2A1C" w:rsidRDefault="00391907" w:rsidP="00B15ECB">
            <w:pPr>
              <w:rPr>
                <w:b/>
              </w:rPr>
            </w:pPr>
          </w:p>
        </w:tc>
        <w:tc>
          <w:tcPr>
            <w:tcW w:w="7342" w:type="dxa"/>
            <w:tcBorders>
              <w:left w:val="nil"/>
              <w:right w:val="nil"/>
            </w:tcBorders>
            <w:shd w:val="clear" w:color="auto" w:fill="66CCFF"/>
          </w:tcPr>
          <w:p w14:paraId="087573DD" w14:textId="77777777" w:rsidR="00391907" w:rsidRPr="00EC2A1C" w:rsidRDefault="00391907" w:rsidP="00B15ECB">
            <w:pPr>
              <w:pStyle w:val="slovanodstavec"/>
              <w:tabs>
                <w:tab w:val="clear" w:pos="567"/>
                <w:tab w:val="left" w:pos="284"/>
              </w:tabs>
              <w:suppressAutoHyphens/>
              <w:spacing w:line="240" w:lineRule="auto"/>
              <w:jc w:val="left"/>
              <w:rPr>
                <w:rFonts w:ascii="Times New Roman" w:eastAsiaTheme="minorHAnsi" w:hAnsi="Times New Roman"/>
                <w:b/>
                <w:noProof/>
              </w:rPr>
            </w:pPr>
          </w:p>
        </w:tc>
        <w:tc>
          <w:tcPr>
            <w:tcW w:w="222" w:type="dxa"/>
            <w:tcBorders>
              <w:top w:val="nil"/>
              <w:left w:val="nil"/>
              <w:bottom w:val="nil"/>
            </w:tcBorders>
            <w:shd w:val="clear" w:color="auto" w:fill="66CCFF"/>
          </w:tcPr>
          <w:p w14:paraId="1CEAA93F" w14:textId="77777777" w:rsidR="00391907" w:rsidRPr="00EC2A1C" w:rsidRDefault="00391907" w:rsidP="00B15ECB">
            <w:pPr>
              <w:rPr>
                <w:b/>
              </w:rPr>
            </w:pPr>
          </w:p>
        </w:tc>
      </w:tr>
      <w:tr w:rsidR="00391907" w:rsidRPr="00EC2A1C" w14:paraId="74654D24" w14:textId="77777777" w:rsidTr="00B15ECB">
        <w:trPr>
          <w:trHeight w:val="1258"/>
        </w:trPr>
        <w:tc>
          <w:tcPr>
            <w:tcW w:w="222" w:type="dxa"/>
            <w:tcBorders>
              <w:top w:val="nil"/>
              <w:bottom w:val="nil"/>
              <w:right w:val="nil"/>
            </w:tcBorders>
            <w:shd w:val="clear" w:color="auto" w:fill="66CCFF"/>
          </w:tcPr>
          <w:p w14:paraId="49CE74ED" w14:textId="77777777" w:rsidR="00391907" w:rsidRPr="00EC2A1C" w:rsidRDefault="00391907" w:rsidP="00B15ECB">
            <w:pPr>
              <w:rPr>
                <w:b/>
              </w:rPr>
            </w:pPr>
          </w:p>
        </w:tc>
        <w:tc>
          <w:tcPr>
            <w:tcW w:w="9530" w:type="dxa"/>
            <w:gridSpan w:val="2"/>
            <w:shd w:val="clear" w:color="auto" w:fill="FFFFFF" w:themeFill="background1"/>
          </w:tcPr>
          <w:p w14:paraId="10687C18" w14:textId="77777777" w:rsidR="00391907" w:rsidRPr="00EC2A1C" w:rsidRDefault="00391907" w:rsidP="00B15ECB">
            <w:pPr>
              <w:rPr>
                <w:rFonts w:eastAsiaTheme="majorEastAsia"/>
                <w:b/>
              </w:rPr>
            </w:pPr>
            <w:r w:rsidRPr="00EC2A1C">
              <w:rPr>
                <w:rFonts w:eastAsiaTheme="majorEastAsia"/>
                <w:b/>
              </w:rPr>
              <w:t xml:space="preserve">Zhodnocení dosavadního využití podpory tematické oblasti z ESIF (tj. v období 2014 – 2020, příp. 2007 – 2013). </w:t>
            </w:r>
          </w:p>
          <w:p w14:paraId="136D6FF3" w14:textId="77777777" w:rsidR="00391907" w:rsidRPr="00EC2A1C" w:rsidRDefault="00391907" w:rsidP="00B15ECB">
            <w:pPr>
              <w:rPr>
                <w:rFonts w:eastAsiaTheme="majorEastAsia"/>
                <w:b/>
              </w:rPr>
            </w:pPr>
          </w:p>
          <w:p w14:paraId="686C7ED6"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u w:val="single"/>
              </w:rPr>
            </w:pPr>
            <w:r w:rsidRPr="00EC2A1C">
              <w:rPr>
                <w:rFonts w:ascii="Times New Roman" w:hAnsi="Times New Roman"/>
                <w:u w:val="single"/>
              </w:rPr>
              <w:t>Programové období 2007 – 2013</w:t>
            </w:r>
          </w:p>
          <w:p w14:paraId="254AD579"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daném období byl cestovní ruch samostatnou podporovanou oblastí. Na podporu cestovního ruchu bylo možné přímo čerpat prostředky z řady operačních programů: ROP, IOP, OP přeshraniční spolupráce, PRV a dále bylo možné čerpat prostřednictvím dalších dotačních programů jako OP ŽP, OP LZZ a další. Podpora investičního i neinvestičního charakteru byla zaměřena na široký rozsah aktivit realizovaných veřejnými, podnikatelskými i neziskovými subjekty. V rámci investičních aktivit bylo možné realizovat projekty zaměřené na budování veřejné infrastruktury cestovního ruchu (např. cyklostezky a cyklotrasy), budování nových značených turistických tras a naučných stezek, pořizování prvků udržitelné dopravy a částečně i hrazení jejich provozu, obnova kulturně-historických památek, ochrana, zpřístupnění a interpretace kulturně-historického a přírodního dědictví atd. V rámci investičních akcí byla i podporována i oblast rozvoje a zkvalitnění komerčních zařízení cestovního ruchu, např. ubytovacích a stravovacích zařízení, rozvoj zařízení pro MICE</w:t>
            </w:r>
            <w:r w:rsidRPr="00EC2A1C">
              <w:rPr>
                <w:rStyle w:val="Znakapoznpodarou"/>
                <w:rFonts w:ascii="Times New Roman" w:hAnsi="Times New Roman"/>
              </w:rPr>
              <w:footnoteReference w:id="64"/>
            </w:r>
            <w:r w:rsidRPr="00EC2A1C">
              <w:rPr>
                <w:rFonts w:ascii="Times New Roman" w:hAnsi="Times New Roman"/>
              </w:rPr>
              <w:t xml:space="preserve"> segment i wellness, budování volnočasových areálů, zábavních a tematických parků, budování golfových hřišť, podpora lyžařských resortů atd. </w:t>
            </w:r>
          </w:p>
          <w:p w14:paraId="7F801D7C"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Neinvestiční aktivity byly zaměřovány na marketing cestovního ruchu, propagaci turistických atraktivit, budování značky, tvorbu a distribuci produktů cestovního ruchu, realizaci statistických a marketingových výzkumů atd. Oblast marketingových výzkumů i marketingových aktivit nebyla úžeji koordinována. Vzhledem k velkému množství dotačních titulů bylo problematické vykazovat návaznost a synergické efekty mezi jednotlivými projekty. Synergické efekty přesto vznikaly mezi jednotlivými projekty příjemců, tak i mezi investičními a neinvestičními projekty, případně nepřímo v destinacích mezi podpořenými projekty. Výstupy podpořených projektů se vzájemně doplňovaly na vytvoření komplexní nabídky destinace. V rámci vyhodnocování programového období však byla podpora cestovního ruchu definována jako ne příliš úspěšnou prioritou, často zmiňovaná byla problematická efektivita, hospodárnost i přínosy podpořených projektů. Je však nutné konstatovat, že z výstupů, které byly realizovány v tomto období, mnoho destinací, respektive organizací destinačního managementu, „žije dodnes“ (tištěné materiály, prezentační prvky, atd.). Zároveň je nutné podotknout, že vzhledem k benevolentnímu nastavení podpory vznikaly i „umělé“ organizace destinačního managementu bez toho, aby byla optimálně nastavena spolupráce v daném území. </w:t>
            </w:r>
          </w:p>
          <w:tbl>
            <w:tblPr>
              <w:tblW w:w="5980" w:type="dxa"/>
              <w:tblCellMar>
                <w:left w:w="70" w:type="dxa"/>
                <w:right w:w="70" w:type="dxa"/>
              </w:tblCellMar>
              <w:tblLook w:val="04A0" w:firstRow="1" w:lastRow="0" w:firstColumn="1" w:lastColumn="0" w:noHBand="0" w:noVBand="1"/>
            </w:tblPr>
            <w:tblGrid>
              <w:gridCol w:w="1360"/>
              <w:gridCol w:w="2140"/>
              <w:gridCol w:w="2480"/>
            </w:tblGrid>
            <w:tr w:rsidR="00391907" w:rsidRPr="00EC2A1C" w14:paraId="38ED439E" w14:textId="77777777" w:rsidTr="00B15ECB">
              <w:trPr>
                <w:trHeight w:val="765"/>
              </w:trPr>
              <w:tc>
                <w:tcPr>
                  <w:tcW w:w="1360" w:type="dxa"/>
                  <w:tcBorders>
                    <w:top w:val="single" w:sz="4" w:space="0" w:color="auto"/>
                    <w:left w:val="single" w:sz="4" w:space="0" w:color="auto"/>
                    <w:bottom w:val="single" w:sz="4" w:space="0" w:color="auto"/>
                    <w:right w:val="single" w:sz="4" w:space="0" w:color="auto"/>
                  </w:tcBorders>
                  <w:shd w:val="clear" w:color="000000" w:fill="00AF3F"/>
                  <w:hideMark/>
                </w:tcPr>
                <w:p w14:paraId="70F82CA2"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Programy</w:t>
                  </w:r>
                </w:p>
              </w:tc>
              <w:tc>
                <w:tcPr>
                  <w:tcW w:w="2140" w:type="dxa"/>
                  <w:tcBorders>
                    <w:top w:val="single" w:sz="4" w:space="0" w:color="auto"/>
                    <w:left w:val="nil"/>
                    <w:bottom w:val="single" w:sz="4" w:space="0" w:color="auto"/>
                    <w:right w:val="single" w:sz="4" w:space="0" w:color="auto"/>
                  </w:tcBorders>
                  <w:shd w:val="clear" w:color="000000" w:fill="00AF3F"/>
                  <w:hideMark/>
                </w:tcPr>
                <w:p w14:paraId="7BD5362A"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Počet realizovaných projektů 2007 - 2013 (2015)</w:t>
                  </w:r>
                </w:p>
              </w:tc>
              <w:tc>
                <w:tcPr>
                  <w:tcW w:w="2480" w:type="dxa"/>
                  <w:tcBorders>
                    <w:top w:val="single" w:sz="4" w:space="0" w:color="auto"/>
                    <w:left w:val="nil"/>
                    <w:bottom w:val="single" w:sz="4" w:space="0" w:color="auto"/>
                    <w:right w:val="single" w:sz="4" w:space="0" w:color="auto"/>
                  </w:tcBorders>
                  <w:shd w:val="clear" w:color="000000" w:fill="00AF3F"/>
                  <w:hideMark/>
                </w:tcPr>
                <w:p w14:paraId="3D8BD814"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Finanční dotace podpořených projektů 2007 - 2013 (2015) v mil.</w:t>
                  </w:r>
                </w:p>
              </w:tc>
            </w:tr>
            <w:tr w:rsidR="00391907" w:rsidRPr="00EC2A1C" w14:paraId="257DFFCA" w14:textId="77777777" w:rsidTr="00B15ECB">
              <w:trPr>
                <w:trHeight w:val="300"/>
              </w:trPr>
              <w:tc>
                <w:tcPr>
                  <w:tcW w:w="1360" w:type="dxa"/>
                  <w:tcBorders>
                    <w:top w:val="nil"/>
                    <w:left w:val="single" w:sz="4" w:space="0" w:color="auto"/>
                    <w:bottom w:val="single" w:sz="4" w:space="0" w:color="auto"/>
                    <w:right w:val="nil"/>
                  </w:tcBorders>
                  <w:shd w:val="clear" w:color="000000" w:fill="D9D9D9"/>
                  <w:noWrap/>
                  <w:vAlign w:val="bottom"/>
                  <w:hideMark/>
                </w:tcPr>
                <w:p w14:paraId="0147E1C3" w14:textId="77777777" w:rsidR="00391907" w:rsidRPr="00EC2A1C" w:rsidRDefault="00391907" w:rsidP="00B15ECB">
                  <w:pPr>
                    <w:spacing w:after="0" w:line="240" w:lineRule="auto"/>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Národní</w:t>
                  </w:r>
                </w:p>
              </w:tc>
              <w:tc>
                <w:tcPr>
                  <w:tcW w:w="2140" w:type="dxa"/>
                  <w:tcBorders>
                    <w:top w:val="nil"/>
                    <w:left w:val="nil"/>
                    <w:bottom w:val="single" w:sz="4" w:space="0" w:color="auto"/>
                    <w:right w:val="nil"/>
                  </w:tcBorders>
                  <w:shd w:val="clear" w:color="000000" w:fill="D9D9D9"/>
                  <w:noWrap/>
                  <w:vAlign w:val="bottom"/>
                  <w:hideMark/>
                </w:tcPr>
                <w:p w14:paraId="3DACB5C1"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 </w:t>
                  </w:r>
                </w:p>
              </w:tc>
              <w:tc>
                <w:tcPr>
                  <w:tcW w:w="2480" w:type="dxa"/>
                  <w:tcBorders>
                    <w:top w:val="nil"/>
                    <w:left w:val="nil"/>
                    <w:bottom w:val="single" w:sz="4" w:space="0" w:color="auto"/>
                    <w:right w:val="single" w:sz="4" w:space="0" w:color="auto"/>
                  </w:tcBorders>
                  <w:shd w:val="clear" w:color="000000" w:fill="D9D9D9"/>
                  <w:noWrap/>
                  <w:vAlign w:val="bottom"/>
                  <w:hideMark/>
                </w:tcPr>
                <w:p w14:paraId="25C584A2"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 </w:t>
                  </w:r>
                </w:p>
              </w:tc>
            </w:tr>
            <w:tr w:rsidR="00391907" w:rsidRPr="00EC2A1C" w14:paraId="43F171FE"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6DCAA00D"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MK</w:t>
                  </w:r>
                </w:p>
              </w:tc>
              <w:tc>
                <w:tcPr>
                  <w:tcW w:w="2140" w:type="dxa"/>
                  <w:tcBorders>
                    <w:top w:val="nil"/>
                    <w:left w:val="nil"/>
                    <w:bottom w:val="single" w:sz="4" w:space="0" w:color="auto"/>
                    <w:right w:val="single" w:sz="4" w:space="0" w:color="auto"/>
                  </w:tcBorders>
                  <w:shd w:val="clear" w:color="auto" w:fill="auto"/>
                  <w:vAlign w:val="center"/>
                  <w:hideMark/>
                </w:tcPr>
                <w:p w14:paraId="116B115B"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1 659</w:t>
                  </w:r>
                </w:p>
              </w:tc>
              <w:tc>
                <w:tcPr>
                  <w:tcW w:w="2480" w:type="dxa"/>
                  <w:tcBorders>
                    <w:top w:val="nil"/>
                    <w:left w:val="nil"/>
                    <w:bottom w:val="single" w:sz="4" w:space="0" w:color="auto"/>
                    <w:right w:val="single" w:sz="4" w:space="0" w:color="auto"/>
                  </w:tcBorders>
                  <w:shd w:val="clear" w:color="auto" w:fill="auto"/>
                  <w:vAlign w:val="center"/>
                  <w:hideMark/>
                </w:tcPr>
                <w:p w14:paraId="538582A2"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1 018</w:t>
                  </w:r>
                </w:p>
              </w:tc>
            </w:tr>
            <w:tr w:rsidR="00391907" w:rsidRPr="00EC2A1C" w14:paraId="07E2340A"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20AF01C1"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NPPCR</w:t>
                  </w:r>
                </w:p>
              </w:tc>
              <w:tc>
                <w:tcPr>
                  <w:tcW w:w="2140" w:type="dxa"/>
                  <w:tcBorders>
                    <w:top w:val="nil"/>
                    <w:left w:val="nil"/>
                    <w:bottom w:val="single" w:sz="4" w:space="0" w:color="auto"/>
                    <w:right w:val="single" w:sz="4" w:space="0" w:color="auto"/>
                  </w:tcBorders>
                  <w:shd w:val="clear" w:color="auto" w:fill="auto"/>
                  <w:vAlign w:val="center"/>
                  <w:hideMark/>
                </w:tcPr>
                <w:p w14:paraId="74E312D7"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178</w:t>
                  </w:r>
                </w:p>
              </w:tc>
              <w:tc>
                <w:tcPr>
                  <w:tcW w:w="2480" w:type="dxa"/>
                  <w:tcBorders>
                    <w:top w:val="nil"/>
                    <w:left w:val="nil"/>
                    <w:bottom w:val="single" w:sz="4" w:space="0" w:color="auto"/>
                    <w:right w:val="single" w:sz="4" w:space="0" w:color="auto"/>
                  </w:tcBorders>
                  <w:shd w:val="clear" w:color="auto" w:fill="auto"/>
                  <w:vAlign w:val="center"/>
                  <w:hideMark/>
                </w:tcPr>
                <w:p w14:paraId="4656B81E"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281</w:t>
                  </w:r>
                </w:p>
              </w:tc>
            </w:tr>
            <w:tr w:rsidR="00391907" w:rsidRPr="00EC2A1C" w14:paraId="635F283C" w14:textId="77777777" w:rsidTr="00B15ECB">
              <w:trPr>
                <w:trHeight w:val="300"/>
              </w:trPr>
              <w:tc>
                <w:tcPr>
                  <w:tcW w:w="1360" w:type="dxa"/>
                  <w:tcBorders>
                    <w:top w:val="nil"/>
                    <w:left w:val="single" w:sz="4" w:space="0" w:color="auto"/>
                    <w:bottom w:val="nil"/>
                    <w:right w:val="single" w:sz="4" w:space="0" w:color="auto"/>
                  </w:tcBorders>
                  <w:shd w:val="clear" w:color="auto" w:fill="auto"/>
                  <w:vAlign w:val="center"/>
                  <w:hideMark/>
                </w:tcPr>
                <w:p w14:paraId="0BF30EA5"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SFDI</w:t>
                  </w:r>
                </w:p>
              </w:tc>
              <w:tc>
                <w:tcPr>
                  <w:tcW w:w="2140" w:type="dxa"/>
                  <w:tcBorders>
                    <w:top w:val="nil"/>
                    <w:left w:val="nil"/>
                    <w:bottom w:val="nil"/>
                    <w:right w:val="single" w:sz="4" w:space="0" w:color="auto"/>
                  </w:tcBorders>
                  <w:shd w:val="clear" w:color="auto" w:fill="auto"/>
                  <w:vAlign w:val="center"/>
                  <w:hideMark/>
                </w:tcPr>
                <w:p w14:paraId="06858D76"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272</w:t>
                  </w:r>
                </w:p>
              </w:tc>
              <w:tc>
                <w:tcPr>
                  <w:tcW w:w="2480" w:type="dxa"/>
                  <w:tcBorders>
                    <w:top w:val="nil"/>
                    <w:left w:val="nil"/>
                    <w:bottom w:val="nil"/>
                    <w:right w:val="single" w:sz="4" w:space="0" w:color="auto"/>
                  </w:tcBorders>
                  <w:shd w:val="clear" w:color="auto" w:fill="auto"/>
                  <w:vAlign w:val="center"/>
                  <w:hideMark/>
                </w:tcPr>
                <w:p w14:paraId="4C90A036"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1 044</w:t>
                  </w:r>
                </w:p>
              </w:tc>
            </w:tr>
            <w:tr w:rsidR="00391907" w:rsidRPr="00EC2A1C" w14:paraId="41176264" w14:textId="77777777" w:rsidTr="00B15ECB">
              <w:trPr>
                <w:trHeight w:val="300"/>
              </w:trPr>
              <w:tc>
                <w:tcPr>
                  <w:tcW w:w="1360" w:type="dxa"/>
                  <w:tcBorders>
                    <w:top w:val="single" w:sz="4" w:space="0" w:color="auto"/>
                    <w:left w:val="single" w:sz="4" w:space="0" w:color="auto"/>
                    <w:bottom w:val="single" w:sz="4" w:space="0" w:color="auto"/>
                    <w:right w:val="nil"/>
                  </w:tcBorders>
                  <w:shd w:val="clear" w:color="000000" w:fill="D9D9D9"/>
                  <w:vAlign w:val="center"/>
                  <w:hideMark/>
                </w:tcPr>
                <w:p w14:paraId="54975FDC" w14:textId="77777777" w:rsidR="00391907" w:rsidRPr="00EC2A1C" w:rsidRDefault="00391907" w:rsidP="00B15ECB">
                  <w:pPr>
                    <w:spacing w:after="0" w:line="240" w:lineRule="auto"/>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Evropské</w:t>
                  </w:r>
                </w:p>
              </w:tc>
              <w:tc>
                <w:tcPr>
                  <w:tcW w:w="2140" w:type="dxa"/>
                  <w:tcBorders>
                    <w:top w:val="single" w:sz="4" w:space="0" w:color="auto"/>
                    <w:left w:val="nil"/>
                    <w:bottom w:val="single" w:sz="4" w:space="0" w:color="auto"/>
                    <w:right w:val="nil"/>
                  </w:tcBorders>
                  <w:shd w:val="clear" w:color="000000" w:fill="D9D9D9"/>
                  <w:noWrap/>
                  <w:vAlign w:val="bottom"/>
                  <w:hideMark/>
                </w:tcPr>
                <w:p w14:paraId="4E456180"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 </w:t>
                  </w:r>
                </w:p>
              </w:tc>
              <w:tc>
                <w:tcPr>
                  <w:tcW w:w="2480" w:type="dxa"/>
                  <w:tcBorders>
                    <w:top w:val="single" w:sz="4" w:space="0" w:color="auto"/>
                    <w:left w:val="nil"/>
                    <w:bottom w:val="single" w:sz="4" w:space="0" w:color="auto"/>
                    <w:right w:val="single" w:sz="4" w:space="0" w:color="auto"/>
                  </w:tcBorders>
                  <w:shd w:val="clear" w:color="000000" w:fill="D9D9D9"/>
                  <w:noWrap/>
                  <w:vAlign w:val="bottom"/>
                  <w:hideMark/>
                </w:tcPr>
                <w:p w14:paraId="56BA3886"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 </w:t>
                  </w:r>
                </w:p>
              </w:tc>
            </w:tr>
            <w:tr w:rsidR="00391907" w:rsidRPr="00EC2A1C" w14:paraId="4E8D598C"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9267DE1"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IOP</w:t>
                  </w:r>
                </w:p>
              </w:tc>
              <w:tc>
                <w:tcPr>
                  <w:tcW w:w="2140" w:type="dxa"/>
                  <w:tcBorders>
                    <w:top w:val="nil"/>
                    <w:left w:val="nil"/>
                    <w:bottom w:val="single" w:sz="4" w:space="0" w:color="auto"/>
                    <w:right w:val="single" w:sz="4" w:space="0" w:color="auto"/>
                  </w:tcBorders>
                  <w:shd w:val="clear" w:color="auto" w:fill="auto"/>
                  <w:vAlign w:val="center"/>
                  <w:hideMark/>
                </w:tcPr>
                <w:p w14:paraId="14B7FBA1"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114</w:t>
                  </w:r>
                </w:p>
              </w:tc>
              <w:tc>
                <w:tcPr>
                  <w:tcW w:w="2480" w:type="dxa"/>
                  <w:tcBorders>
                    <w:top w:val="nil"/>
                    <w:left w:val="nil"/>
                    <w:bottom w:val="single" w:sz="4" w:space="0" w:color="auto"/>
                    <w:right w:val="single" w:sz="4" w:space="0" w:color="auto"/>
                  </w:tcBorders>
                  <w:shd w:val="clear" w:color="auto" w:fill="auto"/>
                  <w:vAlign w:val="center"/>
                  <w:hideMark/>
                </w:tcPr>
                <w:p w14:paraId="713D0FA0"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8 465</w:t>
                  </w:r>
                </w:p>
              </w:tc>
            </w:tr>
            <w:tr w:rsidR="00391907" w:rsidRPr="00EC2A1C" w14:paraId="0AB59311"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1FB12368"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ROP</w:t>
                  </w:r>
                </w:p>
              </w:tc>
              <w:tc>
                <w:tcPr>
                  <w:tcW w:w="2140" w:type="dxa"/>
                  <w:tcBorders>
                    <w:top w:val="nil"/>
                    <w:left w:val="nil"/>
                    <w:bottom w:val="single" w:sz="4" w:space="0" w:color="auto"/>
                    <w:right w:val="single" w:sz="4" w:space="0" w:color="auto"/>
                  </w:tcBorders>
                  <w:shd w:val="clear" w:color="auto" w:fill="auto"/>
                  <w:vAlign w:val="center"/>
                  <w:hideMark/>
                </w:tcPr>
                <w:p w14:paraId="69A8148F"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1 749</w:t>
                  </w:r>
                </w:p>
              </w:tc>
              <w:tc>
                <w:tcPr>
                  <w:tcW w:w="2480" w:type="dxa"/>
                  <w:tcBorders>
                    <w:top w:val="nil"/>
                    <w:left w:val="nil"/>
                    <w:bottom w:val="single" w:sz="4" w:space="0" w:color="auto"/>
                    <w:right w:val="single" w:sz="4" w:space="0" w:color="auto"/>
                  </w:tcBorders>
                  <w:shd w:val="clear" w:color="auto" w:fill="auto"/>
                  <w:vAlign w:val="center"/>
                  <w:hideMark/>
                </w:tcPr>
                <w:p w14:paraId="7029B299"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30 442</w:t>
                  </w:r>
                </w:p>
              </w:tc>
            </w:tr>
            <w:tr w:rsidR="00391907" w:rsidRPr="00EC2A1C" w14:paraId="02B7D84B"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72D7B3D6"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Cíl 3</w:t>
                  </w:r>
                </w:p>
              </w:tc>
              <w:tc>
                <w:tcPr>
                  <w:tcW w:w="2140" w:type="dxa"/>
                  <w:tcBorders>
                    <w:top w:val="nil"/>
                    <w:left w:val="nil"/>
                    <w:bottom w:val="single" w:sz="4" w:space="0" w:color="auto"/>
                    <w:right w:val="single" w:sz="4" w:space="0" w:color="auto"/>
                  </w:tcBorders>
                  <w:shd w:val="clear" w:color="auto" w:fill="auto"/>
                  <w:vAlign w:val="center"/>
                  <w:hideMark/>
                </w:tcPr>
                <w:p w14:paraId="581B0F94"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408</w:t>
                  </w:r>
                </w:p>
              </w:tc>
              <w:tc>
                <w:tcPr>
                  <w:tcW w:w="2480" w:type="dxa"/>
                  <w:tcBorders>
                    <w:top w:val="nil"/>
                    <w:left w:val="nil"/>
                    <w:bottom w:val="single" w:sz="4" w:space="0" w:color="auto"/>
                    <w:right w:val="single" w:sz="4" w:space="0" w:color="auto"/>
                  </w:tcBorders>
                  <w:shd w:val="clear" w:color="auto" w:fill="auto"/>
                  <w:vAlign w:val="center"/>
                  <w:hideMark/>
                </w:tcPr>
                <w:p w14:paraId="21317DE7"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3 880</w:t>
                  </w:r>
                </w:p>
              </w:tc>
            </w:tr>
            <w:tr w:rsidR="00391907" w:rsidRPr="00EC2A1C" w14:paraId="139442AF"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61F172C3"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PRV</w:t>
                  </w:r>
                </w:p>
              </w:tc>
              <w:tc>
                <w:tcPr>
                  <w:tcW w:w="2140" w:type="dxa"/>
                  <w:tcBorders>
                    <w:top w:val="nil"/>
                    <w:left w:val="nil"/>
                    <w:bottom w:val="single" w:sz="4" w:space="0" w:color="auto"/>
                    <w:right w:val="single" w:sz="4" w:space="0" w:color="auto"/>
                  </w:tcBorders>
                  <w:shd w:val="clear" w:color="auto" w:fill="auto"/>
                  <w:vAlign w:val="center"/>
                  <w:hideMark/>
                </w:tcPr>
                <w:p w14:paraId="06CC818E"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1 930</w:t>
                  </w:r>
                </w:p>
              </w:tc>
              <w:tc>
                <w:tcPr>
                  <w:tcW w:w="2480" w:type="dxa"/>
                  <w:tcBorders>
                    <w:top w:val="nil"/>
                    <w:left w:val="nil"/>
                    <w:bottom w:val="single" w:sz="4" w:space="0" w:color="auto"/>
                    <w:right w:val="single" w:sz="4" w:space="0" w:color="auto"/>
                  </w:tcBorders>
                  <w:shd w:val="clear" w:color="auto" w:fill="auto"/>
                  <w:vAlign w:val="center"/>
                  <w:hideMark/>
                </w:tcPr>
                <w:p w14:paraId="6E92DF7A"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3 125</w:t>
                  </w:r>
                </w:p>
              </w:tc>
            </w:tr>
            <w:tr w:rsidR="00391907" w:rsidRPr="00EC2A1C" w14:paraId="7FB1EBC1"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9CEF4B0"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OP Praha</w:t>
                  </w:r>
                </w:p>
              </w:tc>
              <w:tc>
                <w:tcPr>
                  <w:tcW w:w="2140" w:type="dxa"/>
                  <w:tcBorders>
                    <w:top w:val="nil"/>
                    <w:left w:val="nil"/>
                    <w:bottom w:val="single" w:sz="4" w:space="0" w:color="auto"/>
                    <w:right w:val="single" w:sz="4" w:space="0" w:color="auto"/>
                  </w:tcBorders>
                  <w:shd w:val="clear" w:color="auto" w:fill="auto"/>
                  <w:vAlign w:val="center"/>
                  <w:hideMark/>
                </w:tcPr>
                <w:p w14:paraId="538DD7DB"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37</w:t>
                  </w:r>
                </w:p>
              </w:tc>
              <w:tc>
                <w:tcPr>
                  <w:tcW w:w="2480" w:type="dxa"/>
                  <w:tcBorders>
                    <w:top w:val="nil"/>
                    <w:left w:val="nil"/>
                    <w:bottom w:val="single" w:sz="4" w:space="0" w:color="auto"/>
                    <w:right w:val="single" w:sz="4" w:space="0" w:color="auto"/>
                  </w:tcBorders>
                  <w:shd w:val="clear" w:color="auto" w:fill="auto"/>
                  <w:vAlign w:val="center"/>
                  <w:hideMark/>
                </w:tcPr>
                <w:p w14:paraId="039ED730"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259</w:t>
                  </w:r>
                </w:p>
              </w:tc>
            </w:tr>
            <w:tr w:rsidR="00391907" w:rsidRPr="00EC2A1C" w14:paraId="58217E5E"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67AE4877"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OP VaVpI</w:t>
                  </w:r>
                </w:p>
              </w:tc>
              <w:tc>
                <w:tcPr>
                  <w:tcW w:w="2140" w:type="dxa"/>
                  <w:tcBorders>
                    <w:top w:val="nil"/>
                    <w:left w:val="nil"/>
                    <w:bottom w:val="single" w:sz="4" w:space="0" w:color="auto"/>
                    <w:right w:val="single" w:sz="4" w:space="0" w:color="auto"/>
                  </w:tcBorders>
                  <w:shd w:val="clear" w:color="auto" w:fill="auto"/>
                  <w:vAlign w:val="center"/>
                  <w:hideMark/>
                </w:tcPr>
                <w:p w14:paraId="241EF917"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9</w:t>
                  </w:r>
                </w:p>
              </w:tc>
              <w:tc>
                <w:tcPr>
                  <w:tcW w:w="2480" w:type="dxa"/>
                  <w:tcBorders>
                    <w:top w:val="nil"/>
                    <w:left w:val="nil"/>
                    <w:bottom w:val="single" w:sz="4" w:space="0" w:color="auto"/>
                    <w:right w:val="single" w:sz="4" w:space="0" w:color="auto"/>
                  </w:tcBorders>
                  <w:shd w:val="clear" w:color="auto" w:fill="auto"/>
                  <w:vAlign w:val="center"/>
                  <w:hideMark/>
                </w:tcPr>
                <w:p w14:paraId="5346A47F"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2 624</w:t>
                  </w:r>
                </w:p>
              </w:tc>
            </w:tr>
            <w:tr w:rsidR="00391907" w:rsidRPr="00EC2A1C" w14:paraId="1CBB6F21"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17F9BB03"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OP LZZ</w:t>
                  </w:r>
                </w:p>
              </w:tc>
              <w:tc>
                <w:tcPr>
                  <w:tcW w:w="2140" w:type="dxa"/>
                  <w:tcBorders>
                    <w:top w:val="nil"/>
                    <w:left w:val="nil"/>
                    <w:bottom w:val="single" w:sz="4" w:space="0" w:color="auto"/>
                    <w:right w:val="single" w:sz="4" w:space="0" w:color="auto"/>
                  </w:tcBorders>
                  <w:shd w:val="clear" w:color="auto" w:fill="auto"/>
                  <w:vAlign w:val="center"/>
                  <w:hideMark/>
                </w:tcPr>
                <w:p w14:paraId="628813EA"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31</w:t>
                  </w:r>
                </w:p>
              </w:tc>
              <w:tc>
                <w:tcPr>
                  <w:tcW w:w="2480" w:type="dxa"/>
                  <w:tcBorders>
                    <w:top w:val="nil"/>
                    <w:left w:val="nil"/>
                    <w:bottom w:val="single" w:sz="4" w:space="0" w:color="auto"/>
                    <w:right w:val="single" w:sz="4" w:space="0" w:color="auto"/>
                  </w:tcBorders>
                  <w:shd w:val="clear" w:color="auto" w:fill="auto"/>
                  <w:vAlign w:val="center"/>
                  <w:hideMark/>
                </w:tcPr>
                <w:p w14:paraId="1970F032"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230</w:t>
                  </w:r>
                </w:p>
              </w:tc>
            </w:tr>
            <w:tr w:rsidR="00391907" w:rsidRPr="00EC2A1C" w14:paraId="092F7003"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5DA30AF8"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OP PI</w:t>
                  </w:r>
                </w:p>
              </w:tc>
              <w:tc>
                <w:tcPr>
                  <w:tcW w:w="2140" w:type="dxa"/>
                  <w:tcBorders>
                    <w:top w:val="nil"/>
                    <w:left w:val="nil"/>
                    <w:bottom w:val="single" w:sz="4" w:space="0" w:color="auto"/>
                    <w:right w:val="single" w:sz="4" w:space="0" w:color="auto"/>
                  </w:tcBorders>
                  <w:shd w:val="clear" w:color="auto" w:fill="auto"/>
                  <w:vAlign w:val="center"/>
                  <w:hideMark/>
                </w:tcPr>
                <w:p w14:paraId="52E8BEF5"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57</w:t>
                  </w:r>
                </w:p>
              </w:tc>
              <w:tc>
                <w:tcPr>
                  <w:tcW w:w="2480" w:type="dxa"/>
                  <w:tcBorders>
                    <w:top w:val="nil"/>
                    <w:left w:val="nil"/>
                    <w:bottom w:val="single" w:sz="4" w:space="0" w:color="auto"/>
                    <w:right w:val="single" w:sz="4" w:space="0" w:color="auto"/>
                  </w:tcBorders>
                  <w:shd w:val="clear" w:color="auto" w:fill="auto"/>
                  <w:vAlign w:val="center"/>
                  <w:hideMark/>
                </w:tcPr>
                <w:p w14:paraId="45F2A84D"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296</w:t>
                  </w:r>
                </w:p>
              </w:tc>
            </w:tr>
            <w:tr w:rsidR="00391907" w:rsidRPr="00EC2A1C" w14:paraId="099E000C"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7BE8D4FD"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OP VK</w:t>
                  </w:r>
                </w:p>
              </w:tc>
              <w:tc>
                <w:tcPr>
                  <w:tcW w:w="2140" w:type="dxa"/>
                  <w:tcBorders>
                    <w:top w:val="nil"/>
                    <w:left w:val="nil"/>
                    <w:bottom w:val="single" w:sz="4" w:space="0" w:color="auto"/>
                    <w:right w:val="single" w:sz="4" w:space="0" w:color="auto"/>
                  </w:tcBorders>
                  <w:shd w:val="clear" w:color="auto" w:fill="auto"/>
                  <w:vAlign w:val="center"/>
                  <w:hideMark/>
                </w:tcPr>
                <w:p w14:paraId="2E3FED11"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105</w:t>
                  </w:r>
                </w:p>
              </w:tc>
              <w:tc>
                <w:tcPr>
                  <w:tcW w:w="2480" w:type="dxa"/>
                  <w:tcBorders>
                    <w:top w:val="nil"/>
                    <w:left w:val="nil"/>
                    <w:bottom w:val="single" w:sz="4" w:space="0" w:color="auto"/>
                    <w:right w:val="single" w:sz="4" w:space="0" w:color="auto"/>
                  </w:tcBorders>
                  <w:shd w:val="clear" w:color="auto" w:fill="auto"/>
                  <w:vAlign w:val="center"/>
                  <w:hideMark/>
                </w:tcPr>
                <w:p w14:paraId="65766217"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296</w:t>
                  </w:r>
                </w:p>
              </w:tc>
            </w:tr>
            <w:tr w:rsidR="00391907" w:rsidRPr="00EC2A1C" w14:paraId="7FDD99D1" w14:textId="77777777" w:rsidTr="00B15ECB">
              <w:trPr>
                <w:trHeight w:val="300"/>
              </w:trPr>
              <w:tc>
                <w:tcPr>
                  <w:tcW w:w="1360" w:type="dxa"/>
                  <w:tcBorders>
                    <w:top w:val="nil"/>
                    <w:left w:val="single" w:sz="4" w:space="0" w:color="auto"/>
                    <w:bottom w:val="nil"/>
                    <w:right w:val="single" w:sz="4" w:space="0" w:color="auto"/>
                  </w:tcBorders>
                  <w:shd w:val="clear" w:color="auto" w:fill="auto"/>
                  <w:vAlign w:val="center"/>
                  <w:hideMark/>
                </w:tcPr>
                <w:p w14:paraId="0D749139"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OP ŽP</w:t>
                  </w:r>
                </w:p>
              </w:tc>
              <w:tc>
                <w:tcPr>
                  <w:tcW w:w="2140" w:type="dxa"/>
                  <w:tcBorders>
                    <w:top w:val="nil"/>
                    <w:left w:val="nil"/>
                    <w:bottom w:val="nil"/>
                    <w:right w:val="single" w:sz="4" w:space="0" w:color="auto"/>
                  </w:tcBorders>
                  <w:shd w:val="clear" w:color="auto" w:fill="auto"/>
                  <w:vAlign w:val="center"/>
                  <w:hideMark/>
                </w:tcPr>
                <w:p w14:paraId="4BF3E869"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134</w:t>
                  </w:r>
                </w:p>
              </w:tc>
              <w:tc>
                <w:tcPr>
                  <w:tcW w:w="2480" w:type="dxa"/>
                  <w:tcBorders>
                    <w:top w:val="nil"/>
                    <w:left w:val="nil"/>
                    <w:bottom w:val="nil"/>
                    <w:right w:val="single" w:sz="4" w:space="0" w:color="auto"/>
                  </w:tcBorders>
                  <w:shd w:val="clear" w:color="auto" w:fill="auto"/>
                  <w:vAlign w:val="center"/>
                  <w:hideMark/>
                </w:tcPr>
                <w:p w14:paraId="6727E087"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1 015</w:t>
                  </w:r>
                </w:p>
              </w:tc>
            </w:tr>
            <w:tr w:rsidR="00391907" w:rsidRPr="00EC2A1C" w14:paraId="0D6FB3E3" w14:textId="77777777" w:rsidTr="00B15ECB">
              <w:trPr>
                <w:trHeight w:val="300"/>
              </w:trPr>
              <w:tc>
                <w:tcPr>
                  <w:tcW w:w="1360" w:type="dxa"/>
                  <w:tcBorders>
                    <w:top w:val="single" w:sz="4" w:space="0" w:color="auto"/>
                    <w:left w:val="single" w:sz="4" w:space="0" w:color="auto"/>
                    <w:bottom w:val="single" w:sz="4" w:space="0" w:color="auto"/>
                    <w:right w:val="nil"/>
                  </w:tcBorders>
                  <w:shd w:val="clear" w:color="000000" w:fill="D9D9D9"/>
                  <w:vAlign w:val="center"/>
                  <w:hideMark/>
                </w:tcPr>
                <w:p w14:paraId="7362F403" w14:textId="77777777" w:rsidR="00391907" w:rsidRPr="00EC2A1C" w:rsidRDefault="00391907" w:rsidP="00B15ECB">
                  <w:pPr>
                    <w:spacing w:after="0" w:line="240" w:lineRule="auto"/>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Ostatní</w:t>
                  </w:r>
                </w:p>
              </w:tc>
              <w:tc>
                <w:tcPr>
                  <w:tcW w:w="2140" w:type="dxa"/>
                  <w:tcBorders>
                    <w:top w:val="single" w:sz="4" w:space="0" w:color="auto"/>
                    <w:left w:val="nil"/>
                    <w:bottom w:val="single" w:sz="4" w:space="0" w:color="auto"/>
                    <w:right w:val="nil"/>
                  </w:tcBorders>
                  <w:shd w:val="clear" w:color="000000" w:fill="D9D9D9"/>
                  <w:noWrap/>
                  <w:vAlign w:val="bottom"/>
                  <w:hideMark/>
                </w:tcPr>
                <w:p w14:paraId="3638187E"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 </w:t>
                  </w:r>
                </w:p>
              </w:tc>
              <w:tc>
                <w:tcPr>
                  <w:tcW w:w="2480" w:type="dxa"/>
                  <w:tcBorders>
                    <w:top w:val="single" w:sz="4" w:space="0" w:color="auto"/>
                    <w:left w:val="nil"/>
                    <w:bottom w:val="single" w:sz="4" w:space="0" w:color="auto"/>
                    <w:right w:val="single" w:sz="4" w:space="0" w:color="auto"/>
                  </w:tcBorders>
                  <w:shd w:val="clear" w:color="000000" w:fill="D9D9D9"/>
                  <w:noWrap/>
                  <w:vAlign w:val="bottom"/>
                  <w:hideMark/>
                </w:tcPr>
                <w:p w14:paraId="211067ED"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 </w:t>
                  </w:r>
                </w:p>
              </w:tc>
            </w:tr>
            <w:tr w:rsidR="00391907" w:rsidRPr="00EC2A1C" w14:paraId="61E38405" w14:textId="77777777" w:rsidTr="00B15ECB">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1154B534"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NF</w:t>
                  </w:r>
                </w:p>
              </w:tc>
              <w:tc>
                <w:tcPr>
                  <w:tcW w:w="2140" w:type="dxa"/>
                  <w:tcBorders>
                    <w:top w:val="nil"/>
                    <w:left w:val="nil"/>
                    <w:bottom w:val="single" w:sz="4" w:space="0" w:color="auto"/>
                    <w:right w:val="single" w:sz="4" w:space="0" w:color="auto"/>
                  </w:tcBorders>
                  <w:shd w:val="clear" w:color="auto" w:fill="auto"/>
                  <w:vAlign w:val="center"/>
                  <w:hideMark/>
                </w:tcPr>
                <w:p w14:paraId="79B84608"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69</w:t>
                  </w:r>
                </w:p>
              </w:tc>
              <w:tc>
                <w:tcPr>
                  <w:tcW w:w="2480" w:type="dxa"/>
                  <w:tcBorders>
                    <w:top w:val="nil"/>
                    <w:left w:val="nil"/>
                    <w:bottom w:val="single" w:sz="4" w:space="0" w:color="auto"/>
                    <w:right w:val="single" w:sz="4" w:space="0" w:color="auto"/>
                  </w:tcBorders>
                  <w:shd w:val="clear" w:color="auto" w:fill="auto"/>
                  <w:vAlign w:val="center"/>
                  <w:hideMark/>
                </w:tcPr>
                <w:p w14:paraId="2D639F50"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1 171</w:t>
                  </w:r>
                </w:p>
              </w:tc>
            </w:tr>
            <w:tr w:rsidR="00391907" w:rsidRPr="00EC2A1C" w14:paraId="66FE1D69" w14:textId="77777777" w:rsidTr="00B15ECB">
              <w:trPr>
                <w:trHeight w:val="300"/>
              </w:trPr>
              <w:tc>
                <w:tcPr>
                  <w:tcW w:w="1360" w:type="dxa"/>
                  <w:tcBorders>
                    <w:top w:val="nil"/>
                    <w:left w:val="single" w:sz="4" w:space="0" w:color="auto"/>
                    <w:bottom w:val="single" w:sz="4" w:space="0" w:color="auto"/>
                    <w:right w:val="single" w:sz="4" w:space="0" w:color="auto"/>
                  </w:tcBorders>
                  <w:shd w:val="clear" w:color="000000" w:fill="D9D9D9"/>
                  <w:vAlign w:val="center"/>
                  <w:hideMark/>
                </w:tcPr>
                <w:p w14:paraId="704CAA5A" w14:textId="77777777" w:rsidR="00391907" w:rsidRPr="00EC2A1C" w:rsidRDefault="00391907" w:rsidP="00B15ECB">
                  <w:pPr>
                    <w:spacing w:after="0" w:line="240" w:lineRule="auto"/>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Celkem</w:t>
                  </w:r>
                </w:p>
              </w:tc>
              <w:tc>
                <w:tcPr>
                  <w:tcW w:w="2140" w:type="dxa"/>
                  <w:tcBorders>
                    <w:top w:val="nil"/>
                    <w:left w:val="nil"/>
                    <w:bottom w:val="single" w:sz="4" w:space="0" w:color="auto"/>
                    <w:right w:val="single" w:sz="4" w:space="0" w:color="auto"/>
                  </w:tcBorders>
                  <w:shd w:val="clear" w:color="000000" w:fill="D9D9D9"/>
                  <w:noWrap/>
                  <w:vAlign w:val="bottom"/>
                  <w:hideMark/>
                </w:tcPr>
                <w:p w14:paraId="4830262C"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6 752</w:t>
                  </w:r>
                </w:p>
              </w:tc>
              <w:tc>
                <w:tcPr>
                  <w:tcW w:w="2480" w:type="dxa"/>
                  <w:tcBorders>
                    <w:top w:val="nil"/>
                    <w:left w:val="nil"/>
                    <w:bottom w:val="single" w:sz="4" w:space="0" w:color="auto"/>
                    <w:right w:val="single" w:sz="4" w:space="0" w:color="auto"/>
                  </w:tcBorders>
                  <w:shd w:val="clear" w:color="000000" w:fill="D9D9D9"/>
                  <w:noWrap/>
                  <w:vAlign w:val="bottom"/>
                  <w:hideMark/>
                </w:tcPr>
                <w:p w14:paraId="7A3539FA"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54 146</w:t>
                  </w:r>
                </w:p>
              </w:tc>
            </w:tr>
          </w:tbl>
          <w:p w14:paraId="3DBB2D12" w14:textId="77777777" w:rsidR="00391907" w:rsidRPr="00EC2A1C" w:rsidRDefault="00391907" w:rsidP="00B15ECB">
            <w:pPr>
              <w:pStyle w:val="slovanodstavec"/>
              <w:tabs>
                <w:tab w:val="clear" w:pos="567"/>
                <w:tab w:val="left" w:pos="284"/>
              </w:tabs>
              <w:suppressAutoHyphens/>
              <w:spacing w:line="240" w:lineRule="auto"/>
              <w:jc w:val="left"/>
              <w:rPr>
                <w:rFonts w:ascii="Times New Roman" w:hAnsi="Times New Roman"/>
              </w:rPr>
            </w:pPr>
          </w:p>
          <w:p w14:paraId="50BCE2E8"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Programové období 2014 – 2020</w:t>
            </w:r>
          </w:p>
          <w:p w14:paraId="7959B02D"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V rámci přípravy následujícího programového období došlo k razantnímu přenastavení návrhu podpory cestovního ruchu na národní úrovni. Připravovaná Koncepce státní politiky cestovního ruchu počítala s principem vícezdrojového financování oblasti cestovního ruchu. Prostřednictvím dotace měly být podporovány pouze projekty veřejného neziskového charakteru, projekty na obnovu kulturně-historického dědictví a projekty na interpretaci a zpřístupnění kulturně-historického a přírodního dědictví. Potenciálně ziskové a podnikatelské projekty v oblasti cestovního ruchu neměly být již více hrazeny z dotací, ale prostřednictvím finančních nástrojů, respektive zvýhodněných úvěrů.</w:t>
            </w:r>
          </w:p>
          <w:p w14:paraId="00C89CA5"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 V rámci OP PIK byla nastavena realizace projektů pro MSP</w:t>
            </w:r>
            <w:r w:rsidRPr="00EC2A1C">
              <w:rPr>
                <w:rStyle w:val="Znakapoznpodarou"/>
                <w:rFonts w:ascii="Times New Roman" w:hAnsi="Times New Roman"/>
              </w:rPr>
              <w:footnoteReference w:id="65"/>
            </w:r>
            <w:r w:rsidRPr="00EC2A1C">
              <w:rPr>
                <w:rFonts w:ascii="Times New Roman" w:hAnsi="Times New Roman"/>
              </w:rPr>
              <w:t xml:space="preserve">, které mohly žádat o podporu na určité aktivity formou dotace či zvýhodněných úvěrů. </w:t>
            </w:r>
          </w:p>
          <w:p w14:paraId="24B9D6B7"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Marketingové aktivity a výzkumy se však v podstatě staly nepodporovanými aktivitami z ERDF. Určitý rozsah marketingových aktivit je možné realizovat prostřednictvím programů přeshraniční spolupráce. Avšak i zde došlo k úpravě nastavení, v návaznosti na spuštěnou Kategorizaci organizací destinačního managementu a z ní vycházející certifikaci DMO</w:t>
            </w:r>
            <w:r w:rsidRPr="00EC2A1C">
              <w:rPr>
                <w:rStyle w:val="Znakapoznpodarou"/>
                <w:rFonts w:ascii="Times New Roman" w:hAnsi="Times New Roman"/>
              </w:rPr>
              <w:footnoteReference w:id="66"/>
            </w:r>
            <w:r w:rsidRPr="00EC2A1C">
              <w:rPr>
                <w:rFonts w:ascii="Times New Roman" w:hAnsi="Times New Roman"/>
              </w:rPr>
              <w:t>, je podpora možná pouze pro certifikované DMO</w:t>
            </w:r>
            <w:r w:rsidRPr="00EC2A1C">
              <w:rPr>
                <w:rStyle w:val="Znakapoznpodarou"/>
                <w:rFonts w:ascii="Times New Roman" w:hAnsi="Times New Roman"/>
              </w:rPr>
              <w:footnoteReference w:id="67"/>
            </w:r>
            <w:r w:rsidRPr="00EC2A1C">
              <w:rPr>
                <w:rFonts w:ascii="Times New Roman" w:hAnsi="Times New Roman"/>
              </w:rPr>
              <w:t xml:space="preserve">. </w:t>
            </w:r>
          </w:p>
          <w:p w14:paraId="6FEB211D" w14:textId="77777777" w:rsidR="00391907" w:rsidRPr="00EC2A1C" w:rsidRDefault="00391907" w:rsidP="00B15ECB">
            <w:pPr>
              <w:spacing w:after="120"/>
            </w:pPr>
            <w:r w:rsidRPr="00EC2A1C">
              <w:t>Přehled nejvýznamnějších nástrojů podpory cestovního ruchu z fondů EU v období 2014 - 2020:</w:t>
            </w:r>
          </w:p>
          <w:p w14:paraId="2A62563A" w14:textId="77777777" w:rsidR="00391907" w:rsidRPr="00EC2A1C" w:rsidRDefault="00391907" w:rsidP="00391907">
            <w:pPr>
              <w:pStyle w:val="Odstavecseseznamem"/>
              <w:numPr>
                <w:ilvl w:val="0"/>
                <w:numId w:val="145"/>
              </w:numPr>
              <w:spacing w:after="120" w:line="259" w:lineRule="auto"/>
              <w:ind w:left="1134"/>
              <w:contextualSpacing w:val="0"/>
              <w:jc w:val="both"/>
            </w:pPr>
            <w:r w:rsidRPr="00EC2A1C">
              <w:t>IROP – revitalizace vybraných nemovitých kulturních památek, infrastruktura pro zpřístupnění a zatraktivnění přírodního a kulturního dědictví, revitalizace zahrad a parků u národních kulturních památek, projekty na podporu uchování a správy sbírek a knihovních fondů.</w:t>
            </w:r>
          </w:p>
          <w:p w14:paraId="1992B488" w14:textId="77777777" w:rsidR="00391907" w:rsidRPr="00EC2A1C" w:rsidRDefault="00391907" w:rsidP="00391907">
            <w:pPr>
              <w:pStyle w:val="Odstavecseseznamem"/>
              <w:numPr>
                <w:ilvl w:val="0"/>
                <w:numId w:val="145"/>
              </w:numPr>
              <w:spacing w:after="120" w:line="259" w:lineRule="auto"/>
              <w:ind w:left="1134"/>
              <w:contextualSpacing w:val="0"/>
              <w:jc w:val="both"/>
            </w:pPr>
            <w:r w:rsidRPr="00EC2A1C">
              <w:t>Podpora rozvoje venkova – podpora agroturistiky – investice na diverzifikaci činností pro zemědělské subjekty v oblasti agroturistiky vedoucí k zajištění diverzifikace příjmů, vytváření pracovních míst i pro nekvalifikované pracovní síly, k podpoře širšího využití zemědělských farem a využití venkovských brownfields.</w:t>
            </w:r>
          </w:p>
          <w:p w14:paraId="2C24877F"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Podpora infrastruktury cestovního ruchu z PRV:</w:t>
            </w:r>
          </w:p>
          <w:tbl>
            <w:tblPr>
              <w:tblW w:w="6752" w:type="dxa"/>
              <w:shd w:val="clear" w:color="auto" w:fill="FFFFFF"/>
              <w:tblCellMar>
                <w:left w:w="0" w:type="dxa"/>
                <w:right w:w="0" w:type="dxa"/>
              </w:tblCellMar>
              <w:tblLook w:val="04A0" w:firstRow="1" w:lastRow="0" w:firstColumn="1" w:lastColumn="0" w:noHBand="0" w:noVBand="1"/>
            </w:tblPr>
            <w:tblGrid>
              <w:gridCol w:w="2430"/>
              <w:gridCol w:w="1263"/>
              <w:gridCol w:w="1509"/>
              <w:gridCol w:w="1559"/>
            </w:tblGrid>
            <w:tr w:rsidR="00391907" w:rsidRPr="00EC2A1C" w14:paraId="3566CD23" w14:textId="77777777" w:rsidTr="00B15ECB">
              <w:trPr>
                <w:trHeight w:val="765"/>
              </w:trPr>
              <w:tc>
                <w:tcPr>
                  <w:tcW w:w="2430" w:type="dxa"/>
                  <w:vMerge w:val="restart"/>
                  <w:tcBorders>
                    <w:top w:val="single" w:sz="8" w:space="0" w:color="auto"/>
                    <w:left w:val="single" w:sz="8" w:space="0" w:color="auto"/>
                    <w:bottom w:val="single" w:sz="8" w:space="0" w:color="auto"/>
                    <w:right w:val="single" w:sz="8" w:space="0" w:color="auto"/>
                  </w:tcBorders>
                  <w:shd w:val="clear" w:color="auto" w:fill="00AF3F"/>
                  <w:noWrap/>
                  <w:tcMar>
                    <w:top w:w="0" w:type="dxa"/>
                    <w:left w:w="70" w:type="dxa"/>
                    <w:bottom w:w="0" w:type="dxa"/>
                    <w:right w:w="70" w:type="dxa"/>
                  </w:tcMar>
                  <w:hideMark/>
                </w:tcPr>
                <w:p w14:paraId="106ECE8F"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b/>
                      <w:bCs/>
                      <w:color w:val="FFFFFF"/>
                      <w:sz w:val="20"/>
                      <w:szCs w:val="20"/>
                      <w:lang w:eastAsia="cs-CZ"/>
                    </w:rPr>
                    <w:t>PRV/roky</w:t>
                  </w:r>
                </w:p>
              </w:tc>
              <w:tc>
                <w:tcPr>
                  <w:tcW w:w="1254" w:type="dxa"/>
                  <w:tcBorders>
                    <w:top w:val="single" w:sz="8" w:space="0" w:color="auto"/>
                    <w:left w:val="nil"/>
                    <w:bottom w:val="single" w:sz="8" w:space="0" w:color="auto"/>
                    <w:right w:val="single" w:sz="8" w:space="0" w:color="auto"/>
                  </w:tcBorders>
                  <w:shd w:val="clear" w:color="auto" w:fill="00AF3F"/>
                  <w:tcMar>
                    <w:top w:w="0" w:type="dxa"/>
                    <w:left w:w="70" w:type="dxa"/>
                    <w:bottom w:w="0" w:type="dxa"/>
                    <w:right w:w="70" w:type="dxa"/>
                  </w:tcMar>
                  <w:hideMark/>
                </w:tcPr>
                <w:p w14:paraId="05F6F901"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b/>
                      <w:bCs/>
                      <w:color w:val="FFFFFF"/>
                      <w:sz w:val="20"/>
                      <w:szCs w:val="20"/>
                      <w:lang w:eastAsia="cs-CZ"/>
                    </w:rPr>
                    <w:t>Počet podpořených projektů</w:t>
                  </w:r>
                </w:p>
              </w:tc>
              <w:tc>
                <w:tcPr>
                  <w:tcW w:w="1509" w:type="dxa"/>
                  <w:tcBorders>
                    <w:top w:val="single" w:sz="8" w:space="0" w:color="auto"/>
                    <w:left w:val="nil"/>
                    <w:bottom w:val="single" w:sz="8" w:space="0" w:color="auto"/>
                    <w:right w:val="single" w:sz="8" w:space="0" w:color="auto"/>
                  </w:tcBorders>
                  <w:shd w:val="clear" w:color="auto" w:fill="00AF3F"/>
                  <w:tcMar>
                    <w:top w:w="0" w:type="dxa"/>
                    <w:left w:w="70" w:type="dxa"/>
                    <w:bottom w:w="0" w:type="dxa"/>
                    <w:right w:w="70" w:type="dxa"/>
                  </w:tcMar>
                  <w:hideMark/>
                </w:tcPr>
                <w:p w14:paraId="6EBB3F8D"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b/>
                      <w:bCs/>
                      <w:color w:val="FFFFFF"/>
                      <w:sz w:val="20"/>
                      <w:szCs w:val="20"/>
                      <w:lang w:eastAsia="cs-CZ"/>
                    </w:rPr>
                    <w:t>Výše poskytnuté dotace</w:t>
                  </w:r>
                </w:p>
              </w:tc>
              <w:tc>
                <w:tcPr>
                  <w:tcW w:w="1559" w:type="dxa"/>
                  <w:tcBorders>
                    <w:top w:val="single" w:sz="8" w:space="0" w:color="auto"/>
                    <w:left w:val="nil"/>
                    <w:bottom w:val="single" w:sz="8" w:space="0" w:color="auto"/>
                    <w:right w:val="single" w:sz="8" w:space="0" w:color="auto"/>
                  </w:tcBorders>
                  <w:shd w:val="clear" w:color="auto" w:fill="00AF3F"/>
                  <w:tcMar>
                    <w:top w:w="0" w:type="dxa"/>
                    <w:left w:w="70" w:type="dxa"/>
                    <w:bottom w:w="0" w:type="dxa"/>
                    <w:right w:w="70" w:type="dxa"/>
                  </w:tcMar>
                  <w:hideMark/>
                </w:tcPr>
                <w:p w14:paraId="2081FA29"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b/>
                      <w:bCs/>
                      <w:color w:val="FFFFFF"/>
                      <w:sz w:val="20"/>
                      <w:szCs w:val="20"/>
                      <w:lang w:eastAsia="cs-CZ"/>
                    </w:rPr>
                    <w:t>Celková alokace podpořených projektů</w:t>
                  </w:r>
                </w:p>
              </w:tc>
            </w:tr>
            <w:tr w:rsidR="00391907" w:rsidRPr="00EC2A1C" w14:paraId="1A410324" w14:textId="77777777" w:rsidTr="00B15ECB">
              <w:trPr>
                <w:trHeight w:val="300"/>
              </w:trPr>
              <w:tc>
                <w:tcPr>
                  <w:tcW w:w="2430"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43D8942D"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p>
              </w:tc>
              <w:tc>
                <w:tcPr>
                  <w:tcW w:w="125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66B961BB"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16 - 18</w:t>
                  </w:r>
                  <w:r w:rsidRPr="00EC2A1C">
                    <w:rPr>
                      <w:rStyle w:val="Znakapoznpodarou"/>
                      <w:rFonts w:ascii="Times New Roman" w:hAnsi="Times New Roman" w:cs="Times New Roman"/>
                      <w:color w:val="000000"/>
                      <w:sz w:val="20"/>
                      <w:szCs w:val="20"/>
                    </w:rPr>
                    <w:footnoteReference w:id="68"/>
                  </w:r>
                </w:p>
              </w:tc>
              <w:tc>
                <w:tcPr>
                  <w:tcW w:w="15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6E97FA78"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16 - 18</w:t>
                  </w: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5770B79E" w14:textId="77777777" w:rsidR="00391907" w:rsidRPr="00EC2A1C" w:rsidRDefault="00391907" w:rsidP="00B15ECB">
                  <w:pPr>
                    <w:spacing w:after="0" w:line="240" w:lineRule="auto"/>
                    <w:jc w:val="center"/>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16 - 18</w:t>
                  </w:r>
                </w:p>
              </w:tc>
            </w:tr>
            <w:tr w:rsidR="00391907" w:rsidRPr="00EC2A1C" w14:paraId="5070F66E" w14:textId="77777777" w:rsidTr="00B15ECB">
              <w:trPr>
                <w:trHeight w:val="510"/>
              </w:trPr>
              <w:tc>
                <w:tcPr>
                  <w:tcW w:w="243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4B222E48"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Opatření 6.4.2. Podpora agroturistiky</w:t>
                  </w:r>
                </w:p>
              </w:tc>
              <w:tc>
                <w:tcPr>
                  <w:tcW w:w="125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79564E74"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b/>
                      <w:bCs/>
                      <w:color w:val="000000"/>
                      <w:sz w:val="20"/>
                      <w:szCs w:val="20"/>
                      <w:lang w:eastAsia="cs-CZ"/>
                    </w:rPr>
                    <w:t>123</w:t>
                  </w:r>
                </w:p>
              </w:tc>
              <w:tc>
                <w:tcPr>
                  <w:tcW w:w="15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7F0CB139"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b/>
                      <w:bCs/>
                      <w:color w:val="000000"/>
                      <w:sz w:val="20"/>
                      <w:szCs w:val="20"/>
                      <w:lang w:eastAsia="cs-CZ"/>
                    </w:rPr>
                    <w:t>320 909 252 Kč</w:t>
                  </w: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hideMark/>
                </w:tcPr>
                <w:p w14:paraId="24F7C5EE"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b/>
                      <w:bCs/>
                      <w:color w:val="000000"/>
                      <w:sz w:val="20"/>
                      <w:szCs w:val="20"/>
                      <w:lang w:eastAsia="cs-CZ"/>
                    </w:rPr>
                    <w:t>703 100 000 Kč</w:t>
                  </w:r>
                </w:p>
              </w:tc>
            </w:tr>
          </w:tbl>
          <w:p w14:paraId="18AAB1EE" w14:textId="77777777" w:rsidR="00391907" w:rsidRPr="00EC2A1C" w:rsidRDefault="00391907" w:rsidP="00B15ECB">
            <w:pPr>
              <w:spacing w:after="120"/>
            </w:pPr>
          </w:p>
          <w:p w14:paraId="6778B460" w14:textId="77777777" w:rsidR="00391907" w:rsidRPr="00EC2A1C" w:rsidRDefault="00391907" w:rsidP="00391907">
            <w:pPr>
              <w:pStyle w:val="Odstavecseseznamem"/>
              <w:numPr>
                <w:ilvl w:val="0"/>
                <w:numId w:val="146"/>
              </w:numPr>
              <w:jc w:val="both"/>
            </w:pPr>
            <w:r w:rsidRPr="00EC2A1C">
              <w:t>OP Podnikání a inovace pro konkurenceschopnost – zvýšit počet podnikatelských záměrů začínajících a rozvojových podniků (možnost podpory i pro podnikatele ve službách cestovního ruchu)</w:t>
            </w:r>
          </w:p>
          <w:p w14:paraId="1CACBA91" w14:textId="77777777" w:rsidR="00391907" w:rsidRPr="00EC2A1C" w:rsidRDefault="00391907" w:rsidP="00B15ECB">
            <w:pPr>
              <w:pStyle w:val="Odstavecseseznamem"/>
              <w:ind w:left="1134"/>
            </w:pPr>
          </w:p>
          <w:p w14:paraId="297E1189" w14:textId="77777777" w:rsidR="00391907" w:rsidRPr="00EC2A1C" w:rsidRDefault="00391907" w:rsidP="00391907">
            <w:pPr>
              <w:pStyle w:val="Odstavecseseznamem"/>
              <w:numPr>
                <w:ilvl w:val="0"/>
                <w:numId w:val="146"/>
              </w:numPr>
              <w:jc w:val="both"/>
            </w:pPr>
            <w:r w:rsidRPr="00EC2A1C">
              <w:t>OP přeshraniční spolupráce (ČR – Polsko, Bavorsko – ČR, Rakousko – ČR, Slovensko – ČR, Sasko – ČR) – podpora obnova a využití kulturního a přírodního dědictví, zpřístupnění území, strategická spolupráce, společný management, společný marketing a vývoj produktů a další.</w:t>
            </w:r>
          </w:p>
          <w:p w14:paraId="64738BD6" w14:textId="77777777" w:rsidR="00391907" w:rsidRPr="00EC2A1C" w:rsidRDefault="00391907" w:rsidP="00B15ECB">
            <w:pPr>
              <w:pStyle w:val="Odstavecseseznamem"/>
              <w:ind w:left="1134"/>
            </w:pPr>
          </w:p>
          <w:p w14:paraId="3FC86D21" w14:textId="77777777" w:rsidR="00391907" w:rsidRPr="00EC2A1C" w:rsidRDefault="00391907" w:rsidP="00B15ECB">
            <w:r w:rsidRPr="00EC2A1C">
              <w:t xml:space="preserve">Zásadní změny v oblasti financování rozvoje cestovního ruchu měly na následek částečnou stagnaci odvětví cestovního ruchu, zejména v rozvoji aktivit organizací destinačního managementu (DMO). Některé z uměle vytvořených organizací zanikly, protože nebyly schopny zajistit financování svých aktivit ve spolupráci se stakeholdery v území. Obecně široké dotace na oblast marketingu do jisté míry pokřivily i vnímání práce destinačních manažerů a finanční náročnosti zejména marketingových aktivit z pohledu územních partnerů. Respektive členské základny teprve po skončení dotací na marketing začaly vnímat náklady spojené s fungováním organizací destinačního managementu a ne všude se podařilo dostatečné finanční zdroje v území vygenerovat. Tyto důsledky lze vnímat negativně i pozitivně, negativně proto, že v řadě destinací došlo ke zbrždění rozvoje a využití potenciálu území v oblasti cestovního ruchu. Pozitivní dopad spočívá v „mobilizaci“ organizací destinačního managementu, rozvoji úzké spolupráce nejen se samosprávou, ale i podnikatelskou sférou. Tento trend je třeba podporovat i nadále. Zároveň je však nutné těmto koordinátorům dát nástroje, jimiž mohou rozvoj cestovního ruchu v území ovlivnit. Na rozdíl od okolních států v České republice není zaveden stabilní zdroj kofinancování provozu DMO z veřejných rozpočtů, DMO jsou závislé na generování členských příspěvků a dotacích. Je třeba konstatovat, že v řadě regionů je schopnost generovat zdroje zabezpečující provoz a činnost DMO omezená. To vede k omezení potenciálu rozvoje jak jednotlivých organizací, tak daných destinací. Pokud má DMO problém s pokrytím provozních nákladů pak nelze očekávat, že bude generovat finance na realizaci aktivit včetně managementu destinace. Celá řada služeb, které vykonává v rámci spolupráce jak svém území, tak v rámci koordinace aktivit s „nadřízenými“ DMO (sběr informací a příprava podkladů) má význam pro rozvoj celého regionu a často se netýká konkrétních podnikatelských subjektů, ani majetků obcí. Často tato činnost nemá přímý hmatatelný výsledek, ale její význam je neoddiskutovatelný. Proto je nutné pro tyto aktivity, které tvoří jádro činnosti DMO hledat alternativní zdroje mimo členské příspěvky. </w:t>
            </w:r>
          </w:p>
        </w:tc>
        <w:tc>
          <w:tcPr>
            <w:tcW w:w="222" w:type="dxa"/>
            <w:tcBorders>
              <w:top w:val="nil"/>
              <w:left w:val="nil"/>
              <w:bottom w:val="nil"/>
            </w:tcBorders>
            <w:shd w:val="clear" w:color="auto" w:fill="66CCFF"/>
          </w:tcPr>
          <w:p w14:paraId="070F6368" w14:textId="77777777" w:rsidR="00391907" w:rsidRPr="00EC2A1C" w:rsidRDefault="00391907" w:rsidP="00B15ECB">
            <w:pPr>
              <w:rPr>
                <w:b/>
              </w:rPr>
            </w:pPr>
          </w:p>
        </w:tc>
      </w:tr>
      <w:tr w:rsidR="00391907" w:rsidRPr="00EC2A1C" w14:paraId="0C0340A4" w14:textId="77777777" w:rsidTr="00B15ECB">
        <w:trPr>
          <w:trHeight w:val="1258"/>
        </w:trPr>
        <w:tc>
          <w:tcPr>
            <w:tcW w:w="222" w:type="dxa"/>
            <w:tcBorders>
              <w:top w:val="nil"/>
              <w:bottom w:val="nil"/>
              <w:right w:val="nil"/>
            </w:tcBorders>
            <w:shd w:val="clear" w:color="auto" w:fill="66CCFF"/>
          </w:tcPr>
          <w:p w14:paraId="6D4D5F67" w14:textId="77777777" w:rsidR="00391907" w:rsidRPr="00EC2A1C" w:rsidRDefault="00391907" w:rsidP="00B15ECB">
            <w:pPr>
              <w:rPr>
                <w:b/>
              </w:rPr>
            </w:pPr>
          </w:p>
        </w:tc>
        <w:tc>
          <w:tcPr>
            <w:tcW w:w="2188" w:type="dxa"/>
            <w:shd w:val="clear" w:color="auto" w:fill="FFFFFF" w:themeFill="background1"/>
          </w:tcPr>
          <w:p w14:paraId="4C51E00A" w14:textId="77777777" w:rsidR="00391907" w:rsidRPr="00EC2A1C" w:rsidRDefault="00391907" w:rsidP="00B15ECB">
            <w:pPr>
              <w:rPr>
                <w:rFonts w:eastAsiaTheme="majorEastAsia"/>
                <w:b/>
              </w:rPr>
            </w:pPr>
            <w:r w:rsidRPr="00EC2A1C">
              <w:rPr>
                <w:rFonts w:eastAsiaTheme="majorEastAsia"/>
                <w:b/>
              </w:rPr>
              <w:t>Věcný posun oblasti</w:t>
            </w:r>
          </w:p>
          <w:p w14:paraId="7C0CAF94" w14:textId="77777777" w:rsidR="00391907" w:rsidRPr="00EC2A1C" w:rsidRDefault="00391907" w:rsidP="00B15ECB">
            <w:pPr>
              <w:rPr>
                <w:rFonts w:eastAsiaTheme="majorEastAsia"/>
                <w:b/>
              </w:rPr>
            </w:pPr>
            <w:r w:rsidRPr="00EC2A1C">
              <w:rPr>
                <w:rFonts w:eastAsiaTheme="majorEastAsia"/>
                <w:b/>
              </w:rPr>
              <w:t>(tj. v období 2014 – 2020, příp. 2007 – 2013)</w:t>
            </w:r>
          </w:p>
        </w:tc>
        <w:tc>
          <w:tcPr>
            <w:tcW w:w="7342" w:type="dxa"/>
            <w:shd w:val="clear" w:color="auto" w:fill="FFFFFF" w:themeFill="background1"/>
          </w:tcPr>
          <w:p w14:paraId="0DB8B9B4"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i/>
              </w:rPr>
              <w:t>Popsat věcný posun v oblasti dosažený díky dosavadní podpoře. Zhodnotit účelnost a účinnost intervence.</w:t>
            </w:r>
          </w:p>
          <w:p w14:paraId="02B8E877"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 xml:space="preserve">V oblasti podpory cestovního ruchu nastal posun v řadě oblastí. Dochází k užší koordinaci podporovaných aktivit mezi evropskými a národními dotačními programy. Dotace z evropských zdrojů je směřována na podporu velkých systémových projektů převážně na realizaci projektů veřejného charakteru na nekomerční bázi. Problematika destinačního managementu je podporovaná pouze v návaznosti na vytvořenou Kategorizaci organizací destinačního managementu. Je uvažováno, že projekty podnikatelského charakteru zaměřené na budování nových atraktivit včetně ubytovacích a stravovacích zařízení by měly být realizovány prostřednictvím finančních nástrojů, nikoli prostřednictvím nevratné dotace. Předpokládalo se spuštění finančního nástroje již v rámci období 2014 – 2020, avšak to se dosud nepodařilo. Dotace pro podnikatele v cestovním ruchu jsou uvažovány v oblastech energetických úspor, renovace brownfieldů pro využití v cestovním ruchu, realizaci aktivit souvisejících s adaptací na změnu klimatu atd. </w:t>
            </w:r>
          </w:p>
          <w:p w14:paraId="0ABAC7F1"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Pro budoucí období se v návaznosti na dosavadní zkušenosti uvažuje o následujících tezích:</w:t>
            </w:r>
          </w:p>
          <w:p w14:paraId="3A95308F" w14:textId="77777777" w:rsidR="00391907" w:rsidRPr="00EC2A1C" w:rsidRDefault="00391907" w:rsidP="00391907">
            <w:pPr>
              <w:pStyle w:val="slovanodstavec"/>
              <w:numPr>
                <w:ilvl w:val="0"/>
                <w:numId w:val="149"/>
              </w:numPr>
              <w:tabs>
                <w:tab w:val="clear" w:pos="567"/>
                <w:tab w:val="left" w:pos="284"/>
              </w:tabs>
              <w:suppressAutoHyphens/>
              <w:spacing w:line="240" w:lineRule="auto"/>
              <w:rPr>
                <w:rFonts w:ascii="Times New Roman" w:hAnsi="Times New Roman"/>
              </w:rPr>
            </w:pPr>
            <w:r w:rsidRPr="00EC2A1C">
              <w:rPr>
                <w:rFonts w:ascii="Times New Roman" w:hAnsi="Times New Roman"/>
              </w:rPr>
              <w:t>Z národních dotačních titulů by měly být nadále hrazeny drobné projekty lokálního a regionálního významu s nižší úrovní alokace i výší dotace.</w:t>
            </w:r>
          </w:p>
          <w:p w14:paraId="0874BDC7" w14:textId="77777777" w:rsidR="00391907" w:rsidRPr="00EC2A1C" w:rsidRDefault="00391907" w:rsidP="00391907">
            <w:pPr>
              <w:pStyle w:val="slovanodstavec"/>
              <w:numPr>
                <w:ilvl w:val="0"/>
                <w:numId w:val="149"/>
              </w:numPr>
              <w:tabs>
                <w:tab w:val="clear" w:pos="567"/>
                <w:tab w:val="left" w:pos="284"/>
              </w:tabs>
              <w:suppressAutoHyphens/>
              <w:spacing w:line="240" w:lineRule="auto"/>
              <w:rPr>
                <w:rFonts w:ascii="Times New Roman" w:hAnsi="Times New Roman"/>
              </w:rPr>
            </w:pPr>
            <w:r w:rsidRPr="00EC2A1C">
              <w:rPr>
                <w:rFonts w:ascii="Times New Roman" w:hAnsi="Times New Roman"/>
              </w:rPr>
              <w:t>Podpora DMO zaměřená na provozní výdaje, včetně marketingových aktivit, podpora obnovy značení turistických tras by měla realizována prostřednictvím národního dotačního titulu na bázi NNO.</w:t>
            </w:r>
          </w:p>
          <w:p w14:paraId="01A12BB3" w14:textId="77777777" w:rsidR="00391907" w:rsidRPr="00EC2A1C" w:rsidRDefault="00391907" w:rsidP="00391907">
            <w:pPr>
              <w:pStyle w:val="slovanodstavec"/>
              <w:numPr>
                <w:ilvl w:val="0"/>
                <w:numId w:val="149"/>
              </w:numPr>
              <w:tabs>
                <w:tab w:val="clear" w:pos="567"/>
                <w:tab w:val="left" w:pos="284"/>
              </w:tabs>
              <w:suppressAutoHyphens/>
              <w:spacing w:line="240" w:lineRule="auto"/>
              <w:rPr>
                <w:rFonts w:ascii="Times New Roman" w:hAnsi="Times New Roman"/>
              </w:rPr>
            </w:pPr>
            <w:r w:rsidRPr="00EC2A1C">
              <w:rPr>
                <w:rFonts w:ascii="Times New Roman" w:hAnsi="Times New Roman"/>
              </w:rPr>
              <w:t xml:space="preserve">Investice do rozvoje veřejné infrastruktury cestovního ruchu </w:t>
            </w:r>
          </w:p>
          <w:p w14:paraId="1F16328B"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p>
        </w:tc>
        <w:tc>
          <w:tcPr>
            <w:tcW w:w="222" w:type="dxa"/>
            <w:tcBorders>
              <w:top w:val="nil"/>
              <w:left w:val="nil"/>
              <w:bottom w:val="nil"/>
            </w:tcBorders>
            <w:shd w:val="clear" w:color="auto" w:fill="66CCFF"/>
          </w:tcPr>
          <w:p w14:paraId="319DC109" w14:textId="77777777" w:rsidR="00391907" w:rsidRPr="00EC2A1C" w:rsidRDefault="00391907" w:rsidP="00B15ECB">
            <w:pPr>
              <w:rPr>
                <w:b/>
              </w:rPr>
            </w:pPr>
          </w:p>
        </w:tc>
      </w:tr>
      <w:tr w:rsidR="00391907" w:rsidRPr="00EC2A1C" w14:paraId="5156A247" w14:textId="77777777" w:rsidTr="00B15ECB">
        <w:trPr>
          <w:trHeight w:val="1258"/>
        </w:trPr>
        <w:tc>
          <w:tcPr>
            <w:tcW w:w="222" w:type="dxa"/>
            <w:tcBorders>
              <w:top w:val="nil"/>
              <w:bottom w:val="nil"/>
              <w:right w:val="nil"/>
            </w:tcBorders>
            <w:shd w:val="clear" w:color="auto" w:fill="66CCFF"/>
          </w:tcPr>
          <w:p w14:paraId="73D37E8C" w14:textId="77777777" w:rsidR="00391907" w:rsidRPr="00EC2A1C" w:rsidRDefault="00391907" w:rsidP="00B15ECB">
            <w:pPr>
              <w:rPr>
                <w:b/>
              </w:rPr>
            </w:pPr>
          </w:p>
        </w:tc>
        <w:tc>
          <w:tcPr>
            <w:tcW w:w="2188" w:type="dxa"/>
            <w:shd w:val="clear" w:color="auto" w:fill="FFFFFF" w:themeFill="background1"/>
          </w:tcPr>
          <w:p w14:paraId="13AAB470" w14:textId="77777777" w:rsidR="00391907" w:rsidRPr="00EC2A1C" w:rsidRDefault="00391907" w:rsidP="00B15ECB">
            <w:pPr>
              <w:rPr>
                <w:rFonts w:eastAsiaTheme="majorEastAsia"/>
                <w:b/>
              </w:rPr>
            </w:pPr>
            <w:r w:rsidRPr="00EC2A1C">
              <w:rPr>
                <w:rFonts w:eastAsiaTheme="majorEastAsia"/>
                <w:b/>
              </w:rPr>
              <w:t>Synergické a multiplikační efekty</w:t>
            </w:r>
          </w:p>
          <w:p w14:paraId="16D8FA64" w14:textId="77777777" w:rsidR="00391907" w:rsidRPr="00EC2A1C" w:rsidRDefault="00391907" w:rsidP="00B15ECB">
            <w:pPr>
              <w:rPr>
                <w:rFonts w:eastAsiaTheme="majorEastAsia"/>
                <w:b/>
              </w:rPr>
            </w:pPr>
            <w:r w:rsidRPr="00EC2A1C">
              <w:rPr>
                <w:rFonts w:eastAsiaTheme="majorEastAsia"/>
                <w:b/>
              </w:rPr>
              <w:t>(tj. v období 2014 – 2020, příp. 2007 – 2013)</w:t>
            </w:r>
          </w:p>
        </w:tc>
        <w:tc>
          <w:tcPr>
            <w:tcW w:w="7342" w:type="dxa"/>
            <w:shd w:val="clear" w:color="auto" w:fill="FFFFFF" w:themeFill="background1"/>
          </w:tcPr>
          <w:p w14:paraId="1D0A8FAB"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i/>
              </w:rPr>
            </w:pPr>
            <w:r w:rsidRPr="00EC2A1C">
              <w:rPr>
                <w:rFonts w:ascii="Times New Roman" w:hAnsi="Times New Roman"/>
                <w:i/>
              </w:rPr>
              <w:t>Popsat dosažené synergické a multiplikační efekty.</w:t>
            </w:r>
          </w:p>
          <w:p w14:paraId="39365595"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r w:rsidRPr="00EC2A1C">
              <w:rPr>
                <w:rFonts w:ascii="Times New Roman" w:hAnsi="Times New Roman"/>
              </w:rPr>
              <w:t>Snaha o užší provázanost evropských a národních dotačních titulů i projektů z oblasti cestovního ruchu a jiných tematických oblastí s vazbou na cestovní ruch a regionální rozvoj. Rovněž realizátoři projektů a koordinátoři cestovního ruchu a regionálního rozvoje kladou mnohem větší důraz na provázanost a spolupráci územních partnerů (samospráva, podnikatelé a NNO). Pro připravované období je cílem podpořit tento trend a v širší míře využít integrované nástroje pro rozvoj jednotlivých typů území (ITI, IPRÚ, CLLD). Důraz bude kladen na kvalitní spolupráci kompetentních subjektů, proto budou důležitou koordinační roli hrát organizace destinačního managementu s platnou certifikací dle ČSKS</w:t>
            </w:r>
            <w:r w:rsidRPr="00EC2A1C">
              <w:rPr>
                <w:rStyle w:val="Znakapoznpodarou"/>
                <w:rFonts w:ascii="Times New Roman" w:hAnsi="Times New Roman"/>
              </w:rPr>
              <w:footnoteReference w:id="69"/>
            </w:r>
            <w:r w:rsidRPr="00EC2A1C">
              <w:rPr>
                <w:rFonts w:ascii="Times New Roman" w:hAnsi="Times New Roman"/>
              </w:rPr>
              <w:t>.</w:t>
            </w:r>
          </w:p>
          <w:p w14:paraId="23BAAA23" w14:textId="77777777" w:rsidR="00391907" w:rsidRPr="00EC2A1C" w:rsidRDefault="00391907" w:rsidP="00B15ECB">
            <w:pPr>
              <w:pStyle w:val="slovanodstavec"/>
              <w:tabs>
                <w:tab w:val="clear" w:pos="567"/>
                <w:tab w:val="left" w:pos="284"/>
              </w:tabs>
              <w:suppressAutoHyphens/>
              <w:spacing w:line="240" w:lineRule="auto"/>
              <w:rPr>
                <w:rFonts w:ascii="Times New Roman" w:hAnsi="Times New Roman"/>
              </w:rPr>
            </w:pPr>
          </w:p>
        </w:tc>
        <w:tc>
          <w:tcPr>
            <w:tcW w:w="222" w:type="dxa"/>
            <w:tcBorders>
              <w:top w:val="nil"/>
              <w:left w:val="nil"/>
              <w:bottom w:val="nil"/>
            </w:tcBorders>
            <w:shd w:val="clear" w:color="auto" w:fill="66CCFF"/>
          </w:tcPr>
          <w:p w14:paraId="4B1DCD37" w14:textId="77777777" w:rsidR="00391907" w:rsidRPr="00EC2A1C" w:rsidRDefault="00391907" w:rsidP="00B15ECB">
            <w:pPr>
              <w:rPr>
                <w:b/>
              </w:rPr>
            </w:pPr>
          </w:p>
        </w:tc>
      </w:tr>
      <w:tr w:rsidR="00391907" w:rsidRPr="00EC2A1C" w14:paraId="62A9249E" w14:textId="77777777" w:rsidTr="00B15ECB">
        <w:trPr>
          <w:trHeight w:val="180"/>
        </w:trPr>
        <w:tc>
          <w:tcPr>
            <w:tcW w:w="222" w:type="dxa"/>
            <w:tcBorders>
              <w:top w:val="nil"/>
              <w:bottom w:val="nil"/>
              <w:right w:val="nil"/>
            </w:tcBorders>
            <w:shd w:val="clear" w:color="auto" w:fill="66CCFF"/>
          </w:tcPr>
          <w:p w14:paraId="039C5BD5" w14:textId="77777777" w:rsidR="00391907" w:rsidRPr="00EC2A1C" w:rsidRDefault="00391907" w:rsidP="00B15ECB">
            <w:pPr>
              <w:rPr>
                <w:b/>
              </w:rPr>
            </w:pPr>
          </w:p>
        </w:tc>
        <w:tc>
          <w:tcPr>
            <w:tcW w:w="2188" w:type="dxa"/>
            <w:tcBorders>
              <w:left w:val="nil"/>
              <w:bottom w:val="single" w:sz="4" w:space="0" w:color="auto"/>
              <w:right w:val="nil"/>
            </w:tcBorders>
            <w:shd w:val="clear" w:color="auto" w:fill="66CCFF"/>
          </w:tcPr>
          <w:p w14:paraId="207BAC49" w14:textId="77777777" w:rsidR="00391907" w:rsidRPr="00EC2A1C" w:rsidRDefault="00391907" w:rsidP="00B15ECB">
            <w:pPr>
              <w:rPr>
                <w:b/>
              </w:rPr>
            </w:pPr>
          </w:p>
        </w:tc>
        <w:tc>
          <w:tcPr>
            <w:tcW w:w="7342" w:type="dxa"/>
            <w:tcBorders>
              <w:left w:val="nil"/>
              <w:bottom w:val="single" w:sz="4" w:space="0" w:color="auto"/>
              <w:right w:val="nil"/>
            </w:tcBorders>
            <w:shd w:val="clear" w:color="auto" w:fill="66CCFF"/>
          </w:tcPr>
          <w:p w14:paraId="438D1EF2" w14:textId="77777777" w:rsidR="00391907" w:rsidRPr="00EC2A1C" w:rsidRDefault="00391907" w:rsidP="00B15ECB">
            <w:pPr>
              <w:rPr>
                <w:b/>
              </w:rPr>
            </w:pPr>
          </w:p>
        </w:tc>
        <w:tc>
          <w:tcPr>
            <w:tcW w:w="222" w:type="dxa"/>
            <w:tcBorders>
              <w:top w:val="nil"/>
              <w:left w:val="nil"/>
              <w:bottom w:val="nil"/>
            </w:tcBorders>
            <w:shd w:val="clear" w:color="auto" w:fill="66CCFF"/>
          </w:tcPr>
          <w:p w14:paraId="17E90D1F" w14:textId="77777777" w:rsidR="00391907" w:rsidRPr="00EC2A1C" w:rsidRDefault="00391907" w:rsidP="00B15ECB">
            <w:pPr>
              <w:rPr>
                <w:b/>
              </w:rPr>
            </w:pPr>
          </w:p>
        </w:tc>
      </w:tr>
      <w:tr w:rsidR="00391907" w:rsidRPr="00EC2A1C" w14:paraId="285D7AA1" w14:textId="77777777" w:rsidTr="00B15ECB">
        <w:trPr>
          <w:trHeight w:val="990"/>
        </w:trPr>
        <w:tc>
          <w:tcPr>
            <w:tcW w:w="222" w:type="dxa"/>
            <w:tcBorders>
              <w:top w:val="nil"/>
              <w:bottom w:val="nil"/>
            </w:tcBorders>
            <w:shd w:val="clear" w:color="auto" w:fill="66CCFF"/>
          </w:tcPr>
          <w:p w14:paraId="0DEEB0BF" w14:textId="77777777" w:rsidR="00391907" w:rsidRPr="00EC2A1C" w:rsidRDefault="00391907" w:rsidP="00B15ECB">
            <w:pPr>
              <w:rPr>
                <w:b/>
              </w:rPr>
            </w:pPr>
          </w:p>
        </w:tc>
        <w:tc>
          <w:tcPr>
            <w:tcW w:w="9530" w:type="dxa"/>
            <w:gridSpan w:val="2"/>
            <w:tcBorders>
              <w:bottom w:val="single" w:sz="4" w:space="0" w:color="auto"/>
            </w:tcBorders>
            <w:shd w:val="clear" w:color="auto" w:fill="FFFFFF" w:themeFill="background1"/>
          </w:tcPr>
          <w:p w14:paraId="18FF3FB8" w14:textId="77777777" w:rsidR="00391907" w:rsidRPr="00EC2A1C" w:rsidRDefault="00391907" w:rsidP="00B15ECB">
            <w:pPr>
              <w:spacing w:before="60" w:after="60"/>
              <w:rPr>
                <w:rFonts w:eastAsiaTheme="majorEastAsia"/>
                <w:i/>
                <w:u w:val="single"/>
              </w:rPr>
            </w:pPr>
            <w:r w:rsidRPr="00EC2A1C">
              <w:rPr>
                <w:rFonts w:eastAsiaTheme="majorEastAsia"/>
                <w:b/>
              </w:rPr>
              <w:t>Absorpční kapacita</w:t>
            </w:r>
            <w:r w:rsidRPr="00EC2A1C">
              <w:rPr>
                <w:rFonts w:eastAsiaTheme="majorEastAsia"/>
                <w:i/>
                <w:u w:val="single"/>
              </w:rPr>
              <w:t xml:space="preserve"> </w:t>
            </w:r>
          </w:p>
          <w:p w14:paraId="133C2F64" w14:textId="77777777" w:rsidR="00391907" w:rsidRPr="00EC2A1C" w:rsidRDefault="00391907" w:rsidP="00B15ECB">
            <w:pPr>
              <w:spacing w:before="60" w:after="60"/>
              <w:rPr>
                <w:rFonts w:eastAsiaTheme="majorEastAsia"/>
                <w:i/>
                <w:u w:val="single"/>
              </w:rPr>
            </w:pPr>
            <w:r w:rsidRPr="00EC2A1C">
              <w:rPr>
                <w:rFonts w:eastAsiaTheme="majorEastAsia"/>
                <w:i/>
                <w:u w:val="single"/>
              </w:rPr>
              <w:t>Lze převzít z předchozí verze karty (abs. kapacita), ale další věci bude nutné doplnit.</w:t>
            </w:r>
          </w:p>
          <w:p w14:paraId="06F2D5FD" w14:textId="77777777" w:rsidR="00391907" w:rsidRPr="00EC2A1C" w:rsidRDefault="00391907" w:rsidP="00B15ECB">
            <w:pPr>
              <w:spacing w:before="60" w:after="60"/>
              <w:rPr>
                <w:rFonts w:eastAsiaTheme="majorEastAsia"/>
              </w:rPr>
            </w:pPr>
            <w:r w:rsidRPr="00EC2A1C">
              <w:rPr>
                <w:rFonts w:eastAsiaTheme="majorEastAsia"/>
              </w:rPr>
              <w:t xml:space="preserve">Absorpční kapacita v cestovním ruchu je poměrně vysoká, to dokládá i počet realizovaných projektů a výše podpory cestovního ruchu v předchozím i aktuálním programovém období. Lze konstatovat, že výši absorpční kapacity ovlivňuje několik skutečností, jako např. rozsah podporovaných aktivit, výše spolufinancování i nastavení podmínek podpory. Je však nezbytné klást důraz na efektivitu vynaložených prostředků. Je třeba konstatovat, že na národní úrovni není sledován zásobník připravovaných projektů a to z toho důvodu, že celá řada aktivit v oblasti cestovního ruchu je realizována soukromými subjekty. Nicméně zástupci regionů, respektive samosprávních celků, hovoří o řadě investičních projektů, čekajících na vhodný finanční nástroj. Vzhledem k přelomu programových období dochází nebo bude docházet k aktualizaci celé řady strategických dokumentů nejen na národní, ale i na regionální úrovni. V rozpočtech samospráv (kraje a obce) velmi často figuruje zásobník projektů, na které v současné situaci nejsou prostředky. Pokud územní partneři dostanou signál, že podpora cestovního ruchu bude v dalším období rozšířena, lze předpokládat zvýšenou aktivitu i v přípravě „projektů do šuplíku“. </w:t>
            </w:r>
          </w:p>
        </w:tc>
        <w:tc>
          <w:tcPr>
            <w:tcW w:w="222" w:type="dxa"/>
            <w:tcBorders>
              <w:top w:val="nil"/>
              <w:bottom w:val="nil"/>
            </w:tcBorders>
            <w:shd w:val="clear" w:color="auto" w:fill="66CCFF"/>
          </w:tcPr>
          <w:p w14:paraId="2D080967" w14:textId="77777777" w:rsidR="00391907" w:rsidRPr="00EC2A1C" w:rsidRDefault="00391907" w:rsidP="00B15ECB">
            <w:pPr>
              <w:rPr>
                <w:b/>
              </w:rPr>
            </w:pPr>
          </w:p>
        </w:tc>
      </w:tr>
      <w:tr w:rsidR="00391907" w:rsidRPr="00EC2A1C" w14:paraId="7F25B00B" w14:textId="77777777" w:rsidTr="00B15ECB">
        <w:trPr>
          <w:trHeight w:val="1260"/>
        </w:trPr>
        <w:tc>
          <w:tcPr>
            <w:tcW w:w="222" w:type="dxa"/>
            <w:tcBorders>
              <w:top w:val="nil"/>
              <w:bottom w:val="nil"/>
              <w:right w:val="single" w:sz="4" w:space="0" w:color="auto"/>
            </w:tcBorders>
            <w:shd w:val="clear" w:color="auto" w:fill="66CCFF"/>
          </w:tcPr>
          <w:p w14:paraId="25362D89" w14:textId="77777777" w:rsidR="00391907" w:rsidRPr="00EC2A1C" w:rsidRDefault="00391907" w:rsidP="00B15ECB">
            <w:pPr>
              <w:rPr>
                <w:b/>
              </w:rPr>
            </w:pPr>
          </w:p>
        </w:tc>
        <w:tc>
          <w:tcPr>
            <w:tcW w:w="2188" w:type="dxa"/>
            <w:tcBorders>
              <w:top w:val="single" w:sz="4" w:space="0" w:color="auto"/>
              <w:left w:val="single" w:sz="4" w:space="0" w:color="auto"/>
              <w:bottom w:val="single" w:sz="4" w:space="0" w:color="auto"/>
              <w:right w:val="single" w:sz="4" w:space="0" w:color="auto"/>
            </w:tcBorders>
            <w:shd w:val="clear" w:color="auto" w:fill="FFFFFF" w:themeFill="background1"/>
          </w:tcPr>
          <w:p w14:paraId="2A7D9958" w14:textId="77777777" w:rsidR="00391907" w:rsidRPr="00EC2A1C" w:rsidRDefault="00391907" w:rsidP="00391907">
            <w:pPr>
              <w:pStyle w:val="Odstavecseseznamem"/>
              <w:numPr>
                <w:ilvl w:val="0"/>
                <w:numId w:val="5"/>
              </w:numPr>
              <w:spacing w:before="60" w:after="60"/>
              <w:rPr>
                <w:rFonts w:eastAsiaTheme="majorEastAsia"/>
                <w:b/>
              </w:rPr>
            </w:pPr>
            <w:r w:rsidRPr="00EC2A1C">
              <w:rPr>
                <w:rFonts w:eastAsiaTheme="majorEastAsia"/>
                <w:b/>
              </w:rPr>
              <w:t>Zhodnocení abs. kapacity v minulém a stávajícím období (tj. v období 2014 – 2020, příp. 2007 – 2013)</w:t>
            </w:r>
          </w:p>
        </w:tc>
        <w:tc>
          <w:tcPr>
            <w:tcW w:w="7342" w:type="dxa"/>
            <w:tcBorders>
              <w:top w:val="single" w:sz="4" w:space="0" w:color="auto"/>
              <w:left w:val="single" w:sz="4" w:space="0" w:color="auto"/>
              <w:bottom w:val="single" w:sz="4" w:space="0" w:color="auto"/>
              <w:right w:val="single" w:sz="4" w:space="0" w:color="auto"/>
            </w:tcBorders>
            <w:shd w:val="clear" w:color="auto" w:fill="FFFFFF" w:themeFill="background1"/>
          </w:tcPr>
          <w:p w14:paraId="2F707DC4" w14:textId="77777777" w:rsidR="00391907" w:rsidRPr="00EC2A1C" w:rsidRDefault="00391907" w:rsidP="00B15ECB">
            <w:pPr>
              <w:spacing w:before="60" w:after="60"/>
              <w:rPr>
                <w:rFonts w:eastAsiaTheme="majorEastAsia"/>
                <w:i/>
              </w:rPr>
            </w:pPr>
            <w:r w:rsidRPr="00EC2A1C">
              <w:rPr>
                <w:rFonts w:eastAsiaTheme="majorEastAsia"/>
                <w:i/>
              </w:rPr>
              <w:t>Zhodnocení plnění naplánované abs. kapacity v minulém a stávajícím období.</w:t>
            </w:r>
          </w:p>
          <w:p w14:paraId="099595E8" w14:textId="4A29B340" w:rsidR="00391907" w:rsidRPr="00EC2A1C" w:rsidRDefault="00391907" w:rsidP="00B15ECB">
            <w:pPr>
              <w:spacing w:before="60" w:after="60"/>
              <w:rPr>
                <w:rFonts w:eastAsiaTheme="majorEastAsia"/>
              </w:rPr>
            </w:pPr>
            <w:r w:rsidRPr="00EC2A1C">
              <w:rPr>
                <w:rFonts w:eastAsiaTheme="majorEastAsia"/>
              </w:rPr>
              <w:t xml:space="preserve">V oblasti cestovního ruchu nelze tato období hodnotit. Období 2007 – 2013 bylo velmi vstřícné k podpoře cestovního ruchu a lze konstatovat, že </w:t>
            </w:r>
            <w:r w:rsidR="00D26473" w:rsidRPr="00EC2A1C">
              <w:rPr>
                <w:rFonts w:eastAsiaTheme="majorEastAsia"/>
              </w:rPr>
              <w:t>většina</w:t>
            </w:r>
            <w:r w:rsidRPr="00EC2A1C">
              <w:rPr>
                <w:rFonts w:eastAsiaTheme="majorEastAsia"/>
              </w:rPr>
              <w:t xml:space="preserve"> dotačních titulů pro oblast cestovního ruchu byla vyčerpána. </w:t>
            </w:r>
          </w:p>
          <w:p w14:paraId="4AA4A69E" w14:textId="0B81018C" w:rsidR="00391907" w:rsidRPr="00EC2A1C" w:rsidRDefault="00391907" w:rsidP="00B15ECB">
            <w:pPr>
              <w:spacing w:before="60" w:after="60"/>
              <w:rPr>
                <w:rFonts w:eastAsiaTheme="majorEastAsia"/>
              </w:rPr>
            </w:pPr>
            <w:r w:rsidRPr="00EC2A1C">
              <w:rPr>
                <w:rFonts w:eastAsiaTheme="majorEastAsia"/>
              </w:rPr>
              <w:t>Zatímco v období 2014 – 2020 byl cestovní ruch jako takový nepodporovanou aktivitou, z fondů EU bylo možné čerpat na realizaci dílčích aktivit v oblasti cestovního ruchu, a to zejména v oblasti veřejné infrastruktury. Nejvíce se jednalo</w:t>
            </w:r>
            <w:r w:rsidR="00D26473" w:rsidRPr="00EC2A1C">
              <w:rPr>
                <w:rFonts w:eastAsiaTheme="majorEastAsia"/>
              </w:rPr>
              <w:t xml:space="preserve"> o projekty řešící ochranu a </w:t>
            </w:r>
            <w:r w:rsidRPr="00EC2A1C">
              <w:rPr>
                <w:rFonts w:eastAsiaTheme="majorEastAsia"/>
              </w:rPr>
              <w:t>zpřístupnění kulturn</w:t>
            </w:r>
            <w:r w:rsidR="00D26473" w:rsidRPr="00EC2A1C">
              <w:rPr>
                <w:rFonts w:eastAsiaTheme="majorEastAsia"/>
              </w:rPr>
              <w:t xml:space="preserve">ího dědictví v rámci IROP. Pro </w:t>
            </w:r>
            <w:r w:rsidRPr="00EC2A1C">
              <w:rPr>
                <w:rFonts w:eastAsiaTheme="majorEastAsia"/>
              </w:rPr>
              <w:t>cestovní ruch není stanovena samostatná alokace a prakticky není vyhlašovaná ani samostatná výzva. Projekty v oblasti cestovního ruchu soutěží s ostatními odvětvími. Nutno také podotknout, že žadatelé z řad podnikatelů často spadají do kategorie malých, středních a ve velké míře i mikropodniků. I tento faktor může být limitující v rámci žádosti o podporu komerčních projektů. Poptávka po </w:t>
            </w:r>
            <w:r w:rsidR="00D26473" w:rsidRPr="00EC2A1C">
              <w:rPr>
                <w:rFonts w:eastAsiaTheme="majorEastAsia"/>
              </w:rPr>
              <w:t>dotačních</w:t>
            </w:r>
            <w:r w:rsidRPr="00EC2A1C">
              <w:rPr>
                <w:rFonts w:eastAsiaTheme="majorEastAsia"/>
              </w:rPr>
              <w:t xml:space="preserve"> titulech pro oblast cestovního ruchu je větší než aktuální nabídka.</w:t>
            </w:r>
          </w:p>
          <w:p w14:paraId="2998E43A" w14:textId="77777777" w:rsidR="00391907" w:rsidRPr="00EC2A1C" w:rsidRDefault="00391907" w:rsidP="00B15ECB">
            <w:pPr>
              <w:spacing w:before="60" w:after="60"/>
              <w:rPr>
                <w:rFonts w:eastAsiaTheme="majorEastAsia"/>
              </w:rPr>
            </w:pPr>
            <w:r w:rsidRPr="00EC2A1C">
              <w:rPr>
                <w:rFonts w:eastAsiaTheme="majorEastAsia"/>
              </w:rPr>
              <w:t xml:space="preserve">Absorpční kapacitu je možné doložit i prostřednictvím dat o alokaci vynakládané na podporu cestovního ruchu z MMR a krajů. </w:t>
            </w:r>
          </w:p>
          <w:tbl>
            <w:tblPr>
              <w:tblW w:w="6660" w:type="dxa"/>
              <w:tblCellMar>
                <w:left w:w="70" w:type="dxa"/>
                <w:right w:w="70" w:type="dxa"/>
              </w:tblCellMar>
              <w:tblLook w:val="04A0" w:firstRow="1" w:lastRow="0" w:firstColumn="1" w:lastColumn="0" w:noHBand="0" w:noVBand="1"/>
            </w:tblPr>
            <w:tblGrid>
              <w:gridCol w:w="960"/>
              <w:gridCol w:w="1140"/>
              <w:gridCol w:w="1180"/>
              <w:gridCol w:w="1240"/>
              <w:gridCol w:w="1180"/>
              <w:gridCol w:w="960"/>
            </w:tblGrid>
            <w:tr w:rsidR="00391907" w:rsidRPr="00EC2A1C" w14:paraId="75069707" w14:textId="77777777" w:rsidTr="00B15ECB">
              <w:trPr>
                <w:trHeight w:val="450"/>
              </w:trPr>
              <w:tc>
                <w:tcPr>
                  <w:tcW w:w="960" w:type="dxa"/>
                  <w:tcBorders>
                    <w:top w:val="single" w:sz="8" w:space="0" w:color="auto"/>
                    <w:left w:val="single" w:sz="8" w:space="0" w:color="auto"/>
                    <w:bottom w:val="nil"/>
                    <w:right w:val="single" w:sz="8" w:space="0" w:color="auto"/>
                  </w:tcBorders>
                  <w:shd w:val="clear" w:color="000000" w:fill="00AF3F"/>
                  <w:vAlign w:val="center"/>
                  <w:hideMark/>
                </w:tcPr>
                <w:p w14:paraId="69783CF7"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Podpora CR </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00AF3F"/>
                  <w:vAlign w:val="center"/>
                  <w:hideMark/>
                </w:tcPr>
                <w:p w14:paraId="44C7BCE7"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2014</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00AF3F"/>
                  <w:vAlign w:val="center"/>
                  <w:hideMark/>
                </w:tcPr>
                <w:p w14:paraId="3DA6B658"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2015</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00AF3F"/>
                  <w:vAlign w:val="center"/>
                  <w:hideMark/>
                </w:tcPr>
                <w:p w14:paraId="3FAE324C"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2016</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00AF3F"/>
                  <w:vAlign w:val="center"/>
                  <w:hideMark/>
                </w:tcPr>
                <w:p w14:paraId="18CC6FC5"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2017</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00AF3F"/>
                  <w:vAlign w:val="center"/>
                  <w:hideMark/>
                </w:tcPr>
                <w:p w14:paraId="75E88A17"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Celkem</w:t>
                  </w:r>
                </w:p>
              </w:tc>
            </w:tr>
            <w:tr w:rsidR="00391907" w:rsidRPr="00EC2A1C" w14:paraId="25D6ABEA" w14:textId="77777777" w:rsidTr="00B15ECB">
              <w:trPr>
                <w:trHeight w:val="315"/>
              </w:trPr>
              <w:tc>
                <w:tcPr>
                  <w:tcW w:w="960" w:type="dxa"/>
                  <w:tcBorders>
                    <w:top w:val="nil"/>
                    <w:left w:val="single" w:sz="8" w:space="0" w:color="auto"/>
                    <w:bottom w:val="single" w:sz="8" w:space="0" w:color="auto"/>
                    <w:right w:val="single" w:sz="8" w:space="0" w:color="auto"/>
                  </w:tcBorders>
                  <w:shd w:val="clear" w:color="000000" w:fill="00AF3F"/>
                  <w:vAlign w:val="center"/>
                  <w:hideMark/>
                </w:tcPr>
                <w:p w14:paraId="18DCDF5B" w14:textId="77777777" w:rsidR="00391907" w:rsidRPr="00EC2A1C" w:rsidRDefault="00391907" w:rsidP="00B15ECB">
                  <w:pPr>
                    <w:spacing w:after="0" w:line="240" w:lineRule="auto"/>
                    <w:jc w:val="center"/>
                    <w:rPr>
                      <w:rFonts w:ascii="Times New Roman" w:eastAsia="Times New Roman" w:hAnsi="Times New Roman" w:cs="Times New Roman"/>
                      <w:b/>
                      <w:bCs/>
                      <w:color w:val="FFFFFF"/>
                      <w:sz w:val="20"/>
                      <w:szCs w:val="20"/>
                      <w:lang w:eastAsia="cs-CZ"/>
                    </w:rPr>
                  </w:pPr>
                  <w:r w:rsidRPr="00EC2A1C">
                    <w:rPr>
                      <w:rFonts w:ascii="Times New Roman" w:eastAsia="Times New Roman" w:hAnsi="Times New Roman" w:cs="Times New Roman"/>
                      <w:b/>
                      <w:bCs/>
                      <w:color w:val="FFFFFF"/>
                      <w:sz w:val="20"/>
                      <w:szCs w:val="20"/>
                      <w:lang w:eastAsia="cs-CZ"/>
                    </w:rPr>
                    <w:t>v mil. Kč</w:t>
                  </w: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6C716A9E" w14:textId="77777777" w:rsidR="00391907" w:rsidRPr="00EC2A1C" w:rsidRDefault="00391907" w:rsidP="00B15ECB">
                  <w:pPr>
                    <w:spacing w:after="0" w:line="240" w:lineRule="auto"/>
                    <w:rPr>
                      <w:rFonts w:ascii="Times New Roman" w:eastAsia="Times New Roman" w:hAnsi="Times New Roman" w:cs="Times New Roman"/>
                      <w:b/>
                      <w:bCs/>
                      <w:color w:val="FFFFFF"/>
                      <w:sz w:val="20"/>
                      <w:szCs w:val="20"/>
                      <w:lang w:eastAsia="cs-CZ"/>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14:paraId="561410F4" w14:textId="77777777" w:rsidR="00391907" w:rsidRPr="00EC2A1C" w:rsidRDefault="00391907" w:rsidP="00B15ECB">
                  <w:pPr>
                    <w:spacing w:after="0" w:line="240" w:lineRule="auto"/>
                    <w:rPr>
                      <w:rFonts w:ascii="Times New Roman" w:eastAsia="Times New Roman" w:hAnsi="Times New Roman" w:cs="Times New Roman"/>
                      <w:b/>
                      <w:bCs/>
                      <w:color w:val="FFFFFF"/>
                      <w:sz w:val="20"/>
                      <w:szCs w:val="20"/>
                      <w:lang w:eastAsia="cs-CZ"/>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ADB4DA9" w14:textId="77777777" w:rsidR="00391907" w:rsidRPr="00EC2A1C" w:rsidRDefault="00391907" w:rsidP="00B15ECB">
                  <w:pPr>
                    <w:spacing w:after="0" w:line="240" w:lineRule="auto"/>
                    <w:rPr>
                      <w:rFonts w:ascii="Times New Roman" w:eastAsia="Times New Roman" w:hAnsi="Times New Roman" w:cs="Times New Roman"/>
                      <w:b/>
                      <w:bCs/>
                      <w:color w:val="FFFFFF"/>
                      <w:sz w:val="20"/>
                      <w:szCs w:val="20"/>
                      <w:lang w:eastAsia="cs-CZ"/>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14:paraId="2A3F3140" w14:textId="77777777" w:rsidR="00391907" w:rsidRPr="00EC2A1C" w:rsidRDefault="00391907" w:rsidP="00B15ECB">
                  <w:pPr>
                    <w:spacing w:after="0" w:line="240" w:lineRule="auto"/>
                    <w:rPr>
                      <w:rFonts w:ascii="Times New Roman" w:eastAsia="Times New Roman" w:hAnsi="Times New Roman" w:cs="Times New Roman"/>
                      <w:b/>
                      <w:bCs/>
                      <w:color w:val="FFFFFF"/>
                      <w:sz w:val="20"/>
                      <w:szCs w:val="20"/>
                      <w:lang w:eastAsia="cs-CZ"/>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512A75" w14:textId="77777777" w:rsidR="00391907" w:rsidRPr="00EC2A1C" w:rsidRDefault="00391907" w:rsidP="00B15ECB">
                  <w:pPr>
                    <w:spacing w:after="0" w:line="240" w:lineRule="auto"/>
                    <w:rPr>
                      <w:rFonts w:ascii="Times New Roman" w:eastAsia="Times New Roman" w:hAnsi="Times New Roman" w:cs="Times New Roman"/>
                      <w:b/>
                      <w:bCs/>
                      <w:color w:val="FFFFFF"/>
                      <w:sz w:val="20"/>
                      <w:szCs w:val="20"/>
                      <w:lang w:eastAsia="cs-CZ"/>
                    </w:rPr>
                  </w:pPr>
                </w:p>
              </w:tc>
            </w:tr>
            <w:tr w:rsidR="00391907" w:rsidRPr="00EC2A1C" w14:paraId="1274E9BB" w14:textId="77777777" w:rsidTr="00B15ECB">
              <w:trPr>
                <w:trHeight w:val="465"/>
              </w:trPr>
              <w:tc>
                <w:tcPr>
                  <w:tcW w:w="960" w:type="dxa"/>
                  <w:tcBorders>
                    <w:top w:val="nil"/>
                    <w:left w:val="single" w:sz="8" w:space="0" w:color="auto"/>
                    <w:bottom w:val="single" w:sz="8" w:space="0" w:color="auto"/>
                    <w:right w:val="single" w:sz="8" w:space="0" w:color="auto"/>
                  </w:tcBorders>
                  <w:shd w:val="clear" w:color="000000" w:fill="D9D9D9"/>
                  <w:vAlign w:val="center"/>
                  <w:hideMark/>
                </w:tcPr>
                <w:p w14:paraId="378DE894" w14:textId="77777777" w:rsidR="00391907" w:rsidRPr="00EC2A1C" w:rsidRDefault="00391907" w:rsidP="00B15ECB">
                  <w:pPr>
                    <w:spacing w:after="0" w:line="240" w:lineRule="auto"/>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Podpora CR z MMR</w:t>
                  </w:r>
                </w:p>
              </w:tc>
              <w:tc>
                <w:tcPr>
                  <w:tcW w:w="1140" w:type="dxa"/>
                  <w:tcBorders>
                    <w:top w:val="nil"/>
                    <w:left w:val="nil"/>
                    <w:bottom w:val="single" w:sz="8" w:space="0" w:color="auto"/>
                    <w:right w:val="single" w:sz="8" w:space="0" w:color="auto"/>
                  </w:tcBorders>
                  <w:shd w:val="clear" w:color="000000" w:fill="D9D9D9"/>
                  <w:vAlign w:val="center"/>
                  <w:hideMark/>
                </w:tcPr>
                <w:p w14:paraId="5A2054EC"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437,767</w:t>
                  </w:r>
                </w:p>
              </w:tc>
              <w:tc>
                <w:tcPr>
                  <w:tcW w:w="1180" w:type="dxa"/>
                  <w:tcBorders>
                    <w:top w:val="nil"/>
                    <w:left w:val="nil"/>
                    <w:bottom w:val="single" w:sz="8" w:space="0" w:color="auto"/>
                    <w:right w:val="single" w:sz="8" w:space="0" w:color="auto"/>
                  </w:tcBorders>
                  <w:shd w:val="clear" w:color="000000" w:fill="D9D9D9"/>
                  <w:vAlign w:val="center"/>
                  <w:hideMark/>
                </w:tcPr>
                <w:p w14:paraId="2566D5CD"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432,935</w:t>
                  </w:r>
                </w:p>
              </w:tc>
              <w:tc>
                <w:tcPr>
                  <w:tcW w:w="1240" w:type="dxa"/>
                  <w:tcBorders>
                    <w:top w:val="nil"/>
                    <w:left w:val="nil"/>
                    <w:bottom w:val="single" w:sz="8" w:space="0" w:color="auto"/>
                    <w:right w:val="single" w:sz="8" w:space="0" w:color="auto"/>
                  </w:tcBorders>
                  <w:shd w:val="clear" w:color="000000" w:fill="D9D9D9"/>
                  <w:vAlign w:val="center"/>
                  <w:hideMark/>
                </w:tcPr>
                <w:p w14:paraId="7524DACF"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526,619</w:t>
                  </w:r>
                </w:p>
              </w:tc>
              <w:tc>
                <w:tcPr>
                  <w:tcW w:w="1180" w:type="dxa"/>
                  <w:tcBorders>
                    <w:top w:val="nil"/>
                    <w:left w:val="nil"/>
                    <w:bottom w:val="single" w:sz="8" w:space="0" w:color="auto"/>
                    <w:right w:val="single" w:sz="8" w:space="0" w:color="auto"/>
                  </w:tcBorders>
                  <w:shd w:val="clear" w:color="000000" w:fill="D9D9D9"/>
                  <w:vAlign w:val="center"/>
                  <w:hideMark/>
                </w:tcPr>
                <w:p w14:paraId="21EB2007"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532,366</w:t>
                  </w:r>
                </w:p>
              </w:tc>
              <w:tc>
                <w:tcPr>
                  <w:tcW w:w="960" w:type="dxa"/>
                  <w:tcBorders>
                    <w:top w:val="nil"/>
                    <w:left w:val="nil"/>
                    <w:bottom w:val="single" w:sz="8" w:space="0" w:color="auto"/>
                    <w:right w:val="single" w:sz="8" w:space="0" w:color="auto"/>
                  </w:tcBorders>
                  <w:shd w:val="clear" w:color="000000" w:fill="D9D9D9"/>
                  <w:noWrap/>
                  <w:vAlign w:val="center"/>
                  <w:hideMark/>
                </w:tcPr>
                <w:p w14:paraId="54386483"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1 929,687</w:t>
                  </w:r>
                </w:p>
              </w:tc>
            </w:tr>
            <w:tr w:rsidR="00391907" w:rsidRPr="00EC2A1C" w14:paraId="29063B71" w14:textId="77777777" w:rsidTr="00B15ECB">
              <w:trPr>
                <w:trHeight w:val="46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A37733E"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Podpora CzT</w:t>
                  </w:r>
                </w:p>
              </w:tc>
              <w:tc>
                <w:tcPr>
                  <w:tcW w:w="1140" w:type="dxa"/>
                  <w:tcBorders>
                    <w:top w:val="nil"/>
                    <w:left w:val="nil"/>
                    <w:bottom w:val="single" w:sz="8" w:space="0" w:color="auto"/>
                    <w:right w:val="single" w:sz="8" w:space="0" w:color="auto"/>
                  </w:tcBorders>
                  <w:shd w:val="clear" w:color="auto" w:fill="auto"/>
                  <w:vAlign w:val="center"/>
                  <w:hideMark/>
                </w:tcPr>
                <w:p w14:paraId="2C4CCFDE"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380,306</w:t>
                  </w:r>
                </w:p>
              </w:tc>
              <w:tc>
                <w:tcPr>
                  <w:tcW w:w="1180" w:type="dxa"/>
                  <w:tcBorders>
                    <w:top w:val="nil"/>
                    <w:left w:val="nil"/>
                    <w:bottom w:val="single" w:sz="8" w:space="0" w:color="auto"/>
                    <w:right w:val="single" w:sz="8" w:space="0" w:color="auto"/>
                  </w:tcBorders>
                  <w:shd w:val="clear" w:color="auto" w:fill="auto"/>
                  <w:vAlign w:val="center"/>
                  <w:hideMark/>
                </w:tcPr>
                <w:p w14:paraId="19CF2FEC"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359,514</w:t>
                  </w:r>
                </w:p>
              </w:tc>
              <w:tc>
                <w:tcPr>
                  <w:tcW w:w="1240" w:type="dxa"/>
                  <w:tcBorders>
                    <w:top w:val="nil"/>
                    <w:left w:val="nil"/>
                    <w:bottom w:val="single" w:sz="8" w:space="0" w:color="auto"/>
                    <w:right w:val="single" w:sz="8" w:space="0" w:color="auto"/>
                  </w:tcBorders>
                  <w:shd w:val="clear" w:color="auto" w:fill="auto"/>
                  <w:vAlign w:val="center"/>
                  <w:hideMark/>
                </w:tcPr>
                <w:p w14:paraId="3C6E3405"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462,153</w:t>
                  </w:r>
                </w:p>
              </w:tc>
              <w:tc>
                <w:tcPr>
                  <w:tcW w:w="1180" w:type="dxa"/>
                  <w:tcBorders>
                    <w:top w:val="nil"/>
                    <w:left w:val="nil"/>
                    <w:bottom w:val="single" w:sz="8" w:space="0" w:color="auto"/>
                    <w:right w:val="single" w:sz="8" w:space="0" w:color="auto"/>
                  </w:tcBorders>
                  <w:shd w:val="clear" w:color="auto" w:fill="auto"/>
                  <w:vAlign w:val="center"/>
                  <w:hideMark/>
                </w:tcPr>
                <w:p w14:paraId="6ACE8200"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443,613</w:t>
                  </w:r>
                </w:p>
              </w:tc>
              <w:tc>
                <w:tcPr>
                  <w:tcW w:w="960" w:type="dxa"/>
                  <w:tcBorders>
                    <w:top w:val="nil"/>
                    <w:left w:val="nil"/>
                    <w:bottom w:val="single" w:sz="8" w:space="0" w:color="auto"/>
                    <w:right w:val="single" w:sz="8" w:space="0" w:color="auto"/>
                  </w:tcBorders>
                  <w:shd w:val="clear" w:color="000000" w:fill="D9D9D9"/>
                  <w:noWrap/>
                  <w:vAlign w:val="center"/>
                  <w:hideMark/>
                </w:tcPr>
                <w:p w14:paraId="0F5E2035"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1 645,586</w:t>
                  </w:r>
                </w:p>
              </w:tc>
            </w:tr>
            <w:tr w:rsidR="00391907" w:rsidRPr="00EC2A1C" w14:paraId="22357A86" w14:textId="77777777" w:rsidTr="00B15ECB">
              <w:trPr>
                <w:trHeight w:val="6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F231BA4"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Národní program podpory</w:t>
                  </w:r>
                </w:p>
              </w:tc>
              <w:tc>
                <w:tcPr>
                  <w:tcW w:w="1140" w:type="dxa"/>
                  <w:tcBorders>
                    <w:top w:val="nil"/>
                    <w:left w:val="nil"/>
                    <w:bottom w:val="single" w:sz="8" w:space="0" w:color="auto"/>
                    <w:right w:val="single" w:sz="8" w:space="0" w:color="auto"/>
                  </w:tcBorders>
                  <w:shd w:val="clear" w:color="auto" w:fill="auto"/>
                  <w:vAlign w:val="center"/>
                  <w:hideMark/>
                </w:tcPr>
                <w:p w14:paraId="30E84842"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50,106</w:t>
                  </w:r>
                </w:p>
              </w:tc>
              <w:tc>
                <w:tcPr>
                  <w:tcW w:w="1180" w:type="dxa"/>
                  <w:tcBorders>
                    <w:top w:val="nil"/>
                    <w:left w:val="nil"/>
                    <w:bottom w:val="single" w:sz="8" w:space="0" w:color="auto"/>
                    <w:right w:val="single" w:sz="8" w:space="0" w:color="auto"/>
                  </w:tcBorders>
                  <w:shd w:val="clear" w:color="auto" w:fill="auto"/>
                  <w:vAlign w:val="center"/>
                  <w:hideMark/>
                </w:tcPr>
                <w:p w14:paraId="5A28D22F"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71,806</w:t>
                  </w:r>
                </w:p>
              </w:tc>
              <w:tc>
                <w:tcPr>
                  <w:tcW w:w="1240" w:type="dxa"/>
                  <w:tcBorders>
                    <w:top w:val="nil"/>
                    <w:left w:val="nil"/>
                    <w:bottom w:val="single" w:sz="8" w:space="0" w:color="auto"/>
                    <w:right w:val="single" w:sz="8" w:space="0" w:color="auto"/>
                  </w:tcBorders>
                  <w:shd w:val="clear" w:color="auto" w:fill="auto"/>
                  <w:vAlign w:val="center"/>
                  <w:hideMark/>
                </w:tcPr>
                <w:p w14:paraId="6B14367B"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59,744</w:t>
                  </w:r>
                </w:p>
              </w:tc>
              <w:tc>
                <w:tcPr>
                  <w:tcW w:w="1180" w:type="dxa"/>
                  <w:tcBorders>
                    <w:top w:val="nil"/>
                    <w:left w:val="nil"/>
                    <w:bottom w:val="single" w:sz="8" w:space="0" w:color="auto"/>
                    <w:right w:val="single" w:sz="8" w:space="0" w:color="auto"/>
                  </w:tcBorders>
                  <w:shd w:val="clear" w:color="auto" w:fill="auto"/>
                  <w:vAlign w:val="center"/>
                  <w:hideMark/>
                </w:tcPr>
                <w:p w14:paraId="017AEB9F"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80,279</w:t>
                  </w:r>
                </w:p>
              </w:tc>
              <w:tc>
                <w:tcPr>
                  <w:tcW w:w="960" w:type="dxa"/>
                  <w:tcBorders>
                    <w:top w:val="nil"/>
                    <w:left w:val="nil"/>
                    <w:bottom w:val="single" w:sz="8" w:space="0" w:color="auto"/>
                    <w:right w:val="single" w:sz="8" w:space="0" w:color="auto"/>
                  </w:tcBorders>
                  <w:shd w:val="clear" w:color="000000" w:fill="D9D9D9"/>
                  <w:noWrap/>
                  <w:vAlign w:val="center"/>
                  <w:hideMark/>
                </w:tcPr>
                <w:p w14:paraId="63ADEBA1"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261,937</w:t>
                  </w:r>
                </w:p>
              </w:tc>
            </w:tr>
            <w:tr w:rsidR="00391907" w:rsidRPr="00EC2A1C" w14:paraId="37095962" w14:textId="77777777" w:rsidTr="00B15ECB">
              <w:trPr>
                <w:trHeight w:val="6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8AA2F5B" w14:textId="77777777" w:rsidR="00391907" w:rsidRPr="00EC2A1C" w:rsidRDefault="00391907" w:rsidP="00B15ECB">
                  <w:pPr>
                    <w:spacing w:after="0" w:line="240" w:lineRule="auto"/>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NNO v CR - podpora NNO</w:t>
                  </w:r>
                </w:p>
              </w:tc>
              <w:tc>
                <w:tcPr>
                  <w:tcW w:w="1140" w:type="dxa"/>
                  <w:tcBorders>
                    <w:top w:val="nil"/>
                    <w:left w:val="nil"/>
                    <w:bottom w:val="single" w:sz="8" w:space="0" w:color="auto"/>
                    <w:right w:val="single" w:sz="8" w:space="0" w:color="auto"/>
                  </w:tcBorders>
                  <w:shd w:val="clear" w:color="auto" w:fill="auto"/>
                  <w:vAlign w:val="center"/>
                  <w:hideMark/>
                </w:tcPr>
                <w:p w14:paraId="33E7BD9B"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7,355</w:t>
                  </w:r>
                </w:p>
              </w:tc>
              <w:tc>
                <w:tcPr>
                  <w:tcW w:w="1180" w:type="dxa"/>
                  <w:tcBorders>
                    <w:top w:val="nil"/>
                    <w:left w:val="nil"/>
                    <w:bottom w:val="single" w:sz="8" w:space="0" w:color="auto"/>
                    <w:right w:val="single" w:sz="8" w:space="0" w:color="auto"/>
                  </w:tcBorders>
                  <w:shd w:val="clear" w:color="auto" w:fill="auto"/>
                  <w:vAlign w:val="center"/>
                  <w:hideMark/>
                </w:tcPr>
                <w:p w14:paraId="5C61AD69"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1,615</w:t>
                  </w:r>
                </w:p>
              </w:tc>
              <w:tc>
                <w:tcPr>
                  <w:tcW w:w="1240" w:type="dxa"/>
                  <w:tcBorders>
                    <w:top w:val="nil"/>
                    <w:left w:val="nil"/>
                    <w:bottom w:val="single" w:sz="8" w:space="0" w:color="auto"/>
                    <w:right w:val="single" w:sz="8" w:space="0" w:color="auto"/>
                  </w:tcBorders>
                  <w:shd w:val="clear" w:color="auto" w:fill="auto"/>
                  <w:vAlign w:val="center"/>
                  <w:hideMark/>
                </w:tcPr>
                <w:p w14:paraId="2A4687A3"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4,722</w:t>
                  </w:r>
                </w:p>
              </w:tc>
              <w:tc>
                <w:tcPr>
                  <w:tcW w:w="1180" w:type="dxa"/>
                  <w:tcBorders>
                    <w:top w:val="nil"/>
                    <w:left w:val="nil"/>
                    <w:bottom w:val="single" w:sz="8" w:space="0" w:color="auto"/>
                    <w:right w:val="single" w:sz="8" w:space="0" w:color="auto"/>
                  </w:tcBorders>
                  <w:shd w:val="clear" w:color="auto" w:fill="auto"/>
                  <w:vAlign w:val="center"/>
                  <w:hideMark/>
                </w:tcPr>
                <w:p w14:paraId="6ECE40AB" w14:textId="77777777" w:rsidR="00391907" w:rsidRPr="00EC2A1C" w:rsidRDefault="00391907" w:rsidP="00B15ECB">
                  <w:pPr>
                    <w:spacing w:after="0" w:line="240" w:lineRule="auto"/>
                    <w:jc w:val="right"/>
                    <w:rPr>
                      <w:rFonts w:ascii="Times New Roman" w:eastAsia="Times New Roman" w:hAnsi="Times New Roman" w:cs="Times New Roman"/>
                      <w:color w:val="000000"/>
                      <w:sz w:val="20"/>
                      <w:szCs w:val="20"/>
                      <w:lang w:eastAsia="cs-CZ"/>
                    </w:rPr>
                  </w:pPr>
                  <w:r w:rsidRPr="00EC2A1C">
                    <w:rPr>
                      <w:rFonts w:ascii="Times New Roman" w:eastAsia="Times New Roman" w:hAnsi="Times New Roman" w:cs="Times New Roman"/>
                      <w:color w:val="000000"/>
                      <w:sz w:val="20"/>
                      <w:szCs w:val="20"/>
                      <w:lang w:eastAsia="cs-CZ"/>
                    </w:rPr>
                    <w:t>8,474</w:t>
                  </w:r>
                </w:p>
              </w:tc>
              <w:tc>
                <w:tcPr>
                  <w:tcW w:w="960" w:type="dxa"/>
                  <w:tcBorders>
                    <w:top w:val="nil"/>
                    <w:left w:val="nil"/>
                    <w:bottom w:val="single" w:sz="8" w:space="0" w:color="auto"/>
                    <w:right w:val="single" w:sz="8" w:space="0" w:color="auto"/>
                  </w:tcBorders>
                  <w:shd w:val="clear" w:color="000000" w:fill="D9D9D9"/>
                  <w:noWrap/>
                  <w:vAlign w:val="center"/>
                  <w:hideMark/>
                </w:tcPr>
                <w:p w14:paraId="7993D2C2"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20,552</w:t>
                  </w:r>
                </w:p>
              </w:tc>
            </w:tr>
            <w:tr w:rsidR="00391907" w:rsidRPr="00EC2A1C" w14:paraId="17F60FD4" w14:textId="77777777" w:rsidTr="00B15ECB">
              <w:trPr>
                <w:trHeight w:val="465"/>
              </w:trPr>
              <w:tc>
                <w:tcPr>
                  <w:tcW w:w="960" w:type="dxa"/>
                  <w:tcBorders>
                    <w:top w:val="nil"/>
                    <w:left w:val="single" w:sz="8" w:space="0" w:color="auto"/>
                    <w:bottom w:val="single" w:sz="8" w:space="0" w:color="auto"/>
                    <w:right w:val="single" w:sz="8" w:space="0" w:color="auto"/>
                  </w:tcBorders>
                  <w:shd w:val="clear" w:color="000000" w:fill="D9D9D9"/>
                  <w:vAlign w:val="center"/>
                  <w:hideMark/>
                </w:tcPr>
                <w:p w14:paraId="7CB6D6A5" w14:textId="77777777" w:rsidR="00391907" w:rsidRPr="00EC2A1C" w:rsidRDefault="00391907" w:rsidP="00B15ECB">
                  <w:pPr>
                    <w:spacing w:after="0" w:line="240" w:lineRule="auto"/>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Podpora CR z Krajů</w:t>
                  </w:r>
                </w:p>
              </w:tc>
              <w:tc>
                <w:tcPr>
                  <w:tcW w:w="1140" w:type="dxa"/>
                  <w:tcBorders>
                    <w:top w:val="nil"/>
                    <w:left w:val="nil"/>
                    <w:bottom w:val="single" w:sz="8" w:space="0" w:color="auto"/>
                    <w:right w:val="single" w:sz="8" w:space="0" w:color="auto"/>
                  </w:tcBorders>
                  <w:shd w:val="clear" w:color="000000" w:fill="D9D9D9"/>
                  <w:vAlign w:val="center"/>
                  <w:hideMark/>
                </w:tcPr>
                <w:p w14:paraId="0D55742D"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 </w:t>
                  </w:r>
                </w:p>
              </w:tc>
              <w:tc>
                <w:tcPr>
                  <w:tcW w:w="1180" w:type="dxa"/>
                  <w:tcBorders>
                    <w:top w:val="nil"/>
                    <w:left w:val="nil"/>
                    <w:bottom w:val="single" w:sz="8" w:space="0" w:color="auto"/>
                    <w:right w:val="single" w:sz="8" w:space="0" w:color="auto"/>
                  </w:tcBorders>
                  <w:shd w:val="clear" w:color="000000" w:fill="D9D9D9"/>
                  <w:vAlign w:val="center"/>
                  <w:hideMark/>
                </w:tcPr>
                <w:p w14:paraId="22569C1F"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1 006,4</w:t>
                  </w:r>
                </w:p>
              </w:tc>
              <w:tc>
                <w:tcPr>
                  <w:tcW w:w="1240" w:type="dxa"/>
                  <w:tcBorders>
                    <w:top w:val="nil"/>
                    <w:left w:val="nil"/>
                    <w:bottom w:val="single" w:sz="8" w:space="0" w:color="auto"/>
                    <w:right w:val="single" w:sz="8" w:space="0" w:color="auto"/>
                  </w:tcBorders>
                  <w:shd w:val="clear" w:color="000000" w:fill="D9D9D9"/>
                  <w:vAlign w:val="center"/>
                  <w:hideMark/>
                </w:tcPr>
                <w:p w14:paraId="6FB00675"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1 151,8</w:t>
                  </w:r>
                </w:p>
              </w:tc>
              <w:tc>
                <w:tcPr>
                  <w:tcW w:w="1180" w:type="dxa"/>
                  <w:tcBorders>
                    <w:top w:val="nil"/>
                    <w:left w:val="nil"/>
                    <w:bottom w:val="single" w:sz="8" w:space="0" w:color="auto"/>
                    <w:right w:val="single" w:sz="8" w:space="0" w:color="auto"/>
                  </w:tcBorders>
                  <w:shd w:val="clear" w:color="000000" w:fill="D9D9D9"/>
                  <w:vAlign w:val="center"/>
                  <w:hideMark/>
                </w:tcPr>
                <w:p w14:paraId="4EF4B55B"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1 121,3</w:t>
                  </w:r>
                </w:p>
              </w:tc>
              <w:tc>
                <w:tcPr>
                  <w:tcW w:w="960" w:type="dxa"/>
                  <w:tcBorders>
                    <w:top w:val="nil"/>
                    <w:left w:val="nil"/>
                    <w:bottom w:val="single" w:sz="8" w:space="0" w:color="auto"/>
                    <w:right w:val="single" w:sz="8" w:space="0" w:color="auto"/>
                  </w:tcBorders>
                  <w:shd w:val="clear" w:color="000000" w:fill="D9D9D9"/>
                  <w:noWrap/>
                  <w:vAlign w:val="center"/>
                  <w:hideMark/>
                </w:tcPr>
                <w:p w14:paraId="1CDE51D5" w14:textId="77777777" w:rsidR="00391907" w:rsidRPr="00EC2A1C" w:rsidRDefault="00391907" w:rsidP="00B15ECB">
                  <w:pPr>
                    <w:spacing w:after="0" w:line="240" w:lineRule="auto"/>
                    <w:jc w:val="right"/>
                    <w:rPr>
                      <w:rFonts w:ascii="Times New Roman" w:eastAsia="Times New Roman" w:hAnsi="Times New Roman" w:cs="Times New Roman"/>
                      <w:b/>
                      <w:bCs/>
                      <w:color w:val="000000"/>
                      <w:sz w:val="20"/>
                      <w:szCs w:val="20"/>
                      <w:lang w:eastAsia="cs-CZ"/>
                    </w:rPr>
                  </w:pPr>
                  <w:r w:rsidRPr="00EC2A1C">
                    <w:rPr>
                      <w:rFonts w:ascii="Times New Roman" w:eastAsia="Times New Roman" w:hAnsi="Times New Roman" w:cs="Times New Roman"/>
                      <w:b/>
                      <w:bCs/>
                      <w:color w:val="000000"/>
                      <w:sz w:val="20"/>
                      <w:szCs w:val="20"/>
                      <w:lang w:eastAsia="cs-CZ"/>
                    </w:rPr>
                    <w:t>3 374,6</w:t>
                  </w:r>
                </w:p>
              </w:tc>
            </w:tr>
          </w:tbl>
          <w:p w14:paraId="55C9FB60" w14:textId="77777777" w:rsidR="00391907" w:rsidRPr="00EC2A1C" w:rsidRDefault="00391907" w:rsidP="00B15ECB">
            <w:pPr>
              <w:spacing w:before="60" w:after="60"/>
              <w:rPr>
                <w:rFonts w:eastAsiaTheme="majorEastAsia"/>
              </w:rPr>
            </w:pPr>
          </w:p>
          <w:p w14:paraId="40BD7707" w14:textId="77777777" w:rsidR="00391907" w:rsidRPr="00EC2A1C" w:rsidRDefault="00391907" w:rsidP="00B15ECB">
            <w:pPr>
              <w:spacing w:before="60" w:after="60"/>
              <w:rPr>
                <w:rFonts w:eastAsiaTheme="majorEastAsia"/>
              </w:rPr>
            </w:pPr>
            <w:r w:rsidRPr="00EC2A1C">
              <w:rPr>
                <w:rFonts w:eastAsiaTheme="majorEastAsia"/>
              </w:rPr>
              <w:t xml:space="preserve">Při posuzování absorpční kapacity je třeba reflektovat skutečnost, že národní i krajské programy jsou určené převážně na realizaci malých projektů, dotaci je nutné vyčerpat v roce poskytnutí, i relativně omezenou výši národních a regionálních rozpočtů. Zcela tak vylučují realizaci dlouhodobějších a rozsáhlejších projektů spolupráce v oblasti cestovního ruchu. </w:t>
            </w:r>
          </w:p>
        </w:tc>
        <w:tc>
          <w:tcPr>
            <w:tcW w:w="222" w:type="dxa"/>
            <w:tcBorders>
              <w:top w:val="nil"/>
              <w:left w:val="single" w:sz="4" w:space="0" w:color="auto"/>
              <w:bottom w:val="nil"/>
            </w:tcBorders>
            <w:shd w:val="clear" w:color="auto" w:fill="66CCFF"/>
          </w:tcPr>
          <w:p w14:paraId="3F8C29A0" w14:textId="77777777" w:rsidR="00391907" w:rsidRPr="00EC2A1C" w:rsidRDefault="00391907" w:rsidP="00B15ECB">
            <w:pPr>
              <w:rPr>
                <w:b/>
              </w:rPr>
            </w:pPr>
          </w:p>
        </w:tc>
      </w:tr>
      <w:tr w:rsidR="00391907" w:rsidRPr="00EC2A1C" w14:paraId="5AB973B9" w14:textId="77777777" w:rsidTr="00B15ECB">
        <w:trPr>
          <w:trHeight w:val="850"/>
        </w:trPr>
        <w:tc>
          <w:tcPr>
            <w:tcW w:w="222" w:type="dxa"/>
            <w:tcBorders>
              <w:top w:val="nil"/>
              <w:bottom w:val="nil"/>
            </w:tcBorders>
            <w:shd w:val="clear" w:color="auto" w:fill="66CCFF"/>
          </w:tcPr>
          <w:p w14:paraId="63DF9CCA" w14:textId="77777777" w:rsidR="00391907" w:rsidRPr="00EC2A1C" w:rsidRDefault="00391907" w:rsidP="00B15ECB">
            <w:pPr>
              <w:rPr>
                <w:b/>
              </w:rPr>
            </w:pPr>
          </w:p>
        </w:tc>
        <w:tc>
          <w:tcPr>
            <w:tcW w:w="2188" w:type="dxa"/>
            <w:tcBorders>
              <w:top w:val="single" w:sz="4" w:space="0" w:color="auto"/>
              <w:bottom w:val="single" w:sz="4" w:space="0" w:color="auto"/>
            </w:tcBorders>
            <w:shd w:val="clear" w:color="auto" w:fill="FFFFFF" w:themeFill="background1"/>
          </w:tcPr>
          <w:p w14:paraId="148EE8E5" w14:textId="77777777" w:rsidR="00391907" w:rsidRPr="00EC2A1C" w:rsidRDefault="00391907" w:rsidP="00391907">
            <w:pPr>
              <w:pStyle w:val="Odstavecseseznamem"/>
              <w:numPr>
                <w:ilvl w:val="0"/>
                <w:numId w:val="5"/>
              </w:numPr>
              <w:spacing w:before="60" w:after="60"/>
              <w:rPr>
                <w:rFonts w:eastAsiaTheme="majorEastAsia"/>
                <w:b/>
              </w:rPr>
            </w:pPr>
            <w:r w:rsidRPr="00EC2A1C">
              <w:rPr>
                <w:rFonts w:eastAsiaTheme="majorEastAsia"/>
                <w:b/>
              </w:rPr>
              <w:t>Poptávka příjemců</w:t>
            </w:r>
          </w:p>
        </w:tc>
        <w:tc>
          <w:tcPr>
            <w:tcW w:w="7342" w:type="dxa"/>
            <w:tcBorders>
              <w:top w:val="single" w:sz="4" w:space="0" w:color="auto"/>
              <w:bottom w:val="single" w:sz="4" w:space="0" w:color="auto"/>
            </w:tcBorders>
            <w:shd w:val="clear" w:color="auto" w:fill="FFFFFF" w:themeFill="background1"/>
          </w:tcPr>
          <w:p w14:paraId="4989682A" w14:textId="77777777" w:rsidR="00391907" w:rsidRPr="00EC2A1C" w:rsidRDefault="00391907" w:rsidP="00B15ECB">
            <w:pPr>
              <w:spacing w:before="60" w:after="60"/>
              <w:rPr>
                <w:rFonts w:eastAsiaTheme="majorEastAsia"/>
                <w:i/>
              </w:rPr>
            </w:pPr>
            <w:r w:rsidRPr="00EC2A1C">
              <w:rPr>
                <w:rFonts w:eastAsiaTheme="majorEastAsia"/>
                <w:i/>
              </w:rPr>
              <w:t>Popsat stávající a předpokládanou poptávku příjemců.</w:t>
            </w:r>
          </w:p>
          <w:p w14:paraId="376DFE55" w14:textId="4E18D50F" w:rsidR="00391907" w:rsidRPr="00EC2A1C" w:rsidRDefault="00391907" w:rsidP="00B15ECB">
            <w:pPr>
              <w:spacing w:before="60" w:after="60"/>
              <w:rPr>
                <w:rFonts w:eastAsiaTheme="majorEastAsia"/>
              </w:rPr>
            </w:pPr>
            <w:r w:rsidRPr="00EC2A1C">
              <w:rPr>
                <w:rFonts w:eastAsiaTheme="majorEastAsia"/>
              </w:rPr>
              <w:t>I s ohledem na omezení podpory cestovního ruchu v</w:t>
            </w:r>
            <w:r w:rsidR="00D26473" w:rsidRPr="00EC2A1C">
              <w:rPr>
                <w:rFonts w:eastAsiaTheme="majorEastAsia"/>
              </w:rPr>
              <w:t xml:space="preserve"> aktuálním </w:t>
            </w:r>
            <w:r w:rsidRPr="00EC2A1C">
              <w:rPr>
                <w:rFonts w:eastAsiaTheme="majorEastAsia"/>
              </w:rPr>
              <w:t>období a dlouhodobému podfinancování rozvoje infrastruktury cestovního ruchu je předpokládaná poptávka příjemců vysoká. Výši poptávky bude umocňovat i potřeba zavádění opatření adaptace na změnu klimatu v destinacích cestovního ruchu. Zásobník projektů na národní úrovni sledován není, avšak lze vyžádat dílčí informace alespoň od vyšších územně správních celků (kraje) a oblastních DMO.</w:t>
            </w:r>
            <w:r w:rsidRPr="00EC2A1C">
              <w:rPr>
                <w:rStyle w:val="Znakapoznpodarou"/>
                <w:rFonts w:eastAsiaTheme="majorEastAsia"/>
              </w:rPr>
              <w:footnoteReference w:id="70"/>
            </w:r>
          </w:p>
        </w:tc>
        <w:tc>
          <w:tcPr>
            <w:tcW w:w="222" w:type="dxa"/>
            <w:tcBorders>
              <w:top w:val="nil"/>
              <w:bottom w:val="nil"/>
            </w:tcBorders>
            <w:shd w:val="clear" w:color="auto" w:fill="66CCFF"/>
          </w:tcPr>
          <w:p w14:paraId="79194D5A" w14:textId="77777777" w:rsidR="00391907" w:rsidRPr="00EC2A1C" w:rsidRDefault="00391907" w:rsidP="00B15ECB">
            <w:pPr>
              <w:rPr>
                <w:b/>
              </w:rPr>
            </w:pPr>
          </w:p>
        </w:tc>
      </w:tr>
      <w:tr w:rsidR="00391907" w:rsidRPr="00EC2A1C" w14:paraId="4DF476CD" w14:textId="77777777" w:rsidTr="00B15ECB">
        <w:trPr>
          <w:trHeight w:val="925"/>
        </w:trPr>
        <w:tc>
          <w:tcPr>
            <w:tcW w:w="222" w:type="dxa"/>
            <w:tcBorders>
              <w:top w:val="nil"/>
              <w:bottom w:val="nil"/>
            </w:tcBorders>
            <w:shd w:val="clear" w:color="auto" w:fill="66CCFF"/>
          </w:tcPr>
          <w:p w14:paraId="17996E21"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7422AD5E" w14:textId="77777777" w:rsidR="00391907" w:rsidRPr="00EC2A1C" w:rsidRDefault="00391907" w:rsidP="00391907">
            <w:pPr>
              <w:pStyle w:val="Odstavecseseznamem"/>
              <w:numPr>
                <w:ilvl w:val="0"/>
                <w:numId w:val="5"/>
              </w:numPr>
              <w:spacing w:before="60" w:after="60"/>
              <w:rPr>
                <w:rFonts w:eastAsiaTheme="majorEastAsia"/>
                <w:b/>
              </w:rPr>
            </w:pPr>
            <w:r w:rsidRPr="00EC2A1C">
              <w:rPr>
                <w:rFonts w:eastAsiaTheme="majorEastAsia"/>
                <w:b/>
              </w:rPr>
              <w:t>Příprava projektových záměrů</w:t>
            </w:r>
          </w:p>
        </w:tc>
        <w:tc>
          <w:tcPr>
            <w:tcW w:w="7342" w:type="dxa"/>
            <w:tcBorders>
              <w:bottom w:val="single" w:sz="4" w:space="0" w:color="auto"/>
            </w:tcBorders>
            <w:shd w:val="clear" w:color="auto" w:fill="FFFFFF" w:themeFill="background1"/>
          </w:tcPr>
          <w:p w14:paraId="7161F6FE" w14:textId="77777777" w:rsidR="00391907" w:rsidRPr="00EC2A1C" w:rsidRDefault="00391907" w:rsidP="00B15ECB">
            <w:pPr>
              <w:spacing w:before="60" w:after="60"/>
              <w:rPr>
                <w:rFonts w:eastAsiaTheme="majorEastAsia"/>
                <w:i/>
              </w:rPr>
            </w:pPr>
            <w:r w:rsidRPr="00EC2A1C">
              <w:rPr>
                <w:rFonts w:eastAsiaTheme="majorEastAsia"/>
                <w:i/>
              </w:rPr>
              <w:t>Popsat, zda se připravují projektové záměry pro budoucí období, a zda existuje plán takových záměrů.</w:t>
            </w:r>
          </w:p>
          <w:p w14:paraId="564D5440" w14:textId="75B2FDCF" w:rsidR="00391907" w:rsidRPr="00EC2A1C" w:rsidRDefault="00391907" w:rsidP="00B15ECB">
            <w:pPr>
              <w:spacing w:before="60" w:after="60"/>
              <w:rPr>
                <w:rFonts w:eastAsiaTheme="majorEastAsia"/>
              </w:rPr>
            </w:pPr>
            <w:r w:rsidRPr="00EC2A1C">
              <w:rPr>
                <w:rFonts w:eastAsiaTheme="majorEastAsia"/>
              </w:rPr>
              <w:t xml:space="preserve">Zásobník projektů s uvedením </w:t>
            </w:r>
            <w:r w:rsidR="00D26473" w:rsidRPr="00EC2A1C">
              <w:rPr>
                <w:rFonts w:eastAsiaTheme="majorEastAsia"/>
              </w:rPr>
              <w:t>konkrétního</w:t>
            </w:r>
            <w:r w:rsidRPr="00EC2A1C">
              <w:rPr>
                <w:rFonts w:eastAsiaTheme="majorEastAsia"/>
              </w:rPr>
              <w:t xml:space="preserve"> stavu rozpracovanosti nebyl zjišťován. Avšak dle vyjádření zástupců regionů jsou v regionech připravené projekty v oblasti infrastruktury cestovního ruchu, které „čekají“ na vhodný nástroj financování.</w:t>
            </w:r>
          </w:p>
        </w:tc>
        <w:tc>
          <w:tcPr>
            <w:tcW w:w="222" w:type="dxa"/>
            <w:tcBorders>
              <w:top w:val="nil"/>
              <w:bottom w:val="nil"/>
            </w:tcBorders>
            <w:shd w:val="clear" w:color="auto" w:fill="66CCFF"/>
          </w:tcPr>
          <w:p w14:paraId="6FA5FD54" w14:textId="77777777" w:rsidR="00391907" w:rsidRPr="00EC2A1C" w:rsidRDefault="00391907" w:rsidP="00B15ECB">
            <w:pPr>
              <w:rPr>
                <w:b/>
              </w:rPr>
            </w:pPr>
          </w:p>
        </w:tc>
      </w:tr>
      <w:tr w:rsidR="00391907" w:rsidRPr="00EC2A1C" w14:paraId="346BAED6" w14:textId="77777777" w:rsidTr="00B15ECB">
        <w:trPr>
          <w:trHeight w:val="1001"/>
        </w:trPr>
        <w:tc>
          <w:tcPr>
            <w:tcW w:w="222" w:type="dxa"/>
            <w:tcBorders>
              <w:top w:val="nil"/>
              <w:bottom w:val="nil"/>
            </w:tcBorders>
            <w:shd w:val="clear" w:color="auto" w:fill="66CCFF"/>
          </w:tcPr>
          <w:p w14:paraId="367E76E8" w14:textId="77777777" w:rsidR="00391907" w:rsidRPr="00EC2A1C" w:rsidRDefault="00391907" w:rsidP="00B15ECB">
            <w:pPr>
              <w:rPr>
                <w:b/>
              </w:rPr>
            </w:pPr>
          </w:p>
        </w:tc>
        <w:tc>
          <w:tcPr>
            <w:tcW w:w="2188" w:type="dxa"/>
            <w:tcBorders>
              <w:bottom w:val="single" w:sz="4" w:space="0" w:color="auto"/>
            </w:tcBorders>
            <w:shd w:val="clear" w:color="auto" w:fill="FFFFFF" w:themeFill="background1"/>
          </w:tcPr>
          <w:p w14:paraId="2CA4735B" w14:textId="77777777" w:rsidR="00391907" w:rsidRPr="00EC2A1C" w:rsidRDefault="00391907" w:rsidP="00391907">
            <w:pPr>
              <w:pStyle w:val="Odstavecseseznamem"/>
              <w:numPr>
                <w:ilvl w:val="0"/>
                <w:numId w:val="5"/>
              </w:numPr>
              <w:spacing w:before="60" w:after="60"/>
              <w:rPr>
                <w:rFonts w:eastAsiaTheme="majorEastAsia"/>
                <w:b/>
              </w:rPr>
            </w:pPr>
            <w:r w:rsidRPr="00EC2A1C">
              <w:rPr>
                <w:rFonts w:eastAsiaTheme="majorEastAsia"/>
                <w:b/>
              </w:rPr>
              <w:t>Bariéry</w:t>
            </w:r>
          </w:p>
        </w:tc>
        <w:tc>
          <w:tcPr>
            <w:tcW w:w="7342" w:type="dxa"/>
            <w:tcBorders>
              <w:bottom w:val="single" w:sz="4" w:space="0" w:color="auto"/>
            </w:tcBorders>
            <w:shd w:val="clear" w:color="auto" w:fill="FFFFFF" w:themeFill="background1"/>
          </w:tcPr>
          <w:p w14:paraId="3BEA3211" w14:textId="77777777" w:rsidR="00391907" w:rsidRPr="00EC2A1C" w:rsidRDefault="00391907" w:rsidP="00B15ECB">
            <w:pPr>
              <w:spacing w:before="60" w:after="60"/>
              <w:rPr>
                <w:rFonts w:eastAsiaTheme="majorEastAsia"/>
                <w:i/>
              </w:rPr>
            </w:pPr>
            <w:r w:rsidRPr="00EC2A1C">
              <w:rPr>
                <w:rFonts w:eastAsiaTheme="majorEastAsia"/>
                <w:i/>
              </w:rPr>
              <w:t>Popsat stávající a budoucí bariéry dosažení cílů. Případně popsat, jak jsou tyto bariéry řešeny.</w:t>
            </w:r>
          </w:p>
          <w:p w14:paraId="228F7F02" w14:textId="2FE0FE46" w:rsidR="00391907" w:rsidRPr="00EC2A1C" w:rsidRDefault="00391907" w:rsidP="00B15ECB">
            <w:pPr>
              <w:spacing w:before="60" w:after="60"/>
              <w:rPr>
                <w:rFonts w:eastAsiaTheme="majorEastAsia"/>
              </w:rPr>
            </w:pPr>
            <w:r w:rsidRPr="00EC2A1C">
              <w:rPr>
                <w:rFonts w:eastAsiaTheme="majorEastAsia"/>
              </w:rPr>
              <w:t xml:space="preserve">Není známa procesní bariéra, která bránila realizaci projektů v oblasti cestovního ruchu. U realizace infrastrukturních opatření může být </w:t>
            </w:r>
            <w:r w:rsidR="00D26473" w:rsidRPr="00EC2A1C">
              <w:rPr>
                <w:rFonts w:eastAsiaTheme="majorEastAsia"/>
              </w:rPr>
              <w:t>omezujícím</w:t>
            </w:r>
            <w:r w:rsidRPr="00EC2A1C">
              <w:rPr>
                <w:rFonts w:eastAsiaTheme="majorEastAsia"/>
              </w:rPr>
              <w:t xml:space="preserve"> faktorem délka stavebního řízení, případně vyloučení NNO z okruhu oprávněných žadatelů. V oblasti komerčních projektů je dlouhodobě možný problém ve věci poskytování veřejné podpory podnikatelským subjektům. Proto je na místě zavedení finančních nástrojů pro podporu čistě ziskových projektů (nikoliv projektů v souvislosti s adaptací na změny klimatu). </w:t>
            </w:r>
          </w:p>
        </w:tc>
        <w:tc>
          <w:tcPr>
            <w:tcW w:w="222" w:type="dxa"/>
            <w:tcBorders>
              <w:top w:val="nil"/>
              <w:bottom w:val="nil"/>
            </w:tcBorders>
            <w:shd w:val="clear" w:color="auto" w:fill="66CCFF"/>
          </w:tcPr>
          <w:p w14:paraId="7608387B" w14:textId="77777777" w:rsidR="00391907" w:rsidRPr="00EC2A1C" w:rsidRDefault="00391907" w:rsidP="00B15ECB">
            <w:pPr>
              <w:rPr>
                <w:b/>
              </w:rPr>
            </w:pPr>
          </w:p>
        </w:tc>
      </w:tr>
      <w:tr w:rsidR="00391907" w:rsidRPr="00EC2A1C" w14:paraId="218392EE" w14:textId="77777777" w:rsidTr="00B15ECB">
        <w:trPr>
          <w:trHeight w:val="613"/>
        </w:trPr>
        <w:tc>
          <w:tcPr>
            <w:tcW w:w="222" w:type="dxa"/>
            <w:tcBorders>
              <w:top w:val="nil"/>
              <w:left w:val="single" w:sz="4" w:space="0" w:color="auto"/>
              <w:bottom w:val="single" w:sz="4" w:space="0" w:color="auto"/>
              <w:right w:val="nil"/>
            </w:tcBorders>
            <w:shd w:val="clear" w:color="auto" w:fill="66CCFF"/>
          </w:tcPr>
          <w:p w14:paraId="221F0DCD" w14:textId="77777777" w:rsidR="00391907" w:rsidRPr="00EC2A1C" w:rsidRDefault="00391907" w:rsidP="00B15ECB">
            <w:pPr>
              <w:rPr>
                <w:b/>
              </w:rPr>
            </w:pPr>
          </w:p>
        </w:tc>
        <w:tc>
          <w:tcPr>
            <w:tcW w:w="2188" w:type="dxa"/>
            <w:tcBorders>
              <w:top w:val="single" w:sz="4" w:space="0" w:color="auto"/>
              <w:left w:val="nil"/>
              <w:bottom w:val="single" w:sz="4" w:space="0" w:color="auto"/>
              <w:right w:val="nil"/>
            </w:tcBorders>
            <w:shd w:val="clear" w:color="auto" w:fill="66CCFF"/>
          </w:tcPr>
          <w:p w14:paraId="1C6144F2" w14:textId="77777777" w:rsidR="00391907" w:rsidRPr="00EC2A1C" w:rsidRDefault="00391907" w:rsidP="00B15ECB">
            <w:pPr>
              <w:spacing w:before="60" w:after="60"/>
              <w:rPr>
                <w:rFonts w:eastAsiaTheme="majorEastAsia"/>
                <w:b/>
              </w:rPr>
            </w:pPr>
          </w:p>
        </w:tc>
        <w:tc>
          <w:tcPr>
            <w:tcW w:w="7342" w:type="dxa"/>
            <w:tcBorders>
              <w:top w:val="single" w:sz="4" w:space="0" w:color="auto"/>
              <w:left w:val="nil"/>
              <w:bottom w:val="single" w:sz="4" w:space="0" w:color="auto"/>
              <w:right w:val="nil"/>
            </w:tcBorders>
            <w:shd w:val="clear" w:color="auto" w:fill="66CCFF"/>
          </w:tcPr>
          <w:p w14:paraId="5A9EB8BA" w14:textId="77777777" w:rsidR="00391907" w:rsidRPr="00EC2A1C" w:rsidRDefault="00391907" w:rsidP="00B15ECB">
            <w:pPr>
              <w:spacing w:before="60" w:after="60"/>
              <w:rPr>
                <w:rFonts w:eastAsiaTheme="majorEastAsia"/>
                <w:i/>
              </w:rPr>
            </w:pPr>
          </w:p>
        </w:tc>
        <w:tc>
          <w:tcPr>
            <w:tcW w:w="222" w:type="dxa"/>
            <w:tcBorders>
              <w:top w:val="nil"/>
              <w:left w:val="nil"/>
              <w:bottom w:val="single" w:sz="4" w:space="0" w:color="auto"/>
              <w:right w:val="single" w:sz="4" w:space="0" w:color="auto"/>
            </w:tcBorders>
            <w:shd w:val="clear" w:color="auto" w:fill="66CCFF"/>
          </w:tcPr>
          <w:p w14:paraId="162195FC" w14:textId="77777777" w:rsidR="00391907" w:rsidRPr="00EC2A1C" w:rsidRDefault="00391907" w:rsidP="00B15ECB">
            <w:pPr>
              <w:rPr>
                <w:b/>
              </w:rPr>
            </w:pPr>
          </w:p>
        </w:tc>
      </w:tr>
      <w:tr w:rsidR="00391907" w:rsidRPr="00EC2A1C" w14:paraId="71570258" w14:textId="77777777" w:rsidTr="00B15ECB">
        <w:trPr>
          <w:trHeight w:val="1559"/>
        </w:trPr>
        <w:tc>
          <w:tcPr>
            <w:tcW w:w="222" w:type="dxa"/>
            <w:tcBorders>
              <w:top w:val="single" w:sz="4" w:space="0" w:color="auto"/>
              <w:bottom w:val="single" w:sz="4" w:space="0" w:color="auto"/>
            </w:tcBorders>
            <w:shd w:val="clear" w:color="auto" w:fill="66CCFF"/>
          </w:tcPr>
          <w:p w14:paraId="4FA878A5" w14:textId="77777777" w:rsidR="00391907" w:rsidRPr="00EC2A1C" w:rsidRDefault="00391907" w:rsidP="00B15ECB">
            <w:pPr>
              <w:rPr>
                <w:b/>
              </w:rPr>
            </w:pPr>
          </w:p>
        </w:tc>
        <w:tc>
          <w:tcPr>
            <w:tcW w:w="9530" w:type="dxa"/>
            <w:gridSpan w:val="2"/>
            <w:tcBorders>
              <w:top w:val="single" w:sz="4" w:space="0" w:color="auto"/>
              <w:bottom w:val="single" w:sz="4" w:space="0" w:color="auto"/>
            </w:tcBorders>
            <w:shd w:val="clear" w:color="auto" w:fill="FFFFFF" w:themeFill="background1"/>
          </w:tcPr>
          <w:p w14:paraId="0D293706" w14:textId="77777777" w:rsidR="00391907" w:rsidRPr="00EC2A1C" w:rsidRDefault="00391907" w:rsidP="00B15ECB">
            <w:pPr>
              <w:spacing w:before="60" w:after="60"/>
              <w:rPr>
                <w:rFonts w:eastAsiaTheme="majorEastAsia"/>
                <w:b/>
              </w:rPr>
            </w:pPr>
            <w:r w:rsidRPr="00EC2A1C">
              <w:rPr>
                <w:rFonts w:eastAsiaTheme="majorEastAsia"/>
                <w:b/>
              </w:rPr>
              <w:t>Alternativní zdroje</w:t>
            </w:r>
          </w:p>
          <w:p w14:paraId="013095EF" w14:textId="77777777" w:rsidR="00391907" w:rsidRPr="00EC2A1C" w:rsidRDefault="00391907" w:rsidP="00B15ECB">
            <w:pPr>
              <w:spacing w:before="60" w:after="60"/>
              <w:rPr>
                <w:rFonts w:eastAsiaTheme="majorEastAsia"/>
                <w:i/>
              </w:rPr>
            </w:pPr>
            <w:r w:rsidRPr="00EC2A1C">
              <w:rPr>
                <w:rFonts w:eastAsiaTheme="majorEastAsia"/>
                <w:i/>
              </w:rPr>
              <w:t>Popsat další možné zdroje pro financování cíle v budoucím období, a zhodnotit reálnou možnost jejich využití.</w:t>
            </w:r>
          </w:p>
          <w:p w14:paraId="3FF4A081" w14:textId="77777777" w:rsidR="00391907" w:rsidRPr="00EC2A1C" w:rsidRDefault="00391907" w:rsidP="00B15ECB">
            <w:pPr>
              <w:spacing w:before="60" w:after="60"/>
              <w:rPr>
                <w:rFonts w:eastAsiaTheme="majorEastAsia"/>
                <w:i/>
                <w:u w:val="single"/>
              </w:rPr>
            </w:pPr>
            <w:r w:rsidRPr="00EC2A1C">
              <w:rPr>
                <w:rFonts w:eastAsiaTheme="majorEastAsia"/>
                <w:i/>
                <w:u w:val="single"/>
              </w:rPr>
              <w:t>Bylo i v předchozí kartě, ale ve většině případů bude nutné podstatně doplnit.</w:t>
            </w:r>
          </w:p>
          <w:p w14:paraId="26BE54ED" w14:textId="77777777" w:rsidR="00391907" w:rsidRPr="00EC2A1C" w:rsidRDefault="00391907" w:rsidP="00B15ECB">
            <w:pPr>
              <w:spacing w:before="60" w:after="60"/>
              <w:rPr>
                <w:rFonts w:eastAsiaTheme="majorEastAsia"/>
              </w:rPr>
            </w:pPr>
            <w:r w:rsidRPr="00EC2A1C">
              <w:rPr>
                <w:rFonts w:eastAsiaTheme="majorEastAsia"/>
              </w:rPr>
              <w:t>S ohledem na aktuální nastavení politiky cestovního ruchu i uvažovaný model vícezdrojového financování neexistuje alternativní dotační titul na financování aktivit v oblasti rozvoje veřejné infrastruktury cestovního ruchu a přizpůsobení se změny klimatu. Stávající dotační tituly jsou doplňkové a umožňují realizaci dalších navazujících aktivit. Rovněž chybí prostředky na realizaci dlouhodobého výzkumu a šetření v oblasti cestovního ruchu s ohledem na udržitelný rozvoj území.</w:t>
            </w:r>
          </w:p>
          <w:p w14:paraId="6ECCC1CA" w14:textId="77777777" w:rsidR="00391907" w:rsidRPr="00EC2A1C" w:rsidRDefault="00391907" w:rsidP="00B15ECB">
            <w:pPr>
              <w:spacing w:before="60" w:after="60"/>
              <w:rPr>
                <w:rFonts w:eastAsiaTheme="majorEastAsia"/>
              </w:rPr>
            </w:pPr>
            <w:r w:rsidRPr="00EC2A1C">
              <w:rPr>
                <w:rFonts w:eastAsiaTheme="majorEastAsia"/>
              </w:rPr>
              <w:t>Vzhledem k průřezovosti cestovního ruchu je nutné nejdříve stanovit, zda bude možné, aby vybrané aktivity/ opatření na podporu udržitelného cestovního ruchu byly realizovány rovněž v dalších operačních programech.</w:t>
            </w:r>
          </w:p>
          <w:p w14:paraId="40335D57" w14:textId="77777777" w:rsidR="00391907" w:rsidRPr="00EC2A1C" w:rsidRDefault="00391907" w:rsidP="00B15ECB">
            <w:pPr>
              <w:spacing w:before="60" w:after="60"/>
              <w:rPr>
                <w:rFonts w:eastAsiaTheme="majorEastAsia"/>
              </w:rPr>
            </w:pPr>
            <w:r w:rsidRPr="00EC2A1C">
              <w:rPr>
                <w:rFonts w:eastAsiaTheme="majorEastAsia"/>
              </w:rPr>
              <w:t>Dle doporučené varianty č. 1 (5 tematických OP; 1 regionální OP; 1 OP na TP; přeshraniční OP) lze uvažovat následující přiřazení aktivit z oblasti cestovního ruchu:</w:t>
            </w:r>
          </w:p>
          <w:p w14:paraId="0D90AF4C" w14:textId="77777777" w:rsidR="00391907" w:rsidRPr="00EC2A1C" w:rsidRDefault="00391907" w:rsidP="00B15ECB">
            <w:pPr>
              <w:spacing w:before="60" w:after="60"/>
              <w:rPr>
                <w:rFonts w:eastAsiaTheme="majorEastAsia"/>
              </w:rPr>
            </w:pPr>
            <w:r w:rsidRPr="00EC2A1C">
              <w:rPr>
                <w:rFonts w:eastAsiaTheme="majorEastAsia"/>
              </w:rPr>
              <w:t>OP Konkurenceschopnost:</w:t>
            </w:r>
          </w:p>
          <w:p w14:paraId="02A19E2D"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 xml:space="preserve">Spolupráce a funkční propojení veřejné správy, akademického, výzkumného a podnikatelského sektoru </w:t>
            </w:r>
          </w:p>
          <w:p w14:paraId="0D3DD43B"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 xml:space="preserve">Zlepšení inovační schopnosti MSP </w:t>
            </w:r>
          </w:p>
          <w:p w14:paraId="18039189"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 xml:space="preserve">Zavedení principů 4.0 ve firmách </w:t>
            </w:r>
          </w:p>
          <w:p w14:paraId="5BF304C8"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 xml:space="preserve">Zvýšení energetické účinnosti a energetických úspor </w:t>
            </w:r>
          </w:p>
          <w:p w14:paraId="150B5D50"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Zavedení inovativních nízkouhlíkových technologií</w:t>
            </w:r>
          </w:p>
          <w:p w14:paraId="70079064"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Efektivní a šetrné využívání OZE</w:t>
            </w:r>
          </w:p>
          <w:p w14:paraId="6D3B2D5C"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Využití brownfieldů pro podnikatelskou činnost</w:t>
            </w:r>
          </w:p>
          <w:p w14:paraId="124804F5" w14:textId="77777777" w:rsidR="00391907" w:rsidRPr="00EC2A1C" w:rsidRDefault="00391907" w:rsidP="00B15ECB">
            <w:pPr>
              <w:pStyle w:val="Odstavecseseznamem"/>
              <w:spacing w:before="60" w:after="60"/>
              <w:rPr>
                <w:rFonts w:eastAsiaTheme="majorEastAsia"/>
              </w:rPr>
            </w:pPr>
          </w:p>
          <w:p w14:paraId="6FF2D915" w14:textId="77777777" w:rsidR="00391907" w:rsidRPr="00EC2A1C" w:rsidRDefault="00391907" w:rsidP="00B15ECB">
            <w:pPr>
              <w:spacing w:before="60" w:after="60"/>
              <w:rPr>
                <w:rFonts w:eastAsiaTheme="majorEastAsia"/>
              </w:rPr>
            </w:pPr>
            <w:r w:rsidRPr="00EC2A1C">
              <w:rPr>
                <w:rFonts w:eastAsiaTheme="majorEastAsia"/>
              </w:rPr>
              <w:t>OP Doprava</w:t>
            </w:r>
          </w:p>
          <w:p w14:paraId="527EEFAB"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 xml:space="preserve">Zvýšení využití a dostupnosti alternativních paliv v dopravě </w:t>
            </w:r>
          </w:p>
          <w:p w14:paraId="6ABD4278"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Zavedení moderních technologií pro organizaci dopravy a snížení dopravní zátěže</w:t>
            </w:r>
          </w:p>
          <w:p w14:paraId="79ABDD24" w14:textId="77777777" w:rsidR="00391907" w:rsidRPr="00EC2A1C" w:rsidRDefault="00391907" w:rsidP="00B15ECB">
            <w:pPr>
              <w:spacing w:before="60" w:after="60"/>
              <w:rPr>
                <w:rFonts w:eastAsiaTheme="majorEastAsia"/>
              </w:rPr>
            </w:pPr>
          </w:p>
          <w:p w14:paraId="514FAF54" w14:textId="77777777" w:rsidR="00391907" w:rsidRPr="00EC2A1C" w:rsidRDefault="00391907" w:rsidP="00B15ECB">
            <w:pPr>
              <w:spacing w:before="60" w:after="60"/>
              <w:rPr>
                <w:rFonts w:eastAsiaTheme="majorEastAsia"/>
              </w:rPr>
            </w:pPr>
            <w:r w:rsidRPr="00EC2A1C">
              <w:rPr>
                <w:rFonts w:eastAsiaTheme="majorEastAsia"/>
              </w:rPr>
              <w:t>OP Životní prostředí</w:t>
            </w:r>
          </w:p>
          <w:p w14:paraId="79061017"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Ochrana a péče o přírodu a krajinu</w:t>
            </w:r>
          </w:p>
          <w:p w14:paraId="78A435BE"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Zlepšení kvality ovzduší</w:t>
            </w:r>
          </w:p>
          <w:p w14:paraId="4EAEAFBC"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Ochrana a zlepšení stavu vody a vodního hospodářství</w:t>
            </w:r>
          </w:p>
          <w:p w14:paraId="1E98A6ED"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Zavedení principů oběhového hospodářství a účinné využívání zdrojů</w:t>
            </w:r>
          </w:p>
          <w:p w14:paraId="61488D97"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Zvýšení energetické účinnosti a energetických úspor</w:t>
            </w:r>
          </w:p>
          <w:p w14:paraId="376CBC3D"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Efektivní a šetrné využívání OZE</w:t>
            </w:r>
          </w:p>
          <w:p w14:paraId="617E3697" w14:textId="77777777" w:rsidR="00391907" w:rsidRPr="00EC2A1C" w:rsidRDefault="00391907" w:rsidP="00B15ECB">
            <w:pPr>
              <w:spacing w:before="60" w:after="60"/>
              <w:rPr>
                <w:rFonts w:eastAsiaTheme="majorEastAsia"/>
              </w:rPr>
            </w:pPr>
          </w:p>
          <w:p w14:paraId="4201352B" w14:textId="77777777" w:rsidR="00391907" w:rsidRPr="00EC2A1C" w:rsidRDefault="00391907" w:rsidP="00B15ECB">
            <w:pPr>
              <w:spacing w:before="60" w:after="60"/>
              <w:rPr>
                <w:rFonts w:eastAsiaTheme="majorEastAsia"/>
              </w:rPr>
            </w:pPr>
            <w:r w:rsidRPr="00EC2A1C">
              <w:rPr>
                <w:rFonts w:eastAsiaTheme="majorEastAsia"/>
              </w:rPr>
              <w:t>OP Výzkum a vzdělávání</w:t>
            </w:r>
          </w:p>
          <w:p w14:paraId="43618531"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Funkční propojení veřejné správy, akademického, výzkumného a podnikatelského sektoru</w:t>
            </w:r>
          </w:p>
          <w:p w14:paraId="0F3F8916"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Rozvoj kapacit pro vzdělávání</w:t>
            </w:r>
          </w:p>
          <w:p w14:paraId="137AD422"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Zlepšování prostředí a rozvoj a kapacit pro výzkum a vývoj</w:t>
            </w:r>
          </w:p>
          <w:p w14:paraId="6A28C63C" w14:textId="77777777" w:rsidR="00391907" w:rsidRPr="00EC2A1C" w:rsidRDefault="00391907" w:rsidP="00B15ECB">
            <w:pPr>
              <w:spacing w:before="60" w:after="60"/>
              <w:rPr>
                <w:rFonts w:eastAsiaTheme="majorEastAsia"/>
              </w:rPr>
            </w:pPr>
          </w:p>
          <w:p w14:paraId="3949DA3E" w14:textId="77777777" w:rsidR="00391907" w:rsidRPr="00EC2A1C" w:rsidRDefault="00391907" w:rsidP="00B15ECB">
            <w:pPr>
              <w:spacing w:before="60" w:after="60"/>
              <w:rPr>
                <w:rFonts w:eastAsiaTheme="majorEastAsia"/>
              </w:rPr>
            </w:pPr>
            <w:r w:rsidRPr="00EC2A1C">
              <w:rPr>
                <w:rFonts w:eastAsiaTheme="majorEastAsia"/>
              </w:rPr>
              <w:t>OP Lidské zdroje</w:t>
            </w:r>
          </w:p>
          <w:p w14:paraId="61464C52"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Zvýšení účasti znevýhodněných skupin na trhu práce</w:t>
            </w:r>
          </w:p>
          <w:p w14:paraId="60EAD0C9"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Fungující systém dalšího profesního vzdělávání</w:t>
            </w:r>
          </w:p>
          <w:p w14:paraId="2B58978C" w14:textId="77777777" w:rsidR="00391907" w:rsidRPr="00EC2A1C" w:rsidRDefault="00391907" w:rsidP="00B15ECB">
            <w:pPr>
              <w:spacing w:before="60" w:after="60"/>
              <w:rPr>
                <w:rFonts w:eastAsiaTheme="majorEastAsia"/>
              </w:rPr>
            </w:pPr>
          </w:p>
          <w:p w14:paraId="00BA9840" w14:textId="77777777" w:rsidR="00391907" w:rsidRPr="00EC2A1C" w:rsidRDefault="00391907" w:rsidP="00B15ECB">
            <w:pPr>
              <w:spacing w:before="60" w:after="60"/>
              <w:rPr>
                <w:rFonts w:eastAsiaTheme="majorEastAsia"/>
              </w:rPr>
            </w:pPr>
            <w:r w:rsidRPr="00EC2A1C">
              <w:rPr>
                <w:rFonts w:eastAsiaTheme="majorEastAsia"/>
              </w:rPr>
              <w:t>IROP</w:t>
            </w:r>
          </w:p>
          <w:p w14:paraId="116F802E"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Nízkoemisní a bezemisní vozidla a související infrastruktura</w:t>
            </w:r>
          </w:p>
          <w:p w14:paraId="7D952FA3"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Zkvalitňování územní vzdělávací infrastruktury</w:t>
            </w:r>
          </w:p>
          <w:p w14:paraId="5F517E21"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Rozvoj inovačních aktivit ve vazbě na podporu podnikání a trh práce</w:t>
            </w:r>
          </w:p>
          <w:p w14:paraId="5460AE99"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Podpora veřejné infrastruktury cestovního ruchu a kulturního dědictví</w:t>
            </w:r>
          </w:p>
          <w:p w14:paraId="1C171207" w14:textId="77777777" w:rsidR="00391907" w:rsidRPr="00EC2A1C" w:rsidRDefault="00391907" w:rsidP="00391907">
            <w:pPr>
              <w:pStyle w:val="Odstavecseseznamem"/>
              <w:numPr>
                <w:ilvl w:val="0"/>
                <w:numId w:val="138"/>
              </w:numPr>
              <w:spacing w:before="60" w:after="60"/>
              <w:jc w:val="both"/>
              <w:rPr>
                <w:rFonts w:eastAsiaTheme="majorEastAsia"/>
              </w:rPr>
            </w:pPr>
            <w:r w:rsidRPr="00EC2A1C">
              <w:rPr>
                <w:rFonts w:eastAsiaTheme="majorEastAsia"/>
              </w:rPr>
              <w:t>Revitalizace brownfieldů</w:t>
            </w:r>
          </w:p>
          <w:p w14:paraId="3C1B6658" w14:textId="77777777" w:rsidR="00391907" w:rsidRPr="00EC2A1C" w:rsidRDefault="00391907" w:rsidP="00B15ECB">
            <w:pPr>
              <w:spacing w:before="60" w:after="60"/>
              <w:rPr>
                <w:rFonts w:eastAsiaTheme="majorEastAsia"/>
              </w:rPr>
            </w:pPr>
            <w:r w:rsidRPr="00EC2A1C">
              <w:rPr>
                <w:rFonts w:eastAsiaTheme="majorEastAsia"/>
              </w:rPr>
              <w:t xml:space="preserve">V ideální případě by k výše uvedeným cílům byly následně zpracovány aktivity z oblasti rozvoje udržitelného cestovního ruchu. Pokud by nebylo možné/ žádoucí vypsat výzvy pouze pro oblast cestovního ruchu, pak je nutné apelovat, aby alespoň projekty z oblasti cestovního ruchu nebyly předem vyřazeny ze hodnocení. </w:t>
            </w:r>
          </w:p>
          <w:p w14:paraId="0232029B" w14:textId="77777777" w:rsidR="00391907" w:rsidRPr="00EC2A1C" w:rsidRDefault="00391907" w:rsidP="00B15ECB">
            <w:pPr>
              <w:spacing w:before="60" w:after="60"/>
              <w:rPr>
                <w:rFonts w:eastAsiaTheme="majorEastAsia"/>
              </w:rPr>
            </w:pPr>
            <w:r w:rsidRPr="00EC2A1C">
              <w:rPr>
                <w:rFonts w:eastAsiaTheme="majorEastAsia"/>
              </w:rPr>
              <w:t xml:space="preserve">Zejména oblast systematického marketingu destinací a sběr a vyhodnocení statistických dat a realizace terénních šetření nemají v tuto chvíli oporu ani v připravovaných operačních programech, ani v národních dotačních titulech. Bez jejich realizace je však investice do infrastruktury do jisté míry druhořadá. </w:t>
            </w:r>
          </w:p>
        </w:tc>
        <w:tc>
          <w:tcPr>
            <w:tcW w:w="222" w:type="dxa"/>
            <w:tcBorders>
              <w:top w:val="single" w:sz="4" w:space="0" w:color="auto"/>
              <w:bottom w:val="single" w:sz="4" w:space="0" w:color="auto"/>
            </w:tcBorders>
            <w:shd w:val="clear" w:color="auto" w:fill="66CCFF"/>
          </w:tcPr>
          <w:p w14:paraId="539AB678" w14:textId="77777777" w:rsidR="00391907" w:rsidRPr="00EC2A1C" w:rsidRDefault="00391907" w:rsidP="00B15ECB">
            <w:pPr>
              <w:rPr>
                <w:b/>
              </w:rPr>
            </w:pPr>
          </w:p>
        </w:tc>
      </w:tr>
      <w:tr w:rsidR="00391907" w:rsidRPr="00EC2A1C" w14:paraId="13857B0D" w14:textId="77777777" w:rsidTr="00B15ECB">
        <w:trPr>
          <w:trHeight w:val="64"/>
        </w:trPr>
        <w:tc>
          <w:tcPr>
            <w:tcW w:w="222" w:type="dxa"/>
            <w:tcBorders>
              <w:top w:val="single" w:sz="4" w:space="0" w:color="auto"/>
              <w:bottom w:val="single" w:sz="4" w:space="0" w:color="auto"/>
            </w:tcBorders>
            <w:shd w:val="clear" w:color="auto" w:fill="66CCFF"/>
          </w:tcPr>
          <w:p w14:paraId="3201D844" w14:textId="77777777" w:rsidR="00391907" w:rsidRPr="00EC2A1C" w:rsidRDefault="00391907" w:rsidP="00B15ECB">
            <w:pPr>
              <w:rPr>
                <w:b/>
              </w:rPr>
            </w:pPr>
          </w:p>
        </w:tc>
        <w:tc>
          <w:tcPr>
            <w:tcW w:w="2188" w:type="dxa"/>
            <w:tcBorders>
              <w:top w:val="single" w:sz="4" w:space="0" w:color="auto"/>
              <w:bottom w:val="single" w:sz="4" w:space="0" w:color="auto"/>
            </w:tcBorders>
            <w:shd w:val="clear" w:color="auto" w:fill="FFFFFF" w:themeFill="background1"/>
          </w:tcPr>
          <w:p w14:paraId="0BD26A92" w14:textId="77777777" w:rsidR="00391907" w:rsidRPr="00EC2A1C" w:rsidRDefault="00391907" w:rsidP="00B15ECB">
            <w:pPr>
              <w:spacing w:before="60" w:after="60"/>
              <w:rPr>
                <w:rFonts w:eastAsiaTheme="majorEastAsia"/>
                <w:b/>
              </w:rPr>
            </w:pPr>
            <w:r w:rsidRPr="00EC2A1C">
              <w:rPr>
                <w:rFonts w:eastAsiaTheme="majorEastAsia"/>
                <w:b/>
              </w:rPr>
              <w:t>Unijní programy</w:t>
            </w:r>
          </w:p>
        </w:tc>
        <w:tc>
          <w:tcPr>
            <w:tcW w:w="7342" w:type="dxa"/>
            <w:tcBorders>
              <w:top w:val="single" w:sz="4" w:space="0" w:color="auto"/>
              <w:bottom w:val="single" w:sz="4" w:space="0" w:color="auto"/>
            </w:tcBorders>
            <w:shd w:val="clear" w:color="auto" w:fill="FFFFFF" w:themeFill="background1"/>
          </w:tcPr>
          <w:p w14:paraId="224F098E" w14:textId="77777777" w:rsidR="00391907" w:rsidRPr="00EC2A1C" w:rsidRDefault="00391907" w:rsidP="00B15ECB">
            <w:pPr>
              <w:spacing w:before="60" w:after="60"/>
              <w:rPr>
                <w:rFonts w:eastAsiaTheme="majorEastAsia"/>
                <w:b/>
                <w:i/>
              </w:rPr>
            </w:pPr>
            <w:r w:rsidRPr="00EC2A1C">
              <w:rPr>
                <w:rFonts w:eastAsiaTheme="majorEastAsia"/>
                <w:b/>
                <w:i/>
              </w:rPr>
              <w:t>COSME</w:t>
            </w:r>
          </w:p>
          <w:p w14:paraId="4D2E4DFF" w14:textId="77777777" w:rsidR="00391907" w:rsidRPr="00EC2A1C" w:rsidRDefault="00391907" w:rsidP="00B15ECB">
            <w:pPr>
              <w:spacing w:before="60" w:after="60"/>
              <w:rPr>
                <w:rFonts w:eastAsiaTheme="majorEastAsia"/>
              </w:rPr>
            </w:pPr>
            <w:r w:rsidRPr="00EC2A1C">
              <w:rPr>
                <w:rFonts w:eastAsiaTheme="majorEastAsia"/>
              </w:rPr>
              <w:t>Program je určen zejména pro malé a střední podniky za účelem zvýšení jejich konkurenceschopnosti a zaměstnanosti v členských státech Unie. Jedná se o přímého nástupce programu Konkurenceschopnost a inovace (CIP 2007–2013) bez jeho části podporující inovační podnikání.</w:t>
            </w:r>
          </w:p>
          <w:p w14:paraId="04731F6F" w14:textId="77777777" w:rsidR="00391907" w:rsidRPr="00EC2A1C" w:rsidRDefault="00391907" w:rsidP="00B15ECB">
            <w:pPr>
              <w:spacing w:before="60" w:after="60"/>
              <w:rPr>
                <w:rFonts w:eastAsiaTheme="majorEastAsia"/>
                <w:b/>
                <w:i/>
              </w:rPr>
            </w:pPr>
            <w:r w:rsidRPr="00EC2A1C">
              <w:rPr>
                <w:rFonts w:eastAsiaTheme="majorEastAsia"/>
                <w:b/>
                <w:i/>
              </w:rPr>
              <w:t>Kreativní Evropa</w:t>
            </w:r>
          </w:p>
          <w:p w14:paraId="4F899919" w14:textId="77777777" w:rsidR="00391907" w:rsidRPr="00EC2A1C" w:rsidRDefault="00391907" w:rsidP="00B15ECB">
            <w:pPr>
              <w:spacing w:before="60" w:after="60"/>
              <w:rPr>
                <w:rFonts w:eastAsiaTheme="majorEastAsia"/>
              </w:rPr>
            </w:pPr>
            <w:r w:rsidRPr="00EC2A1C">
              <w:rPr>
                <w:rFonts w:eastAsiaTheme="majorEastAsia"/>
              </w:rPr>
              <w:t>Cílem programu Kreativní Evropa je vytvořit jednotný rámec pro financování projektů v oblasti scénických umění, výtvarného umění, nakladatelství a literatury, filmu, televize, hudby, mezioborového umění, kulturního dědictví a videoher, maximálně využít synergii mezi různými sektory a zvýšit tak účinnost poskytované podpory.</w:t>
            </w:r>
          </w:p>
          <w:p w14:paraId="6CC341A0" w14:textId="77777777" w:rsidR="00391907" w:rsidRPr="00EC2A1C" w:rsidRDefault="00391907" w:rsidP="00B15ECB">
            <w:pPr>
              <w:spacing w:before="60" w:after="60"/>
              <w:rPr>
                <w:rFonts w:eastAsiaTheme="majorEastAsia"/>
              </w:rPr>
            </w:pPr>
            <w:r w:rsidRPr="00EC2A1C">
              <w:rPr>
                <w:rFonts w:eastAsiaTheme="majorEastAsia"/>
              </w:rPr>
              <w:t>Program Kreativní Evropa se skládá ze dvou dílčích programů a mezioborové části.</w:t>
            </w:r>
          </w:p>
          <w:p w14:paraId="19B98665" w14:textId="77777777" w:rsidR="00391907" w:rsidRPr="00EC2A1C" w:rsidRDefault="00391907" w:rsidP="00B15ECB">
            <w:pPr>
              <w:spacing w:before="60" w:after="60"/>
              <w:rPr>
                <w:rFonts w:eastAsiaTheme="majorEastAsia"/>
              </w:rPr>
            </w:pPr>
            <w:r w:rsidRPr="00EC2A1C">
              <w:rPr>
                <w:rFonts w:eastAsiaTheme="majorEastAsia"/>
              </w:rPr>
              <w:t>dílčí program MEDIA – podpora evropské kinematografie a audiovizuálního průmyslu</w:t>
            </w:r>
          </w:p>
          <w:p w14:paraId="7D65A07D" w14:textId="77777777" w:rsidR="00391907" w:rsidRPr="00EC2A1C" w:rsidRDefault="00391907" w:rsidP="00B15ECB">
            <w:pPr>
              <w:spacing w:before="60" w:after="60"/>
              <w:rPr>
                <w:rFonts w:eastAsiaTheme="majorEastAsia"/>
              </w:rPr>
            </w:pPr>
            <w:r w:rsidRPr="00EC2A1C">
              <w:rPr>
                <w:rFonts w:eastAsiaTheme="majorEastAsia"/>
              </w:rPr>
              <w:t>dílčí program KULTURA – podpora mezinárodních projektů v oblasti kulturních a kreativních odvětví</w:t>
            </w:r>
          </w:p>
          <w:p w14:paraId="3ECAC668" w14:textId="77777777" w:rsidR="00391907" w:rsidRPr="00EC2A1C" w:rsidRDefault="00391907" w:rsidP="00B15ECB">
            <w:pPr>
              <w:spacing w:before="60" w:after="60"/>
              <w:rPr>
                <w:rFonts w:eastAsiaTheme="majorEastAsia"/>
              </w:rPr>
            </w:pPr>
            <w:r w:rsidRPr="00EC2A1C">
              <w:rPr>
                <w:rFonts w:eastAsiaTheme="majorEastAsia"/>
              </w:rPr>
              <w:t>mezioborová část  – zahrnuje Záruční fond, který je určen na půjčky ziskových projektů v oblasti kulturních a kreativních odvětví. Mezioborová část také nabízí prostředky na vypracování studií a podporuje lepší sběr dat s cílem zdokonalit argumenty pro strategická opatření nebo prostředky na podporu pilotních projektů spolupráce mezi audiovizuálním a dalšími kulturními a kreativními odvětvími.</w:t>
            </w:r>
          </w:p>
          <w:p w14:paraId="042A6C4F" w14:textId="77777777" w:rsidR="00391907" w:rsidRPr="00EC2A1C" w:rsidRDefault="00391907" w:rsidP="00B15ECB">
            <w:pPr>
              <w:spacing w:before="60" w:after="60"/>
              <w:rPr>
                <w:rFonts w:eastAsiaTheme="majorEastAsia"/>
                <w:i/>
              </w:rPr>
            </w:pPr>
          </w:p>
          <w:p w14:paraId="6A89D515" w14:textId="77777777" w:rsidR="00391907" w:rsidRPr="00EC2A1C" w:rsidRDefault="00391907" w:rsidP="00B15ECB">
            <w:pPr>
              <w:spacing w:before="60" w:after="60"/>
              <w:rPr>
                <w:rFonts w:eastAsiaTheme="majorEastAsia"/>
                <w:i/>
              </w:rPr>
            </w:pPr>
            <w:r w:rsidRPr="00EC2A1C">
              <w:rPr>
                <w:rFonts w:eastAsiaTheme="majorEastAsia"/>
                <w:b/>
                <w:i/>
              </w:rPr>
              <w:t>Evropský zemědělský fond pro rozvoj venkova</w:t>
            </w:r>
            <w:r w:rsidRPr="00EC2A1C">
              <w:rPr>
                <w:rFonts w:eastAsiaTheme="majorEastAsia"/>
                <w:i/>
              </w:rPr>
              <w:t xml:space="preserve"> (EZFRV) – prostřednictvím CLLD</w:t>
            </w:r>
            <w:r w:rsidRPr="00EC2A1C">
              <w:rPr>
                <w:rStyle w:val="Znakapoznpodarou"/>
                <w:rFonts w:eastAsiaTheme="majorEastAsia"/>
                <w:i/>
              </w:rPr>
              <w:footnoteReference w:id="71"/>
            </w:r>
          </w:p>
          <w:p w14:paraId="289FAF73" w14:textId="77777777" w:rsidR="00391907" w:rsidRPr="00EC2A1C" w:rsidRDefault="00391907" w:rsidP="00B15ECB">
            <w:pPr>
              <w:spacing w:before="60" w:after="60"/>
              <w:rPr>
                <w:rFonts w:eastAsiaTheme="majorEastAsia"/>
                <w:i/>
              </w:rPr>
            </w:pPr>
          </w:p>
          <w:p w14:paraId="111A9AD5" w14:textId="77777777" w:rsidR="00391907" w:rsidRPr="00EC2A1C" w:rsidRDefault="00391907" w:rsidP="00B15ECB">
            <w:pPr>
              <w:spacing w:before="60" w:after="60"/>
              <w:rPr>
                <w:rFonts w:eastAsiaTheme="majorEastAsia"/>
              </w:rPr>
            </w:pPr>
            <w:r w:rsidRPr="00EC2A1C">
              <w:rPr>
                <w:rFonts w:eastAsiaTheme="majorEastAsia"/>
              </w:rPr>
              <w:t xml:space="preserve">V současné době neexistuje unijní program specificky určený pro rozvoj cestovního ruchu. Výše uvedené programy za určitých okolností mohou být využitelné i pro některé komerční projekty z oblasti cestovního ruchu. Nejsou však využitelné pro budování veřejné infrastruktury udržitelného cestovního ruchu ani pro rozvoj výzkumné činnosti v oblasti cestovního ruchu či na marketingové aktivity. </w:t>
            </w:r>
          </w:p>
        </w:tc>
        <w:tc>
          <w:tcPr>
            <w:tcW w:w="222" w:type="dxa"/>
            <w:tcBorders>
              <w:top w:val="single" w:sz="4" w:space="0" w:color="auto"/>
              <w:bottom w:val="single" w:sz="4" w:space="0" w:color="auto"/>
            </w:tcBorders>
            <w:shd w:val="clear" w:color="auto" w:fill="66CCFF"/>
          </w:tcPr>
          <w:p w14:paraId="44B29EDE" w14:textId="77777777" w:rsidR="00391907" w:rsidRPr="00EC2A1C" w:rsidRDefault="00391907" w:rsidP="00B15ECB">
            <w:pPr>
              <w:rPr>
                <w:b/>
              </w:rPr>
            </w:pPr>
          </w:p>
        </w:tc>
      </w:tr>
      <w:tr w:rsidR="00391907" w:rsidRPr="00EC2A1C" w14:paraId="10376B2D" w14:textId="77777777" w:rsidTr="00B15ECB">
        <w:trPr>
          <w:trHeight w:val="1133"/>
        </w:trPr>
        <w:tc>
          <w:tcPr>
            <w:tcW w:w="222" w:type="dxa"/>
            <w:tcBorders>
              <w:top w:val="single" w:sz="4" w:space="0" w:color="auto"/>
              <w:bottom w:val="single" w:sz="4" w:space="0" w:color="auto"/>
            </w:tcBorders>
            <w:shd w:val="clear" w:color="auto" w:fill="66CCFF"/>
          </w:tcPr>
          <w:p w14:paraId="02CE5162" w14:textId="77777777" w:rsidR="00391907" w:rsidRPr="00EC2A1C" w:rsidRDefault="00391907" w:rsidP="00B15ECB">
            <w:pPr>
              <w:rPr>
                <w:b/>
              </w:rPr>
            </w:pPr>
          </w:p>
        </w:tc>
        <w:tc>
          <w:tcPr>
            <w:tcW w:w="2188" w:type="dxa"/>
            <w:tcBorders>
              <w:top w:val="single" w:sz="4" w:space="0" w:color="auto"/>
              <w:bottom w:val="single" w:sz="4" w:space="0" w:color="auto"/>
            </w:tcBorders>
            <w:shd w:val="clear" w:color="auto" w:fill="FFFFFF" w:themeFill="background1"/>
          </w:tcPr>
          <w:p w14:paraId="4014BDCC" w14:textId="77777777" w:rsidR="00391907" w:rsidRPr="00EC2A1C" w:rsidRDefault="00391907" w:rsidP="00B15ECB">
            <w:pPr>
              <w:spacing w:before="60" w:after="60"/>
              <w:rPr>
                <w:rFonts w:eastAsiaTheme="majorEastAsia"/>
                <w:b/>
              </w:rPr>
            </w:pPr>
            <w:r w:rsidRPr="00EC2A1C">
              <w:rPr>
                <w:rFonts w:eastAsiaTheme="majorEastAsia"/>
                <w:b/>
              </w:rPr>
              <w:t>Státní rozpočet a další národní zdroje</w:t>
            </w:r>
          </w:p>
        </w:tc>
        <w:tc>
          <w:tcPr>
            <w:tcW w:w="7342" w:type="dxa"/>
            <w:tcBorders>
              <w:top w:val="single" w:sz="4" w:space="0" w:color="auto"/>
              <w:bottom w:val="single" w:sz="4" w:space="0" w:color="auto"/>
            </w:tcBorders>
            <w:shd w:val="clear" w:color="auto" w:fill="FFFFFF" w:themeFill="background1"/>
          </w:tcPr>
          <w:p w14:paraId="76C2007E" w14:textId="70D6993F" w:rsidR="00391907" w:rsidRPr="00EC2A1C" w:rsidRDefault="00D26473" w:rsidP="00B15ECB">
            <w:pPr>
              <w:spacing w:after="120"/>
              <w:rPr>
                <w:rFonts w:eastAsiaTheme="majorEastAsia"/>
              </w:rPr>
            </w:pPr>
            <w:r w:rsidRPr="00EC2A1C">
              <w:rPr>
                <w:rFonts w:eastAsiaTheme="majorEastAsia"/>
              </w:rPr>
              <w:t>Nejvýznamnějším</w:t>
            </w:r>
            <w:r w:rsidR="00391907" w:rsidRPr="00EC2A1C">
              <w:rPr>
                <w:rFonts w:eastAsiaTheme="majorEastAsia"/>
              </w:rPr>
              <w:t xml:space="preserve"> národním dotačním titulem pro oblast cestovního ruchu je Národní program podpory cestovního ruchu v regionech (NPPCRR) na období 2016 – 2020. Program je určen převážně na realizaci drobných investičních projektů lokálního charakteru. </w:t>
            </w:r>
            <w:r w:rsidR="00391907" w:rsidRPr="00EC2A1C">
              <w:t xml:space="preserve">Poskytovaná výše dotace je maximálně 50 % podíl uznatelných nákladů/výdajů z celkového rozpočtu akce nejvýše však </w:t>
            </w:r>
            <w:r w:rsidR="00391907" w:rsidRPr="00EC2A1C">
              <w:rPr>
                <w:rFonts w:eastAsiaTheme="majorEastAsia"/>
              </w:rPr>
              <w:t xml:space="preserve">5 mil. Kč, dotace musí být čerpána v roce poskytnutí. Oprávněnými žadateli jsou samosprávné celky, podnikatelé, NNO, turistická informační centra v cestovním ruchu. </w:t>
            </w:r>
          </w:p>
          <w:p w14:paraId="0B99DA43" w14:textId="77777777" w:rsidR="00391907" w:rsidRPr="00EC2A1C" w:rsidRDefault="00391907" w:rsidP="00B15ECB">
            <w:pPr>
              <w:spacing w:after="120"/>
              <w:rPr>
                <w:rFonts w:eastAsiaTheme="majorEastAsia"/>
              </w:rPr>
            </w:pPr>
            <w:r w:rsidRPr="00EC2A1C">
              <w:rPr>
                <w:rFonts w:eastAsiaTheme="majorEastAsia"/>
              </w:rPr>
              <w:t>Program se dělí na následující podprogramy:</w:t>
            </w:r>
          </w:p>
          <w:p w14:paraId="2856F2D1" w14:textId="77777777" w:rsidR="00391907" w:rsidRPr="00EC2A1C" w:rsidRDefault="00391907" w:rsidP="00B15ECB">
            <w:pPr>
              <w:spacing w:after="120"/>
              <w:ind w:firstLine="720"/>
              <w:rPr>
                <w:b/>
              </w:rPr>
            </w:pPr>
            <w:r w:rsidRPr="00EC2A1C">
              <w:rPr>
                <w:b/>
              </w:rPr>
              <w:t>I. Rozvoj základní a doprovodné infrastruktury cestovního ruchu</w:t>
            </w:r>
          </w:p>
          <w:p w14:paraId="2AADF16D" w14:textId="77777777" w:rsidR="00391907" w:rsidRPr="00EC2A1C" w:rsidRDefault="00391907" w:rsidP="00B15ECB">
            <w:pPr>
              <w:spacing w:after="120"/>
            </w:pPr>
            <w:r w:rsidRPr="00EC2A1C">
              <w:t>Účelem podprogramu je podpořit rozvoj investic do cestovního ruchu, rozšíření rozsahu a zvýšení kvality poskytovaných služeb, případně přizpůsobení infrastruktury novým specifickým cílovým skupinám. Dále program cílí na rozprostření turistů i mimo nejnavštěvovanější místa ČR a na nabídku aktivit i mimo hlavní sezónu.</w:t>
            </w:r>
          </w:p>
          <w:p w14:paraId="6E13B098" w14:textId="77777777" w:rsidR="00391907" w:rsidRPr="00EC2A1C" w:rsidRDefault="00391907" w:rsidP="00B15ECB">
            <w:pPr>
              <w:spacing w:after="120"/>
            </w:pPr>
            <w:r w:rsidRPr="00EC2A1C">
              <w:t xml:space="preserve">V rámci podprogramu jsou podporovány aktivity zaměřené na rozvoj doprovodné infrastruktury cestovního ruchu v regionech, podporu vybavenosti turistických tras (pěší, cyklo, hipo, lyžařská, vodní turistika a další udržitelné formy cestovního ruchu), rozvoj navigačních a informačních systémů v destinacích, podpora úpravy lyžařských běžeckých tras, podporu ekologicky šetrné dopravy a návštěvníků v turistických regionech a v neposlední řadě monitoring návštěvníků. Problematické je, že nelze z programu podporovat provozní náklady pro neziskové aktivity (např. provoz cyklobusů, skibusů, úpravy lyžařských běžeckých tras, apod.), které jsou zásadní pro konkurenceschopnost destinací, je po nich poptávka ze strany příjemců (nejčastěji obce, NNO) a jejich realizace negeneruje těmto subjektům přímé zisky.   </w:t>
            </w:r>
          </w:p>
          <w:p w14:paraId="046ABACC" w14:textId="77777777" w:rsidR="00391907" w:rsidRPr="00EC2A1C" w:rsidRDefault="00391907" w:rsidP="00B15ECB">
            <w:pPr>
              <w:spacing w:after="120"/>
            </w:pPr>
            <w:r w:rsidRPr="00EC2A1C">
              <w:t>Projektové záměry jsou finančně menšího investičního charakteru s povinným zahrnutím výdajů na propagaci vytvořeného díla. Projektové záměry by se svým charakterem často daly označit za „veřejně prospěšné“ (turistická odpočívadla, mobiliář turistických tras, hygienické zařízení).</w:t>
            </w:r>
          </w:p>
          <w:p w14:paraId="0D8CD617" w14:textId="77777777" w:rsidR="00391907" w:rsidRPr="00EC2A1C" w:rsidRDefault="00391907" w:rsidP="00B15ECB">
            <w:pPr>
              <w:spacing w:after="120"/>
            </w:pPr>
            <w:r w:rsidRPr="00EC2A1C">
              <w:t>Podprogram je členěn na 3 dotační tituly, které se liší okruhem možných příjemců a má stanovenu svou alokaci.</w:t>
            </w:r>
          </w:p>
          <w:p w14:paraId="6EFDE9BF" w14:textId="77777777" w:rsidR="00391907" w:rsidRPr="00EC2A1C" w:rsidRDefault="00391907" w:rsidP="00391907">
            <w:pPr>
              <w:pStyle w:val="Odstavecseseznamem"/>
              <w:numPr>
                <w:ilvl w:val="0"/>
                <w:numId w:val="147"/>
              </w:numPr>
              <w:spacing w:after="120"/>
              <w:jc w:val="both"/>
            </w:pPr>
            <w:r w:rsidRPr="00EC2A1C">
              <w:t>DT č. 1 - Podpora nadregionálních aktivit,</w:t>
            </w:r>
          </w:p>
          <w:p w14:paraId="1DFD49D6" w14:textId="77777777" w:rsidR="00391907" w:rsidRPr="00EC2A1C" w:rsidRDefault="00391907" w:rsidP="00391907">
            <w:pPr>
              <w:pStyle w:val="Odstavecseseznamem"/>
              <w:numPr>
                <w:ilvl w:val="0"/>
                <w:numId w:val="147"/>
              </w:numPr>
              <w:spacing w:after="120"/>
              <w:jc w:val="both"/>
            </w:pPr>
            <w:r w:rsidRPr="00EC2A1C">
              <w:t>DT č. 2 - Rozvoj základní a doprovodné infrastruktury cestovního ruchu,</w:t>
            </w:r>
          </w:p>
          <w:p w14:paraId="19065D8D" w14:textId="77777777" w:rsidR="00391907" w:rsidRPr="00EC2A1C" w:rsidRDefault="00391907" w:rsidP="00391907">
            <w:pPr>
              <w:pStyle w:val="Odstavecseseznamem"/>
              <w:numPr>
                <w:ilvl w:val="0"/>
                <w:numId w:val="147"/>
              </w:numPr>
              <w:spacing w:after="120"/>
              <w:jc w:val="both"/>
            </w:pPr>
            <w:r w:rsidRPr="00EC2A1C">
              <w:t>DT č. 3 - Rozvoj veřejné infrastruktury cestovního ruchu.</w:t>
            </w:r>
          </w:p>
          <w:p w14:paraId="243FB6A7" w14:textId="77777777" w:rsidR="00391907" w:rsidRPr="00EC2A1C" w:rsidRDefault="00391907" w:rsidP="00B15ECB">
            <w:pPr>
              <w:spacing w:after="120"/>
              <w:ind w:firstLine="720"/>
              <w:rPr>
                <w:b/>
              </w:rPr>
            </w:pPr>
            <w:r w:rsidRPr="00EC2A1C">
              <w:rPr>
                <w:b/>
              </w:rPr>
              <w:t>II. Marketingové aktivity v cestovním ruchu</w:t>
            </w:r>
          </w:p>
          <w:p w14:paraId="3B4EE2A2" w14:textId="77777777" w:rsidR="00391907" w:rsidRPr="00EC2A1C" w:rsidRDefault="00391907" w:rsidP="00B15ECB">
            <w:pPr>
              <w:spacing w:after="120"/>
            </w:pPr>
            <w:r w:rsidRPr="00EC2A1C">
              <w:t>Cílem podprogramu je zvýšení povědomí o nabídce cestovního ruchu v destinacích za účelem zvýšení návštěvnosti, zkvalitnění a rozšíření produktové nabídky, komunikační kampaně, zkvalitnění strategického rozhodování a zlepšení koordinace nabídky v destinacích.</w:t>
            </w:r>
          </w:p>
          <w:p w14:paraId="5C594302" w14:textId="77777777" w:rsidR="00391907" w:rsidRPr="00EC2A1C" w:rsidRDefault="00391907" w:rsidP="00B15ECB">
            <w:pPr>
              <w:spacing w:after="120"/>
            </w:pPr>
            <w:r w:rsidRPr="00EC2A1C">
              <w:t>Podpořeny budou aktivity zaměřené na podporu řízení destinací, realizaci marketingových výzkumů, podporu produktů a zavádění inovací v cestovním ruchu, podporu distribuce produktů cestovního ruchu, branding destinací a marketingovou komunikaci.</w:t>
            </w:r>
          </w:p>
          <w:p w14:paraId="676C7B9E" w14:textId="77777777" w:rsidR="00391907" w:rsidRPr="00EC2A1C" w:rsidRDefault="00391907" w:rsidP="00B15ECB">
            <w:pPr>
              <w:spacing w:after="120"/>
            </w:pPr>
            <w:r w:rsidRPr="00EC2A1C">
              <w:t xml:space="preserve">Podprogram je členěn na 3 dotační tituly, které se liší okruhem možných příjemců a má stanovenu svou alokaci. </w:t>
            </w:r>
          </w:p>
          <w:p w14:paraId="47CF38B6" w14:textId="77777777" w:rsidR="00391907" w:rsidRPr="00EC2A1C" w:rsidRDefault="00391907" w:rsidP="00391907">
            <w:pPr>
              <w:pStyle w:val="Odstavecseseznamem"/>
              <w:numPr>
                <w:ilvl w:val="0"/>
                <w:numId w:val="148"/>
              </w:numPr>
              <w:spacing w:after="120"/>
              <w:jc w:val="both"/>
              <w:rPr>
                <w:rFonts w:eastAsiaTheme="majorEastAsia"/>
              </w:rPr>
            </w:pPr>
            <w:r w:rsidRPr="00EC2A1C">
              <w:rPr>
                <w:rFonts w:eastAsiaTheme="majorEastAsia"/>
              </w:rPr>
              <w:t>DT č. 1 - Marketingové aktivity na úrovni krajů</w:t>
            </w:r>
          </w:p>
          <w:p w14:paraId="73BF6F90" w14:textId="77777777" w:rsidR="00391907" w:rsidRPr="00EC2A1C" w:rsidRDefault="00391907" w:rsidP="00391907">
            <w:pPr>
              <w:pStyle w:val="Odstavecseseznamem"/>
              <w:numPr>
                <w:ilvl w:val="0"/>
                <w:numId w:val="148"/>
              </w:numPr>
              <w:spacing w:after="120"/>
              <w:jc w:val="both"/>
              <w:rPr>
                <w:rFonts w:eastAsiaTheme="majorEastAsia"/>
              </w:rPr>
            </w:pPr>
            <w:r w:rsidRPr="00EC2A1C">
              <w:rPr>
                <w:rFonts w:eastAsiaTheme="majorEastAsia"/>
              </w:rPr>
              <w:t>DT č. 2 - Marketingové aktivity na oblastní úrovni</w:t>
            </w:r>
          </w:p>
          <w:p w14:paraId="1227D22A" w14:textId="77777777" w:rsidR="00391907" w:rsidRPr="00EC2A1C" w:rsidRDefault="00391907" w:rsidP="00391907">
            <w:pPr>
              <w:pStyle w:val="Odstavecseseznamem"/>
              <w:numPr>
                <w:ilvl w:val="0"/>
                <w:numId w:val="148"/>
              </w:numPr>
              <w:spacing w:after="120"/>
              <w:jc w:val="both"/>
              <w:rPr>
                <w:rFonts w:eastAsiaTheme="majorEastAsia"/>
              </w:rPr>
            </w:pPr>
            <w:r w:rsidRPr="00EC2A1C">
              <w:rPr>
                <w:rFonts w:eastAsiaTheme="majorEastAsia"/>
              </w:rPr>
              <w:t>DT č. 3 - Marketingové aktivity na národní a nadregionální úrovni</w:t>
            </w:r>
          </w:p>
          <w:p w14:paraId="1CB649A3" w14:textId="77777777" w:rsidR="00391907" w:rsidRPr="00EC2A1C" w:rsidRDefault="00391907" w:rsidP="00B15ECB">
            <w:pPr>
              <w:spacing w:after="120"/>
              <w:rPr>
                <w:rFonts w:eastAsiaTheme="majorEastAsia"/>
              </w:rPr>
            </w:pPr>
            <w:r w:rsidRPr="00EC2A1C">
              <w:rPr>
                <w:rFonts w:eastAsiaTheme="majorEastAsia"/>
              </w:rPr>
              <w:t xml:space="preserve">Nevýhodou je, vysoká míra spoluúčasti (50 %/ 50 %) a rovněž časové hledisko realizace projektů. Musí se jednat o inovativní a jednorázové aktivity, které vylučují realizaci kontinuální marketingové a podpory destinací, včetně kontinuálního výzkumu v oblasti návštěvnosti. </w:t>
            </w:r>
          </w:p>
        </w:tc>
        <w:tc>
          <w:tcPr>
            <w:tcW w:w="222" w:type="dxa"/>
            <w:tcBorders>
              <w:top w:val="single" w:sz="4" w:space="0" w:color="auto"/>
              <w:bottom w:val="single" w:sz="4" w:space="0" w:color="auto"/>
            </w:tcBorders>
            <w:shd w:val="clear" w:color="auto" w:fill="66CCFF"/>
          </w:tcPr>
          <w:p w14:paraId="1833A46B" w14:textId="77777777" w:rsidR="00391907" w:rsidRPr="00EC2A1C" w:rsidRDefault="00391907" w:rsidP="00B15ECB">
            <w:pPr>
              <w:rPr>
                <w:b/>
              </w:rPr>
            </w:pPr>
          </w:p>
        </w:tc>
      </w:tr>
      <w:tr w:rsidR="00391907" w:rsidRPr="00EC2A1C" w14:paraId="25B10E41" w14:textId="77777777" w:rsidTr="00B15ECB">
        <w:trPr>
          <w:trHeight w:val="1968"/>
        </w:trPr>
        <w:tc>
          <w:tcPr>
            <w:tcW w:w="222" w:type="dxa"/>
            <w:tcBorders>
              <w:top w:val="single" w:sz="4" w:space="0" w:color="auto"/>
              <w:bottom w:val="nil"/>
            </w:tcBorders>
            <w:shd w:val="clear" w:color="auto" w:fill="66CCFF"/>
          </w:tcPr>
          <w:p w14:paraId="391749B5" w14:textId="77777777" w:rsidR="00391907" w:rsidRPr="00EC2A1C" w:rsidRDefault="00391907" w:rsidP="00B15ECB">
            <w:pPr>
              <w:rPr>
                <w:b/>
              </w:rPr>
            </w:pPr>
          </w:p>
        </w:tc>
        <w:tc>
          <w:tcPr>
            <w:tcW w:w="2188" w:type="dxa"/>
            <w:tcBorders>
              <w:top w:val="single" w:sz="4" w:space="0" w:color="auto"/>
            </w:tcBorders>
            <w:shd w:val="clear" w:color="auto" w:fill="FFFFFF" w:themeFill="background1"/>
          </w:tcPr>
          <w:p w14:paraId="4D736C9C" w14:textId="77777777" w:rsidR="00391907" w:rsidRPr="00EC2A1C" w:rsidRDefault="00391907" w:rsidP="00B15ECB">
            <w:pPr>
              <w:spacing w:before="60" w:after="60"/>
              <w:rPr>
                <w:rFonts w:eastAsiaTheme="majorEastAsia"/>
                <w:b/>
              </w:rPr>
            </w:pPr>
            <w:r w:rsidRPr="00EC2A1C">
              <w:rPr>
                <w:rFonts w:eastAsiaTheme="majorEastAsia"/>
                <w:b/>
              </w:rPr>
              <w:t>Další zdroje mimo veřejné rozpočty</w:t>
            </w:r>
          </w:p>
        </w:tc>
        <w:tc>
          <w:tcPr>
            <w:tcW w:w="7342" w:type="dxa"/>
            <w:tcBorders>
              <w:top w:val="single" w:sz="4" w:space="0" w:color="auto"/>
            </w:tcBorders>
            <w:shd w:val="clear" w:color="auto" w:fill="FFFFFF" w:themeFill="background1"/>
          </w:tcPr>
          <w:p w14:paraId="601A7DED" w14:textId="75949EDA" w:rsidR="00391907" w:rsidRPr="00EC2A1C" w:rsidRDefault="00391907" w:rsidP="00B15ECB">
            <w:pPr>
              <w:spacing w:before="60" w:after="60"/>
              <w:rPr>
                <w:rFonts w:eastAsiaTheme="majorEastAsia"/>
              </w:rPr>
            </w:pPr>
            <w:r w:rsidRPr="00EC2A1C">
              <w:rPr>
                <w:rFonts w:eastAsiaTheme="majorEastAsia"/>
              </w:rPr>
              <w:t xml:space="preserve">V případě projektů </w:t>
            </w:r>
            <w:r w:rsidR="00D26473" w:rsidRPr="00EC2A1C">
              <w:rPr>
                <w:rFonts w:eastAsiaTheme="majorEastAsia"/>
              </w:rPr>
              <w:t>potenciálně</w:t>
            </w:r>
            <w:r w:rsidRPr="00EC2A1C">
              <w:rPr>
                <w:rFonts w:eastAsiaTheme="majorEastAsia"/>
              </w:rPr>
              <w:t xml:space="preserve"> ziskového podnikatelského </w:t>
            </w:r>
            <w:r w:rsidR="00D26473" w:rsidRPr="00EC2A1C">
              <w:rPr>
                <w:rFonts w:eastAsiaTheme="majorEastAsia"/>
              </w:rPr>
              <w:t>charakteru</w:t>
            </w:r>
            <w:r w:rsidRPr="00EC2A1C">
              <w:rPr>
                <w:rFonts w:eastAsiaTheme="majorEastAsia"/>
              </w:rPr>
              <w:t xml:space="preserve"> jsou možnými existujícími zdroji vlastní finanční prostředky podnikatelů nebo bankovní úvěry. V uplynulém období vlivem nízkých úrokových sazeb bylo poskytování úvěrů dostupnější.</w:t>
            </w:r>
          </w:p>
          <w:p w14:paraId="735DE475" w14:textId="1432ACEC" w:rsidR="00391907" w:rsidRPr="00EC2A1C" w:rsidRDefault="00391907" w:rsidP="00B15ECB">
            <w:pPr>
              <w:spacing w:before="60" w:after="60"/>
              <w:rPr>
                <w:rFonts w:eastAsiaTheme="majorEastAsia"/>
              </w:rPr>
            </w:pPr>
            <w:r w:rsidRPr="00EC2A1C">
              <w:rPr>
                <w:rFonts w:eastAsiaTheme="majorEastAsia"/>
              </w:rPr>
              <w:t>Co se týče projektů veřejného neziskového charakteru, tak ty byly realizovány převážně prostřednictvím veřejných zdrojů. S ohledem na </w:t>
            </w:r>
            <w:r w:rsidR="00D26473" w:rsidRPr="00EC2A1C">
              <w:rPr>
                <w:rFonts w:eastAsiaTheme="majorEastAsia"/>
              </w:rPr>
              <w:t>dlouhodobou</w:t>
            </w:r>
            <w:r w:rsidRPr="00EC2A1C">
              <w:rPr>
                <w:rFonts w:eastAsiaTheme="majorEastAsia"/>
              </w:rPr>
              <w:t xml:space="preserve"> případně žádnou finanční návratnost těchto projektů nejsou bankovní úvěry vhodným nástrojem financování. Je třeba konstatovat, že realizace takových to projektů je zásadní pro tvorbu nabídky destinace a vyvolává navazující investice i služby. Avšak z vlastní realizace těchto projektů nejsou příjmy zpravidla generovány, a pokud ano, pak jejich výše nepokrývá ani provozní náklady spojené s udržitelností výstupů projektů.</w:t>
            </w:r>
          </w:p>
          <w:p w14:paraId="741243E7" w14:textId="77777777" w:rsidR="00391907" w:rsidRPr="00EC2A1C" w:rsidRDefault="00391907" w:rsidP="00B15ECB">
            <w:pPr>
              <w:spacing w:before="60" w:after="60"/>
              <w:rPr>
                <w:rFonts w:eastAsiaTheme="majorEastAsia"/>
              </w:rPr>
            </w:pPr>
            <w:r w:rsidRPr="00EC2A1C">
              <w:rPr>
                <w:rFonts w:eastAsiaTheme="majorEastAsia"/>
              </w:rPr>
              <w:t>Drobné projekty mohou být realizovány i za příspěvku podnikatelů, avšak s ohledem na charakter MSP v regionech nelze očekávat vytvoření dostatečného množství finančních prostředků na realizaci velkých projektů.</w:t>
            </w:r>
          </w:p>
        </w:tc>
        <w:tc>
          <w:tcPr>
            <w:tcW w:w="222" w:type="dxa"/>
            <w:tcBorders>
              <w:top w:val="single" w:sz="4" w:space="0" w:color="auto"/>
              <w:bottom w:val="nil"/>
            </w:tcBorders>
            <w:shd w:val="clear" w:color="auto" w:fill="66CCFF"/>
          </w:tcPr>
          <w:p w14:paraId="7BC3E83B" w14:textId="77777777" w:rsidR="00391907" w:rsidRPr="00EC2A1C" w:rsidRDefault="00391907" w:rsidP="00B15ECB">
            <w:pPr>
              <w:rPr>
                <w:b/>
              </w:rPr>
            </w:pPr>
          </w:p>
        </w:tc>
      </w:tr>
      <w:tr w:rsidR="00391907" w:rsidRPr="00EC2A1C" w14:paraId="235027FC" w14:textId="77777777" w:rsidTr="00B15ECB">
        <w:trPr>
          <w:trHeight w:val="1968"/>
        </w:trPr>
        <w:tc>
          <w:tcPr>
            <w:tcW w:w="222" w:type="dxa"/>
            <w:tcBorders>
              <w:top w:val="nil"/>
              <w:bottom w:val="nil"/>
            </w:tcBorders>
            <w:shd w:val="clear" w:color="auto" w:fill="66CCFF"/>
          </w:tcPr>
          <w:p w14:paraId="147C9FF8" w14:textId="77777777" w:rsidR="00391907" w:rsidRPr="00EC2A1C" w:rsidRDefault="00391907" w:rsidP="00B15ECB">
            <w:pPr>
              <w:rPr>
                <w:b/>
              </w:rPr>
            </w:pPr>
          </w:p>
        </w:tc>
        <w:tc>
          <w:tcPr>
            <w:tcW w:w="2188" w:type="dxa"/>
            <w:tcBorders>
              <w:top w:val="nil"/>
            </w:tcBorders>
            <w:shd w:val="clear" w:color="auto" w:fill="FFFFFF" w:themeFill="background1"/>
          </w:tcPr>
          <w:p w14:paraId="0C11A418" w14:textId="77777777" w:rsidR="00391907" w:rsidRPr="00EC2A1C" w:rsidRDefault="00391907" w:rsidP="00B15ECB">
            <w:pPr>
              <w:spacing w:before="60" w:after="60"/>
              <w:rPr>
                <w:rFonts w:eastAsiaTheme="majorEastAsia"/>
                <w:b/>
              </w:rPr>
            </w:pPr>
            <w:r w:rsidRPr="00EC2A1C">
              <w:rPr>
                <w:rFonts w:eastAsiaTheme="majorEastAsia"/>
                <w:b/>
              </w:rPr>
              <w:t>Možnost využití FN.</w:t>
            </w:r>
          </w:p>
        </w:tc>
        <w:tc>
          <w:tcPr>
            <w:tcW w:w="7342" w:type="dxa"/>
            <w:tcBorders>
              <w:top w:val="nil"/>
            </w:tcBorders>
            <w:shd w:val="clear" w:color="auto" w:fill="FFFFFF" w:themeFill="background1"/>
          </w:tcPr>
          <w:p w14:paraId="1BD0ECA3" w14:textId="59DC45CC" w:rsidR="00391907" w:rsidRPr="00EC2A1C" w:rsidRDefault="00391907" w:rsidP="00B15ECB">
            <w:pPr>
              <w:spacing w:before="60" w:after="60"/>
              <w:rPr>
                <w:rFonts w:eastAsiaTheme="majorEastAsia"/>
              </w:rPr>
            </w:pPr>
            <w:r w:rsidRPr="00EC2A1C">
              <w:rPr>
                <w:rFonts w:eastAsiaTheme="majorEastAsia"/>
              </w:rPr>
              <w:t xml:space="preserve">Již v období 2014 – 2020 se očekávalo spuštění finančních nástrojů na podporu cestovního ruchu (realizace </w:t>
            </w:r>
            <w:r w:rsidR="00D26473" w:rsidRPr="00EC2A1C">
              <w:rPr>
                <w:rFonts w:eastAsiaTheme="majorEastAsia"/>
              </w:rPr>
              <w:t>potenciálně</w:t>
            </w:r>
            <w:r w:rsidRPr="00EC2A1C">
              <w:rPr>
                <w:rFonts w:eastAsiaTheme="majorEastAsia"/>
              </w:rPr>
              <w:t xml:space="preserve"> ziskových projektů), avšak ke spuštění nedošlo. Vlivem nízkých úrokových sazeb a vyšší dostupnosti úvěrů toto nebylo takovou překážkou. V poslední době dochází k nárůstu úrokových sazeb a důležitost finančních nástrojů se tak zvyšuje.</w:t>
            </w:r>
          </w:p>
        </w:tc>
        <w:tc>
          <w:tcPr>
            <w:tcW w:w="222" w:type="dxa"/>
            <w:tcBorders>
              <w:top w:val="nil"/>
              <w:bottom w:val="nil"/>
            </w:tcBorders>
            <w:shd w:val="clear" w:color="auto" w:fill="66CCFF"/>
          </w:tcPr>
          <w:p w14:paraId="3912DA5E" w14:textId="77777777" w:rsidR="00391907" w:rsidRPr="00EC2A1C" w:rsidRDefault="00391907" w:rsidP="00B15ECB">
            <w:pPr>
              <w:rPr>
                <w:b/>
              </w:rPr>
            </w:pPr>
          </w:p>
        </w:tc>
      </w:tr>
      <w:tr w:rsidR="00391907" w:rsidRPr="00EC2A1C" w14:paraId="5E6C20BE" w14:textId="77777777" w:rsidTr="00B15ECB">
        <w:trPr>
          <w:trHeight w:val="150"/>
        </w:trPr>
        <w:tc>
          <w:tcPr>
            <w:tcW w:w="222" w:type="dxa"/>
            <w:tcBorders>
              <w:top w:val="nil"/>
              <w:right w:val="nil"/>
            </w:tcBorders>
            <w:shd w:val="clear" w:color="auto" w:fill="66CCFF"/>
          </w:tcPr>
          <w:p w14:paraId="551AAE3C" w14:textId="77777777" w:rsidR="00391907" w:rsidRPr="00EC2A1C" w:rsidRDefault="00391907" w:rsidP="00B15ECB">
            <w:pPr>
              <w:rPr>
                <w:b/>
              </w:rPr>
            </w:pPr>
          </w:p>
        </w:tc>
        <w:tc>
          <w:tcPr>
            <w:tcW w:w="2188" w:type="dxa"/>
            <w:tcBorders>
              <w:left w:val="nil"/>
              <w:right w:val="nil"/>
            </w:tcBorders>
            <w:shd w:val="clear" w:color="auto" w:fill="66CCFF"/>
          </w:tcPr>
          <w:p w14:paraId="7B9B1CC5" w14:textId="77777777" w:rsidR="00391907" w:rsidRPr="00EC2A1C" w:rsidRDefault="00391907" w:rsidP="00B15ECB">
            <w:pPr>
              <w:rPr>
                <w:b/>
              </w:rPr>
            </w:pPr>
          </w:p>
        </w:tc>
        <w:tc>
          <w:tcPr>
            <w:tcW w:w="7342" w:type="dxa"/>
            <w:tcBorders>
              <w:left w:val="nil"/>
              <w:right w:val="nil"/>
            </w:tcBorders>
            <w:shd w:val="clear" w:color="auto" w:fill="66CCFF"/>
          </w:tcPr>
          <w:p w14:paraId="08AB9DC4" w14:textId="77777777" w:rsidR="00391907" w:rsidRPr="00EC2A1C" w:rsidRDefault="00391907" w:rsidP="00B15ECB">
            <w:pPr>
              <w:rPr>
                <w:b/>
              </w:rPr>
            </w:pPr>
          </w:p>
        </w:tc>
        <w:tc>
          <w:tcPr>
            <w:tcW w:w="222" w:type="dxa"/>
            <w:tcBorders>
              <w:top w:val="nil"/>
              <w:left w:val="nil"/>
            </w:tcBorders>
            <w:shd w:val="clear" w:color="auto" w:fill="66CCFF"/>
          </w:tcPr>
          <w:p w14:paraId="3AD026C5" w14:textId="77777777" w:rsidR="00391907" w:rsidRPr="00EC2A1C" w:rsidRDefault="00391907" w:rsidP="00B15ECB">
            <w:pPr>
              <w:rPr>
                <w:b/>
              </w:rPr>
            </w:pPr>
          </w:p>
        </w:tc>
      </w:tr>
    </w:tbl>
    <w:p w14:paraId="7530F64E" w14:textId="77777777" w:rsidR="00391907" w:rsidRPr="002D2123" w:rsidRDefault="00391907">
      <w:pPr>
        <w:rPr>
          <w:rFonts w:ascii="Times New Roman" w:hAnsi="Times New Roman" w:cs="Times New Roman"/>
        </w:rPr>
      </w:pPr>
    </w:p>
    <w:p w14:paraId="72661401" w14:textId="77777777" w:rsidR="00D762E9" w:rsidRPr="002D2123" w:rsidRDefault="00D762E9">
      <w:pPr>
        <w:rPr>
          <w:rFonts w:ascii="Times New Roman" w:hAnsi="Times New Roman" w:cs="Times New Roman"/>
        </w:rPr>
      </w:pPr>
    </w:p>
    <w:p w14:paraId="511A6C5D" w14:textId="77777777" w:rsidR="00D762E9" w:rsidRPr="002D2123" w:rsidRDefault="00D762E9">
      <w:pPr>
        <w:rPr>
          <w:rFonts w:ascii="Times New Roman" w:hAnsi="Times New Roman" w:cs="Times New Roman"/>
        </w:rPr>
      </w:pPr>
    </w:p>
    <w:p w14:paraId="7DBC0B51" w14:textId="77777777" w:rsidR="00D762E9" w:rsidRPr="002D2123" w:rsidRDefault="00D762E9">
      <w:pPr>
        <w:rPr>
          <w:rFonts w:ascii="Times New Roman" w:hAnsi="Times New Roman" w:cs="Times New Roman"/>
        </w:rPr>
      </w:pPr>
    </w:p>
    <w:p w14:paraId="320B12F8" w14:textId="77777777" w:rsidR="00D762E9" w:rsidRPr="002D2123" w:rsidRDefault="00D762E9" w:rsidP="004D585D">
      <w:pPr>
        <w:rPr>
          <w:rFonts w:ascii="Times New Roman" w:hAnsi="Times New Roman" w:cs="Times New Roman"/>
        </w:rPr>
      </w:pPr>
    </w:p>
    <w:p w14:paraId="6DE38756" w14:textId="77777777" w:rsidR="000707FB" w:rsidRPr="002D2123" w:rsidRDefault="000707FB" w:rsidP="004D585D">
      <w:pPr>
        <w:rPr>
          <w:rFonts w:ascii="Times New Roman" w:hAnsi="Times New Roman" w:cs="Times New Roman"/>
        </w:rPr>
      </w:pPr>
    </w:p>
    <w:p w14:paraId="4CCBE6E0" w14:textId="77777777" w:rsidR="000707FB" w:rsidRPr="002D2123" w:rsidRDefault="000707FB" w:rsidP="000707FB">
      <w:pPr>
        <w:rPr>
          <w:rFonts w:ascii="Times New Roman" w:hAnsi="Times New Roman" w:cs="Times New Roman"/>
        </w:rPr>
      </w:pPr>
    </w:p>
    <w:p w14:paraId="45650A4C" w14:textId="77777777" w:rsidR="000707FB" w:rsidRPr="002D2123" w:rsidRDefault="000707FB" w:rsidP="000707FB">
      <w:pPr>
        <w:rPr>
          <w:rFonts w:ascii="Times New Roman" w:hAnsi="Times New Roman" w:cs="Times New Roman"/>
        </w:rPr>
      </w:pPr>
    </w:p>
    <w:p w14:paraId="5048E72A" w14:textId="77777777" w:rsidR="000707FB" w:rsidRPr="002D2123" w:rsidRDefault="000707FB" w:rsidP="000707FB">
      <w:pPr>
        <w:rPr>
          <w:rFonts w:ascii="Times New Roman" w:hAnsi="Times New Roman" w:cs="Times New Roman"/>
        </w:rPr>
      </w:pPr>
    </w:p>
    <w:p w14:paraId="17D92322" w14:textId="77777777" w:rsidR="000707FB" w:rsidRPr="002D2123" w:rsidRDefault="000707FB" w:rsidP="000707FB">
      <w:pPr>
        <w:rPr>
          <w:rFonts w:ascii="Times New Roman" w:hAnsi="Times New Roman" w:cs="Times New Roman"/>
        </w:rPr>
      </w:pPr>
    </w:p>
    <w:p w14:paraId="00257FE9" w14:textId="77777777" w:rsidR="000707FB" w:rsidRPr="002D2123" w:rsidRDefault="000707FB" w:rsidP="000707FB">
      <w:pPr>
        <w:rPr>
          <w:rFonts w:ascii="Times New Roman" w:hAnsi="Times New Roman" w:cs="Times New Roman"/>
        </w:rPr>
      </w:pPr>
    </w:p>
    <w:p w14:paraId="39A8B5BB" w14:textId="77777777" w:rsidR="000707FB" w:rsidRPr="002D2123" w:rsidRDefault="000707FB" w:rsidP="000707FB">
      <w:pPr>
        <w:rPr>
          <w:rFonts w:ascii="Times New Roman" w:hAnsi="Times New Roman" w:cs="Times New Roman"/>
        </w:rPr>
      </w:pPr>
    </w:p>
    <w:p w14:paraId="1850A798" w14:textId="77777777" w:rsidR="000707FB" w:rsidRPr="002D2123" w:rsidRDefault="000707FB" w:rsidP="000707FB">
      <w:pPr>
        <w:rPr>
          <w:rFonts w:ascii="Times New Roman" w:hAnsi="Times New Roman" w:cs="Times New Roman"/>
        </w:rPr>
      </w:pPr>
    </w:p>
    <w:p w14:paraId="693A4038" w14:textId="77777777" w:rsidR="000707FB" w:rsidRPr="002D2123" w:rsidRDefault="000707FB" w:rsidP="000707FB">
      <w:pPr>
        <w:rPr>
          <w:rFonts w:ascii="Times New Roman" w:hAnsi="Times New Roman" w:cs="Times New Roman"/>
        </w:rPr>
      </w:pPr>
    </w:p>
    <w:p w14:paraId="7ABE818D" w14:textId="77777777" w:rsidR="000707FB" w:rsidRPr="002D2123" w:rsidRDefault="000707FB" w:rsidP="000707FB">
      <w:pPr>
        <w:rPr>
          <w:rFonts w:ascii="Times New Roman" w:hAnsi="Times New Roman" w:cs="Times New Roman"/>
        </w:rPr>
      </w:pPr>
    </w:p>
    <w:p w14:paraId="797CFCEC" w14:textId="77777777" w:rsidR="000707FB" w:rsidRPr="002D2123" w:rsidRDefault="000707FB" w:rsidP="000707FB">
      <w:pPr>
        <w:rPr>
          <w:rFonts w:ascii="Times New Roman" w:hAnsi="Times New Roman" w:cs="Times New Roman"/>
        </w:rPr>
      </w:pPr>
    </w:p>
    <w:p w14:paraId="4AFFEFEE" w14:textId="77777777" w:rsidR="000707FB" w:rsidRPr="002D2123" w:rsidRDefault="000707FB" w:rsidP="000707FB">
      <w:pPr>
        <w:rPr>
          <w:rFonts w:ascii="Times New Roman" w:hAnsi="Times New Roman" w:cs="Times New Roman"/>
        </w:rPr>
      </w:pPr>
    </w:p>
    <w:p w14:paraId="57A46396" w14:textId="77777777" w:rsidR="000707FB" w:rsidRPr="002D2123" w:rsidRDefault="000707FB" w:rsidP="000707FB">
      <w:pPr>
        <w:rPr>
          <w:rFonts w:ascii="Times New Roman" w:hAnsi="Times New Roman" w:cs="Times New Roman"/>
        </w:rPr>
      </w:pPr>
    </w:p>
    <w:p w14:paraId="588D616F" w14:textId="77777777" w:rsidR="004D585D" w:rsidRPr="002D2123" w:rsidRDefault="004D585D" w:rsidP="000707FB">
      <w:pPr>
        <w:jc w:val="center"/>
        <w:rPr>
          <w:rFonts w:ascii="Times New Roman" w:hAnsi="Times New Roman" w:cs="Times New Roman"/>
        </w:rPr>
      </w:pPr>
    </w:p>
    <w:sectPr w:rsidR="004D585D" w:rsidRPr="002D2123" w:rsidSect="004D585D">
      <w:head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4C275" w14:textId="77777777" w:rsidR="005A0E7C" w:rsidRDefault="005A0E7C" w:rsidP="007C4CE9">
      <w:pPr>
        <w:spacing w:after="0" w:line="240" w:lineRule="auto"/>
      </w:pPr>
      <w:r>
        <w:separator/>
      </w:r>
    </w:p>
  </w:endnote>
  <w:endnote w:type="continuationSeparator" w:id="0">
    <w:p w14:paraId="79E4D166" w14:textId="77777777" w:rsidR="005A0E7C" w:rsidRDefault="005A0E7C" w:rsidP="007C4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Simplified Arabic Fixed">
    <w:charset w:val="00"/>
    <w:family w:val="modern"/>
    <w:pitch w:val="fixed"/>
    <w:sig w:usb0="00002003" w:usb1="00000000" w:usb2="00000000" w:usb3="00000000" w:csb0="00000041"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41117"/>
      <w:docPartObj>
        <w:docPartGallery w:val="Page Numbers (Bottom of Page)"/>
        <w:docPartUnique/>
      </w:docPartObj>
    </w:sdtPr>
    <w:sdtEndPr/>
    <w:sdtContent>
      <w:p w14:paraId="348ECDD3" w14:textId="35EB107F" w:rsidR="005A0E7C" w:rsidRDefault="005A0E7C">
        <w:pPr>
          <w:pStyle w:val="Zpat"/>
          <w:jc w:val="center"/>
        </w:pPr>
        <w:r>
          <w:fldChar w:fldCharType="begin"/>
        </w:r>
        <w:r>
          <w:instrText>PAGE   \* MERGEFORMAT</w:instrText>
        </w:r>
        <w:r>
          <w:fldChar w:fldCharType="separate"/>
        </w:r>
        <w:r w:rsidR="00A85779">
          <w:rPr>
            <w:noProof/>
          </w:rPr>
          <w:t>2</w:t>
        </w:r>
        <w:r>
          <w:fldChar w:fldCharType="end"/>
        </w:r>
      </w:p>
    </w:sdtContent>
  </w:sdt>
  <w:p w14:paraId="4770A6D0" w14:textId="77777777" w:rsidR="005A0E7C" w:rsidRDefault="005A0E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98813" w14:textId="77777777" w:rsidR="005A0E7C" w:rsidRDefault="005A0E7C" w:rsidP="007C4CE9">
      <w:pPr>
        <w:spacing w:after="0" w:line="240" w:lineRule="auto"/>
      </w:pPr>
      <w:r>
        <w:separator/>
      </w:r>
    </w:p>
  </w:footnote>
  <w:footnote w:type="continuationSeparator" w:id="0">
    <w:p w14:paraId="75762FF1" w14:textId="77777777" w:rsidR="005A0E7C" w:rsidRDefault="005A0E7C" w:rsidP="007C4CE9">
      <w:pPr>
        <w:spacing w:after="0" w:line="240" w:lineRule="auto"/>
      </w:pPr>
      <w:r>
        <w:continuationSeparator/>
      </w:r>
    </w:p>
  </w:footnote>
  <w:footnote w:id="1">
    <w:p w14:paraId="521A3818" w14:textId="77777777" w:rsidR="005A0E7C" w:rsidRDefault="005A0E7C">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2">
    <w:p w14:paraId="52E6E12F" w14:textId="77777777" w:rsidR="005A0E7C" w:rsidRDefault="005A0E7C">
      <w:pPr>
        <w:pStyle w:val="Textpoznpodarou"/>
      </w:pPr>
      <w:r>
        <w:rPr>
          <w:rStyle w:val="Znakapoznpodarou"/>
        </w:rPr>
        <w:footnoteRef/>
      </w:r>
      <w:r>
        <w:t xml:space="preserve"> Osoby pobývající na území ČR na základě trvalého a dlouhodobého pobytu a dále azylanty a osoby požívající doplňkové ochrany dlem zákona o azylu.</w:t>
      </w:r>
    </w:p>
  </w:footnote>
  <w:footnote w:id="3">
    <w:p w14:paraId="7E59BA90"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
    <w:p w14:paraId="53571521"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
    <w:p w14:paraId="4ED285B4"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6">
    <w:p w14:paraId="7D6027BF"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7">
    <w:p w14:paraId="6CE1D706"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8">
    <w:p w14:paraId="2F02FF23"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9">
    <w:p w14:paraId="2102A23B"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10">
    <w:p w14:paraId="7D1673F7"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11">
    <w:p w14:paraId="616BD652"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12">
    <w:p w14:paraId="0109F0EB"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13">
    <w:p w14:paraId="756C14C6" w14:textId="77777777" w:rsidR="005A0E7C" w:rsidRDefault="005A0E7C" w:rsidP="00B15ECB">
      <w:pPr>
        <w:pStyle w:val="Textpoznpodarou"/>
      </w:pPr>
      <w:r>
        <w:rPr>
          <w:rStyle w:val="Znakapoznpodarou"/>
        </w:rPr>
        <w:footnoteRef/>
      </w:r>
      <w:r>
        <w:t xml:space="preserve"> </w:t>
      </w:r>
      <w:r w:rsidRPr="004B35BC">
        <w:rPr>
          <w:sz w:val="18"/>
          <w:szCs w:val="18"/>
        </w:rPr>
        <w:t>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14">
    <w:p w14:paraId="4E65F2FB" w14:textId="77777777" w:rsidR="005A0E7C" w:rsidRDefault="005A0E7C" w:rsidP="00B15ECB">
      <w:pPr>
        <w:pStyle w:val="Textpoznpodarou"/>
      </w:pPr>
      <w:r>
        <w:rPr>
          <w:rStyle w:val="Znakapoznpodarou"/>
        </w:rPr>
        <w:footnoteRef/>
      </w:r>
      <w:r>
        <w:t xml:space="preserve"> </w:t>
      </w:r>
      <w:r w:rsidRPr="00440F5E">
        <w:rPr>
          <w:sz w:val="18"/>
          <w:szCs w:val="18"/>
        </w:rPr>
        <w:t>Dle klasifikace území v rámci Strategie regionálního rozvoje ČR 2021+.</w:t>
      </w:r>
      <w:r>
        <w:t xml:space="preserve"> </w:t>
      </w:r>
    </w:p>
  </w:footnote>
  <w:footnote w:id="15">
    <w:p w14:paraId="382760B9" w14:textId="77777777" w:rsidR="005A0E7C" w:rsidRDefault="005A0E7C" w:rsidP="00B15ECB">
      <w:pPr>
        <w:pStyle w:val="Textpoznpodarou"/>
      </w:pPr>
      <w:r>
        <w:rPr>
          <w:rStyle w:val="Znakapoznpodarou"/>
        </w:rPr>
        <w:footnoteRef/>
      </w:r>
      <w:r>
        <w:t xml:space="preserve"> </w:t>
      </w:r>
      <w:r w:rsidRPr="00440F5E">
        <w:rPr>
          <w:rFonts w:eastAsiaTheme="majorEastAsia" w:cstheme="majorHAnsi"/>
          <w:noProof w:val="0"/>
          <w:sz w:val="18"/>
          <w:szCs w:val="18"/>
        </w:rPr>
        <w:t>Comparative efficiency of health systems, corrected for selected lifestyle factors Final report, https://ec.europa.eu/health//sites/health/files/systems_performance_assessment/docs/2015_maceli_report_en.pdf (accessed on 22 January 2018), Evropská komise, 2015.</w:t>
      </w:r>
      <w:r w:rsidRPr="00C23237">
        <w:rPr>
          <w:rFonts w:asciiTheme="majorHAnsi" w:eastAsiaTheme="majorEastAsia" w:hAnsiTheme="majorHAnsi" w:cstheme="majorHAnsi"/>
          <w:noProof w:val="0"/>
        </w:rPr>
        <w:t xml:space="preserve"> </w:t>
      </w:r>
    </w:p>
  </w:footnote>
  <w:footnote w:id="16">
    <w:p w14:paraId="59B6755E" w14:textId="77777777" w:rsidR="005A0E7C" w:rsidRDefault="005A0E7C" w:rsidP="00B15ECB">
      <w:pPr>
        <w:pStyle w:val="Textpoznpodarou"/>
      </w:pPr>
      <w:r>
        <w:rPr>
          <w:rStyle w:val="Znakapoznpodarou"/>
        </w:rPr>
        <w:footnoteRef/>
      </w:r>
      <w:r>
        <w:t xml:space="preserve"> </w:t>
      </w:r>
      <w:r w:rsidRPr="004B35BC">
        <w:rPr>
          <w:noProof w:val="0"/>
          <w:sz w:val="18"/>
          <w:szCs w:val="18"/>
        </w:rPr>
        <w:t>ČLS-JEP (2018), Společnosti a spolky lékařů [Companies and medical associations], Česká lékařská společnost Jana Evangelisty Purkyně, http://www.cls.cz/prehled-clenu (accessed on 16 January 2018).</w:t>
      </w:r>
    </w:p>
  </w:footnote>
  <w:footnote w:id="17">
    <w:p w14:paraId="47C18106" w14:textId="77777777" w:rsidR="005A0E7C" w:rsidRDefault="005A0E7C" w:rsidP="00B15ECB">
      <w:pPr>
        <w:pStyle w:val="Textpoznpodarou"/>
      </w:pPr>
      <w:r>
        <w:rPr>
          <w:rStyle w:val="Znakapoznpodarou"/>
        </w:rPr>
        <w:footnoteRef/>
      </w:r>
      <w:r>
        <w:t xml:space="preserve"> </w:t>
      </w:r>
      <w:r w:rsidRPr="00EA3ABF">
        <w:rPr>
          <w:sz w:val="18"/>
          <w:szCs w:val="18"/>
        </w:rPr>
        <w:t>Dle klasifikace území v rámci Strategie regionálního rozvoje ČR 2021+.</w:t>
      </w:r>
    </w:p>
  </w:footnote>
  <w:footnote w:id="18">
    <w:p w14:paraId="657F8FE8" w14:textId="77777777" w:rsidR="005A0E7C" w:rsidRDefault="005A0E7C">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19">
    <w:p w14:paraId="69C0911E" w14:textId="77777777" w:rsidR="005A0E7C" w:rsidRDefault="005A0E7C" w:rsidP="00B15ECB">
      <w:pPr>
        <w:pStyle w:val="Textpoznpodarou"/>
      </w:pPr>
      <w:r>
        <w:rPr>
          <w:rStyle w:val="Znakapoznpodarou"/>
        </w:rPr>
        <w:footnoteRef/>
      </w:r>
      <w:r>
        <w:t xml:space="preserve"> Strategický rámec ČR 2030 lze nalézt na webových stránkách zde: </w:t>
      </w:r>
      <w:hyperlink r:id="rId1" w:history="1">
        <w:r>
          <w:rPr>
            <w:rStyle w:val="Hypertextovodkaz"/>
          </w:rPr>
          <w:t>https://www.cr2030.cz/</w:t>
        </w:r>
      </w:hyperlink>
      <w:r>
        <w:t xml:space="preserve">, Strategický rámec čerpá z širokého spektra tuzemských i zahraničních zdrojů, mimo jiné i z analýzy POLÁŠEK, M. Vládneme si dobře? Vládnutí v kontextu trvale udržitelného rozvoje. Dostupné z: </w:t>
      </w:r>
      <w:hyperlink r:id="rId2" w:history="1">
        <w:r>
          <w:rPr>
            <w:rStyle w:val="Hypertextovodkaz"/>
          </w:rPr>
          <w:t>https://www.cr2030.cz/strategie/wp-content/uploads/sites/2/2018/05/ANALÝZA_Vládneme-si-dobře.docx.pdf</w:t>
        </w:r>
      </w:hyperlink>
      <w:r>
        <w:t xml:space="preserve"> </w:t>
      </w:r>
    </w:p>
  </w:footnote>
  <w:footnote w:id="20">
    <w:p w14:paraId="1B8C23F0" w14:textId="77777777" w:rsidR="005A0E7C" w:rsidRDefault="005A0E7C" w:rsidP="00B15ECB">
      <w:pPr>
        <w:pStyle w:val="Textpoznpodarou"/>
      </w:pPr>
      <w:r>
        <w:rPr>
          <w:rStyle w:val="Znakapoznpodarou"/>
        </w:rPr>
        <w:footnoteRef/>
      </w:r>
      <w:r>
        <w:t xml:space="preserve"> Pravidelné monitorovací zprávy, stejně jako obě evaluační zprávy k SRR VS jsou dostupné na webu MV ČR zde: https://www.mvcr.cz/clanek/vystupy-strategickeho-ramce-rozvoje-verejne-spravy.aspx</w:t>
      </w:r>
    </w:p>
  </w:footnote>
  <w:footnote w:id="21">
    <w:p w14:paraId="6A4B6136" w14:textId="77777777" w:rsidR="005A0E7C" w:rsidRDefault="005A0E7C">
      <w:pPr>
        <w:pStyle w:val="Textpoznpodarou"/>
      </w:pPr>
      <w:r>
        <w:rPr>
          <w:rStyle w:val="Znakapoznpodarou"/>
        </w:rPr>
        <w:footnoteRef/>
      </w:r>
      <w:r>
        <w:t xml:space="preserve"> Lze dohledat zde: </w:t>
      </w:r>
      <w:r w:rsidRPr="005824DE">
        <w:t>https://www.mvcr.cz/clanek/vystupy-strategickeho-ramce-rozvoje-verejne-spravy.aspx</w:t>
      </w:r>
    </w:p>
  </w:footnote>
  <w:footnote w:id="22">
    <w:p w14:paraId="68DD4934" w14:textId="77777777" w:rsidR="005A0E7C" w:rsidRDefault="005A0E7C" w:rsidP="00B15ECB">
      <w:pPr>
        <w:pStyle w:val="Textpoznpodarou"/>
      </w:pPr>
      <w:r>
        <w:rPr>
          <w:rStyle w:val="Znakapoznpodarou"/>
        </w:rPr>
        <w:footnoteRef/>
      </w:r>
      <w:r>
        <w:t xml:space="preserve"> Dostupné na webu MV ČR: https://www.mvcr.cz/webpm/clanek/samostatne-oddeleni-strategii-a-esif.aspx</w:t>
      </w:r>
    </w:p>
  </w:footnote>
  <w:footnote w:id="23">
    <w:p w14:paraId="0C4E4203" w14:textId="77777777" w:rsidR="005A0E7C" w:rsidRDefault="005A0E7C" w:rsidP="00B15ECB">
      <w:pPr>
        <w:pStyle w:val="Textpoznpodarou"/>
      </w:pPr>
      <w:r>
        <w:rPr>
          <w:rStyle w:val="Znakapoznpodarou"/>
        </w:rPr>
        <w:footnoteRef/>
      </w:r>
      <w:r>
        <w:t xml:space="preserve"> Dostupné na webu MV ČR: https://www.mvcr.cz/clanek/vystupy-strategickeho-ramce-rozvoje-verejne-spravy.aspx</w:t>
      </w:r>
    </w:p>
  </w:footnote>
  <w:footnote w:id="24">
    <w:p w14:paraId="314712B4" w14:textId="77777777" w:rsidR="005A0E7C" w:rsidRDefault="005A0E7C" w:rsidP="00B15ECB">
      <w:pPr>
        <w:pStyle w:val="Textpoznpodarou"/>
      </w:pPr>
      <w:r>
        <w:rPr>
          <w:rStyle w:val="Znakapoznpodarou"/>
        </w:rPr>
        <w:footnoteRef/>
      </w:r>
      <w:r>
        <w:t xml:space="preserve"> Dostupné na webu MPSV ČR: </w:t>
      </w:r>
      <w:hyperlink r:id="rId3" w:history="1">
        <w:r>
          <w:rPr>
            <w:rStyle w:val="Hypertextovodkaz"/>
          </w:rPr>
          <w:t>https://www.esfcr.cz/documents/21802/6250228/Strategick%C3%A1+evaluace+OPZ+I_Z%C3%A1v%C4%9Bre%C4%8Dn%C3%A1_zpr%C3%A1va.pdf/d1d545c5-7d49-41eb-ae5f-ef0912fd2969?t=1493302782560</w:t>
        </w:r>
      </w:hyperlink>
    </w:p>
    <w:p w14:paraId="0EA56447" w14:textId="77777777" w:rsidR="005A0E7C" w:rsidRDefault="005A0E7C" w:rsidP="00B15ECB">
      <w:pPr>
        <w:pStyle w:val="Textpoznpodarou"/>
      </w:pPr>
    </w:p>
  </w:footnote>
  <w:footnote w:id="25">
    <w:p w14:paraId="7A04A5F2"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26">
    <w:p w14:paraId="1F5F30EC"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27">
    <w:p w14:paraId="21E498E4"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28">
    <w:p w14:paraId="59CA1D6C" w14:textId="77777777" w:rsidR="005A0E7C" w:rsidRPr="00CF5183" w:rsidRDefault="005A0E7C" w:rsidP="00B15ECB">
      <w:pPr>
        <w:pStyle w:val="Textpoznpodarou"/>
      </w:pPr>
      <w:r>
        <w:rPr>
          <w:rStyle w:val="Znakapoznpodarou"/>
        </w:rPr>
        <w:footnoteRef/>
      </w:r>
      <w:r w:rsidRPr="00CF5183">
        <w:t xml:space="preserve">Viz https://www.vlada.cz/assets/ppov/udrzitelny-rozvoj/projekt-OPZ/Kvalita-zivota---shrnuti.pdf   </w:t>
      </w:r>
    </w:p>
  </w:footnote>
  <w:footnote w:id="29">
    <w:p w14:paraId="39D793B9" w14:textId="77777777" w:rsidR="005A0E7C" w:rsidRDefault="005A0E7C" w:rsidP="00B15ECB">
      <w:pPr>
        <w:pStyle w:val="Textpoznpodarou"/>
      </w:pPr>
      <w:r w:rsidRPr="009E6184">
        <w:rPr>
          <w:rStyle w:val="Znakapoznpodarou"/>
        </w:rPr>
        <w:footnoteRef/>
      </w:r>
      <w:r w:rsidRPr="009E6184">
        <w:t xml:space="preserve"> Centrum pro výzkum veřejného mínění</w:t>
      </w:r>
    </w:p>
  </w:footnote>
  <w:footnote w:id="30">
    <w:p w14:paraId="1E4AF1BB" w14:textId="77777777" w:rsidR="005A0E7C" w:rsidRPr="00555F64" w:rsidRDefault="005A0E7C" w:rsidP="00B15ECB">
      <w:pPr>
        <w:spacing w:before="60" w:after="60"/>
      </w:pPr>
      <w:r w:rsidRPr="00DE112E">
        <w:rPr>
          <w:rStyle w:val="Znakapoznpodarou"/>
        </w:rPr>
        <w:footnoteRef/>
      </w:r>
      <w:r w:rsidRPr="00DE112E">
        <w:t xml:space="preserve"> Viz kap. 3.2.5 Vyvážené  a  komplexně  využitelné  úkoly  a  nástroje  ochrany  obyvatelstva  umožňující efektivní  prevenci  a  přípravu a</w:t>
      </w:r>
      <w:r w:rsidRPr="00317A6C">
        <w:t xml:space="preserve">  mimořádné  události  a  krizové situace  a  jejich  řešení založené na přesně definovaném a zakotveném systému ochrany obyvatelstva (str. 24– 25).</w:t>
      </w:r>
    </w:p>
  </w:footnote>
  <w:footnote w:id="31">
    <w:p w14:paraId="3C285E63" w14:textId="77777777" w:rsidR="005A0E7C" w:rsidRPr="009E315C" w:rsidRDefault="005A0E7C" w:rsidP="00B15ECB">
      <w:pPr>
        <w:spacing w:before="60" w:after="60"/>
        <w:rPr>
          <w:u w:val="single"/>
        </w:rPr>
      </w:pPr>
      <w:r w:rsidRPr="00555F64">
        <w:rPr>
          <w:rStyle w:val="Znakapoznpodarou"/>
        </w:rPr>
        <w:footnoteRef/>
      </w:r>
      <w:r w:rsidRPr="00555F64">
        <w:t xml:space="preserve"> Viz k</w:t>
      </w:r>
      <w:r w:rsidRPr="009E315C">
        <w:t>ap. 5.  Základní úkoly pro realizaci stanovených priorit ochrany obyvatelstva (str. 51 a následující).</w:t>
      </w:r>
    </w:p>
  </w:footnote>
  <w:footnote w:id="32">
    <w:p w14:paraId="73B9D26E" w14:textId="77777777" w:rsidR="005A0E7C" w:rsidRDefault="005A0E7C" w:rsidP="00B15ECB">
      <w:pPr>
        <w:pStyle w:val="Textpoznpodarou"/>
      </w:pPr>
      <w:r>
        <w:rPr>
          <w:rStyle w:val="Znakapoznpodarou"/>
        </w:rPr>
        <w:footnoteRef/>
      </w:r>
      <w:r>
        <w:t xml:space="preserve"> Viz Tabulka č. 1 Typy nebezpečí s nepřijatelným rizikem (str. 8).</w:t>
      </w:r>
    </w:p>
  </w:footnote>
  <w:footnote w:id="33">
    <w:p w14:paraId="3ACAB754" w14:textId="77777777" w:rsidR="005A0E7C" w:rsidRDefault="005A0E7C" w:rsidP="00B15ECB">
      <w:pPr>
        <w:pStyle w:val="Textpoznpodarou"/>
      </w:pPr>
      <w:r>
        <w:rPr>
          <w:rStyle w:val="Znakapoznpodarou"/>
        </w:rPr>
        <w:footnoteRef/>
      </w:r>
      <w:r>
        <w:t xml:space="preserve"> Viz kap. 3.10.2 Obecná charakteristika adaptačních opatření v oblasti mimořádných událostí a ochrany obyvatelstva a životního prostředí.</w:t>
      </w:r>
    </w:p>
  </w:footnote>
  <w:footnote w:id="34">
    <w:p w14:paraId="0DE7E49D" w14:textId="77777777" w:rsidR="005A0E7C" w:rsidRDefault="005A0E7C" w:rsidP="00B15ECB">
      <w:pPr>
        <w:pStyle w:val="Textpoznpodarou"/>
      </w:pPr>
      <w:r>
        <w:rPr>
          <w:rStyle w:val="Znakapoznpodarou"/>
        </w:rPr>
        <w:footnoteRef/>
      </w:r>
      <w:r>
        <w:t xml:space="preserve"> Viz </w:t>
      </w:r>
      <w:r w:rsidRPr="00A97F1F">
        <w:t>https://www.vlada.cz/assets/ppov/udrzitelny-rozvoj/CR-2030/Prehled-globalnich-megatrendu.pdf</w:t>
      </w:r>
    </w:p>
  </w:footnote>
  <w:footnote w:id="35">
    <w:p w14:paraId="143A1F5F" w14:textId="77777777" w:rsidR="005A0E7C" w:rsidRPr="00CF5183" w:rsidRDefault="005A0E7C" w:rsidP="00B15ECB">
      <w:pPr>
        <w:pStyle w:val="Textpoznpodarou"/>
      </w:pPr>
      <w:r w:rsidRPr="00CF5183">
        <w:rPr>
          <w:rStyle w:val="Znakapoznpodarou"/>
        </w:rPr>
        <w:footnoteRef/>
      </w:r>
      <w:r w:rsidRPr="00CF5183">
        <w:t xml:space="preserve"> Viz Hlava II Návrhu nařízení Evropského parlamentu a Rady o společných ustanoveních o Evropském fondu pro regionální rozvoj, Evropském sociálního fondu plus, Fondu soudržnosti a Evropském námořním a rybářském fondu a o finančních pravidlech pro tyto fondy a pro Azylový a migrační fond, Fond pro vnitřní bezpečnost a Nástroj pro správu hranic a víza  - C OM(2018) 375 final, 2018/0196 (COD</w:t>
      </w:r>
      <w:r>
        <w:t>)</w:t>
      </w:r>
      <w:r w:rsidRPr="00CF5183">
        <w:t>:</w:t>
      </w:r>
    </w:p>
    <w:p w14:paraId="14D24C2B" w14:textId="77777777" w:rsidR="005A0E7C" w:rsidRPr="00CF5183" w:rsidRDefault="005A0E7C" w:rsidP="00391907">
      <w:pPr>
        <w:pStyle w:val="Odstavecseseznamem"/>
        <w:numPr>
          <w:ilvl w:val="0"/>
          <w:numId w:val="52"/>
        </w:numPr>
        <w:spacing w:after="0" w:line="240" w:lineRule="auto"/>
        <w:jc w:val="both"/>
        <w:rPr>
          <w:rFonts w:eastAsia="Times New Roman"/>
          <w:sz w:val="20"/>
          <w:szCs w:val="20"/>
          <w:lang w:bidi="cs-CZ"/>
        </w:rPr>
      </w:pPr>
      <w:r w:rsidRPr="00CF5183">
        <w:rPr>
          <w:rFonts w:eastAsia="Times New Roman"/>
          <w:sz w:val="20"/>
          <w:szCs w:val="20"/>
          <w:lang w:bidi="cs-CZ"/>
        </w:rPr>
        <w:t>inteligentnější Evropa – inovativní a inteligentní ekonomická transformace;</w:t>
      </w:r>
    </w:p>
    <w:p w14:paraId="62C0BA20" w14:textId="77777777" w:rsidR="005A0E7C" w:rsidRPr="00CF5183" w:rsidRDefault="005A0E7C" w:rsidP="00391907">
      <w:pPr>
        <w:pStyle w:val="Odstavecseseznamem"/>
        <w:numPr>
          <w:ilvl w:val="0"/>
          <w:numId w:val="52"/>
        </w:numPr>
        <w:spacing w:after="0" w:line="240" w:lineRule="auto"/>
        <w:jc w:val="both"/>
        <w:rPr>
          <w:rFonts w:eastAsia="Times New Roman"/>
          <w:sz w:val="20"/>
          <w:szCs w:val="20"/>
          <w:lang w:bidi="cs-CZ"/>
        </w:rPr>
      </w:pPr>
      <w:r w:rsidRPr="00CF5183">
        <w:rPr>
          <w:rFonts w:eastAsia="Times New Roman"/>
          <w:sz w:val="20"/>
          <w:szCs w:val="20"/>
          <w:lang w:bidi="cs-CZ"/>
        </w:rPr>
        <w:t>zelenější, nízkouhlíková Evropa;</w:t>
      </w:r>
    </w:p>
    <w:p w14:paraId="16B159C9" w14:textId="77777777" w:rsidR="005A0E7C" w:rsidRPr="00CF5183" w:rsidRDefault="005A0E7C" w:rsidP="00391907">
      <w:pPr>
        <w:pStyle w:val="Odstavecseseznamem"/>
        <w:numPr>
          <w:ilvl w:val="0"/>
          <w:numId w:val="52"/>
        </w:numPr>
        <w:spacing w:after="0" w:line="240" w:lineRule="auto"/>
        <w:jc w:val="both"/>
        <w:rPr>
          <w:rFonts w:eastAsia="Times New Roman"/>
          <w:sz w:val="20"/>
          <w:szCs w:val="20"/>
          <w:lang w:bidi="cs-CZ"/>
        </w:rPr>
      </w:pPr>
      <w:r w:rsidRPr="00CF5183">
        <w:rPr>
          <w:rFonts w:eastAsia="Times New Roman"/>
          <w:sz w:val="20"/>
          <w:szCs w:val="20"/>
          <w:lang w:bidi="cs-CZ"/>
        </w:rPr>
        <w:t>propojenější Evropa – mobilita a regionální konektivita k sítím IKT;</w:t>
      </w:r>
    </w:p>
    <w:p w14:paraId="2CCE26AC" w14:textId="77777777" w:rsidR="005A0E7C" w:rsidRPr="00CF5183" w:rsidRDefault="005A0E7C" w:rsidP="00391907">
      <w:pPr>
        <w:pStyle w:val="Odstavecseseznamem"/>
        <w:numPr>
          <w:ilvl w:val="0"/>
          <w:numId w:val="52"/>
        </w:numPr>
        <w:spacing w:after="0" w:line="240" w:lineRule="auto"/>
        <w:jc w:val="both"/>
        <w:rPr>
          <w:rFonts w:eastAsia="Times New Roman"/>
          <w:sz w:val="20"/>
          <w:szCs w:val="20"/>
          <w:lang w:bidi="cs-CZ"/>
        </w:rPr>
      </w:pPr>
      <w:r w:rsidRPr="00CF5183">
        <w:rPr>
          <w:rFonts w:eastAsia="Times New Roman"/>
          <w:sz w:val="20"/>
          <w:szCs w:val="20"/>
          <w:lang w:bidi="cs-CZ"/>
        </w:rPr>
        <w:t>sociálnější Evropa – provádění evropského pilíře sociálních práv;</w:t>
      </w:r>
    </w:p>
    <w:p w14:paraId="7BAE663A" w14:textId="77777777" w:rsidR="005A0E7C" w:rsidRPr="003D50B0" w:rsidRDefault="005A0E7C" w:rsidP="00391907">
      <w:pPr>
        <w:pStyle w:val="Odstavecseseznamem"/>
        <w:numPr>
          <w:ilvl w:val="0"/>
          <w:numId w:val="52"/>
        </w:numPr>
        <w:spacing w:after="0" w:line="240" w:lineRule="auto"/>
        <w:jc w:val="both"/>
        <w:rPr>
          <w:rFonts w:eastAsia="Times New Roman"/>
          <w:sz w:val="20"/>
          <w:szCs w:val="20"/>
          <w:lang w:bidi="cs-CZ"/>
        </w:rPr>
      </w:pPr>
      <w:r w:rsidRPr="00CF5183">
        <w:rPr>
          <w:rFonts w:eastAsia="Times New Roman"/>
          <w:sz w:val="20"/>
          <w:szCs w:val="20"/>
          <w:lang w:bidi="cs-CZ"/>
        </w:rPr>
        <w:t>Evropa bližší občanům – trvale udržitelný a integrovaný rozvoj městských, venkovských a pobřežních oblastí prostřednictvím místních iniciativ.</w:t>
      </w:r>
    </w:p>
  </w:footnote>
  <w:footnote w:id="36">
    <w:p w14:paraId="6C94C5CA" w14:textId="77777777" w:rsidR="005A0E7C" w:rsidRDefault="005A0E7C" w:rsidP="00B15ECB">
      <w:pPr>
        <w:pStyle w:val="Textpoznpodarou"/>
      </w:pPr>
      <w:r>
        <w:rPr>
          <w:rStyle w:val="Znakapoznpodarou"/>
        </w:rPr>
        <w:footnoteRef/>
      </w:r>
      <w:r>
        <w:t xml:space="preserve"> Jde o projekty programového období 2007 – 2013.</w:t>
      </w:r>
    </w:p>
  </w:footnote>
  <w:footnote w:id="37">
    <w:p w14:paraId="2274C701" w14:textId="77777777" w:rsidR="005A0E7C" w:rsidRDefault="005A0E7C" w:rsidP="00B15ECB">
      <w:pPr>
        <w:pStyle w:val="Textpoznpodarou"/>
      </w:pPr>
      <w:r>
        <w:rPr>
          <w:rStyle w:val="Znakapoznpodarou"/>
        </w:rPr>
        <w:footnoteRef/>
      </w:r>
      <w:r>
        <w:t>Jde o projekty programového období 2014- 2020. Jejich realizace dosud není ukončena.</w:t>
      </w:r>
    </w:p>
  </w:footnote>
  <w:footnote w:id="38">
    <w:p w14:paraId="75032523"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39">
    <w:p w14:paraId="14B49D43"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0">
    <w:p w14:paraId="7001DC64" w14:textId="77777777" w:rsidR="005A0E7C" w:rsidRDefault="005A0E7C" w:rsidP="00B15ECB">
      <w:pPr>
        <w:pStyle w:val="Textpoznpodarou"/>
      </w:pPr>
      <w:r>
        <w:rPr>
          <w:rStyle w:val="Znakapoznpodarou"/>
        </w:rPr>
        <w:footnoteRef/>
      </w:r>
      <w:r>
        <w:t xml:space="preserve"> Tyto infrastrukruy</w:t>
      </w:r>
      <w:r w:rsidRPr="00117414">
        <w:t xml:space="preserve"> jsou legislativní úpravou ČR definovány jako jedinečná zařízení o vysoké znalostní a</w:t>
      </w:r>
      <w:r>
        <w:t> </w:t>
      </w:r>
      <w:r w:rsidRPr="00117414">
        <w:t>technologické úrovni a náročnosti, a které jejich hostitelské instituce provozují na principu politiky otevřeného přístupu k jejich kapacitám, tj. pro využití všemi potenciálními uživateli z výzkumného a inovačního prostředí.</w:t>
      </w:r>
    </w:p>
  </w:footnote>
  <w:footnote w:id="41">
    <w:p w14:paraId="1270EC5B"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2">
    <w:p w14:paraId="112814A3" w14:textId="77777777" w:rsidR="005A0E7C" w:rsidRDefault="005A0E7C">
      <w:pPr>
        <w:pStyle w:val="Textpoznpodarou"/>
      </w:pPr>
      <w:r>
        <w:rPr>
          <w:rStyle w:val="Znakapoznpodarou"/>
        </w:rPr>
        <w:footnoteRef/>
      </w:r>
      <w:r>
        <w:t xml:space="preserve"> Produkčním (hodnotovým) </w:t>
      </w:r>
      <w:r w:rsidRPr="00917CB7">
        <w:t>řetěz</w:t>
      </w:r>
      <w:r>
        <w:t>cem se rozumí celá</w:t>
      </w:r>
      <w:r w:rsidRPr="00917CB7">
        <w:t xml:space="preserve"> škál</w:t>
      </w:r>
      <w:r>
        <w:t>a</w:t>
      </w:r>
      <w:r w:rsidRPr="00917CB7">
        <w:t xml:space="preserve"> činností, které jsou nutné k tomu, aby produkt (výrobek nebo služba) prošel od koncepce přes různé fáze výroby (zahrnující kombinaci fyzické transformace a vstupu různých výrobních služeb), dodávku konečným spotřebitelům až ke konečné likvidaci po použití.</w:t>
      </w:r>
    </w:p>
  </w:footnote>
  <w:footnote w:id="43">
    <w:p w14:paraId="49AC5FD2"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4">
    <w:p w14:paraId="74E4D460" w14:textId="77777777" w:rsidR="005A0E7C" w:rsidRDefault="005A0E7C">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5">
    <w:p w14:paraId="09B465F5"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6">
    <w:p w14:paraId="68B81DE0" w14:textId="77777777" w:rsidR="005A0E7C" w:rsidRDefault="005A0E7C">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7">
    <w:p w14:paraId="7A5F0B37"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8">
    <w:p w14:paraId="2B3E2BF3"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49">
    <w:p w14:paraId="0B28E392" w14:textId="77777777" w:rsidR="005A0E7C" w:rsidRPr="006C6609" w:rsidRDefault="005A0E7C" w:rsidP="00B15ECB">
      <w:pPr>
        <w:pStyle w:val="Textpoznpodarou"/>
        <w:rPr>
          <w:sz w:val="18"/>
          <w:szCs w:val="18"/>
        </w:rPr>
      </w:pPr>
      <w:r w:rsidRPr="006C6609">
        <w:rPr>
          <w:rStyle w:val="Znakapoznpodarou"/>
          <w:sz w:val="18"/>
          <w:szCs w:val="18"/>
        </w:rPr>
        <w:footnoteRef/>
      </w:r>
      <w:r w:rsidRPr="006C6609">
        <w:rPr>
          <w:sz w:val="18"/>
          <w:szCs w:val="18"/>
        </w:rPr>
        <w:t xml:space="preserve"> </w:t>
      </w:r>
      <w:r>
        <w:rPr>
          <w:sz w:val="18"/>
          <w:szCs w:val="18"/>
        </w:rPr>
        <w:t xml:space="preserve">Představuje odhad na základě celkové alokaci v Cíli politiky 02 - </w:t>
      </w:r>
      <w:r w:rsidRPr="00EA3051">
        <w:rPr>
          <w:sz w:val="18"/>
          <w:szCs w:val="18"/>
        </w:rPr>
        <w:t>Zelenější, nízkouhlíková Evropa díky přechodu na čistou a spravedlivou energii, zelených a modrých investic, oběhové hospodářství, přizpůsobení se změnám klimatu a prevence a řízení rizik</w:t>
      </w:r>
      <w:r>
        <w:rPr>
          <w:sz w:val="18"/>
          <w:szCs w:val="18"/>
        </w:rPr>
        <w:t xml:space="preserve">. </w:t>
      </w:r>
      <w:r w:rsidRPr="006C6609">
        <w:rPr>
          <w:sz w:val="18"/>
          <w:szCs w:val="18"/>
        </w:rPr>
        <w:t xml:space="preserve">Představuje cca polovinu prostředků alokovaných </w:t>
      </w:r>
      <w:r>
        <w:rPr>
          <w:sz w:val="18"/>
          <w:szCs w:val="18"/>
        </w:rPr>
        <w:t xml:space="preserve">na zvyšování energetické účinnosti </w:t>
      </w:r>
      <w:r w:rsidRPr="006C6609">
        <w:rPr>
          <w:sz w:val="18"/>
          <w:szCs w:val="18"/>
        </w:rPr>
        <w:t>v období 2014–2020</w:t>
      </w:r>
    </w:p>
  </w:footnote>
  <w:footnote w:id="50">
    <w:p w14:paraId="3AAF06CC" w14:textId="77777777" w:rsidR="005A0E7C" w:rsidRDefault="005A0E7C" w:rsidP="00B15ECB">
      <w:pPr>
        <w:pStyle w:val="slovanodstavec"/>
        <w:tabs>
          <w:tab w:val="clear" w:pos="567"/>
          <w:tab w:val="left" w:pos="284"/>
        </w:tabs>
        <w:suppressAutoHyphens/>
        <w:spacing w:line="240" w:lineRule="auto"/>
        <w:rPr>
          <w:rFonts w:asciiTheme="minorHAnsi" w:hAnsiTheme="minorHAnsi"/>
          <w:u w:val="single"/>
        </w:rPr>
      </w:pPr>
      <w:r>
        <w:rPr>
          <w:rStyle w:val="Znakapoznpodarou"/>
        </w:rPr>
        <w:footnoteRef/>
      </w:r>
      <w:r>
        <w:t xml:space="preserve"> </w:t>
      </w:r>
      <w:r w:rsidRPr="00B47313">
        <w:rPr>
          <w:rFonts w:asciiTheme="minorHAnsi" w:hAnsiTheme="minorHAnsi"/>
          <w:sz w:val="18"/>
          <w:szCs w:val="18"/>
        </w:rPr>
        <w:t xml:space="preserve">Na základě vstupních analýz politického rámce zvyšování energetické účinnosti do roku 2030, by podpora z evropských prostředků mohla napomoci k vykázání až 50 % závazku ČR povinného snížení spotřeby energie (článek 7 směrnice o energetické účinnosti). </w:t>
      </w:r>
    </w:p>
    <w:p w14:paraId="67A480C5" w14:textId="77777777" w:rsidR="005A0E7C" w:rsidRDefault="005A0E7C" w:rsidP="00B15ECB">
      <w:pPr>
        <w:pStyle w:val="Textpoznpodarou"/>
      </w:pPr>
    </w:p>
  </w:footnote>
  <w:footnote w:id="51">
    <w:p w14:paraId="2CECFC67"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2">
    <w:p w14:paraId="1A9BD868"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3">
    <w:p w14:paraId="67C9D137"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4">
    <w:p w14:paraId="446C171A"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5">
    <w:p w14:paraId="01BF1E69"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6">
    <w:p w14:paraId="1BFE4D15"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7">
    <w:p w14:paraId="05DFD52F" w14:textId="77777777" w:rsidR="005A0E7C" w:rsidRDefault="005A0E7C">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8">
    <w:p w14:paraId="7702192E" w14:textId="77777777" w:rsidR="005A0E7C" w:rsidRDefault="005A0E7C" w:rsidP="00B15ECB">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59">
    <w:p w14:paraId="268CE0E4" w14:textId="77777777" w:rsidR="005A0E7C" w:rsidRDefault="005A0E7C">
      <w:pPr>
        <w:pStyle w:val="Textpoznpodarou"/>
      </w:pPr>
      <w:r>
        <w:rPr>
          <w:rStyle w:val="Znakapoznpodarou"/>
        </w:rPr>
        <w:footnoteRef/>
      </w:r>
      <w:r>
        <w:t xml:space="preserve"> Specifický cíl NKR není totožný se specifickým cílem dle ON. Oba typy cílů tvoří samostatné skupiny, které se v další fázi zpracování částečně překryjí. Zároveň specifický cíl NKR není totožný ani se specifickými cíli budoucích OP.</w:t>
      </w:r>
    </w:p>
  </w:footnote>
  <w:footnote w:id="60">
    <w:p w14:paraId="059C42F4" w14:textId="77777777" w:rsidR="005A0E7C" w:rsidRDefault="005A0E7C">
      <w:pPr>
        <w:pStyle w:val="Textpoznpodarou"/>
      </w:pPr>
      <w:r>
        <w:rPr>
          <w:rStyle w:val="Znakapoznpodarou"/>
        </w:rPr>
        <w:footnoteRef/>
      </w:r>
      <w:r>
        <w:t xml:space="preserve"> Údaje v odstavci jsou ze satelitního účtu, za rok 2017 budou k dispozici teprve na konci prvního čtvrtletí 2019</w:t>
      </w:r>
    </w:p>
  </w:footnote>
  <w:footnote w:id="61">
    <w:p w14:paraId="56C13FFD" w14:textId="77777777" w:rsidR="005A0E7C" w:rsidRDefault="005A0E7C">
      <w:pPr>
        <w:pStyle w:val="Textpoznpodarou"/>
      </w:pPr>
      <w:r>
        <w:rPr>
          <w:rStyle w:val="Znakapoznpodarou"/>
        </w:rPr>
        <w:footnoteRef/>
      </w:r>
      <w:r>
        <w:t xml:space="preserve"> </w:t>
      </w:r>
      <w:r w:rsidRPr="00C731DE">
        <w:t>http://organizace.csks.cz/cs/certifikace-organizaci-destinacniho-managementu/metodicke-dokumenty-dmo-ke-stazeni.html</w:t>
      </w:r>
    </w:p>
  </w:footnote>
  <w:footnote w:id="62">
    <w:p w14:paraId="4EC0B356" w14:textId="77777777" w:rsidR="005A0E7C" w:rsidRDefault="005A0E7C">
      <w:pPr>
        <w:pStyle w:val="Textpoznpodarou"/>
      </w:pPr>
      <w:r>
        <w:rPr>
          <w:rStyle w:val="Znakapoznpodarou"/>
        </w:rPr>
        <w:footnoteRef/>
      </w:r>
      <w:r>
        <w:t xml:space="preserve"> </w:t>
      </w:r>
      <w:r w:rsidRPr="009B6CFA">
        <w:t>http://ec.europa.eu/growth/sectors/tourism/offer/sustainable/indicators_en</w:t>
      </w:r>
    </w:p>
  </w:footnote>
  <w:footnote w:id="63">
    <w:p w14:paraId="51ACCFB2" w14:textId="77777777" w:rsidR="005A0E7C" w:rsidRPr="00E1555E" w:rsidRDefault="005A0E7C" w:rsidP="00B15ECB">
      <w:pPr>
        <w:pStyle w:val="Textpoznpodarou"/>
      </w:pPr>
      <w:r>
        <w:rPr>
          <w:rStyle w:val="Znakapoznpodarou"/>
        </w:rPr>
        <w:footnoteRef/>
      </w:r>
      <w:r>
        <w:t xml:space="preserve"> </w:t>
      </w:r>
      <w:r w:rsidRPr="00E1555E">
        <w:t>Customer relationship management</w:t>
      </w:r>
    </w:p>
  </w:footnote>
  <w:footnote w:id="64">
    <w:p w14:paraId="6DA8B741" w14:textId="77777777" w:rsidR="005A0E7C" w:rsidRDefault="005A0E7C">
      <w:pPr>
        <w:pStyle w:val="Textpoznpodarou"/>
      </w:pPr>
      <w:r>
        <w:rPr>
          <w:rStyle w:val="Znakapoznpodarou"/>
        </w:rPr>
        <w:footnoteRef/>
      </w:r>
      <w:r>
        <w:t xml:space="preserve"> Meeting – Incentive – Convention – Event – anglický odborný termín z oblasti cestovního ruchu </w:t>
      </w:r>
    </w:p>
  </w:footnote>
  <w:footnote w:id="65">
    <w:p w14:paraId="7C8B1F69" w14:textId="77777777" w:rsidR="005A0E7C" w:rsidRDefault="005A0E7C">
      <w:pPr>
        <w:pStyle w:val="Textpoznpodarou"/>
      </w:pPr>
      <w:r>
        <w:rPr>
          <w:rStyle w:val="Znakapoznpodarou"/>
        </w:rPr>
        <w:footnoteRef/>
      </w:r>
      <w:r>
        <w:t xml:space="preserve"> Malé a střední podniky</w:t>
      </w:r>
    </w:p>
  </w:footnote>
  <w:footnote w:id="66">
    <w:p w14:paraId="00410771" w14:textId="77777777" w:rsidR="005A0E7C" w:rsidRDefault="005A0E7C">
      <w:pPr>
        <w:pStyle w:val="Textpoznpodarou"/>
      </w:pPr>
      <w:r>
        <w:rPr>
          <w:rStyle w:val="Znakapoznpodarou"/>
        </w:rPr>
        <w:footnoteRef/>
      </w:r>
      <w:r>
        <w:t xml:space="preserve"> Organizace destinačního managementu</w:t>
      </w:r>
    </w:p>
  </w:footnote>
  <w:footnote w:id="67">
    <w:p w14:paraId="59C73D1C" w14:textId="77777777" w:rsidR="005A0E7C" w:rsidRDefault="005A0E7C">
      <w:pPr>
        <w:pStyle w:val="Textpoznpodarou"/>
      </w:pPr>
      <w:r>
        <w:rPr>
          <w:rStyle w:val="Znakapoznpodarou"/>
        </w:rPr>
        <w:footnoteRef/>
      </w:r>
      <w:r>
        <w:t xml:space="preserve"> Certifikace spuštěna k 1. 2. 2018</w:t>
      </w:r>
    </w:p>
  </w:footnote>
  <w:footnote w:id="68">
    <w:p w14:paraId="4B804AD1" w14:textId="77777777" w:rsidR="005A0E7C" w:rsidRDefault="005A0E7C">
      <w:pPr>
        <w:pStyle w:val="Textpoznpodarou"/>
      </w:pPr>
      <w:r>
        <w:rPr>
          <w:rStyle w:val="Znakapoznpodarou"/>
        </w:rPr>
        <w:footnoteRef/>
      </w:r>
      <w:r>
        <w:t xml:space="preserve"> v</w:t>
      </w:r>
      <w:r w:rsidRPr="0030367E">
        <w:t xml:space="preserve"> rámci 6.4.2 byl</w:t>
      </w:r>
      <w:r>
        <w:t>o</w:t>
      </w:r>
      <w:r w:rsidRPr="0030367E">
        <w:t xml:space="preserve"> 2., 4. a 6. kolo příjmu žádostí</w:t>
      </w:r>
    </w:p>
  </w:footnote>
  <w:footnote w:id="69">
    <w:p w14:paraId="13C30E84" w14:textId="77777777" w:rsidR="005A0E7C" w:rsidRDefault="005A0E7C">
      <w:pPr>
        <w:pStyle w:val="Textpoznpodarou"/>
      </w:pPr>
      <w:r>
        <w:rPr>
          <w:rStyle w:val="Znakapoznpodarou"/>
        </w:rPr>
        <w:footnoteRef/>
      </w:r>
      <w:r>
        <w:t xml:space="preserve"> Český systém kvality služeb</w:t>
      </w:r>
    </w:p>
  </w:footnote>
  <w:footnote w:id="70">
    <w:p w14:paraId="3D10A895" w14:textId="77777777" w:rsidR="005A0E7C" w:rsidRDefault="005A0E7C">
      <w:pPr>
        <w:pStyle w:val="Textpoznpodarou"/>
      </w:pPr>
      <w:r>
        <w:rPr>
          <w:rStyle w:val="Znakapoznpodarou"/>
        </w:rPr>
        <w:footnoteRef/>
      </w:r>
      <w:r>
        <w:t xml:space="preserve"> V případě požadvaku je možné od regionálních subjektů vyžádat.</w:t>
      </w:r>
    </w:p>
  </w:footnote>
  <w:footnote w:id="71">
    <w:p w14:paraId="432032AC" w14:textId="77777777" w:rsidR="005A0E7C" w:rsidRDefault="005A0E7C">
      <w:pPr>
        <w:pStyle w:val="Textpoznpodarou"/>
      </w:pPr>
      <w:r>
        <w:rPr>
          <w:rStyle w:val="Znakapoznpodarou"/>
        </w:rPr>
        <w:footnoteRef/>
      </w:r>
      <w:r>
        <w:t xml:space="preserve"> Bude záležet na nastavení SZP – v tuto chvíli není možné uvést konkrétní informace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E6BB" w14:textId="77777777" w:rsidR="005A0E7C" w:rsidRDefault="005A0E7C">
    <w:pPr>
      <w:pStyle w:val="Zhlav"/>
    </w:pPr>
    <w:r>
      <w:rPr>
        <w:noProof/>
        <w:lang w:eastAsia="cs-CZ"/>
      </w:rPr>
      <w:drawing>
        <wp:anchor distT="0" distB="0" distL="114300" distR="114300" simplePos="0" relativeHeight="251659264" behindDoc="1" locked="1" layoutInCell="1" allowOverlap="1" wp14:anchorId="5A82CB12" wp14:editId="66B56AB2">
          <wp:simplePos x="0" y="0"/>
          <wp:positionH relativeFrom="column">
            <wp:posOffset>-563245</wp:posOffset>
          </wp:positionH>
          <wp:positionV relativeFrom="paragraph">
            <wp:posOffset>-43180</wp:posOffset>
          </wp:positionV>
          <wp:extent cx="7009130" cy="9914255"/>
          <wp:effectExtent l="0" t="0" r="1270" b="0"/>
          <wp:wrapNone/>
          <wp:docPr id="19" name="Obrázek 19" descr="G:\titulka1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itulka12b-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09130" cy="9914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1795C" w14:textId="77777777" w:rsidR="005A0E7C" w:rsidRPr="00D32240" w:rsidRDefault="005A0E7C" w:rsidP="00D3224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51AA"/>
    <w:multiLevelType w:val="hybridMultilevel"/>
    <w:tmpl w:val="6F4AD10E"/>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2AF1297"/>
    <w:multiLevelType w:val="hybridMultilevel"/>
    <w:tmpl w:val="D01AF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D37533"/>
    <w:multiLevelType w:val="hybridMultilevel"/>
    <w:tmpl w:val="4C269CE2"/>
    <w:lvl w:ilvl="0" w:tplc="8B8E5A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42273A"/>
    <w:multiLevelType w:val="hybridMultilevel"/>
    <w:tmpl w:val="44E8DCDC"/>
    <w:lvl w:ilvl="0" w:tplc="FE627A2A">
      <w:start w:val="3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2246F7"/>
    <w:multiLevelType w:val="hybridMultilevel"/>
    <w:tmpl w:val="1C8ECEBE"/>
    <w:lvl w:ilvl="0" w:tplc="FBFCA68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4C36B8A"/>
    <w:multiLevelType w:val="hybridMultilevel"/>
    <w:tmpl w:val="A2481A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04DB7EE0"/>
    <w:multiLevelType w:val="hybridMultilevel"/>
    <w:tmpl w:val="6622A4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4FC6C11"/>
    <w:multiLevelType w:val="hybridMultilevel"/>
    <w:tmpl w:val="FFA0407E"/>
    <w:lvl w:ilvl="0" w:tplc="7BDABCAA">
      <w:start w:val="1"/>
      <w:numFmt w:val="lowerLetter"/>
      <w:lvlText w:val="%1)"/>
      <w:lvlJc w:val="left"/>
      <w:pPr>
        <w:ind w:left="720" w:hanging="360"/>
      </w:pPr>
      <w:rPr>
        <w:rFonts w:asciiTheme="minorHAnsi" w:eastAsia="Calibri" w:hAnsiTheme="minorHAnsi"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51B1B74"/>
    <w:multiLevelType w:val="hybridMultilevel"/>
    <w:tmpl w:val="D346ACBC"/>
    <w:lvl w:ilvl="0" w:tplc="0405000F">
      <w:start w:val="1"/>
      <w:numFmt w:val="decimal"/>
      <w:lvlText w:val="%1."/>
      <w:lvlJc w:val="left"/>
      <w:pPr>
        <w:ind w:left="360" w:hanging="360"/>
      </w:pPr>
      <w:rPr>
        <w:rFonts w:hint="default"/>
      </w:rPr>
    </w:lvl>
    <w:lvl w:ilvl="1" w:tplc="04050001">
      <w:start w:val="1"/>
      <w:numFmt w:val="bullet"/>
      <w:lvlText w:val=""/>
      <w:lvlJc w:val="left"/>
      <w:pPr>
        <w:ind w:left="2498" w:hanging="360"/>
      </w:pPr>
      <w:rPr>
        <w:rFonts w:ascii="Symbol" w:hAnsi="Symbol" w:hint="default"/>
      </w:r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9" w15:restartNumberingAfterBreak="0">
    <w:nsid w:val="055711D2"/>
    <w:multiLevelType w:val="hybridMultilevel"/>
    <w:tmpl w:val="CDE2D610"/>
    <w:lvl w:ilvl="0" w:tplc="04050005">
      <w:start w:val="1"/>
      <w:numFmt w:val="bullet"/>
      <w:lvlText w:val=""/>
      <w:lvlJc w:val="left"/>
      <w:pPr>
        <w:ind w:left="644" w:hanging="360"/>
      </w:pPr>
      <w:rPr>
        <w:rFonts w:ascii="Wingdings" w:hAnsi="Wingdings"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15:restartNumberingAfterBreak="0">
    <w:nsid w:val="063C4DF6"/>
    <w:multiLevelType w:val="hybridMultilevel"/>
    <w:tmpl w:val="4C3AD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AD5882"/>
    <w:multiLevelType w:val="hybridMultilevel"/>
    <w:tmpl w:val="9098A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7207A9C"/>
    <w:multiLevelType w:val="hybridMultilevel"/>
    <w:tmpl w:val="E75A1E9A"/>
    <w:lvl w:ilvl="0" w:tplc="FBFCA682">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8154487"/>
    <w:multiLevelType w:val="hybridMultilevel"/>
    <w:tmpl w:val="7ABC0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8624B40"/>
    <w:multiLevelType w:val="hybridMultilevel"/>
    <w:tmpl w:val="A0984DDE"/>
    <w:lvl w:ilvl="0" w:tplc="91FCF258">
      <w:numFmt w:val="bullet"/>
      <w:lvlText w:val="-"/>
      <w:lvlJc w:val="left"/>
      <w:pPr>
        <w:ind w:left="720" w:hanging="360"/>
      </w:pPr>
      <w:rPr>
        <w:rFonts w:ascii="Cambria" w:eastAsiaTheme="minorHAnsi" w:hAnsi="Cambria"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B38CE"/>
    <w:multiLevelType w:val="hybridMultilevel"/>
    <w:tmpl w:val="208E44C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B1E200B"/>
    <w:multiLevelType w:val="hybridMultilevel"/>
    <w:tmpl w:val="FF725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D2A3835"/>
    <w:multiLevelType w:val="hybridMultilevel"/>
    <w:tmpl w:val="23E46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D2E5E86"/>
    <w:multiLevelType w:val="hybridMultilevel"/>
    <w:tmpl w:val="FEFEF8B0"/>
    <w:lvl w:ilvl="0" w:tplc="FBFCA682">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0D58288F"/>
    <w:multiLevelType w:val="hybridMultilevel"/>
    <w:tmpl w:val="32624646"/>
    <w:lvl w:ilvl="0" w:tplc="C1161D80">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E810B75"/>
    <w:multiLevelType w:val="hybridMultilevel"/>
    <w:tmpl w:val="82CADEC0"/>
    <w:lvl w:ilvl="0" w:tplc="0A32A0E6">
      <w:start w:val="1"/>
      <w:numFmt w:val="decimal"/>
      <w:lvlText w:val="%1."/>
      <w:lvlJc w:val="left"/>
      <w:pPr>
        <w:ind w:left="9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02F7CDE"/>
    <w:multiLevelType w:val="hybridMultilevel"/>
    <w:tmpl w:val="489CEE92"/>
    <w:lvl w:ilvl="0" w:tplc="0405000F">
      <w:start w:val="1"/>
      <w:numFmt w:val="decimal"/>
      <w:lvlText w:val="%1."/>
      <w:lvlJc w:val="left"/>
      <w:pPr>
        <w:ind w:left="97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03B4E76"/>
    <w:multiLevelType w:val="hybridMultilevel"/>
    <w:tmpl w:val="CC4064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03E523B"/>
    <w:multiLevelType w:val="hybridMultilevel"/>
    <w:tmpl w:val="AE0A3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0CB6691"/>
    <w:multiLevelType w:val="hybridMultilevel"/>
    <w:tmpl w:val="48ECF9EA"/>
    <w:lvl w:ilvl="0" w:tplc="6BB6A426">
      <w:start w:val="2"/>
      <w:numFmt w:val="decimal"/>
      <w:lvlText w:val="%1."/>
      <w:lvlJc w:val="left"/>
      <w:pPr>
        <w:ind w:left="720" w:hanging="360"/>
      </w:pPr>
      <w:rPr>
        <w:rFonts w:eastAsiaTheme="minorHAnsi" w:cstheme="minorBidi"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30C5C57"/>
    <w:multiLevelType w:val="hybridMultilevel"/>
    <w:tmpl w:val="EECEDCB4"/>
    <w:lvl w:ilvl="0" w:tplc="D8CA6B6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36A1018"/>
    <w:multiLevelType w:val="hybridMultilevel"/>
    <w:tmpl w:val="2FDC8C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13AF4729"/>
    <w:multiLevelType w:val="hybridMultilevel"/>
    <w:tmpl w:val="4150FBDC"/>
    <w:lvl w:ilvl="0" w:tplc="07E65CEC">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40B2BC0"/>
    <w:multiLevelType w:val="hybridMultilevel"/>
    <w:tmpl w:val="1BD638A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29" w15:restartNumberingAfterBreak="0">
    <w:nsid w:val="14413581"/>
    <w:multiLevelType w:val="hybridMultilevel"/>
    <w:tmpl w:val="489E51F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1B7152"/>
    <w:multiLevelType w:val="hybridMultilevel"/>
    <w:tmpl w:val="B8BA3188"/>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54F2995"/>
    <w:multiLevelType w:val="hybridMultilevel"/>
    <w:tmpl w:val="C73270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8F063EB"/>
    <w:multiLevelType w:val="hybridMultilevel"/>
    <w:tmpl w:val="D12652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9CF6223"/>
    <w:multiLevelType w:val="hybridMultilevel"/>
    <w:tmpl w:val="64EC51B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1AB13056"/>
    <w:multiLevelType w:val="hybridMultilevel"/>
    <w:tmpl w:val="3C3AE8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1C192517"/>
    <w:multiLevelType w:val="hybridMultilevel"/>
    <w:tmpl w:val="1862CC1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DD35820"/>
    <w:multiLevelType w:val="hybridMultilevel"/>
    <w:tmpl w:val="1876A91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1DEB768A"/>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1E154350"/>
    <w:multiLevelType w:val="hybridMultilevel"/>
    <w:tmpl w:val="1A80F9F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1F180C64"/>
    <w:multiLevelType w:val="hybridMultilevel"/>
    <w:tmpl w:val="F692FB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1F286851"/>
    <w:multiLevelType w:val="hybridMultilevel"/>
    <w:tmpl w:val="6AAA7434"/>
    <w:lvl w:ilvl="0" w:tplc="E51E6D4A">
      <w:start w:val="3"/>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1F5410ED"/>
    <w:multiLevelType w:val="hybridMultilevel"/>
    <w:tmpl w:val="621C28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1FC87CC1"/>
    <w:multiLevelType w:val="hybridMultilevel"/>
    <w:tmpl w:val="AA0AA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1FEC46FE"/>
    <w:multiLevelType w:val="hybridMultilevel"/>
    <w:tmpl w:val="EAD0D2C6"/>
    <w:lvl w:ilvl="0" w:tplc="E51E6D4A">
      <w:start w:val="3"/>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07A170A"/>
    <w:multiLevelType w:val="hybridMultilevel"/>
    <w:tmpl w:val="E51E5408"/>
    <w:lvl w:ilvl="0" w:tplc="8C76F03C">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08371D4"/>
    <w:multiLevelType w:val="hybridMultilevel"/>
    <w:tmpl w:val="FCE218A0"/>
    <w:lvl w:ilvl="0" w:tplc="81FE89C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22E01A15"/>
    <w:multiLevelType w:val="hybridMultilevel"/>
    <w:tmpl w:val="A92460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24336651"/>
    <w:multiLevelType w:val="hybridMultilevel"/>
    <w:tmpl w:val="D82240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44A7508"/>
    <w:multiLevelType w:val="hybridMultilevel"/>
    <w:tmpl w:val="F1FC181A"/>
    <w:lvl w:ilvl="0" w:tplc="FF80676A">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15:restartNumberingAfterBreak="0">
    <w:nsid w:val="25F31B55"/>
    <w:multiLevelType w:val="hybridMultilevel"/>
    <w:tmpl w:val="875448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268275BF"/>
    <w:multiLevelType w:val="hybridMultilevel"/>
    <w:tmpl w:val="BF163882"/>
    <w:lvl w:ilvl="0" w:tplc="BB02B58E">
      <w:start w:val="23"/>
      <w:numFmt w:val="bullet"/>
      <w:lvlText w:val="-"/>
      <w:lvlJc w:val="left"/>
      <w:pPr>
        <w:ind w:left="643" w:hanging="360"/>
      </w:pPr>
      <w:rPr>
        <w:rFonts w:ascii="Times New Roman" w:eastAsiaTheme="minorHAnsi" w:hAnsi="Times New Roman" w:cs="Times New Roman" w:hint="default"/>
        <w:b/>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51" w15:restartNumberingAfterBreak="0">
    <w:nsid w:val="27051F3E"/>
    <w:multiLevelType w:val="hybridMultilevel"/>
    <w:tmpl w:val="71E04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27285D66"/>
    <w:multiLevelType w:val="hybridMultilevel"/>
    <w:tmpl w:val="91C0035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78C6FC2"/>
    <w:multiLevelType w:val="hybridMultilevel"/>
    <w:tmpl w:val="472CF31E"/>
    <w:lvl w:ilvl="0" w:tplc="74BA762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1E494F"/>
    <w:multiLevelType w:val="hybridMultilevel"/>
    <w:tmpl w:val="31AAB29A"/>
    <w:lvl w:ilvl="0" w:tplc="FE627A2A">
      <w:start w:val="3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2B370B87"/>
    <w:multiLevelType w:val="hybridMultilevel"/>
    <w:tmpl w:val="F60CAA6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2D880395"/>
    <w:multiLevelType w:val="hybridMultilevel"/>
    <w:tmpl w:val="420A0D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15:restartNumberingAfterBreak="0">
    <w:nsid w:val="2E302EDA"/>
    <w:multiLevelType w:val="hybridMultilevel"/>
    <w:tmpl w:val="D346ACBC"/>
    <w:lvl w:ilvl="0" w:tplc="0405000F">
      <w:start w:val="1"/>
      <w:numFmt w:val="decimal"/>
      <w:lvlText w:val="%1."/>
      <w:lvlJc w:val="left"/>
      <w:pPr>
        <w:ind w:left="360" w:hanging="360"/>
      </w:pPr>
      <w:rPr>
        <w:rFonts w:hint="default"/>
      </w:rPr>
    </w:lvl>
    <w:lvl w:ilvl="1" w:tplc="04050001">
      <w:start w:val="1"/>
      <w:numFmt w:val="bullet"/>
      <w:lvlText w:val=""/>
      <w:lvlJc w:val="left"/>
      <w:pPr>
        <w:ind w:left="2498" w:hanging="360"/>
      </w:pPr>
      <w:rPr>
        <w:rFonts w:ascii="Symbol" w:hAnsi="Symbol" w:hint="default"/>
      </w:r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58" w15:restartNumberingAfterBreak="0">
    <w:nsid w:val="2F0F0EB1"/>
    <w:multiLevelType w:val="hybridMultilevel"/>
    <w:tmpl w:val="93022122"/>
    <w:lvl w:ilvl="0" w:tplc="C504DC7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2F5643CC"/>
    <w:multiLevelType w:val="hybridMultilevel"/>
    <w:tmpl w:val="71C4E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2F9D5C69"/>
    <w:multiLevelType w:val="hybridMultilevel"/>
    <w:tmpl w:val="BEC044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FDE0439"/>
    <w:multiLevelType w:val="hybridMultilevel"/>
    <w:tmpl w:val="3AC05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22F7DAF"/>
    <w:multiLevelType w:val="hybridMultilevel"/>
    <w:tmpl w:val="CD560DB2"/>
    <w:lvl w:ilvl="0" w:tplc="F9D0507A">
      <w:start w:val="3"/>
      <w:numFmt w:val="bullet"/>
      <w:lvlText w:val="-"/>
      <w:lvlJc w:val="left"/>
      <w:pPr>
        <w:ind w:left="720" w:hanging="360"/>
      </w:pPr>
      <w:rPr>
        <w:rFonts w:ascii="Calibri" w:eastAsiaTheme="minorHAnsi" w:hAnsi="Calibri" w:cstheme="minorBidi"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232741B"/>
    <w:multiLevelType w:val="hybridMultilevel"/>
    <w:tmpl w:val="0FDA7F1A"/>
    <w:lvl w:ilvl="0" w:tplc="FE627A2A">
      <w:start w:val="3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26343B8"/>
    <w:multiLevelType w:val="hybridMultilevel"/>
    <w:tmpl w:val="6876F8AC"/>
    <w:lvl w:ilvl="0" w:tplc="8EC21FF6">
      <w:start w:val="1"/>
      <w:numFmt w:val="decimal"/>
      <w:lvlText w:val="%1."/>
      <w:lvlJc w:val="left"/>
      <w:pPr>
        <w:ind w:left="9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32FF2FD8"/>
    <w:multiLevelType w:val="hybridMultilevel"/>
    <w:tmpl w:val="5A0007B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15:restartNumberingAfterBreak="0">
    <w:nsid w:val="34462001"/>
    <w:multiLevelType w:val="hybridMultilevel"/>
    <w:tmpl w:val="18DC0A8C"/>
    <w:lvl w:ilvl="0" w:tplc="04050005">
      <w:start w:val="1"/>
      <w:numFmt w:val="bullet"/>
      <w:lvlText w:val=""/>
      <w:lvlJc w:val="left"/>
      <w:pPr>
        <w:ind w:left="1134" w:hanging="360"/>
      </w:pPr>
      <w:rPr>
        <w:rFonts w:ascii="Wingdings" w:hAnsi="Wingdings" w:hint="default"/>
      </w:rPr>
    </w:lvl>
    <w:lvl w:ilvl="1" w:tplc="04050003" w:tentative="1">
      <w:start w:val="1"/>
      <w:numFmt w:val="bullet"/>
      <w:lvlText w:val="o"/>
      <w:lvlJc w:val="left"/>
      <w:pPr>
        <w:ind w:left="1854" w:hanging="360"/>
      </w:pPr>
      <w:rPr>
        <w:rFonts w:ascii="Courier New" w:hAnsi="Courier New" w:cs="Courier New" w:hint="default"/>
      </w:rPr>
    </w:lvl>
    <w:lvl w:ilvl="2" w:tplc="04050005" w:tentative="1">
      <w:start w:val="1"/>
      <w:numFmt w:val="bullet"/>
      <w:lvlText w:val=""/>
      <w:lvlJc w:val="left"/>
      <w:pPr>
        <w:ind w:left="2574" w:hanging="360"/>
      </w:pPr>
      <w:rPr>
        <w:rFonts w:ascii="Wingdings" w:hAnsi="Wingdings" w:hint="default"/>
      </w:rPr>
    </w:lvl>
    <w:lvl w:ilvl="3" w:tplc="04050001" w:tentative="1">
      <w:start w:val="1"/>
      <w:numFmt w:val="bullet"/>
      <w:lvlText w:val=""/>
      <w:lvlJc w:val="left"/>
      <w:pPr>
        <w:ind w:left="3294" w:hanging="360"/>
      </w:pPr>
      <w:rPr>
        <w:rFonts w:ascii="Symbol" w:hAnsi="Symbol" w:hint="default"/>
      </w:rPr>
    </w:lvl>
    <w:lvl w:ilvl="4" w:tplc="04050003" w:tentative="1">
      <w:start w:val="1"/>
      <w:numFmt w:val="bullet"/>
      <w:lvlText w:val="o"/>
      <w:lvlJc w:val="left"/>
      <w:pPr>
        <w:ind w:left="4014" w:hanging="360"/>
      </w:pPr>
      <w:rPr>
        <w:rFonts w:ascii="Courier New" w:hAnsi="Courier New" w:cs="Courier New" w:hint="default"/>
      </w:rPr>
    </w:lvl>
    <w:lvl w:ilvl="5" w:tplc="04050005" w:tentative="1">
      <w:start w:val="1"/>
      <w:numFmt w:val="bullet"/>
      <w:lvlText w:val=""/>
      <w:lvlJc w:val="left"/>
      <w:pPr>
        <w:ind w:left="4734" w:hanging="360"/>
      </w:pPr>
      <w:rPr>
        <w:rFonts w:ascii="Wingdings" w:hAnsi="Wingdings" w:hint="default"/>
      </w:rPr>
    </w:lvl>
    <w:lvl w:ilvl="6" w:tplc="04050001" w:tentative="1">
      <w:start w:val="1"/>
      <w:numFmt w:val="bullet"/>
      <w:lvlText w:val=""/>
      <w:lvlJc w:val="left"/>
      <w:pPr>
        <w:ind w:left="5454" w:hanging="360"/>
      </w:pPr>
      <w:rPr>
        <w:rFonts w:ascii="Symbol" w:hAnsi="Symbol" w:hint="default"/>
      </w:rPr>
    </w:lvl>
    <w:lvl w:ilvl="7" w:tplc="04050003" w:tentative="1">
      <w:start w:val="1"/>
      <w:numFmt w:val="bullet"/>
      <w:lvlText w:val="o"/>
      <w:lvlJc w:val="left"/>
      <w:pPr>
        <w:ind w:left="6174" w:hanging="360"/>
      </w:pPr>
      <w:rPr>
        <w:rFonts w:ascii="Courier New" w:hAnsi="Courier New" w:cs="Courier New" w:hint="default"/>
      </w:rPr>
    </w:lvl>
    <w:lvl w:ilvl="8" w:tplc="04050005" w:tentative="1">
      <w:start w:val="1"/>
      <w:numFmt w:val="bullet"/>
      <w:lvlText w:val=""/>
      <w:lvlJc w:val="left"/>
      <w:pPr>
        <w:ind w:left="6894" w:hanging="360"/>
      </w:pPr>
      <w:rPr>
        <w:rFonts w:ascii="Wingdings" w:hAnsi="Wingdings" w:hint="default"/>
      </w:rPr>
    </w:lvl>
  </w:abstractNum>
  <w:abstractNum w:abstractNumId="67" w15:restartNumberingAfterBreak="0">
    <w:nsid w:val="34AF6421"/>
    <w:multiLevelType w:val="hybridMultilevel"/>
    <w:tmpl w:val="477AA5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8" w15:restartNumberingAfterBreak="0">
    <w:nsid w:val="355119CC"/>
    <w:multiLevelType w:val="hybridMultilevel"/>
    <w:tmpl w:val="2F645D6C"/>
    <w:lvl w:ilvl="0" w:tplc="3B6CFE7A">
      <w:start w:val="201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35E55F60"/>
    <w:multiLevelType w:val="hybridMultilevel"/>
    <w:tmpl w:val="682250FE"/>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8EC6AC0"/>
    <w:multiLevelType w:val="hybridMultilevel"/>
    <w:tmpl w:val="278EF2FA"/>
    <w:lvl w:ilvl="0" w:tplc="07964D58">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1" w15:restartNumberingAfterBreak="0">
    <w:nsid w:val="39F417B6"/>
    <w:multiLevelType w:val="hybridMultilevel"/>
    <w:tmpl w:val="C8784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3C845CBC"/>
    <w:multiLevelType w:val="hybridMultilevel"/>
    <w:tmpl w:val="5906A24E"/>
    <w:lvl w:ilvl="0" w:tplc="F9D0507A">
      <w:start w:val="3"/>
      <w:numFmt w:val="bullet"/>
      <w:lvlText w:val="-"/>
      <w:lvlJc w:val="left"/>
      <w:pPr>
        <w:ind w:left="720" w:hanging="360"/>
      </w:pPr>
      <w:rPr>
        <w:rFonts w:ascii="Calibri" w:eastAsiaTheme="minorHAnsi" w:hAnsi="Calibri" w:cstheme="minorBidi"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C891F36"/>
    <w:multiLevelType w:val="hybridMultilevel"/>
    <w:tmpl w:val="1A5EF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3CC91C26"/>
    <w:multiLevelType w:val="hybridMultilevel"/>
    <w:tmpl w:val="CB4814B4"/>
    <w:lvl w:ilvl="0" w:tplc="38580CF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3D40122E"/>
    <w:multiLevelType w:val="hybridMultilevel"/>
    <w:tmpl w:val="2ED62374"/>
    <w:lvl w:ilvl="0" w:tplc="FE627A2A">
      <w:start w:val="30"/>
      <w:numFmt w:val="bullet"/>
      <w:pStyle w:val="slovanseznam4"/>
      <w:lvlText w:val="-"/>
      <w:lvlJc w:val="left"/>
      <w:pPr>
        <w:ind w:left="360" w:hanging="360"/>
      </w:pPr>
      <w:rPr>
        <w:rFonts w:ascii="Arial" w:eastAsia="Calibr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3D483C25"/>
    <w:multiLevelType w:val="hybridMultilevel"/>
    <w:tmpl w:val="39DAB4E8"/>
    <w:lvl w:ilvl="0" w:tplc="12AEEE72">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7" w15:restartNumberingAfterBreak="0">
    <w:nsid w:val="40096BAE"/>
    <w:multiLevelType w:val="multilevel"/>
    <w:tmpl w:val="88DCCB3E"/>
    <w:lvl w:ilvl="0">
      <w:start w:val="1"/>
      <w:numFmt w:val="bullet"/>
      <w:lvlText w:val="-"/>
      <w:lvlJc w:val="left"/>
      <w:pPr>
        <w:ind w:left="360" w:hanging="360"/>
      </w:pPr>
      <w:rPr>
        <w:rFonts w:ascii="Times New Roman" w:hAnsi="Times New Roman" w:cs="Times New Roman"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334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01D565B"/>
    <w:multiLevelType w:val="hybridMultilevel"/>
    <w:tmpl w:val="24BA42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0FE0B91"/>
    <w:multiLevelType w:val="hybridMultilevel"/>
    <w:tmpl w:val="B572611C"/>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430C77BC"/>
    <w:multiLevelType w:val="hybridMultilevel"/>
    <w:tmpl w:val="52E0C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3321321"/>
    <w:multiLevelType w:val="hybridMultilevel"/>
    <w:tmpl w:val="F5BCF2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4339328F"/>
    <w:multiLevelType w:val="hybridMultilevel"/>
    <w:tmpl w:val="99C225B0"/>
    <w:lvl w:ilvl="0" w:tplc="FE627A2A">
      <w:start w:val="30"/>
      <w:numFmt w:val="bullet"/>
      <w:lvlText w:val="-"/>
      <w:lvlJc w:val="left"/>
      <w:pPr>
        <w:ind w:left="360" w:hanging="360"/>
      </w:pPr>
      <w:rPr>
        <w:rFonts w:ascii="Arial" w:eastAsia="Calibr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15:restartNumberingAfterBreak="0">
    <w:nsid w:val="445E7E2D"/>
    <w:multiLevelType w:val="hybridMultilevel"/>
    <w:tmpl w:val="B38689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4" w15:restartNumberingAfterBreak="0">
    <w:nsid w:val="44C45AEF"/>
    <w:multiLevelType w:val="multilevel"/>
    <w:tmpl w:val="88DCCB3E"/>
    <w:lvl w:ilvl="0">
      <w:start w:val="1"/>
      <w:numFmt w:val="bullet"/>
      <w:lvlText w:val="-"/>
      <w:lvlJc w:val="left"/>
      <w:pPr>
        <w:ind w:left="360" w:hanging="360"/>
      </w:pPr>
      <w:rPr>
        <w:rFonts w:ascii="Times New Roman" w:hAnsi="Times New Roman" w:cs="Times New Roman"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334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55754B8"/>
    <w:multiLevelType w:val="multilevel"/>
    <w:tmpl w:val="88DCCB3E"/>
    <w:lvl w:ilvl="0">
      <w:start w:val="1"/>
      <w:numFmt w:val="bullet"/>
      <w:lvlText w:val="-"/>
      <w:lvlJc w:val="left"/>
      <w:pPr>
        <w:ind w:left="360" w:hanging="360"/>
      </w:pPr>
      <w:rPr>
        <w:rFonts w:ascii="Times New Roman" w:hAnsi="Times New Roman" w:cs="Times New Roman" w:hint="default"/>
        <w:b/>
        <w:i w:val="0"/>
        <w:color w:val="auto"/>
      </w:rPr>
    </w:lvl>
    <w:lvl w:ilvl="1">
      <w:start w:val="1"/>
      <w:numFmt w:val="decimal"/>
      <w:lvlText w:val="%1.%2."/>
      <w:lvlJc w:val="left"/>
      <w:pPr>
        <w:ind w:left="792" w:hanging="432"/>
      </w:pPr>
      <w:rPr>
        <w:rFonts w:hint="default"/>
      </w:rPr>
    </w:lvl>
    <w:lvl w:ilvl="2">
      <w:start w:val="1"/>
      <w:numFmt w:val="decimal"/>
      <w:lvlText w:val="%1.%2.%3."/>
      <w:lvlJc w:val="left"/>
      <w:pPr>
        <w:ind w:left="334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5FC04E5"/>
    <w:multiLevelType w:val="hybridMultilevel"/>
    <w:tmpl w:val="070EEF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Simplified Arabic Fixed" w:hAnsi="Simplified Arabic Fixed" w:cs="Simplified Arabic Fixed"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Simplified Arabic Fixed" w:hAnsi="Simplified Arabic Fixed" w:cs="Simplified Arabic Fixed"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Simplified Arabic Fixed" w:hAnsi="Simplified Arabic Fixed" w:cs="Simplified Arabic Fixed"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4796133B"/>
    <w:multiLevelType w:val="hybridMultilevel"/>
    <w:tmpl w:val="E278A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47D50888"/>
    <w:multiLevelType w:val="hybridMultilevel"/>
    <w:tmpl w:val="0382C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7E13E70"/>
    <w:multiLevelType w:val="hybridMultilevel"/>
    <w:tmpl w:val="029EC382"/>
    <w:lvl w:ilvl="0" w:tplc="2A16FA0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4A4A4F2E"/>
    <w:multiLevelType w:val="hybridMultilevel"/>
    <w:tmpl w:val="1C2634E6"/>
    <w:lvl w:ilvl="0" w:tplc="A5D8D1A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4A5D2532"/>
    <w:multiLevelType w:val="hybridMultilevel"/>
    <w:tmpl w:val="58563B76"/>
    <w:lvl w:ilvl="0" w:tplc="666CC42C">
      <w:start w:val="1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4C825BBA"/>
    <w:multiLevelType w:val="hybridMultilevel"/>
    <w:tmpl w:val="7C4CEF9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3" w15:restartNumberingAfterBreak="0">
    <w:nsid w:val="4DBB45D5"/>
    <w:multiLevelType w:val="hybridMultilevel"/>
    <w:tmpl w:val="75DCD2F0"/>
    <w:lvl w:ilvl="0" w:tplc="C798894C">
      <w:start w:val="3"/>
      <w:numFmt w:val="decimal"/>
      <w:lvlText w:val="%1."/>
      <w:lvlJc w:val="left"/>
      <w:pPr>
        <w:ind w:left="720" w:hanging="360"/>
      </w:pPr>
      <w:rPr>
        <w:rFonts w:eastAsiaTheme="minorHAnsi" w:cstheme="minorBidi"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F7F073B"/>
    <w:multiLevelType w:val="hybridMultilevel"/>
    <w:tmpl w:val="489CEE92"/>
    <w:lvl w:ilvl="0" w:tplc="0405000F">
      <w:start w:val="1"/>
      <w:numFmt w:val="decimal"/>
      <w:lvlText w:val="%1."/>
      <w:lvlJc w:val="left"/>
      <w:pPr>
        <w:ind w:left="97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50F10440"/>
    <w:multiLevelType w:val="hybridMultilevel"/>
    <w:tmpl w:val="8B769D86"/>
    <w:lvl w:ilvl="0" w:tplc="FE627A2A">
      <w:start w:val="30"/>
      <w:numFmt w:val="bullet"/>
      <w:lvlText w:val="-"/>
      <w:lvlJc w:val="left"/>
      <w:pPr>
        <w:ind w:left="36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1EC242E"/>
    <w:multiLevelType w:val="hybridMultilevel"/>
    <w:tmpl w:val="66065AE4"/>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52704CE3"/>
    <w:multiLevelType w:val="hybridMultilevel"/>
    <w:tmpl w:val="B3766B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556F39CA"/>
    <w:multiLevelType w:val="hybridMultilevel"/>
    <w:tmpl w:val="61DA8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573A0827"/>
    <w:multiLevelType w:val="hybridMultilevel"/>
    <w:tmpl w:val="E146E8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58091B20"/>
    <w:multiLevelType w:val="hybridMultilevel"/>
    <w:tmpl w:val="6D7A3F92"/>
    <w:lvl w:ilvl="0" w:tplc="4DCCDE1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5884003D"/>
    <w:multiLevelType w:val="hybridMultilevel"/>
    <w:tmpl w:val="C4022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5B300468"/>
    <w:multiLevelType w:val="multilevel"/>
    <w:tmpl w:val="B11048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5D2A5ECA"/>
    <w:multiLevelType w:val="hybridMultilevel"/>
    <w:tmpl w:val="7682D3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61B9390C"/>
    <w:multiLevelType w:val="hybridMultilevel"/>
    <w:tmpl w:val="5D064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20D63FA"/>
    <w:multiLevelType w:val="hybridMultilevel"/>
    <w:tmpl w:val="092664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62F80BD3"/>
    <w:multiLevelType w:val="hybridMultilevel"/>
    <w:tmpl w:val="697EA5DA"/>
    <w:lvl w:ilvl="0" w:tplc="E232573A">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7" w15:restartNumberingAfterBreak="0">
    <w:nsid w:val="6364358C"/>
    <w:multiLevelType w:val="hybridMultilevel"/>
    <w:tmpl w:val="B7F603C4"/>
    <w:lvl w:ilvl="0" w:tplc="53069B72">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64CD47A5"/>
    <w:multiLevelType w:val="multilevel"/>
    <w:tmpl w:val="6A92FF4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4FD1B95"/>
    <w:multiLevelType w:val="hybridMultilevel"/>
    <w:tmpl w:val="936E7878"/>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6326B02"/>
    <w:multiLevelType w:val="hybridMultilevel"/>
    <w:tmpl w:val="012687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15:restartNumberingAfterBreak="0">
    <w:nsid w:val="666F71C0"/>
    <w:multiLevelType w:val="multilevel"/>
    <w:tmpl w:val="37A400B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71C75A3"/>
    <w:multiLevelType w:val="hybridMultilevel"/>
    <w:tmpl w:val="8B1E84B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7323C1F"/>
    <w:multiLevelType w:val="hybridMultilevel"/>
    <w:tmpl w:val="5F48AFA0"/>
    <w:lvl w:ilvl="0" w:tplc="E51E6D4A">
      <w:start w:val="3"/>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680B4B8B"/>
    <w:multiLevelType w:val="hybridMultilevel"/>
    <w:tmpl w:val="98A450B2"/>
    <w:lvl w:ilvl="0" w:tplc="8C2049EC">
      <w:start w:val="1"/>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83E6EC7"/>
    <w:multiLevelType w:val="hybridMultilevel"/>
    <w:tmpl w:val="1E5E7B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6" w15:restartNumberingAfterBreak="0">
    <w:nsid w:val="68EC774A"/>
    <w:multiLevelType w:val="hybridMultilevel"/>
    <w:tmpl w:val="291CA4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6A325C38"/>
    <w:multiLevelType w:val="hybridMultilevel"/>
    <w:tmpl w:val="3A589B60"/>
    <w:lvl w:ilvl="0" w:tplc="E51E6D4A">
      <w:start w:val="3"/>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6A3E22D1"/>
    <w:multiLevelType w:val="multilevel"/>
    <w:tmpl w:val="B11048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6A4A6D1C"/>
    <w:multiLevelType w:val="hybridMultilevel"/>
    <w:tmpl w:val="1D407EC0"/>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6BCA665E"/>
    <w:multiLevelType w:val="hybridMultilevel"/>
    <w:tmpl w:val="84262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6C432142"/>
    <w:multiLevelType w:val="hybridMultilevel"/>
    <w:tmpl w:val="2E7000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6C6364FD"/>
    <w:multiLevelType w:val="hybridMultilevel"/>
    <w:tmpl w:val="F46A19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3" w15:restartNumberingAfterBreak="0">
    <w:nsid w:val="6C6C3793"/>
    <w:multiLevelType w:val="hybridMultilevel"/>
    <w:tmpl w:val="7466F66E"/>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6CA54EB0"/>
    <w:multiLevelType w:val="hybridMultilevel"/>
    <w:tmpl w:val="E8F24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6D5B7EEE"/>
    <w:multiLevelType w:val="hybridMultilevel"/>
    <w:tmpl w:val="A2F63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6E4B7748"/>
    <w:multiLevelType w:val="hybridMultilevel"/>
    <w:tmpl w:val="BB765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6F0571EC"/>
    <w:multiLevelType w:val="multilevel"/>
    <w:tmpl w:val="67CEB94E"/>
    <w:lvl w:ilvl="0">
      <w:start w:val="1"/>
      <w:numFmt w:val="decimal"/>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8" w15:restartNumberingAfterBreak="0">
    <w:nsid w:val="6F5B330D"/>
    <w:multiLevelType w:val="hybridMultilevel"/>
    <w:tmpl w:val="B5865D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70B40A09"/>
    <w:multiLevelType w:val="hybridMultilevel"/>
    <w:tmpl w:val="7DD6F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70C05665"/>
    <w:multiLevelType w:val="hybridMultilevel"/>
    <w:tmpl w:val="D8D024F6"/>
    <w:lvl w:ilvl="0" w:tplc="6BB6A426">
      <w:start w:val="2"/>
      <w:numFmt w:val="decimal"/>
      <w:lvlText w:val="%1."/>
      <w:lvlJc w:val="left"/>
      <w:pPr>
        <w:ind w:left="720" w:hanging="360"/>
      </w:pPr>
      <w:rPr>
        <w:rFonts w:eastAsiaTheme="minorHAnsi" w:cstheme="minorBidi"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70E41C4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2" w15:restartNumberingAfterBreak="0">
    <w:nsid w:val="71395F74"/>
    <w:multiLevelType w:val="multilevel"/>
    <w:tmpl w:val="CFFCAC1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71C71CC6"/>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4" w15:restartNumberingAfterBreak="0">
    <w:nsid w:val="728C2D6F"/>
    <w:multiLevelType w:val="hybridMultilevel"/>
    <w:tmpl w:val="8D5C6D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73346713"/>
    <w:multiLevelType w:val="hybridMultilevel"/>
    <w:tmpl w:val="12861D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74455BB5"/>
    <w:multiLevelType w:val="hybridMultilevel"/>
    <w:tmpl w:val="DC8CA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74B347A6"/>
    <w:multiLevelType w:val="hybridMultilevel"/>
    <w:tmpl w:val="59AA29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76637D71"/>
    <w:multiLevelType w:val="hybridMultilevel"/>
    <w:tmpl w:val="19F8C3EA"/>
    <w:lvl w:ilvl="0" w:tplc="802227BE">
      <w:numFmt w:val="bullet"/>
      <w:lvlText w:val="-"/>
      <w:lvlJc w:val="left"/>
      <w:pPr>
        <w:ind w:left="720" w:hanging="360"/>
      </w:pPr>
      <w:rPr>
        <w:rFonts w:ascii="Calibri" w:eastAsiaTheme="maj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78A47E70"/>
    <w:multiLevelType w:val="hybridMultilevel"/>
    <w:tmpl w:val="BE7660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7919004B"/>
    <w:multiLevelType w:val="hybridMultilevel"/>
    <w:tmpl w:val="DA50E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791B622C"/>
    <w:multiLevelType w:val="hybridMultilevel"/>
    <w:tmpl w:val="0F2079A6"/>
    <w:lvl w:ilvl="0" w:tplc="07964D5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7A136AF7"/>
    <w:multiLevelType w:val="hybridMultilevel"/>
    <w:tmpl w:val="8248A1F2"/>
    <w:lvl w:ilvl="0" w:tplc="E51E6D4A">
      <w:start w:val="3"/>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7BDB60E2"/>
    <w:multiLevelType w:val="hybridMultilevel"/>
    <w:tmpl w:val="489CEE92"/>
    <w:lvl w:ilvl="0" w:tplc="0405000F">
      <w:start w:val="1"/>
      <w:numFmt w:val="decimal"/>
      <w:lvlText w:val="%1."/>
      <w:lvlJc w:val="left"/>
      <w:pPr>
        <w:ind w:left="97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4" w15:restartNumberingAfterBreak="0">
    <w:nsid w:val="7C8831EE"/>
    <w:multiLevelType w:val="hybridMultilevel"/>
    <w:tmpl w:val="51580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7C9B21B4"/>
    <w:multiLevelType w:val="hybridMultilevel"/>
    <w:tmpl w:val="635E85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7CFB7D44"/>
    <w:multiLevelType w:val="hybridMultilevel"/>
    <w:tmpl w:val="CA769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7DE22271"/>
    <w:multiLevelType w:val="hybridMultilevel"/>
    <w:tmpl w:val="265E28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7F87200F"/>
    <w:multiLevelType w:val="hybridMultilevel"/>
    <w:tmpl w:val="511E694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28"/>
  </w:num>
  <w:num w:numId="2">
    <w:abstractNumId w:val="15"/>
  </w:num>
  <w:num w:numId="3">
    <w:abstractNumId w:val="67"/>
  </w:num>
  <w:num w:numId="4">
    <w:abstractNumId w:val="56"/>
  </w:num>
  <w:num w:numId="5">
    <w:abstractNumId w:val="106"/>
  </w:num>
  <w:num w:numId="6">
    <w:abstractNumId w:val="82"/>
  </w:num>
  <w:num w:numId="7">
    <w:abstractNumId w:val="75"/>
  </w:num>
  <w:num w:numId="8">
    <w:abstractNumId w:val="3"/>
  </w:num>
  <w:num w:numId="9">
    <w:abstractNumId w:val="63"/>
  </w:num>
  <w:num w:numId="10">
    <w:abstractNumId w:val="95"/>
  </w:num>
  <w:num w:numId="11">
    <w:abstractNumId w:val="54"/>
  </w:num>
  <w:num w:numId="12">
    <w:abstractNumId w:val="130"/>
  </w:num>
  <w:num w:numId="13">
    <w:abstractNumId w:val="102"/>
  </w:num>
  <w:num w:numId="14">
    <w:abstractNumId w:val="111"/>
  </w:num>
  <w:num w:numId="15">
    <w:abstractNumId w:val="24"/>
  </w:num>
  <w:num w:numId="16">
    <w:abstractNumId w:val="118"/>
  </w:num>
  <w:num w:numId="17">
    <w:abstractNumId w:val="93"/>
  </w:num>
  <w:num w:numId="18">
    <w:abstractNumId w:val="108"/>
  </w:num>
  <w:num w:numId="19">
    <w:abstractNumId w:val="132"/>
  </w:num>
  <w:num w:numId="20">
    <w:abstractNumId w:val="50"/>
  </w:num>
  <w:num w:numId="21">
    <w:abstractNumId w:val="58"/>
  </w:num>
  <w:num w:numId="22">
    <w:abstractNumId w:val="49"/>
  </w:num>
  <w:num w:numId="23">
    <w:abstractNumId w:val="72"/>
  </w:num>
  <w:num w:numId="24">
    <w:abstractNumId w:val="65"/>
  </w:num>
  <w:num w:numId="25">
    <w:abstractNumId w:val="92"/>
  </w:num>
  <w:num w:numId="26">
    <w:abstractNumId w:val="34"/>
  </w:num>
  <w:num w:numId="27">
    <w:abstractNumId w:val="26"/>
  </w:num>
  <w:num w:numId="28">
    <w:abstractNumId w:val="22"/>
  </w:num>
  <w:num w:numId="29">
    <w:abstractNumId w:val="21"/>
  </w:num>
  <w:num w:numId="30">
    <w:abstractNumId w:val="136"/>
  </w:num>
  <w:num w:numId="31">
    <w:abstractNumId w:val="20"/>
  </w:num>
  <w:num w:numId="32">
    <w:abstractNumId w:val="28"/>
  </w:num>
  <w:num w:numId="33">
    <w:abstractNumId w:val="143"/>
  </w:num>
  <w:num w:numId="34">
    <w:abstractNumId w:val="135"/>
  </w:num>
  <w:num w:numId="35">
    <w:abstractNumId w:val="120"/>
  </w:num>
  <w:num w:numId="36">
    <w:abstractNumId w:val="134"/>
  </w:num>
  <w:num w:numId="37">
    <w:abstractNumId w:val="64"/>
  </w:num>
  <w:num w:numId="38">
    <w:abstractNumId w:val="94"/>
  </w:num>
  <w:num w:numId="39">
    <w:abstractNumId w:val="5"/>
  </w:num>
  <w:num w:numId="40">
    <w:abstractNumId w:val="86"/>
  </w:num>
  <w:num w:numId="41">
    <w:abstractNumId w:val="144"/>
  </w:num>
  <w:num w:numId="42">
    <w:abstractNumId w:val="112"/>
  </w:num>
  <w:num w:numId="43">
    <w:abstractNumId w:val="4"/>
  </w:num>
  <w:num w:numId="44">
    <w:abstractNumId w:val="18"/>
  </w:num>
  <w:num w:numId="45">
    <w:abstractNumId w:val="12"/>
  </w:num>
  <w:num w:numId="46">
    <w:abstractNumId w:val="110"/>
  </w:num>
  <w:num w:numId="47">
    <w:abstractNumId w:val="129"/>
  </w:num>
  <w:num w:numId="48">
    <w:abstractNumId w:val="87"/>
  </w:num>
  <w:num w:numId="49">
    <w:abstractNumId w:val="14"/>
  </w:num>
  <w:num w:numId="50">
    <w:abstractNumId w:val="53"/>
  </w:num>
  <w:num w:numId="51">
    <w:abstractNumId w:val="11"/>
  </w:num>
  <w:num w:numId="52">
    <w:abstractNumId w:val="38"/>
  </w:num>
  <w:num w:numId="53">
    <w:abstractNumId w:val="71"/>
  </w:num>
  <w:num w:numId="54">
    <w:abstractNumId w:val="41"/>
  </w:num>
  <w:num w:numId="55">
    <w:abstractNumId w:val="52"/>
  </w:num>
  <w:num w:numId="56">
    <w:abstractNumId w:val="45"/>
  </w:num>
  <w:num w:numId="57">
    <w:abstractNumId w:val="73"/>
  </w:num>
  <w:num w:numId="58">
    <w:abstractNumId w:val="104"/>
  </w:num>
  <w:num w:numId="59">
    <w:abstractNumId w:val="147"/>
  </w:num>
  <w:num w:numId="60">
    <w:abstractNumId w:val="88"/>
  </w:num>
  <w:num w:numId="61">
    <w:abstractNumId w:val="101"/>
  </w:num>
  <w:num w:numId="62">
    <w:abstractNumId w:val="98"/>
  </w:num>
  <w:num w:numId="63">
    <w:abstractNumId w:val="30"/>
  </w:num>
  <w:num w:numId="64">
    <w:abstractNumId w:val="31"/>
  </w:num>
  <w:num w:numId="65">
    <w:abstractNumId w:val="145"/>
  </w:num>
  <w:num w:numId="66">
    <w:abstractNumId w:val="139"/>
  </w:num>
  <w:num w:numId="67">
    <w:abstractNumId w:val="62"/>
  </w:num>
  <w:num w:numId="68">
    <w:abstractNumId w:val="97"/>
  </w:num>
  <w:num w:numId="69">
    <w:abstractNumId w:val="10"/>
  </w:num>
  <w:num w:numId="70">
    <w:abstractNumId w:val="140"/>
  </w:num>
  <w:num w:numId="71">
    <w:abstractNumId w:val="61"/>
  </w:num>
  <w:num w:numId="72">
    <w:abstractNumId w:val="59"/>
  </w:num>
  <w:num w:numId="73">
    <w:abstractNumId w:val="16"/>
  </w:num>
  <w:num w:numId="74">
    <w:abstractNumId w:val="51"/>
  </w:num>
  <w:num w:numId="75">
    <w:abstractNumId w:val="32"/>
  </w:num>
  <w:num w:numId="76">
    <w:abstractNumId w:val="137"/>
  </w:num>
  <w:num w:numId="77">
    <w:abstractNumId w:val="42"/>
  </w:num>
  <w:num w:numId="78">
    <w:abstractNumId w:val="107"/>
  </w:num>
  <w:num w:numId="79">
    <w:abstractNumId w:val="90"/>
  </w:num>
  <w:num w:numId="80">
    <w:abstractNumId w:val="44"/>
  </w:num>
  <w:num w:numId="81">
    <w:abstractNumId w:val="27"/>
  </w:num>
  <w:num w:numId="82">
    <w:abstractNumId w:val="105"/>
  </w:num>
  <w:num w:numId="83">
    <w:abstractNumId w:val="60"/>
  </w:num>
  <w:num w:numId="84">
    <w:abstractNumId w:val="96"/>
  </w:num>
  <w:num w:numId="85">
    <w:abstractNumId w:val="123"/>
  </w:num>
  <w:num w:numId="86">
    <w:abstractNumId w:val="119"/>
  </w:num>
  <w:num w:numId="87">
    <w:abstractNumId w:val="70"/>
  </w:num>
  <w:num w:numId="88">
    <w:abstractNumId w:val="69"/>
  </w:num>
  <w:num w:numId="89">
    <w:abstractNumId w:val="109"/>
  </w:num>
  <w:num w:numId="90">
    <w:abstractNumId w:val="79"/>
  </w:num>
  <w:num w:numId="91">
    <w:abstractNumId w:val="141"/>
  </w:num>
  <w:num w:numId="92">
    <w:abstractNumId w:val="80"/>
  </w:num>
  <w:num w:numId="93">
    <w:abstractNumId w:val="6"/>
  </w:num>
  <w:num w:numId="94">
    <w:abstractNumId w:val="91"/>
  </w:num>
  <w:num w:numId="95">
    <w:abstractNumId w:val="23"/>
  </w:num>
  <w:num w:numId="96">
    <w:abstractNumId w:val="84"/>
  </w:num>
  <w:num w:numId="97">
    <w:abstractNumId w:val="125"/>
  </w:num>
  <w:num w:numId="98">
    <w:abstractNumId w:val="126"/>
  </w:num>
  <w:num w:numId="99">
    <w:abstractNumId w:val="17"/>
  </w:num>
  <w:num w:numId="100">
    <w:abstractNumId w:val="47"/>
  </w:num>
  <w:num w:numId="101">
    <w:abstractNumId w:val="83"/>
  </w:num>
  <w:num w:numId="102">
    <w:abstractNumId w:val="39"/>
  </w:num>
  <w:num w:numId="103">
    <w:abstractNumId w:val="0"/>
  </w:num>
  <w:num w:numId="104">
    <w:abstractNumId w:val="46"/>
  </w:num>
  <w:num w:numId="105">
    <w:abstractNumId w:val="55"/>
  </w:num>
  <w:num w:numId="106">
    <w:abstractNumId w:val="33"/>
  </w:num>
  <w:num w:numId="107">
    <w:abstractNumId w:val="13"/>
  </w:num>
  <w:num w:numId="10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9"/>
  </w:num>
  <w:num w:numId="110">
    <w:abstractNumId w:val="1"/>
  </w:num>
  <w:num w:numId="111">
    <w:abstractNumId w:val="124"/>
  </w:num>
  <w:num w:numId="112">
    <w:abstractNumId w:val="114"/>
  </w:num>
  <w:num w:numId="113">
    <w:abstractNumId w:val="43"/>
  </w:num>
  <w:num w:numId="114">
    <w:abstractNumId w:val="117"/>
  </w:num>
  <w:num w:numId="115">
    <w:abstractNumId w:val="113"/>
  </w:num>
  <w:num w:numId="116">
    <w:abstractNumId w:val="142"/>
  </w:num>
  <w:num w:numId="117">
    <w:abstractNumId w:val="40"/>
  </w:num>
  <w:num w:numId="118">
    <w:abstractNumId w:val="146"/>
  </w:num>
  <w:num w:numId="119">
    <w:abstractNumId w:val="121"/>
  </w:num>
  <w:num w:numId="120">
    <w:abstractNumId w:val="25"/>
  </w:num>
  <w:num w:numId="121">
    <w:abstractNumId w:val="48"/>
  </w:num>
  <w:num w:numId="122">
    <w:abstractNumId w:val="122"/>
  </w:num>
  <w:num w:numId="12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num>
  <w:num w:numId="126">
    <w:abstractNumId w:val="77"/>
  </w:num>
  <w:num w:numId="127">
    <w:abstractNumId w:val="85"/>
  </w:num>
  <w:num w:numId="128">
    <w:abstractNumId w:val="127"/>
  </w:num>
  <w:num w:numId="129">
    <w:abstractNumId w:val="8"/>
  </w:num>
  <w:num w:numId="130">
    <w:abstractNumId w:val="57"/>
  </w:num>
  <w:num w:numId="131">
    <w:abstractNumId w:val="100"/>
  </w:num>
  <w:num w:numId="132">
    <w:abstractNumId w:val="2"/>
  </w:num>
  <w:num w:numId="133">
    <w:abstractNumId w:val="74"/>
  </w:num>
  <w:num w:numId="134">
    <w:abstractNumId w:val="103"/>
  </w:num>
  <w:num w:numId="135">
    <w:abstractNumId w:val="35"/>
  </w:num>
  <w:num w:numId="136">
    <w:abstractNumId w:val="99"/>
  </w:num>
  <w:num w:numId="137">
    <w:abstractNumId w:val="19"/>
  </w:num>
  <w:num w:numId="138">
    <w:abstractNumId w:val="68"/>
  </w:num>
  <w:num w:numId="139">
    <w:abstractNumId w:val="131"/>
  </w:num>
  <w:num w:numId="140">
    <w:abstractNumId w:val="37"/>
  </w:num>
  <w:num w:numId="141">
    <w:abstractNumId w:val="133"/>
  </w:num>
  <w:num w:numId="142">
    <w:abstractNumId w:val="29"/>
  </w:num>
  <w:num w:numId="143">
    <w:abstractNumId w:val="7"/>
  </w:num>
  <w:num w:numId="144">
    <w:abstractNumId w:val="9"/>
  </w:num>
  <w:num w:numId="145">
    <w:abstractNumId w:val="78"/>
  </w:num>
  <w:num w:numId="146">
    <w:abstractNumId w:val="66"/>
  </w:num>
  <w:num w:numId="147">
    <w:abstractNumId w:val="81"/>
  </w:num>
  <w:num w:numId="148">
    <w:abstractNumId w:val="116"/>
  </w:num>
  <w:num w:numId="149">
    <w:abstractNumId w:val="76"/>
  </w:num>
  <w:num w:numId="150">
    <w:abstractNumId w:val="138"/>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FAE"/>
    <w:rsid w:val="00046081"/>
    <w:rsid w:val="000707FB"/>
    <w:rsid w:val="000C7CA1"/>
    <w:rsid w:val="0017728B"/>
    <w:rsid w:val="00177586"/>
    <w:rsid w:val="001A6FD7"/>
    <w:rsid w:val="001D74D4"/>
    <w:rsid w:val="00203AE0"/>
    <w:rsid w:val="00296DF4"/>
    <w:rsid w:val="002D2123"/>
    <w:rsid w:val="003419A7"/>
    <w:rsid w:val="00355882"/>
    <w:rsid w:val="00391907"/>
    <w:rsid w:val="004A31E8"/>
    <w:rsid w:val="004B12AB"/>
    <w:rsid w:val="004D585D"/>
    <w:rsid w:val="00543CC5"/>
    <w:rsid w:val="005574C4"/>
    <w:rsid w:val="00577EB1"/>
    <w:rsid w:val="005A0E7C"/>
    <w:rsid w:val="005A7536"/>
    <w:rsid w:val="005C7F05"/>
    <w:rsid w:val="0066487B"/>
    <w:rsid w:val="006A0279"/>
    <w:rsid w:val="006A6ACB"/>
    <w:rsid w:val="006C35FA"/>
    <w:rsid w:val="00712FAE"/>
    <w:rsid w:val="00730FC6"/>
    <w:rsid w:val="00747AAD"/>
    <w:rsid w:val="00754FA8"/>
    <w:rsid w:val="007C4CE9"/>
    <w:rsid w:val="007E3791"/>
    <w:rsid w:val="0080096E"/>
    <w:rsid w:val="00813840"/>
    <w:rsid w:val="008876FE"/>
    <w:rsid w:val="008B34AB"/>
    <w:rsid w:val="008C1BB5"/>
    <w:rsid w:val="008F16B1"/>
    <w:rsid w:val="00950770"/>
    <w:rsid w:val="009617EB"/>
    <w:rsid w:val="00980FAA"/>
    <w:rsid w:val="00A373D4"/>
    <w:rsid w:val="00A51AA8"/>
    <w:rsid w:val="00A85779"/>
    <w:rsid w:val="00AC6B5A"/>
    <w:rsid w:val="00B15ECB"/>
    <w:rsid w:val="00B974E0"/>
    <w:rsid w:val="00C107A7"/>
    <w:rsid w:val="00C35ADC"/>
    <w:rsid w:val="00C450AC"/>
    <w:rsid w:val="00C840BA"/>
    <w:rsid w:val="00CF1AFA"/>
    <w:rsid w:val="00D26473"/>
    <w:rsid w:val="00D32240"/>
    <w:rsid w:val="00D762E9"/>
    <w:rsid w:val="00D767C3"/>
    <w:rsid w:val="00DD3EFA"/>
    <w:rsid w:val="00DF589D"/>
    <w:rsid w:val="00E43719"/>
    <w:rsid w:val="00EA47C1"/>
    <w:rsid w:val="00EC2A1C"/>
    <w:rsid w:val="00ED5476"/>
    <w:rsid w:val="00EF6556"/>
    <w:rsid w:val="00F202DF"/>
    <w:rsid w:val="00F24899"/>
    <w:rsid w:val="00F45CD8"/>
    <w:rsid w:val="00F871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AEA1BE"/>
  <w15:docId w15:val="{4CFBC58F-2E1F-4CED-B997-654B0119C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aliases w:val="Deloitte Heading 1,Heading 1 Char1 Char,Heading 1 Char Char Char,h1 Char Char Char,H1 Char Char Char,1 Char1 Char Char,Naglówek 1 Char Char Char,Naglówek 11 Char Char Char,Heading 1 Char1 Char Char Char,Heading 1 Char Char Char Char Char,1 gho"/>
    <w:basedOn w:val="Normln"/>
    <w:next w:val="Normln"/>
    <w:link w:val="Nadpis1Char"/>
    <w:uiPriority w:val="9"/>
    <w:qFormat/>
    <w:rsid w:val="00D762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h2,Normal Heading 2,LetHead2,- 1,2,3,H2,Heading_eng 2,Main header,Outline2 Char,HAA-Section Char,Sub Heading Char,ignorer2 Char,Nadpis_2 Char,adpis 2 Char,Nadpis 2 úroveň Char,Outline2,HAA-Section,Sub Heading,ignorer2,Nadpis_2,2m"/>
    <w:basedOn w:val="Nadpis1"/>
    <w:next w:val="Nadpis3"/>
    <w:link w:val="Nadpis2Char1"/>
    <w:uiPriority w:val="9"/>
    <w:qFormat/>
    <w:rsid w:val="00DD3EFA"/>
    <w:pPr>
      <w:keepLines w:val="0"/>
      <w:spacing w:after="240" w:line="240" w:lineRule="auto"/>
      <w:ind w:left="576" w:hanging="576"/>
      <w:outlineLvl w:val="1"/>
    </w:pPr>
    <w:rPr>
      <w:rFonts w:ascii="Calibri" w:eastAsia="Times New Roman" w:hAnsi="Calibri" w:cs="Arial"/>
      <w:b/>
      <w:iCs/>
      <w:color w:val="2E74B5"/>
      <w:kern w:val="32"/>
      <w:sz w:val="26"/>
      <w:szCs w:val="24"/>
    </w:rPr>
  </w:style>
  <w:style w:type="paragraph" w:styleId="Nadpis3">
    <w:name w:val="heading 3"/>
    <w:aliases w:val="h3,- 1),2),3),- 1.,2.,3.,H3,Heading,List 1,Nadpis_3_úroveň,Záhlaví 3,V_Head3,V_Head31,V_Head32,Podkapitola2,ASAPHeading 3,Sub Paragraph,Podkapitola21,Podkapitola podkapitoly základní kapitoly,PA Minor Section,Nadpis_3_úroveo,TRM 12 3,TRM 12 I"/>
    <w:basedOn w:val="Normln"/>
    <w:link w:val="Nadpis3Char"/>
    <w:uiPriority w:val="9"/>
    <w:qFormat/>
    <w:rsid w:val="00DD3EF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aliases w:val="h4,H4,Ad.1),Ad 2),1),ASAPHeading 4,Sub Sub Paragraph,Podkapitola3,Podkapitola31,Odstavec 1,Odstavec 11,Odstavec 12,Odstavec 13,Odstavec 14,Odstavec 111,Odstavec 121,Odstavec 131,Odstavec 15,Odstavec 141,Odstavec 16,Odstavec 112,Odstavec 122,4"/>
    <w:basedOn w:val="Normln"/>
    <w:next w:val="Normln"/>
    <w:link w:val="Nadpis4Char"/>
    <w:unhideWhenUsed/>
    <w:qFormat/>
    <w:rsid w:val="00DD3EFA"/>
    <w:pPr>
      <w:keepNext/>
      <w:keepLines/>
      <w:spacing w:before="240" w:beforeAutospacing="1" w:after="240" w:afterAutospacing="1" w:line="240" w:lineRule="auto"/>
      <w:ind w:left="864" w:hanging="864"/>
      <w:jc w:val="both"/>
      <w:outlineLvl w:val="3"/>
    </w:pPr>
    <w:rPr>
      <w:rFonts w:ascii="Calibri" w:eastAsiaTheme="majorEastAsia" w:hAnsi="Calibri" w:cstheme="majorBidi"/>
      <w:b/>
      <w:bCs/>
      <w:iCs/>
      <w:sz w:val="24"/>
      <w:szCs w:val="24"/>
    </w:rPr>
  </w:style>
  <w:style w:type="paragraph" w:styleId="Nadpis5">
    <w:name w:val="heading 5"/>
    <w:aliases w:val="ASAPHeading 5,Heading 5   Appendix A to X,Appendix A to X,Heading 5   Appendix A to X1,Appendix A to X1,Heading 5   Appendix A to X2,Appendix A to X2,Heading 5   Appendix A to X11,Appendix A to X11,MUS5,Block Label,H5,5,Level 3 - i,h5,dash,ds"/>
    <w:basedOn w:val="Normln"/>
    <w:next w:val="Normln"/>
    <w:link w:val="Nadpis5Char"/>
    <w:unhideWhenUsed/>
    <w:qFormat/>
    <w:rsid w:val="00DD3EFA"/>
    <w:pPr>
      <w:keepNext/>
      <w:keepLines/>
      <w:spacing w:before="240" w:beforeAutospacing="1" w:after="240" w:afterAutospacing="1" w:line="240" w:lineRule="auto"/>
      <w:ind w:left="1008" w:hanging="1008"/>
      <w:jc w:val="both"/>
      <w:outlineLvl w:val="4"/>
    </w:pPr>
    <w:rPr>
      <w:rFonts w:ascii="Calibri" w:eastAsiaTheme="majorEastAsia" w:hAnsi="Calibri" w:cstheme="majorBidi"/>
      <w:b/>
      <w:i/>
      <w:color w:val="1F4D78" w:themeColor="accent1" w:themeShade="7F"/>
      <w:sz w:val="24"/>
      <w:szCs w:val="24"/>
    </w:rPr>
  </w:style>
  <w:style w:type="paragraph" w:styleId="Nadpis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ln"/>
    <w:next w:val="Normln"/>
    <w:link w:val="Nadpis6Char"/>
    <w:uiPriority w:val="9"/>
    <w:unhideWhenUsed/>
    <w:qFormat/>
    <w:rsid w:val="00DD3EFA"/>
    <w:pPr>
      <w:keepNext/>
      <w:keepLines/>
      <w:spacing w:before="240" w:beforeAutospacing="1" w:after="240" w:afterAutospacing="1" w:line="240" w:lineRule="auto"/>
      <w:ind w:left="1152" w:hanging="1152"/>
      <w:jc w:val="both"/>
      <w:outlineLvl w:val="5"/>
    </w:pPr>
    <w:rPr>
      <w:rFonts w:ascii="Calibri" w:eastAsiaTheme="majorEastAsia" w:hAnsi="Calibri" w:cstheme="majorBidi"/>
      <w:i/>
      <w:iCs/>
      <w:color w:val="1F4D78" w:themeColor="accent1" w:themeShade="7F"/>
      <w:sz w:val="24"/>
      <w:szCs w:val="24"/>
    </w:rPr>
  </w:style>
  <w:style w:type="paragraph" w:styleId="Nadpis7">
    <w:name w:val="heading 7"/>
    <w:aliases w:val="ASAPHeading 7,MUS7,ASAPHeading 71,ASAPHeading 72,ASAPHeading 73,ASAPHeading 74,H7,letter list,lettered list,letter list1,lettered list1,letter list2,lettered list2,letter list11,lettered list11,letter list3,lettered list3,letter list12"/>
    <w:basedOn w:val="Normln"/>
    <w:next w:val="Normln"/>
    <w:link w:val="Nadpis7Char"/>
    <w:unhideWhenUsed/>
    <w:qFormat/>
    <w:rsid w:val="00DD3EFA"/>
    <w:pPr>
      <w:keepNext/>
      <w:keepLines/>
      <w:spacing w:before="240" w:beforeAutospacing="1" w:after="240" w:afterAutospacing="1" w:line="240" w:lineRule="auto"/>
      <w:ind w:left="1296" w:hanging="1296"/>
      <w:jc w:val="both"/>
      <w:outlineLvl w:val="6"/>
    </w:pPr>
    <w:rPr>
      <w:rFonts w:ascii="Calibri" w:eastAsiaTheme="majorEastAsia" w:hAnsi="Calibri" w:cstheme="majorBidi"/>
      <w:i/>
      <w:iCs/>
      <w:color w:val="404040" w:themeColor="text1" w:themeTint="BF"/>
      <w:szCs w:val="24"/>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link w:val="Nadpis8Char"/>
    <w:unhideWhenUsed/>
    <w:qFormat/>
    <w:rsid w:val="00DD3EFA"/>
    <w:pPr>
      <w:keepNext/>
      <w:keepLines/>
      <w:spacing w:before="240" w:beforeAutospacing="1" w:after="240" w:afterAutospacing="1" w:line="240" w:lineRule="auto"/>
      <w:ind w:left="1440" w:hanging="1440"/>
      <w:jc w:val="both"/>
      <w:outlineLvl w:val="7"/>
    </w:pPr>
    <w:rPr>
      <w:rFonts w:ascii="Calibri" w:eastAsiaTheme="majorEastAsia" w:hAnsi="Calibri" w:cstheme="majorBidi"/>
      <w:i/>
      <w:color w:val="404040" w:themeColor="text1" w:themeTint="BF"/>
      <w:sz w:val="20"/>
      <w:szCs w:val="20"/>
    </w:rPr>
  </w:style>
  <w:style w:type="paragraph" w:styleId="Nadpis9">
    <w:name w:val="heading 9"/>
    <w:aliases w:val="h9,heading9,ASAPHeading 9,App Heading,MUS9,H9,(Bibliografia),progress,progress1,progress2,progress11,progress3,progress4,progress5,progress6,progress7,progress12,progress21,progress111,progress31,progress8,progress13,progress22,progress112"/>
    <w:basedOn w:val="Normln"/>
    <w:next w:val="Normln"/>
    <w:link w:val="Nadpis9Char"/>
    <w:unhideWhenUsed/>
    <w:qFormat/>
    <w:rsid w:val="00DD3EFA"/>
    <w:pPr>
      <w:keepNext/>
      <w:keepLines/>
      <w:spacing w:before="240" w:beforeAutospacing="1" w:after="240" w:afterAutospacing="1" w:line="240" w:lineRule="auto"/>
      <w:ind w:left="1584" w:hanging="1584"/>
      <w:jc w:val="both"/>
      <w:outlineLvl w:val="8"/>
    </w:pPr>
    <w:rPr>
      <w:rFonts w:ascii="Calibri" w:eastAsiaTheme="majorEastAsia" w:hAnsi="Calibri" w:cstheme="majorBidi"/>
      <w:i/>
      <w:iCs/>
      <w:color w:val="404040" w:themeColor="text1" w:themeTint="BF"/>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C4CE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4CE9"/>
  </w:style>
  <w:style w:type="paragraph" w:styleId="Zpat">
    <w:name w:val="footer"/>
    <w:basedOn w:val="Normln"/>
    <w:link w:val="ZpatChar"/>
    <w:uiPriority w:val="99"/>
    <w:unhideWhenUsed/>
    <w:rsid w:val="007C4CE9"/>
    <w:pPr>
      <w:tabs>
        <w:tab w:val="center" w:pos="4536"/>
        <w:tab w:val="right" w:pos="9072"/>
      </w:tabs>
      <w:spacing w:after="0" w:line="240" w:lineRule="auto"/>
    </w:pPr>
  </w:style>
  <w:style w:type="character" w:customStyle="1" w:styleId="ZpatChar">
    <w:name w:val="Zápatí Char"/>
    <w:basedOn w:val="Standardnpsmoodstavce"/>
    <w:link w:val="Zpat"/>
    <w:uiPriority w:val="99"/>
    <w:rsid w:val="007C4CE9"/>
  </w:style>
  <w:style w:type="paragraph" w:styleId="Textbubliny">
    <w:name w:val="Balloon Text"/>
    <w:basedOn w:val="Normln"/>
    <w:link w:val="TextbublinyChar"/>
    <w:uiPriority w:val="99"/>
    <w:semiHidden/>
    <w:unhideWhenUsed/>
    <w:rsid w:val="00980FA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0FAA"/>
    <w:rPr>
      <w:rFonts w:ascii="Tahoma" w:hAnsi="Tahoma" w:cs="Tahoma"/>
      <w:sz w:val="16"/>
      <w:szCs w:val="16"/>
    </w:rPr>
  </w:style>
  <w:style w:type="paragraph" w:styleId="Odstavecseseznamem">
    <w:name w:val="List Paragraph"/>
    <w:aliases w:val="Conclusion de partie,Nad,Odstavec cíl se seznamem,Odstavec se seznamem5,Odstavec_muj,List Paragraph,Odstavec_muj1,Odstavec_muj2,Odstavec_muj3,Nad1,List Paragraph1,Odstavec_muj4,Nad2,List Paragraph2,Odstavec_muj5,Odstavec_muj6,nad 1"/>
    <w:basedOn w:val="Normln"/>
    <w:link w:val="OdstavecseseznamemChar"/>
    <w:uiPriority w:val="34"/>
    <w:qFormat/>
    <w:rsid w:val="008C1BB5"/>
    <w:pPr>
      <w:ind w:left="720"/>
      <w:contextualSpacing/>
    </w:pPr>
  </w:style>
  <w:style w:type="table" w:styleId="Mkatabulky">
    <w:name w:val="Table Grid"/>
    <w:basedOn w:val="Normlntabulka"/>
    <w:uiPriority w:val="59"/>
    <w:rsid w:val="00C450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950770"/>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50770"/>
    <w:rPr>
      <w:rFonts w:eastAsiaTheme="minorEastAsia"/>
      <w:lang w:eastAsia="cs-CZ"/>
    </w:rPr>
  </w:style>
  <w:style w:type="character" w:customStyle="1" w:styleId="Nadpis1Char">
    <w:name w:val="Nadpis 1 Char"/>
    <w:aliases w:val="Deloitte Heading 1 Char,Heading 1 Char1 Char Char,Heading 1 Char Char Char Char,h1 Char Char Char Char,H1 Char Char Char Char,1 Char1 Char Char Char,Naglówek 1 Char Char Char Char,Naglówek 11 Char Char Char Char,1 gho Char"/>
    <w:basedOn w:val="Standardnpsmoodstavce"/>
    <w:link w:val="Nadpis1"/>
    <w:uiPriority w:val="9"/>
    <w:rsid w:val="00D762E9"/>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D762E9"/>
    <w:pPr>
      <w:outlineLvl w:val="9"/>
    </w:pPr>
    <w:rPr>
      <w:lang w:eastAsia="cs-CZ"/>
    </w:rPr>
  </w:style>
  <w:style w:type="paragraph" w:styleId="Obsah1">
    <w:name w:val="toc 1"/>
    <w:basedOn w:val="Normln"/>
    <w:next w:val="Normln"/>
    <w:autoRedefine/>
    <w:uiPriority w:val="39"/>
    <w:unhideWhenUsed/>
    <w:rsid w:val="00D762E9"/>
    <w:pPr>
      <w:spacing w:after="100"/>
    </w:pPr>
  </w:style>
  <w:style w:type="character" w:styleId="Hypertextovodkaz">
    <w:name w:val="Hyperlink"/>
    <w:basedOn w:val="Standardnpsmoodstavce"/>
    <w:uiPriority w:val="99"/>
    <w:unhideWhenUsed/>
    <w:rsid w:val="00D762E9"/>
    <w:rPr>
      <w:color w:val="0563C1" w:themeColor="hyperlink"/>
      <w:u w:val="single"/>
    </w:rPr>
  </w:style>
  <w:style w:type="character" w:customStyle="1" w:styleId="Nadpis3Char">
    <w:name w:val="Nadpis 3 Char"/>
    <w:aliases w:val="h3 Char,- 1) Char,2) Char,3) Char,- 1. Char,2. Char,3. Char,H3 Char,Heading Char,List 1 Char,Nadpis_3_úroveň Char,Záhlaví 3 Char,V_Head3 Char,V_Head31 Char,V_Head32 Char,Podkapitola2 Char,ASAPHeading 3 Char,Sub Paragraph Char,TRM 12 3 Char"/>
    <w:basedOn w:val="Standardnpsmoodstavce"/>
    <w:link w:val="Nadpis3"/>
    <w:uiPriority w:val="9"/>
    <w:rsid w:val="00DD3EFA"/>
    <w:rPr>
      <w:rFonts w:ascii="Times New Roman" w:eastAsia="Times New Roman" w:hAnsi="Times New Roman" w:cs="Times New Roman"/>
      <w:b/>
      <w:bCs/>
      <w:sz w:val="27"/>
      <w:szCs w:val="27"/>
      <w:lang w:eastAsia="cs-CZ"/>
    </w:rPr>
  </w:style>
  <w:style w:type="paragraph" w:customStyle="1" w:styleId="slovanodstavec">
    <w:name w:val="Číslovaný odstavec"/>
    <w:basedOn w:val="Normln"/>
    <w:link w:val="slovanodstavecChar"/>
    <w:qFormat/>
    <w:rsid w:val="00DD3EFA"/>
    <w:pPr>
      <w:tabs>
        <w:tab w:val="left" w:pos="567"/>
      </w:tabs>
      <w:spacing w:after="200" w:line="276" w:lineRule="auto"/>
      <w:jc w:val="both"/>
    </w:pPr>
    <w:rPr>
      <w:rFonts w:ascii="Arial" w:eastAsia="Calibri" w:hAnsi="Arial" w:cs="Times New Roman"/>
    </w:rPr>
  </w:style>
  <w:style w:type="character" w:customStyle="1" w:styleId="slovanodstavecChar">
    <w:name w:val="Číslovaný odstavec Char"/>
    <w:link w:val="slovanodstavec"/>
    <w:rsid w:val="00DD3EFA"/>
    <w:rPr>
      <w:rFonts w:ascii="Arial" w:eastAsia="Calibri" w:hAnsi="Arial" w:cs="Times New Roman"/>
    </w:rPr>
  </w:style>
  <w:style w:type="paragraph" w:styleId="Revize">
    <w:name w:val="Revision"/>
    <w:hidden/>
    <w:uiPriority w:val="99"/>
    <w:semiHidden/>
    <w:rsid w:val="00DD3EFA"/>
    <w:pPr>
      <w:spacing w:after="0" w:line="240" w:lineRule="auto"/>
    </w:pPr>
    <w:rPr>
      <w:noProof/>
    </w:rPr>
  </w:style>
  <w:style w:type="character" w:styleId="Odkaznakoment">
    <w:name w:val="annotation reference"/>
    <w:basedOn w:val="Standardnpsmoodstavce"/>
    <w:uiPriority w:val="99"/>
    <w:unhideWhenUsed/>
    <w:rsid w:val="00DD3EFA"/>
    <w:rPr>
      <w:sz w:val="16"/>
      <w:szCs w:val="16"/>
    </w:rPr>
  </w:style>
  <w:style w:type="paragraph" w:styleId="Textkomente">
    <w:name w:val="annotation text"/>
    <w:basedOn w:val="Normln"/>
    <w:link w:val="TextkomenteChar"/>
    <w:uiPriority w:val="99"/>
    <w:unhideWhenUsed/>
    <w:rsid w:val="00DD3EFA"/>
    <w:pPr>
      <w:spacing w:line="240" w:lineRule="auto"/>
      <w:jc w:val="both"/>
    </w:pPr>
    <w:rPr>
      <w:noProof/>
      <w:sz w:val="20"/>
      <w:szCs w:val="20"/>
    </w:rPr>
  </w:style>
  <w:style w:type="character" w:customStyle="1" w:styleId="TextkomenteChar">
    <w:name w:val="Text komentáře Char"/>
    <w:basedOn w:val="Standardnpsmoodstavce"/>
    <w:link w:val="Textkomente"/>
    <w:uiPriority w:val="99"/>
    <w:rsid w:val="00DD3EFA"/>
    <w:rPr>
      <w:noProof/>
      <w:sz w:val="20"/>
      <w:szCs w:val="20"/>
    </w:rPr>
  </w:style>
  <w:style w:type="paragraph" w:styleId="Pedmtkomente">
    <w:name w:val="annotation subject"/>
    <w:basedOn w:val="Textkomente"/>
    <w:next w:val="Textkomente"/>
    <w:link w:val="PedmtkomenteChar"/>
    <w:uiPriority w:val="99"/>
    <w:semiHidden/>
    <w:unhideWhenUsed/>
    <w:rsid w:val="00DD3EFA"/>
    <w:rPr>
      <w:b/>
      <w:bCs/>
    </w:rPr>
  </w:style>
  <w:style w:type="character" w:customStyle="1" w:styleId="PedmtkomenteChar">
    <w:name w:val="Předmět komentáře Char"/>
    <w:basedOn w:val="TextkomenteChar"/>
    <w:link w:val="Pedmtkomente"/>
    <w:uiPriority w:val="99"/>
    <w:semiHidden/>
    <w:rsid w:val="00DD3EFA"/>
    <w:rPr>
      <w:b/>
      <w:bCs/>
      <w:noProof/>
      <w:sz w:val="20"/>
      <w:szCs w:val="20"/>
    </w:rPr>
  </w:style>
  <w:style w:type="paragraph" w:styleId="Textpoznpodarou">
    <w:name w:val="footnote text"/>
    <w:aliases w:val="Footnote Text Char Char,Footnote Text Char Char Char Char,Footnote Text1 Char,Footnote Text1,Footnote Text Char Char Char,Footnote Text1 Char Char Char,Footnote Text1 Char Char Char Char Char Char Char Char,Char Char Char,Char,Char3"/>
    <w:basedOn w:val="Normln"/>
    <w:link w:val="TextpoznpodarouChar"/>
    <w:uiPriority w:val="99"/>
    <w:unhideWhenUsed/>
    <w:qFormat/>
    <w:rsid w:val="00DD3EFA"/>
    <w:pPr>
      <w:spacing w:after="0" w:line="240" w:lineRule="auto"/>
      <w:jc w:val="both"/>
    </w:pPr>
    <w:rPr>
      <w:noProof/>
      <w:sz w:val="20"/>
      <w:szCs w:val="20"/>
    </w:rPr>
  </w:style>
  <w:style w:type="character" w:customStyle="1" w:styleId="TextpoznpodarouChar">
    <w:name w:val="Text pozn. pod čarou Char"/>
    <w:aliases w:val="Footnote Text Char Char Char1,Footnote Text Char Char Char Char Char,Footnote Text1 Char Char,Footnote Text1 Char1,Footnote Text Char Char Char Char1,Footnote Text1 Char Char Char Char,Char Char Char Char,Char Char,Char3 Char"/>
    <w:basedOn w:val="Standardnpsmoodstavce"/>
    <w:link w:val="Textpoznpodarou"/>
    <w:uiPriority w:val="99"/>
    <w:rsid w:val="00DD3EFA"/>
    <w:rPr>
      <w:noProof/>
      <w:sz w:val="20"/>
      <w:szCs w:val="20"/>
    </w:rPr>
  </w:style>
  <w:style w:type="character" w:styleId="Znakapoznpodarou">
    <w:name w:val="footnote reference"/>
    <w:aliases w:val="Footnote,Footnote symbol,Char1 Char Char Char Char,Footnote Reference/,EN Footnote Reference,Times 10 Point,Exposant 3 Point,Footnote reference number,note TESI,stylish,SUPERS,number,no...,Footnote Reference Superscript,16 Point"/>
    <w:basedOn w:val="Standardnpsmoodstavce"/>
    <w:link w:val="FootnotesymbolCarZchn"/>
    <w:uiPriority w:val="99"/>
    <w:unhideWhenUsed/>
    <w:qFormat/>
    <w:rsid w:val="00DD3EFA"/>
    <w:rPr>
      <w:vertAlign w:val="superscript"/>
    </w:rPr>
  </w:style>
  <w:style w:type="paragraph" w:customStyle="1" w:styleId="Odrky">
    <w:name w:val="Odrážky"/>
    <w:basedOn w:val="slovanseznam4"/>
    <w:link w:val="OdrkyChar"/>
    <w:uiPriority w:val="2"/>
    <w:qFormat/>
    <w:rsid w:val="00DD3EFA"/>
    <w:pPr>
      <w:numPr>
        <w:numId w:val="0"/>
      </w:numPr>
      <w:spacing w:before="120" w:after="120" w:line="264" w:lineRule="auto"/>
      <w:ind w:left="720" w:hanging="360"/>
      <w:contextualSpacing w:val="0"/>
    </w:pPr>
    <w:rPr>
      <w:rFonts w:ascii="Arial" w:eastAsia="Times New Roman" w:hAnsi="Arial" w:cs="Times New Roman"/>
      <w:noProof w:val="0"/>
      <w:sz w:val="20"/>
      <w:szCs w:val="24"/>
      <w:lang w:eastAsia="de-DE"/>
    </w:rPr>
  </w:style>
  <w:style w:type="character" w:customStyle="1" w:styleId="OdrkyChar">
    <w:name w:val="Odrážky Char"/>
    <w:basedOn w:val="Standardnpsmoodstavce"/>
    <w:link w:val="Odrky"/>
    <w:uiPriority w:val="2"/>
    <w:rsid w:val="00DD3EFA"/>
    <w:rPr>
      <w:rFonts w:ascii="Arial" w:eastAsia="Times New Roman" w:hAnsi="Arial" w:cs="Times New Roman"/>
      <w:sz w:val="20"/>
      <w:szCs w:val="24"/>
      <w:lang w:eastAsia="de-DE"/>
    </w:rPr>
  </w:style>
  <w:style w:type="paragraph" w:styleId="slovanseznam4">
    <w:name w:val="List Number 4"/>
    <w:basedOn w:val="Normln"/>
    <w:uiPriority w:val="99"/>
    <w:semiHidden/>
    <w:unhideWhenUsed/>
    <w:rsid w:val="00DD3EFA"/>
    <w:pPr>
      <w:numPr>
        <w:numId w:val="7"/>
      </w:numPr>
      <w:contextualSpacing/>
      <w:jc w:val="both"/>
    </w:pPr>
    <w:rPr>
      <w:noProof/>
    </w:rPr>
  </w:style>
  <w:style w:type="character" w:customStyle="1" w:styleId="OdstavecseseznamemChar">
    <w:name w:val="Odstavec se seznamem Char"/>
    <w:aliases w:val="Conclusion de partie Char,Nad Char,Odstavec cíl se seznamem Char,Odstavec se seznamem5 Char,Odstavec_muj Char,List Paragraph Char,Odstavec_muj1 Char,Odstavec_muj2 Char,Odstavec_muj3 Char,Nad1 Char,List Paragraph1 Char,Nad2 Char"/>
    <w:basedOn w:val="Standardnpsmoodstavce"/>
    <w:link w:val="Odstavecseseznamem"/>
    <w:uiPriority w:val="34"/>
    <w:qFormat/>
    <w:rsid w:val="00DD3EFA"/>
  </w:style>
  <w:style w:type="paragraph" w:customStyle="1" w:styleId="Text1">
    <w:name w:val="Text 1"/>
    <w:basedOn w:val="Normln"/>
    <w:rsid w:val="00DD3EFA"/>
    <w:pPr>
      <w:spacing w:before="120" w:after="120" w:line="240" w:lineRule="auto"/>
      <w:ind w:left="850"/>
      <w:jc w:val="both"/>
    </w:pPr>
    <w:rPr>
      <w:rFonts w:ascii="Times New Roman" w:hAnsi="Times New Roman" w:cs="Times New Roman"/>
      <w:sz w:val="24"/>
    </w:rPr>
  </w:style>
  <w:style w:type="paragraph" w:customStyle="1" w:styleId="Default">
    <w:name w:val="Default"/>
    <w:rsid w:val="00DD3EFA"/>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Nadpis2Char">
    <w:name w:val="Nadpis 2 Char"/>
    <w:basedOn w:val="Standardnpsmoodstavce"/>
    <w:uiPriority w:val="99"/>
    <w:rsid w:val="00DD3EFA"/>
    <w:rPr>
      <w:rFonts w:asciiTheme="majorHAnsi" w:eastAsiaTheme="majorEastAsia" w:hAnsiTheme="majorHAnsi" w:cstheme="majorBidi"/>
      <w:color w:val="2E74B5" w:themeColor="accent1" w:themeShade="BF"/>
      <w:sz w:val="26"/>
      <w:szCs w:val="26"/>
    </w:rPr>
  </w:style>
  <w:style w:type="character" w:customStyle="1" w:styleId="Nadpis4Char">
    <w:name w:val="Nadpis 4 Char"/>
    <w:aliases w:val="h4 Char,H4 Char,Ad.1) Char,Ad 2) Char,1) Char,ASAPHeading 4 Char,Sub Sub Paragraph Char,Podkapitola3 Char,Podkapitola31 Char,Odstavec 1 Char,Odstavec 11 Char,Odstavec 12 Char,Odstavec 13 Char,Odstavec 14 Char,Odstavec 111 Char,4 Char"/>
    <w:basedOn w:val="Standardnpsmoodstavce"/>
    <w:link w:val="Nadpis4"/>
    <w:rsid w:val="00DD3EFA"/>
    <w:rPr>
      <w:rFonts w:ascii="Calibri" w:eastAsiaTheme="majorEastAsia" w:hAnsi="Calibri" w:cstheme="majorBidi"/>
      <w:b/>
      <w:bCs/>
      <w:iCs/>
      <w:sz w:val="24"/>
      <w:szCs w:val="24"/>
    </w:rPr>
  </w:style>
  <w:style w:type="character" w:customStyle="1" w:styleId="Nadpis5Char">
    <w:name w:val="Nadpis 5 Char"/>
    <w:aliases w:val="ASAPHeading 5 Char,Heading 5   Appendix A to X Char,Appendix A to X Char,Heading 5   Appendix A to X1 Char,Appendix A to X1 Char,Heading 5   Appendix A to X2 Char,Appendix A to X2 Char,Heading 5   Appendix A to X11 Char,MUS5 Char,H5 Char"/>
    <w:basedOn w:val="Standardnpsmoodstavce"/>
    <w:link w:val="Nadpis5"/>
    <w:rsid w:val="00DD3EFA"/>
    <w:rPr>
      <w:rFonts w:ascii="Calibri" w:eastAsiaTheme="majorEastAsia" w:hAnsi="Calibri" w:cstheme="majorBidi"/>
      <w:b/>
      <w:i/>
      <w:color w:val="1F4D78" w:themeColor="accent1" w:themeShade="7F"/>
      <w:sz w:val="24"/>
      <w:szCs w:val="24"/>
    </w:rPr>
  </w:style>
  <w:style w:type="character" w:customStyle="1" w:styleId="Nadpis6Char">
    <w:name w:val="Nadpis 6 Char"/>
    <w:aliases w:val="ASAPHeading 6 Char,Heading 6  Appendix Y &amp; Z Char,Heading 6  Appendix Y &amp; Z1 Char,Heading 6  Appendix Y &amp; Z2 Char,Heading 6  Appendix Y &amp; Z11 Char,MUS6 Char,H6 Char,ASAPHeading 61 Char,ASAPHeading 62 Char,ASAPHeading 63 Char,h6 Char,l Char"/>
    <w:basedOn w:val="Standardnpsmoodstavce"/>
    <w:link w:val="Nadpis6"/>
    <w:uiPriority w:val="9"/>
    <w:rsid w:val="00DD3EFA"/>
    <w:rPr>
      <w:rFonts w:ascii="Calibri" w:eastAsiaTheme="majorEastAsia" w:hAnsi="Calibri" w:cstheme="majorBidi"/>
      <w:i/>
      <w:iCs/>
      <w:color w:val="1F4D78" w:themeColor="accent1" w:themeShade="7F"/>
      <w:sz w:val="24"/>
      <w:szCs w:val="24"/>
    </w:rPr>
  </w:style>
  <w:style w:type="character" w:customStyle="1" w:styleId="Nadpis7Char">
    <w:name w:val="Nadpis 7 Char"/>
    <w:aliases w:val="ASAPHeading 7 Char,MUS7 Char,ASAPHeading 71 Char,ASAPHeading 72 Char,ASAPHeading 73 Char,ASAPHeading 74 Char,H7 Char,letter list Char,lettered list Char,letter list1 Char,lettered list1 Char,letter list2 Char,lettered list2 Char"/>
    <w:basedOn w:val="Standardnpsmoodstavce"/>
    <w:link w:val="Nadpis7"/>
    <w:rsid w:val="00DD3EFA"/>
    <w:rPr>
      <w:rFonts w:ascii="Calibri" w:eastAsiaTheme="majorEastAsia" w:hAnsi="Calibri" w:cstheme="majorBidi"/>
      <w:i/>
      <w:iCs/>
      <w:color w:val="404040" w:themeColor="text1" w:themeTint="BF"/>
      <w:szCs w:val="24"/>
    </w:rPr>
  </w:style>
  <w:style w:type="character" w:customStyle="1" w:styleId="Nadpis8Char">
    <w:name w:val="Nadpis 8 Char"/>
    <w:aliases w:val="ASAPHeading 8 Char,MUS8 Char,H8 Char,(Appendici) Char,action Char,action1 Char,action2 Char,action11 Char,action3 Char,action4 Char,action5 Char,action6 Char,action7 Char,action12 Char,action21 Char,action111 Char,action31 Char"/>
    <w:basedOn w:val="Standardnpsmoodstavce"/>
    <w:link w:val="Nadpis8"/>
    <w:rsid w:val="00DD3EFA"/>
    <w:rPr>
      <w:rFonts w:ascii="Calibri" w:eastAsiaTheme="majorEastAsia" w:hAnsi="Calibri" w:cstheme="majorBidi"/>
      <w:i/>
      <w:color w:val="404040" w:themeColor="text1" w:themeTint="BF"/>
      <w:sz w:val="20"/>
      <w:szCs w:val="20"/>
    </w:rPr>
  </w:style>
  <w:style w:type="character" w:customStyle="1" w:styleId="Nadpis9Char">
    <w:name w:val="Nadpis 9 Char"/>
    <w:aliases w:val="h9 Char,heading9 Char,ASAPHeading 9 Char,App Heading Char,MUS9 Char,H9 Char,(Bibliografia) Char,progress Char,progress1 Char,progress2 Char,progress11 Char,progress3 Char,progress4 Char,progress5 Char,progress6 Char,progress7 Char"/>
    <w:basedOn w:val="Standardnpsmoodstavce"/>
    <w:link w:val="Nadpis9"/>
    <w:rsid w:val="00DD3EFA"/>
    <w:rPr>
      <w:rFonts w:ascii="Calibri" w:eastAsiaTheme="majorEastAsia" w:hAnsi="Calibri" w:cstheme="majorBidi"/>
      <w:i/>
      <w:iCs/>
      <w:color w:val="404040" w:themeColor="text1" w:themeTint="BF"/>
      <w:sz w:val="18"/>
      <w:szCs w:val="20"/>
    </w:rPr>
  </w:style>
  <w:style w:type="character" w:styleId="Sledovanodkaz">
    <w:name w:val="FollowedHyperlink"/>
    <w:basedOn w:val="Standardnpsmoodstavce"/>
    <w:uiPriority w:val="99"/>
    <w:semiHidden/>
    <w:unhideWhenUsed/>
    <w:rsid w:val="00DD3EFA"/>
    <w:rPr>
      <w:color w:val="954F72" w:themeColor="followedHyperlink"/>
      <w:u w:val="single"/>
    </w:rPr>
  </w:style>
  <w:style w:type="character" w:customStyle="1" w:styleId="Nadpis2Char1">
    <w:name w:val="Nadpis 2 Char1"/>
    <w:aliases w:val="h2 Char,Normal Heading 2 Char,LetHead2 Char,- 1 Char,2 Char,3 Char,H2 Char,Heading_eng 2 Char,Main header Char,Outline2 Char Char,HAA-Section Char Char,Sub Heading Char Char,ignorer2 Char Char,Nadpis_2 Char Char,adpis 2 Char Char,2m Char"/>
    <w:basedOn w:val="Standardnpsmoodstavce"/>
    <w:link w:val="Nadpis2"/>
    <w:rsid w:val="00DD3EFA"/>
    <w:rPr>
      <w:rFonts w:ascii="Calibri" w:eastAsia="Times New Roman" w:hAnsi="Calibri" w:cs="Arial"/>
      <w:b/>
      <w:iCs/>
      <w:color w:val="2E74B5"/>
      <w:kern w:val="32"/>
      <w:sz w:val="26"/>
      <w:szCs w:val="24"/>
    </w:rPr>
  </w:style>
  <w:style w:type="character" w:styleId="Zdraznn">
    <w:name w:val="Emphasis"/>
    <w:basedOn w:val="Standardnpsmoodstavce"/>
    <w:uiPriority w:val="20"/>
    <w:qFormat/>
    <w:rsid w:val="00DD3EFA"/>
    <w:rPr>
      <w:i/>
      <w:iCs/>
    </w:rPr>
  </w:style>
  <w:style w:type="paragraph" w:customStyle="1" w:styleId="Bntext">
    <w:name w:val="Běžný text"/>
    <w:basedOn w:val="Zkladntextodsazen2"/>
    <w:link w:val="BntextChar"/>
    <w:qFormat/>
    <w:rsid w:val="00DD3EFA"/>
    <w:pPr>
      <w:spacing w:before="120" w:line="276" w:lineRule="auto"/>
      <w:ind w:left="0" w:firstLine="578"/>
    </w:pPr>
    <w:rPr>
      <w:rFonts w:ascii="Calibri" w:eastAsia="Times New Roman" w:hAnsi="Calibri" w:cs="Times New Roman"/>
      <w:color w:val="212121"/>
      <w:szCs w:val="24"/>
      <w:lang w:val="en-US" w:eastAsia="cs-CZ"/>
    </w:rPr>
  </w:style>
  <w:style w:type="character" w:customStyle="1" w:styleId="BntextChar">
    <w:name w:val="Běžný text Char"/>
    <w:basedOn w:val="Zkladntextodsazen2Char"/>
    <w:link w:val="Bntext"/>
    <w:rsid w:val="00DD3EFA"/>
    <w:rPr>
      <w:rFonts w:ascii="Calibri" w:eastAsia="Times New Roman" w:hAnsi="Calibri" w:cs="Times New Roman"/>
      <w:noProof/>
      <w:color w:val="212121"/>
      <w:szCs w:val="24"/>
      <w:lang w:val="en-US" w:eastAsia="cs-CZ"/>
    </w:rPr>
  </w:style>
  <w:style w:type="paragraph" w:styleId="Zkladntextodsazen2">
    <w:name w:val="Body Text Indent 2"/>
    <w:basedOn w:val="Normln"/>
    <w:link w:val="Zkladntextodsazen2Char"/>
    <w:uiPriority w:val="99"/>
    <w:semiHidden/>
    <w:unhideWhenUsed/>
    <w:rsid w:val="00DD3EFA"/>
    <w:pPr>
      <w:spacing w:after="120" w:line="480" w:lineRule="auto"/>
      <w:ind w:left="283"/>
      <w:jc w:val="both"/>
    </w:pPr>
    <w:rPr>
      <w:noProof/>
    </w:rPr>
  </w:style>
  <w:style w:type="character" w:customStyle="1" w:styleId="Zkladntextodsazen2Char">
    <w:name w:val="Základní text odsazený 2 Char"/>
    <w:basedOn w:val="Standardnpsmoodstavce"/>
    <w:link w:val="Zkladntextodsazen2"/>
    <w:uiPriority w:val="99"/>
    <w:semiHidden/>
    <w:rsid w:val="00DD3EFA"/>
    <w:rPr>
      <w:noProof/>
    </w:rPr>
  </w:style>
  <w:style w:type="paragraph" w:styleId="Normlnweb">
    <w:name w:val="Normal (Web)"/>
    <w:basedOn w:val="Normln"/>
    <w:uiPriority w:val="99"/>
    <w:unhideWhenUsed/>
    <w:rsid w:val="00DD3EFA"/>
    <w:pPr>
      <w:spacing w:after="0" w:line="240" w:lineRule="auto"/>
    </w:pPr>
    <w:rPr>
      <w:rFonts w:ascii="Times New Roman" w:hAnsi="Times New Roman" w:cs="Times New Roman"/>
      <w:sz w:val="24"/>
      <w:szCs w:val="24"/>
      <w:lang w:eastAsia="cs-CZ"/>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
    <w:link w:val="Znakapoznpodarou"/>
    <w:rsid w:val="00DD3EFA"/>
    <w:pPr>
      <w:spacing w:line="240" w:lineRule="exact"/>
      <w:jc w:val="both"/>
    </w:pPr>
    <w:rPr>
      <w:vertAlign w:val="superscript"/>
    </w:rPr>
  </w:style>
  <w:style w:type="paragraph" w:customStyle="1" w:styleId="TextA">
    <w:name w:val="Text A"/>
    <w:basedOn w:val="Normln"/>
    <w:link w:val="TextAChar"/>
    <w:qFormat/>
    <w:rsid w:val="00DD3EFA"/>
    <w:pPr>
      <w:spacing w:before="120" w:after="120" w:line="276" w:lineRule="auto"/>
      <w:ind w:left="851"/>
      <w:jc w:val="both"/>
    </w:pPr>
    <w:rPr>
      <w:rFonts w:ascii="Times New Roman" w:eastAsia="Times New Roman" w:hAnsi="Times New Roman" w:cs="Times New Roman"/>
      <w:color w:val="000000" w:themeColor="text1"/>
      <w:sz w:val="24"/>
      <w:szCs w:val="24"/>
    </w:rPr>
  </w:style>
  <w:style w:type="character" w:customStyle="1" w:styleId="TextAChar">
    <w:name w:val="Text A Char"/>
    <w:basedOn w:val="Standardnpsmoodstavce"/>
    <w:link w:val="TextA"/>
    <w:rsid w:val="00DD3EFA"/>
    <w:rPr>
      <w:rFonts w:ascii="Times New Roman" w:eastAsia="Times New Roman" w:hAnsi="Times New Roman" w:cs="Times New Roman"/>
      <w:color w:val="000000" w:themeColor="text1"/>
      <w:sz w:val="24"/>
      <w:szCs w:val="24"/>
    </w:rPr>
  </w:style>
  <w:style w:type="character" w:styleId="Siln">
    <w:name w:val="Strong"/>
    <w:basedOn w:val="Standardnpsmoodstavce"/>
    <w:uiPriority w:val="22"/>
    <w:qFormat/>
    <w:rsid w:val="00DD3EFA"/>
    <w:rPr>
      <w:b/>
      <w:bCs/>
    </w:rPr>
  </w:style>
  <w:style w:type="paragraph" w:customStyle="1" w:styleId="P4bodytext">
    <w:name w:val="P4 body text"/>
    <w:basedOn w:val="Normln"/>
    <w:uiPriority w:val="99"/>
    <w:rsid w:val="00DD3EFA"/>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0" w:line="264" w:lineRule="auto"/>
      <w:jc w:val="both"/>
    </w:pPr>
    <w:rPr>
      <w:rFonts w:ascii="Times New Roman" w:eastAsia="Calibri" w:hAnsi="Times New Roman" w:cs="Calibri"/>
      <w:color w:val="000000"/>
      <w:u w:color="000000"/>
      <w:lang w:eastAsia="en-GB"/>
    </w:rPr>
  </w:style>
  <w:style w:type="character" w:customStyle="1" w:styleId="tlid-translation">
    <w:name w:val="tlid-translation"/>
    <w:basedOn w:val="Standardnpsmoodstavce"/>
    <w:rsid w:val="00DD3EFA"/>
  </w:style>
  <w:style w:type="paragraph" w:customStyle="1" w:styleId="Normal1">
    <w:name w:val="Normal1"/>
    <w:uiPriority w:val="99"/>
    <w:rsid w:val="00DD3EFA"/>
    <w:rPr>
      <w:rFonts w:ascii="Calibri" w:eastAsia="Calibri" w:hAnsi="Calibri" w:cs="Calibri"/>
      <w:color w:val="000000"/>
    </w:rPr>
  </w:style>
  <w:style w:type="paragraph" w:customStyle="1" w:styleId="Standardntext">
    <w:name w:val="Standardní text"/>
    <w:basedOn w:val="Normln"/>
    <w:link w:val="StandardntextChar"/>
    <w:qFormat/>
    <w:rsid w:val="00DD3EFA"/>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4"/>
      <w:lang w:eastAsia="cs-CZ"/>
    </w:rPr>
  </w:style>
  <w:style w:type="character" w:customStyle="1" w:styleId="StandardntextChar">
    <w:name w:val="Standardní text Char"/>
    <w:link w:val="Standardntext"/>
    <w:rsid w:val="00DD3EFA"/>
    <w:rPr>
      <w:rFonts w:ascii="Times New Roman" w:eastAsia="Times New Roman" w:hAnsi="Times New Roman" w:cs="Times New Roman"/>
      <w:sz w:val="24"/>
      <w:szCs w:val="24"/>
      <w:lang w:eastAsia="cs-CZ"/>
    </w:rPr>
  </w:style>
  <w:style w:type="paragraph" w:customStyle="1" w:styleId="Point2">
    <w:name w:val="Point 2"/>
    <w:basedOn w:val="Normln"/>
    <w:rsid w:val="00DD3EFA"/>
    <w:pPr>
      <w:spacing w:before="120" w:after="120" w:line="240" w:lineRule="auto"/>
      <w:ind w:left="1984" w:hanging="567"/>
      <w:jc w:val="both"/>
    </w:pPr>
    <w:rPr>
      <w:rFonts w:ascii="Times New Roman" w:hAnsi="Times New Roman" w:cs="Times New Roman"/>
      <w:sz w:val="24"/>
      <w:lang w:eastAsia="cs-CZ" w:bidi="cs-CZ"/>
    </w:rPr>
  </w:style>
  <w:style w:type="character" w:customStyle="1" w:styleId="h1a5">
    <w:name w:val="h1a5"/>
    <w:basedOn w:val="Standardnpsmoodstavce"/>
    <w:rsid w:val="00DD3EFA"/>
    <w:rPr>
      <w:rFonts w:ascii="Arial" w:hAnsi="Arial" w:cs="Arial" w:hint="default"/>
      <w:i/>
      <w:iCs/>
      <w:vanish w:val="0"/>
      <w:webHidden w:val="0"/>
      <w:sz w:val="26"/>
      <w:szCs w:val="26"/>
      <w:specVanish w:val="0"/>
    </w:rPr>
  </w:style>
  <w:style w:type="paragraph" w:customStyle="1" w:styleId="kapitola2A0">
    <w:name w:val="kapitola 2A.0"/>
    <w:basedOn w:val="Nadpis3"/>
    <w:link w:val="kapitola2A0Char"/>
    <w:qFormat/>
    <w:rsid w:val="00DD3EFA"/>
    <w:pPr>
      <w:keepNext/>
      <w:keepLines/>
      <w:numPr>
        <w:ilvl w:val="2"/>
      </w:numPr>
      <w:spacing w:before="240" w:beforeAutospacing="0" w:after="120" w:afterAutospacing="0" w:line="276" w:lineRule="auto"/>
      <w:ind w:left="720" w:hanging="720"/>
      <w:jc w:val="both"/>
    </w:pPr>
    <w:rPr>
      <w:rFonts w:ascii="Calibri" w:hAnsi="Calibri"/>
      <w:color w:val="365F91"/>
      <w:sz w:val="24"/>
      <w:szCs w:val="20"/>
    </w:rPr>
  </w:style>
  <w:style w:type="character" w:customStyle="1" w:styleId="kapitola2A0Char">
    <w:name w:val="kapitola 2A.0 Char"/>
    <w:link w:val="kapitola2A0"/>
    <w:rsid w:val="00DD3EFA"/>
    <w:rPr>
      <w:rFonts w:ascii="Calibri" w:eastAsia="Times New Roman" w:hAnsi="Calibri" w:cs="Times New Roman"/>
      <w:b/>
      <w:bCs/>
      <w:color w:val="365F91"/>
      <w:sz w:val="24"/>
      <w:szCs w:val="20"/>
      <w:lang w:eastAsia="cs-CZ"/>
    </w:rPr>
  </w:style>
  <w:style w:type="paragraph" w:customStyle="1" w:styleId="text">
    <w:name w:val="text"/>
    <w:basedOn w:val="Normln"/>
    <w:qFormat/>
    <w:rsid w:val="00DD3EFA"/>
    <w:pPr>
      <w:spacing w:before="120" w:after="0" w:line="240" w:lineRule="auto"/>
      <w:jc w:val="both"/>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59"/>
    <w:rsid w:val="00DD3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DD3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DD3EF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rsid w:val="00DD3EFA"/>
    <w:pPr>
      <w:spacing w:after="100" w:line="276" w:lineRule="auto"/>
      <w:ind w:left="220"/>
    </w:pPr>
    <w:rPr>
      <w:rFonts w:ascii="Calibri" w:eastAsia="Calibri" w:hAnsi="Calibri" w:cs="Times New Roman"/>
    </w:rPr>
  </w:style>
  <w:style w:type="paragraph" w:styleId="Obsah3">
    <w:name w:val="toc 3"/>
    <w:basedOn w:val="Normln"/>
    <w:next w:val="Normln"/>
    <w:autoRedefine/>
    <w:uiPriority w:val="39"/>
    <w:rsid w:val="00DD3EFA"/>
    <w:pPr>
      <w:spacing w:after="100" w:line="276" w:lineRule="auto"/>
      <w:ind w:left="44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9182">
      <w:bodyDiv w:val="1"/>
      <w:marLeft w:val="0"/>
      <w:marRight w:val="0"/>
      <w:marTop w:val="0"/>
      <w:marBottom w:val="0"/>
      <w:divBdr>
        <w:top w:val="none" w:sz="0" w:space="0" w:color="auto"/>
        <w:left w:val="none" w:sz="0" w:space="0" w:color="auto"/>
        <w:bottom w:val="none" w:sz="0" w:space="0" w:color="auto"/>
        <w:right w:val="none" w:sz="0" w:space="0" w:color="auto"/>
      </w:divBdr>
    </w:div>
    <w:div w:id="707265123">
      <w:bodyDiv w:val="1"/>
      <w:marLeft w:val="0"/>
      <w:marRight w:val="0"/>
      <w:marTop w:val="0"/>
      <w:marBottom w:val="0"/>
      <w:divBdr>
        <w:top w:val="none" w:sz="0" w:space="0" w:color="auto"/>
        <w:left w:val="none" w:sz="0" w:space="0" w:color="auto"/>
        <w:bottom w:val="none" w:sz="0" w:space="0" w:color="auto"/>
        <w:right w:val="none" w:sz="0" w:space="0" w:color="auto"/>
      </w:divBdr>
    </w:div>
    <w:div w:id="895748709">
      <w:bodyDiv w:val="1"/>
      <w:marLeft w:val="0"/>
      <w:marRight w:val="0"/>
      <w:marTop w:val="0"/>
      <w:marBottom w:val="0"/>
      <w:divBdr>
        <w:top w:val="none" w:sz="0" w:space="0" w:color="auto"/>
        <w:left w:val="none" w:sz="0" w:space="0" w:color="auto"/>
        <w:bottom w:val="none" w:sz="0" w:space="0" w:color="auto"/>
        <w:right w:val="none" w:sz="0" w:space="0" w:color="auto"/>
      </w:divBdr>
    </w:div>
    <w:div w:id="1145315725">
      <w:bodyDiv w:val="1"/>
      <w:marLeft w:val="0"/>
      <w:marRight w:val="0"/>
      <w:marTop w:val="0"/>
      <w:marBottom w:val="0"/>
      <w:divBdr>
        <w:top w:val="none" w:sz="0" w:space="0" w:color="auto"/>
        <w:left w:val="none" w:sz="0" w:space="0" w:color="auto"/>
        <w:bottom w:val="none" w:sz="0" w:space="0" w:color="auto"/>
        <w:right w:val="none" w:sz="0" w:space="0" w:color="auto"/>
      </w:divBdr>
    </w:div>
    <w:div w:id="1146433079">
      <w:bodyDiv w:val="1"/>
      <w:marLeft w:val="0"/>
      <w:marRight w:val="0"/>
      <w:marTop w:val="0"/>
      <w:marBottom w:val="0"/>
      <w:divBdr>
        <w:top w:val="none" w:sz="0" w:space="0" w:color="auto"/>
        <w:left w:val="none" w:sz="0" w:space="0" w:color="auto"/>
        <w:bottom w:val="none" w:sz="0" w:space="0" w:color="auto"/>
        <w:right w:val="none" w:sz="0" w:space="0" w:color="auto"/>
      </w:divBdr>
    </w:div>
    <w:div w:id="1241717416">
      <w:bodyDiv w:val="1"/>
      <w:marLeft w:val="0"/>
      <w:marRight w:val="0"/>
      <w:marTop w:val="0"/>
      <w:marBottom w:val="0"/>
      <w:divBdr>
        <w:top w:val="none" w:sz="0" w:space="0" w:color="auto"/>
        <w:left w:val="none" w:sz="0" w:space="0" w:color="auto"/>
        <w:bottom w:val="none" w:sz="0" w:space="0" w:color="auto"/>
        <w:right w:val="none" w:sz="0" w:space="0" w:color="auto"/>
      </w:divBdr>
    </w:div>
    <w:div w:id="199514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sfcr.cz/evaluace" TargetMode="External"/><Relationship Id="rId26" Type="http://schemas.openxmlformats.org/officeDocument/2006/relationships/image" Target="media/image5.emf"/><Relationship Id="rId39" Type="http://schemas.openxmlformats.org/officeDocument/2006/relationships/hyperlink" Target="https://www.mvcr.cz/clanek/rada-vlady-pro-informacni-spolecnost.aspx" TargetMode="External"/><Relationship Id="rId3" Type="http://schemas.openxmlformats.org/officeDocument/2006/relationships/customXml" Target="../customXml/item3.xml"/><Relationship Id="rId21" Type="http://schemas.openxmlformats.org/officeDocument/2006/relationships/hyperlink" Target="https://www.esfcr.cz/evaluace" TargetMode="External"/><Relationship Id="rId34" Type="http://schemas.openxmlformats.org/officeDocument/2006/relationships/image" Target="media/image13.emf"/><Relationship Id="rId42" Type="http://schemas.openxmlformats.org/officeDocument/2006/relationships/hyperlink" Target="https://ec.europa.eu/eurostat/web/circular-economy/indicators/monitoring-framework" TargetMode="External"/><Relationship Id="rId47" Type="http://schemas.openxmlformats.org/officeDocument/2006/relationships/hyperlink" Target="http://manual.iprpraha.cz/uploads/assets/manual_tvorby_verejnych_prostranstvi/pdf/IPR-SDM-KVP_Manual-tvorby-verejnych-prostranstvi.pdf" TargetMode="External"/><Relationship Id="rId50" Type="http://schemas.openxmlformats.org/officeDocument/2006/relationships/hyperlink" Target="https://www.czso.cz/csu/czso/satelitni_ucet_cestovniho_ruch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sfcr.cz/evaluace" TargetMode="Externa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hyperlink" Target="http://proelektrotechniky.cz/rozhovory-komentare/7.php" TargetMode="External"/><Relationship Id="rId2" Type="http://schemas.openxmlformats.org/officeDocument/2006/relationships/customXml" Target="../customXml/item2.xml"/><Relationship Id="rId16" Type="http://schemas.openxmlformats.org/officeDocument/2006/relationships/hyperlink" Target="https://www.esfcr.cz/evaluace" TargetMode="External"/><Relationship Id="rId20" Type="http://schemas.openxmlformats.org/officeDocument/2006/relationships/hyperlink" Target="https://www.mpsv.cz/files/clanky/29624/NSRSS.pdf" TargetMode="External"/><Relationship Id="rId29" Type="http://schemas.openxmlformats.org/officeDocument/2006/relationships/image" Target="media/image8.emf"/><Relationship Id="rId41" Type="http://schemas.openxmlformats.org/officeDocument/2006/relationships/hyperlink" Target="http://eur-lex.europa.eu/legal-content/EN/TXT/?uri=CELEX:52013DC024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8.png"/><Relationship Id="rId45" Type="http://schemas.openxmlformats.org/officeDocument/2006/relationships/hyperlink" Target="http://www.povis.cz/pdf/OOP-PpZPR-Odra_final.pdf"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esfcr.cz/evaluac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emf"/><Relationship Id="rId49" Type="http://schemas.openxmlformats.org/officeDocument/2006/relationships/hyperlink" Target="https://www.mmr.cz/cs/Ministerstvo/Stavebni-pravo/Publikace-a-odborne-texty/Principy-a-zasady-urbanisticke-kompozice-v-prikladech" TargetMode="External"/><Relationship Id="rId10" Type="http://schemas.openxmlformats.org/officeDocument/2006/relationships/footnotes" Target="footnotes.xml"/><Relationship Id="rId19" Type="http://schemas.openxmlformats.org/officeDocument/2006/relationships/hyperlink" Target="https://www.esfcr.cz/evaluace" TargetMode="External"/><Relationship Id="rId31" Type="http://schemas.openxmlformats.org/officeDocument/2006/relationships/image" Target="media/image10.emf"/><Relationship Id="rId44" Type="http://schemas.openxmlformats.org/officeDocument/2006/relationships/hyperlink" Target="http://www.povis.cz/pdf/OOP-PpZPR-Dunaj_final.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sfcr.cz/evaluace" TargetMode="External"/><Relationship Id="rId22" Type="http://schemas.openxmlformats.org/officeDocument/2006/relationships/hyperlink" Target="https://www.esfcr.cz/evaluace"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hyperlink" Target="http://www.povis.cz/pdf/OOP-PpZPR-Labe_final.pdf" TargetMode="External"/><Relationship Id="rId48" Type="http://schemas.openxmlformats.org/officeDocument/2006/relationships/hyperlink" Target="http://www.obcepro.cz/data/doporuceni_k_peci_o_vesnicke_stavbya_a_verejny_prostor.pdf" TargetMode="External"/><Relationship Id="rId8" Type="http://schemas.openxmlformats.org/officeDocument/2006/relationships/settings" Target="settings.xml"/><Relationship Id="rId5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esfcr.cz/documents/21802/6250228/Strategick%C3%A1+evaluace+OPZ+I_Z%C3%A1v%C4%9Bre%C4%8Dn%C3%A1_zpr%C3%A1va.pdf/d1d545c5-7d49-41eb-ae5f-ef0912fd2969?t=1493302782560" TargetMode="External"/><Relationship Id="rId2" Type="http://schemas.openxmlformats.org/officeDocument/2006/relationships/hyperlink" Target="https://www.cr2030.cz/strategie/wp-content/uploads/sites/2/2018/05/ANAL&#221;ZA_Vl&#225;dneme-si-dob&#345;e.docx.pdf" TargetMode="External"/><Relationship Id="rId1" Type="http://schemas.openxmlformats.org/officeDocument/2006/relationships/hyperlink" Target="https://www.cr2030.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Sablony\data\sablony\NOK%20Tituln&#237;%20strana%20dokument&#36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5F2C64CE144BA0BF2D846CF1F0C98A"/>
        <w:category>
          <w:name w:val="Obecné"/>
          <w:gallery w:val="placeholder"/>
        </w:category>
        <w:types>
          <w:type w:val="bbPlcHdr"/>
        </w:types>
        <w:behaviors>
          <w:behavior w:val="content"/>
        </w:behaviors>
        <w:guid w:val="{933FF1F9-DA40-4449-AF26-EFBCDE0B9885}"/>
      </w:docPartPr>
      <w:docPartBody>
        <w:p w:rsidR="00C369B8" w:rsidRDefault="00474524" w:rsidP="00474524">
          <w:pPr>
            <w:pStyle w:val="A95F2C64CE144BA0BF2D846CF1F0C98A"/>
          </w:pPr>
          <w:r>
            <w:rPr>
              <w:rFonts w:asciiTheme="majorHAnsi" w:eastAsiaTheme="majorEastAsia" w:hAnsiTheme="majorHAnsi" w:cstheme="majorBidi"/>
              <w:color w:val="5B9BD5" w:themeColor="accent1"/>
              <w:sz w:val="88"/>
              <w:szCs w:val="88"/>
            </w:rPr>
            <w:t>[Název dokumentu]</w:t>
          </w:r>
        </w:p>
      </w:docPartBody>
    </w:docPart>
    <w:docPart>
      <w:docPartPr>
        <w:name w:val="C5BEAF161C804C2F9DE7C3FFBDE06A45"/>
        <w:category>
          <w:name w:val="Obecné"/>
          <w:gallery w:val="placeholder"/>
        </w:category>
        <w:types>
          <w:type w:val="bbPlcHdr"/>
        </w:types>
        <w:behaviors>
          <w:behavior w:val="content"/>
        </w:behaviors>
        <w:guid w:val="{A38A58A4-AB95-42FA-AC8E-9CD5A0AF779E}"/>
      </w:docPartPr>
      <w:docPartBody>
        <w:p w:rsidR="00C369B8" w:rsidRDefault="00474524" w:rsidP="00474524">
          <w:pPr>
            <w:pStyle w:val="C5BEAF161C804C2F9DE7C3FFBDE06A45"/>
          </w:pPr>
          <w:r>
            <w:rPr>
              <w:color w:val="2E74B5" w:themeColor="accent1" w:themeShade="BF"/>
              <w:sz w:val="24"/>
              <w:szCs w:val="24"/>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Simplified Arabic Fixed">
    <w:charset w:val="00"/>
    <w:family w:val="modern"/>
    <w:pitch w:val="fixed"/>
    <w:sig w:usb0="00002003" w:usb1="00000000" w:usb2="00000000" w:usb3="00000000" w:csb0="00000041"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524"/>
    <w:rsid w:val="00433D15"/>
    <w:rsid w:val="0046163C"/>
    <w:rsid w:val="00474524"/>
    <w:rsid w:val="00924F9F"/>
    <w:rsid w:val="009403E7"/>
    <w:rsid w:val="00A95DB4"/>
    <w:rsid w:val="00C369B8"/>
    <w:rsid w:val="00CD1B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95F2C64CE144BA0BF2D846CF1F0C98A">
    <w:name w:val="A95F2C64CE144BA0BF2D846CF1F0C98A"/>
    <w:rsid w:val="00474524"/>
  </w:style>
  <w:style w:type="paragraph" w:customStyle="1" w:styleId="C5BEAF161C804C2F9DE7C3FFBDE06A45">
    <w:name w:val="C5BEAF161C804C2F9DE7C3FFBDE06A45"/>
    <w:rsid w:val="004745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dcb9bc-8d52-4d3e-a595-09c2d5420a48">MMR22-929250655-66</_dlc_DocId>
    <_dlc_DocIdUrl xmlns="a5dcb9bc-8d52-4d3e-a595-09c2d5420a48">
      <Url>https://mmrcz.sharepoint.com/sites/22/224/_layouts/15/DocIdRedir.aspx?ID=MMR22-929250655-66</Url>
      <Description>MMR22-929250655-66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745F4FF732F663438DC7BBDE7D2A92A5" ma:contentTypeVersion="4" ma:contentTypeDescription="Vytvoří nový dokument" ma:contentTypeScope="" ma:versionID="a53418b6f6e518d13d38ca70e2ccc597">
  <xsd:schema xmlns:xsd="http://www.w3.org/2001/XMLSchema" xmlns:xs="http://www.w3.org/2001/XMLSchema" xmlns:p="http://schemas.microsoft.com/office/2006/metadata/properties" xmlns:ns2="a5dcb9bc-8d52-4d3e-a595-09c2d5420a48" xmlns:ns3="c21e7edb-b367-4ac7-a92d-02aa336f11bf" targetNamespace="http://schemas.microsoft.com/office/2006/metadata/properties" ma:root="true" ma:fieldsID="4a6f632d16916570da4a7416b5919e9d" ns2:_="" ns3:_="">
    <xsd:import namespace="a5dcb9bc-8d52-4d3e-a595-09c2d5420a48"/>
    <xsd:import namespace="c21e7edb-b367-4ac7-a92d-02aa336f11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cb9bc-8d52-4d3e-a595-09c2d5420a48"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_dlc_DocId" ma:index="12" nillable="true" ma:displayName="Hodnota ID dokumentu" ma:description="Hodnota ID dokumentu přiřazená této položce" ma:internalName="_dlc_DocId" ma:readOnly="true">
      <xsd:simpleType>
        <xsd:restriction base="dms:Text"/>
      </xsd:simpleType>
    </xsd:element>
    <xsd:element name="_dlc_DocIdUrl" ma:index="13"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21e7edb-b367-4ac7-a92d-02aa336f11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F74B0-BAB6-49A0-82FC-505BE5CA735A}">
  <ds:schemaRefs>
    <ds:schemaRef ds:uri="http://purl.org/dc/terms/"/>
    <ds:schemaRef ds:uri="a5dcb9bc-8d52-4d3e-a595-09c2d5420a48"/>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c21e7edb-b367-4ac7-a92d-02aa336f11bf"/>
    <ds:schemaRef ds:uri="http://www.w3.org/XML/1998/namespace"/>
    <ds:schemaRef ds:uri="http://purl.org/dc/elements/1.1/"/>
  </ds:schemaRefs>
</ds:datastoreItem>
</file>

<file path=customXml/itemProps2.xml><?xml version="1.0" encoding="utf-8"?>
<ds:datastoreItem xmlns:ds="http://schemas.openxmlformats.org/officeDocument/2006/customXml" ds:itemID="{87294D75-415E-470B-A326-A1F889FAF124}">
  <ds:schemaRefs>
    <ds:schemaRef ds:uri="http://schemas.microsoft.com/sharepoint/v3/contenttype/forms"/>
  </ds:schemaRefs>
</ds:datastoreItem>
</file>

<file path=customXml/itemProps3.xml><?xml version="1.0" encoding="utf-8"?>
<ds:datastoreItem xmlns:ds="http://schemas.openxmlformats.org/officeDocument/2006/customXml" ds:itemID="{16377E33-47CD-422B-9B17-A499FE18B045}">
  <ds:schemaRefs>
    <ds:schemaRef ds:uri="http://schemas.microsoft.com/sharepoint/events"/>
  </ds:schemaRefs>
</ds:datastoreItem>
</file>

<file path=customXml/itemProps4.xml><?xml version="1.0" encoding="utf-8"?>
<ds:datastoreItem xmlns:ds="http://schemas.openxmlformats.org/officeDocument/2006/customXml" ds:itemID="{BDA41C17-B2C1-4C7B-813E-D6ED4EE7A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cb9bc-8d52-4d3e-a595-09c2d5420a48"/>
    <ds:schemaRef ds:uri="c21e7edb-b367-4ac7-a92d-02aa336f1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3EDA77-8B8A-444D-BACD-2701AE45B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NOK Titulní strana dokumentů</Template>
  <TotalTime>163</TotalTime>
  <Pages>551</Pages>
  <Words>224279</Words>
  <Characters>1323248</Characters>
  <Application>Microsoft Office Word</Application>
  <DocSecurity>0</DocSecurity>
  <Lines>11027</Lines>
  <Paragraphs>3088</Paragraphs>
  <ScaleCrop>false</ScaleCrop>
  <HeadingPairs>
    <vt:vector size="2" baseType="variant">
      <vt:variant>
        <vt:lpstr>Název</vt:lpstr>
      </vt:variant>
      <vt:variant>
        <vt:i4>1</vt:i4>
      </vt:variant>
    </vt:vector>
  </HeadingPairs>
  <TitlesOfParts>
    <vt:vector size="1" baseType="lpstr">
      <vt:lpstr>Národní koncepce realizace politiky soudržnosti v ČR po roce 2020 -</vt:lpstr>
    </vt:vector>
  </TitlesOfParts>
  <Company/>
  <LinksUpToDate>false</LinksUpToDate>
  <CharactersWithSpaces>1544439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Národní koncepce realizace politiky soudržnosti v ČR po roce 2020 -</dc:title>
  <dc:subject>Příloha č. 1                                        Karty specifických cílů NKR – podklad pro prioritizaci</dc:subject>
  <dc:creator>Krouzová  Lenka Kristýna</dc:creator>
  <cp:lastModifiedBy>Maroušek Jaroslav</cp:lastModifiedBy>
  <cp:revision>42</cp:revision>
  <dcterms:created xsi:type="dcterms:W3CDTF">2019-05-23T10:03:00Z</dcterms:created>
  <dcterms:modified xsi:type="dcterms:W3CDTF">2019-06-05T12:00:00Z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0x010100745F4FF732F663438DC7BBDE7D2A92A5</vt:lpwstr>
  </property>
  <property fmtid="{D5CDD505-2E9C-101B-9397-08002B2CF9AE}" pid="3" name="_dlc_DocIdItemGuid">
    <vt:lpwstr>cd9edd7f-7c9f-4b53-8b8d-da293f435583</vt:lpwstr>
  </property>
  <property fmtid="{D5CDD505-2E9C-101B-9397-08002B2CF9AE}" pid="4" name="Order">
    <vt:r8>6100</vt:r8>
  </property>
  <property fmtid="{D5CDD505-2E9C-101B-9397-08002B2CF9AE}" pid="5" name="xd_ProgID">
    <vt:lpwstr/>
  </property>
  <property fmtid="{D5CDD505-2E9C-101B-9397-08002B2CF9AE}" pid="6" name="TemplateUrl">
    <vt:lpwstr/>
  </property>
  <property fmtid="{D5CDD505-2E9C-101B-9397-08002B2CF9AE}" pid="7" name="_CopySource">
    <vt:lpwstr>https://mmrcz.sharepoint.com/sites/22/224/Sdilene dokumenty/01 Příloha NKR  č. 1_Karty specifických cílů NKR – podklad pro prioritizaci.docx</vt:lpwstr>
  </property>
</Properties>
</file>